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F3" w:rsidRPr="00ED33D2" w:rsidRDefault="000B44F3" w:rsidP="00962EC1">
      <w:pPr>
        <w:pStyle w:val="Title"/>
        <w:spacing w:before="1200"/>
      </w:pPr>
      <w:bookmarkStart w:id="0" w:name="_Toc334515395"/>
      <w:r w:rsidRPr="00ED33D2">
        <w:t>Annual Report to the Council of Australian Governments 2</w:t>
      </w:r>
      <w:r w:rsidR="00E3341F" w:rsidRPr="00ED33D2">
        <w:t>01</w:t>
      </w:r>
      <w:r w:rsidR="00946B5E" w:rsidRPr="00ED33D2">
        <w:t>2</w:t>
      </w:r>
      <w:r w:rsidRPr="00ED33D2">
        <w:t>–1</w:t>
      </w:r>
      <w:bookmarkEnd w:id="0"/>
      <w:r w:rsidR="00946B5E" w:rsidRPr="00ED33D2">
        <w:t>3</w:t>
      </w:r>
    </w:p>
    <w:p w:rsidR="00ED33D2" w:rsidRPr="00ED33D2" w:rsidRDefault="000B44F3" w:rsidP="00962EC1">
      <w:pPr>
        <w:pStyle w:val="Title"/>
        <w:pBdr>
          <w:bottom w:val="single" w:sz="4" w:space="1" w:color="auto"/>
        </w:pBdr>
        <w:spacing w:before="4800"/>
      </w:pPr>
      <w:bookmarkStart w:id="1" w:name="_Toc334515396"/>
      <w:r w:rsidRPr="00ED33D2">
        <w:t>Protecting Children</w:t>
      </w:r>
      <w:bookmarkEnd w:id="1"/>
      <w:r w:rsidR="00F938C2" w:rsidRPr="00ED33D2">
        <w:br/>
      </w:r>
      <w:r w:rsidRPr="00ED33D2">
        <w:t>is Everyone’s Business</w:t>
      </w:r>
    </w:p>
    <w:p w:rsidR="000B44F3" w:rsidRPr="00ED33D2" w:rsidRDefault="000B44F3" w:rsidP="00ED33D2">
      <w:pPr>
        <w:pStyle w:val="Title"/>
        <w:rPr>
          <w:rStyle w:val="SubtleEmphasis"/>
          <w:rFonts w:cs="Arial"/>
          <w:i w:val="0"/>
          <w:iCs w:val="0"/>
          <w:sz w:val="24"/>
          <w:szCs w:val="24"/>
        </w:rPr>
      </w:pPr>
      <w:bookmarkStart w:id="2" w:name="_Toc334515397"/>
      <w:r w:rsidRPr="00ED33D2">
        <w:rPr>
          <w:rStyle w:val="SubtleEmphasis"/>
          <w:rFonts w:cs="Arial"/>
          <w:i w:val="0"/>
          <w:iCs w:val="0"/>
          <w:sz w:val="24"/>
          <w:szCs w:val="24"/>
        </w:rPr>
        <w:t>National Framework for Protecting</w:t>
      </w:r>
      <w:bookmarkStart w:id="3" w:name="_Toc334515398"/>
      <w:bookmarkEnd w:id="2"/>
      <w:r w:rsidR="00F938C2" w:rsidRPr="00ED33D2">
        <w:rPr>
          <w:rStyle w:val="SubtleEmphasis"/>
          <w:rFonts w:cs="Arial"/>
          <w:i w:val="0"/>
          <w:iCs w:val="0"/>
          <w:sz w:val="24"/>
          <w:szCs w:val="24"/>
        </w:rPr>
        <w:br/>
      </w:r>
      <w:r w:rsidRPr="00ED33D2">
        <w:rPr>
          <w:rStyle w:val="SubtleEmphasis"/>
          <w:rFonts w:cs="Arial"/>
          <w:i w:val="0"/>
          <w:iCs w:val="0"/>
          <w:sz w:val="24"/>
          <w:szCs w:val="24"/>
        </w:rPr>
        <w:t>Australia’s Children 2009–2020</w:t>
      </w:r>
      <w:bookmarkEnd w:id="3"/>
    </w:p>
    <w:p w:rsidR="00F70D59" w:rsidRPr="007F4E0D" w:rsidRDefault="000B44F3" w:rsidP="00962EC1">
      <w:pPr>
        <w:spacing w:before="4800"/>
        <w:rPr>
          <w:sz w:val="24"/>
          <w:szCs w:val="24"/>
        </w:rPr>
      </w:pPr>
      <w:r w:rsidRPr="007F4E0D">
        <w:rPr>
          <w:sz w:val="24"/>
          <w:szCs w:val="24"/>
        </w:rPr>
        <w:t>An initiative of the Council of Australian Government</w:t>
      </w:r>
      <w:r w:rsidR="002A72E5" w:rsidRPr="007F4E0D">
        <w:rPr>
          <w:sz w:val="24"/>
          <w:szCs w:val="24"/>
        </w:rPr>
        <w:t>s</w:t>
      </w:r>
    </w:p>
    <w:p w:rsidR="00F70D59" w:rsidRPr="00821556" w:rsidRDefault="00F70D59" w:rsidP="00FF20DB">
      <w:pPr>
        <w:rPr>
          <w:sz w:val="24"/>
          <w:szCs w:val="24"/>
        </w:rPr>
        <w:sectPr w:rsidR="00F70D59" w:rsidRPr="00821556" w:rsidSect="00FF20DB">
          <w:headerReference w:type="even" r:id="rId9"/>
          <w:headerReference w:type="default" r:id="rId10"/>
          <w:footerReference w:type="even" r:id="rId11"/>
          <w:footerReference w:type="default" r:id="rId12"/>
          <w:headerReference w:type="first" r:id="rId13"/>
          <w:footerReference w:type="first" r:id="rId14"/>
          <w:pgSz w:w="11905" w:h="16837" w:code="9"/>
          <w:pgMar w:top="720" w:right="720" w:bottom="720" w:left="720" w:header="720" w:footer="720" w:gutter="0"/>
          <w:cols w:space="720"/>
          <w:noEndnote/>
          <w:docGrid w:linePitch="272"/>
        </w:sectPr>
      </w:pPr>
    </w:p>
    <w:p w:rsidR="00DC2B11" w:rsidRPr="00821556" w:rsidRDefault="00DC2B11" w:rsidP="00B940CF">
      <w:pPr>
        <w:pStyle w:val="Heading1"/>
      </w:pPr>
      <w:bookmarkStart w:id="4" w:name="_Toc334515399"/>
      <w:bookmarkStart w:id="5" w:name="_Toc400007665"/>
      <w:bookmarkStart w:id="6" w:name="_Toc400711452"/>
      <w:r w:rsidRPr="00821556">
        <w:lastRenderedPageBreak/>
        <w:t>Foreword</w:t>
      </w:r>
      <w:bookmarkEnd w:id="4"/>
      <w:bookmarkEnd w:id="5"/>
      <w:bookmarkEnd w:id="6"/>
    </w:p>
    <w:p w:rsidR="00DC2B11" w:rsidRDefault="00DC2B11" w:rsidP="009640C5">
      <w:pPr>
        <w:widowControl w:val="0"/>
        <w:autoSpaceDE w:val="0"/>
        <w:autoSpaceDN w:val="0"/>
        <w:adjustRightInd w:val="0"/>
        <w:spacing w:after="120"/>
        <w:ind w:right="780"/>
        <w:rPr>
          <w:rFonts w:ascii="Calibri" w:hAnsi="Calibri" w:cs="Calibri"/>
          <w:color w:val="000000"/>
          <w:sz w:val="21"/>
          <w:szCs w:val="21"/>
        </w:rPr>
      </w:pPr>
      <w:r w:rsidRPr="008A4396">
        <w:rPr>
          <w:rFonts w:ascii="Calibri" w:hAnsi="Calibri" w:cs="Calibri"/>
          <w:color w:val="000000"/>
          <w:sz w:val="21"/>
          <w:szCs w:val="21"/>
        </w:rPr>
        <w:t xml:space="preserve">This is the </w:t>
      </w:r>
      <w:r w:rsidR="00564988">
        <w:rPr>
          <w:rFonts w:ascii="Calibri" w:hAnsi="Calibri" w:cs="Calibri"/>
          <w:color w:val="000000"/>
          <w:sz w:val="21"/>
          <w:szCs w:val="21"/>
        </w:rPr>
        <w:t>F</w:t>
      </w:r>
      <w:r w:rsidRPr="008A4396">
        <w:rPr>
          <w:rFonts w:ascii="Calibri" w:hAnsi="Calibri" w:cs="Calibri"/>
          <w:color w:val="000000"/>
          <w:sz w:val="21"/>
          <w:szCs w:val="21"/>
        </w:rPr>
        <w:t xml:space="preserve">ourth </w:t>
      </w:r>
      <w:r w:rsidR="00564988">
        <w:rPr>
          <w:rFonts w:ascii="Calibri" w:hAnsi="Calibri" w:cs="Calibri"/>
          <w:color w:val="000000"/>
          <w:sz w:val="21"/>
          <w:szCs w:val="21"/>
        </w:rPr>
        <w:t>A</w:t>
      </w:r>
      <w:r w:rsidRPr="008A4396">
        <w:rPr>
          <w:rFonts w:ascii="Calibri" w:hAnsi="Calibri" w:cs="Calibri"/>
          <w:color w:val="000000"/>
          <w:sz w:val="21"/>
          <w:szCs w:val="21"/>
        </w:rPr>
        <w:t xml:space="preserve">nnual </w:t>
      </w:r>
      <w:r w:rsidR="00564988">
        <w:rPr>
          <w:rFonts w:ascii="Calibri" w:hAnsi="Calibri" w:cs="Calibri"/>
          <w:color w:val="000000"/>
          <w:sz w:val="21"/>
          <w:szCs w:val="21"/>
        </w:rPr>
        <w:t>R</w:t>
      </w:r>
      <w:r w:rsidRPr="008A4396">
        <w:rPr>
          <w:rFonts w:ascii="Calibri" w:hAnsi="Calibri" w:cs="Calibri"/>
          <w:color w:val="000000"/>
          <w:sz w:val="21"/>
          <w:szCs w:val="21"/>
        </w:rPr>
        <w:t xml:space="preserve">eport </w:t>
      </w:r>
      <w:r>
        <w:rPr>
          <w:rFonts w:ascii="Calibri" w:hAnsi="Calibri" w:cs="Calibri"/>
          <w:color w:val="000000"/>
          <w:sz w:val="21"/>
          <w:szCs w:val="21"/>
        </w:rPr>
        <w:t xml:space="preserve">for the National Framework for </w:t>
      </w:r>
      <w:r w:rsidRPr="008A4396">
        <w:rPr>
          <w:rFonts w:ascii="Calibri" w:hAnsi="Calibri" w:cs="Calibri"/>
          <w:color w:val="000000"/>
          <w:sz w:val="21"/>
          <w:szCs w:val="21"/>
        </w:rPr>
        <w:t>Protecting Australia’s Children 2009–2020 (the National Framework)</w:t>
      </w:r>
      <w:r>
        <w:rPr>
          <w:rFonts w:ascii="Calibri" w:hAnsi="Calibri" w:cs="Calibri"/>
          <w:color w:val="000000"/>
          <w:sz w:val="21"/>
          <w:szCs w:val="21"/>
        </w:rPr>
        <w:t xml:space="preserve"> and </w:t>
      </w:r>
      <w:r w:rsidRPr="008A4396">
        <w:rPr>
          <w:rFonts w:ascii="Calibri" w:hAnsi="Calibri" w:cs="Calibri"/>
          <w:color w:val="000000"/>
          <w:sz w:val="21"/>
          <w:szCs w:val="21"/>
        </w:rPr>
        <w:t>outlines</w:t>
      </w:r>
      <w:r>
        <w:rPr>
          <w:rFonts w:ascii="Calibri" w:hAnsi="Calibri" w:cs="Calibri"/>
          <w:color w:val="000000"/>
          <w:sz w:val="21"/>
          <w:szCs w:val="21"/>
        </w:rPr>
        <w:t xml:space="preserve"> our continued </w:t>
      </w:r>
      <w:r w:rsidRPr="008A4396">
        <w:rPr>
          <w:rFonts w:ascii="Calibri" w:hAnsi="Calibri" w:cs="Calibri"/>
          <w:color w:val="000000"/>
          <w:sz w:val="21"/>
          <w:szCs w:val="21"/>
        </w:rPr>
        <w:t xml:space="preserve">progress </w:t>
      </w:r>
      <w:r>
        <w:rPr>
          <w:rFonts w:ascii="Calibri" w:hAnsi="Calibri" w:cs="Calibri"/>
          <w:color w:val="000000"/>
          <w:sz w:val="21"/>
          <w:szCs w:val="21"/>
        </w:rPr>
        <w:t xml:space="preserve">towards its </w:t>
      </w:r>
      <w:r w:rsidR="00DB5E89">
        <w:rPr>
          <w:rFonts w:ascii="Calibri" w:hAnsi="Calibri" w:cs="Calibri"/>
          <w:color w:val="000000"/>
          <w:sz w:val="21"/>
          <w:szCs w:val="21"/>
        </w:rPr>
        <w:t>high-</w:t>
      </w:r>
      <w:r>
        <w:rPr>
          <w:rFonts w:ascii="Calibri" w:hAnsi="Calibri" w:cs="Calibri"/>
          <w:color w:val="000000"/>
          <w:sz w:val="21"/>
          <w:szCs w:val="21"/>
        </w:rPr>
        <w:t>level outcome</w:t>
      </w:r>
      <w:r w:rsidR="00DB5E89">
        <w:rPr>
          <w:rFonts w:ascii="Calibri" w:hAnsi="Calibri" w:cs="Calibri"/>
          <w:color w:val="000000"/>
          <w:sz w:val="21"/>
          <w:szCs w:val="21"/>
        </w:rPr>
        <w:t>:</w:t>
      </w:r>
      <w:r>
        <w:rPr>
          <w:rFonts w:ascii="Calibri" w:hAnsi="Calibri" w:cs="Calibri"/>
          <w:color w:val="000000"/>
          <w:sz w:val="21"/>
          <w:szCs w:val="21"/>
        </w:rPr>
        <w:t xml:space="preserve"> that Australia’s children and young people are safe and well.</w:t>
      </w:r>
      <w:r w:rsidRPr="008A4396">
        <w:rPr>
          <w:rFonts w:ascii="Calibri" w:hAnsi="Calibri" w:cs="Calibri"/>
          <w:color w:val="000000"/>
          <w:sz w:val="21"/>
          <w:szCs w:val="21"/>
        </w:rPr>
        <w:t xml:space="preserve"> </w:t>
      </w:r>
      <w:r w:rsidR="00A85A07">
        <w:rPr>
          <w:rFonts w:ascii="Calibri" w:hAnsi="Calibri" w:cs="Calibri"/>
          <w:color w:val="000000"/>
          <w:sz w:val="21"/>
          <w:szCs w:val="21"/>
        </w:rPr>
        <w:t>Significantly, it also tracks early progress over the first year of the National Framework’s Second Action Plan 2012</w:t>
      </w:r>
      <w:r w:rsidR="00AA6767">
        <w:rPr>
          <w:rFonts w:ascii="Calibri" w:hAnsi="Calibri" w:cs="Calibri"/>
          <w:color w:val="000000"/>
          <w:sz w:val="21"/>
          <w:szCs w:val="21"/>
        </w:rPr>
        <w:t>–</w:t>
      </w:r>
      <w:r w:rsidR="00A85A07">
        <w:rPr>
          <w:rFonts w:ascii="Calibri" w:hAnsi="Calibri" w:cs="Calibri"/>
          <w:color w:val="000000"/>
          <w:sz w:val="21"/>
          <w:szCs w:val="21"/>
        </w:rPr>
        <w:t xml:space="preserve">2015 (Second Action Plan). The Second Action </w:t>
      </w:r>
      <w:r w:rsidR="001A26A6">
        <w:rPr>
          <w:rFonts w:ascii="Calibri" w:hAnsi="Calibri" w:cs="Calibri"/>
          <w:color w:val="000000"/>
          <w:sz w:val="21"/>
          <w:szCs w:val="21"/>
        </w:rPr>
        <w:t xml:space="preserve">Plan </w:t>
      </w:r>
      <w:r w:rsidR="00A85A07">
        <w:rPr>
          <w:rFonts w:ascii="Calibri" w:hAnsi="Calibri" w:cs="Calibri"/>
          <w:color w:val="000000"/>
          <w:sz w:val="21"/>
          <w:szCs w:val="21"/>
        </w:rPr>
        <w:t>was endorsed by Australia’s Community and Disability Services Ministers in August 201</w:t>
      </w:r>
      <w:r w:rsidR="001A26A6">
        <w:rPr>
          <w:rFonts w:ascii="Calibri" w:hAnsi="Calibri" w:cs="Calibri"/>
          <w:color w:val="000000"/>
          <w:sz w:val="21"/>
          <w:szCs w:val="21"/>
        </w:rPr>
        <w:t>2</w:t>
      </w:r>
      <w:r w:rsidR="00A85A07">
        <w:rPr>
          <w:rFonts w:ascii="Calibri" w:hAnsi="Calibri" w:cs="Calibri"/>
          <w:color w:val="000000"/>
          <w:sz w:val="21"/>
          <w:szCs w:val="21"/>
        </w:rPr>
        <w:t>. It marks an important milestone in the life of the National Framework and a new phase of implementation.</w:t>
      </w:r>
    </w:p>
    <w:p w:rsidR="00DC2B11" w:rsidRDefault="00DC2B11" w:rsidP="00DC2B11">
      <w:pPr>
        <w:widowControl w:val="0"/>
        <w:autoSpaceDE w:val="0"/>
        <w:autoSpaceDN w:val="0"/>
        <w:adjustRightInd w:val="0"/>
        <w:spacing w:after="120"/>
        <w:ind w:right="780"/>
        <w:rPr>
          <w:rFonts w:ascii="Calibri" w:hAnsi="Calibri" w:cs="Calibri"/>
          <w:color w:val="000000"/>
          <w:sz w:val="21"/>
          <w:szCs w:val="21"/>
        </w:rPr>
      </w:pPr>
      <w:r w:rsidRPr="001369A2">
        <w:rPr>
          <w:rFonts w:ascii="Calibri" w:hAnsi="Calibri" w:cs="Calibri"/>
          <w:color w:val="000000"/>
          <w:sz w:val="21"/>
          <w:szCs w:val="21"/>
        </w:rPr>
        <w:t xml:space="preserve">This </w:t>
      </w:r>
      <w:r>
        <w:rPr>
          <w:rFonts w:ascii="Calibri" w:hAnsi="Calibri" w:cs="Calibri"/>
          <w:color w:val="000000"/>
          <w:sz w:val="21"/>
          <w:szCs w:val="21"/>
        </w:rPr>
        <w:t>Fourth</w:t>
      </w:r>
      <w:r w:rsidRPr="001369A2">
        <w:rPr>
          <w:rFonts w:ascii="Calibri" w:hAnsi="Calibri" w:cs="Calibri"/>
          <w:color w:val="000000"/>
          <w:sz w:val="21"/>
          <w:szCs w:val="21"/>
        </w:rPr>
        <w:t xml:space="preserve"> Annual Report describes the </w:t>
      </w:r>
      <w:r>
        <w:rPr>
          <w:rFonts w:ascii="Calibri" w:hAnsi="Calibri" w:cs="Calibri"/>
          <w:color w:val="000000"/>
          <w:sz w:val="21"/>
          <w:szCs w:val="21"/>
        </w:rPr>
        <w:t>achievements</w:t>
      </w:r>
      <w:r w:rsidRPr="001369A2">
        <w:rPr>
          <w:rFonts w:ascii="Calibri" w:hAnsi="Calibri" w:cs="Calibri"/>
          <w:color w:val="000000"/>
          <w:sz w:val="21"/>
          <w:szCs w:val="21"/>
        </w:rPr>
        <w:t xml:space="preserve"> in the first year of the Second Action Plan</w:t>
      </w:r>
      <w:r>
        <w:rPr>
          <w:rFonts w:ascii="Calibri" w:hAnsi="Calibri" w:cs="Calibri"/>
          <w:color w:val="000000"/>
          <w:sz w:val="21"/>
          <w:szCs w:val="21"/>
        </w:rPr>
        <w:t xml:space="preserve"> and </w:t>
      </w:r>
      <w:r w:rsidRPr="001369A2">
        <w:rPr>
          <w:rFonts w:ascii="Calibri" w:hAnsi="Calibri" w:cs="Calibri"/>
          <w:color w:val="000000"/>
          <w:sz w:val="21"/>
          <w:szCs w:val="21"/>
        </w:rPr>
        <w:t>highlights</w:t>
      </w:r>
      <w:r w:rsidRPr="001369A2" w:rsidDel="001369A2">
        <w:rPr>
          <w:rFonts w:ascii="Calibri" w:hAnsi="Calibri" w:cs="Calibri"/>
          <w:color w:val="000000"/>
          <w:sz w:val="21"/>
          <w:szCs w:val="21"/>
        </w:rPr>
        <w:t xml:space="preserve"> </w:t>
      </w:r>
      <w:r w:rsidRPr="001369A2">
        <w:rPr>
          <w:rFonts w:ascii="Calibri" w:hAnsi="Calibri" w:cs="Calibri"/>
          <w:color w:val="000000"/>
          <w:sz w:val="21"/>
          <w:szCs w:val="21"/>
        </w:rPr>
        <w:t xml:space="preserve">how the Australian and </w:t>
      </w:r>
      <w:r w:rsidR="00F444C3" w:rsidRPr="001369A2">
        <w:rPr>
          <w:rFonts w:ascii="Calibri" w:hAnsi="Calibri" w:cs="Calibri"/>
          <w:color w:val="000000"/>
          <w:sz w:val="21"/>
          <w:szCs w:val="21"/>
        </w:rPr>
        <w:t>state and territory</w:t>
      </w:r>
      <w:r w:rsidRPr="001369A2">
        <w:rPr>
          <w:rFonts w:ascii="Calibri" w:hAnsi="Calibri" w:cs="Calibri"/>
          <w:color w:val="000000"/>
          <w:sz w:val="21"/>
          <w:szCs w:val="21"/>
        </w:rPr>
        <w:t xml:space="preserve"> </w:t>
      </w:r>
      <w:r w:rsidRPr="004A1E57">
        <w:rPr>
          <w:rFonts w:ascii="Calibri" w:hAnsi="Calibri" w:cs="Calibri"/>
          <w:color w:val="000000"/>
          <w:sz w:val="21"/>
          <w:szCs w:val="21"/>
        </w:rPr>
        <w:t>go</w:t>
      </w:r>
      <w:r w:rsidRPr="001369A2">
        <w:rPr>
          <w:rFonts w:ascii="Calibri" w:hAnsi="Calibri" w:cs="Calibri"/>
          <w:color w:val="000000"/>
          <w:sz w:val="21"/>
          <w:szCs w:val="21"/>
        </w:rPr>
        <w:t xml:space="preserve">vernments and the </w:t>
      </w:r>
      <w:r w:rsidR="00C8305C">
        <w:rPr>
          <w:rFonts w:ascii="Calibri" w:hAnsi="Calibri" w:cs="Calibri"/>
          <w:color w:val="000000"/>
          <w:sz w:val="21"/>
          <w:szCs w:val="21"/>
        </w:rPr>
        <w:t>community</w:t>
      </w:r>
      <w:r w:rsidRPr="001369A2">
        <w:rPr>
          <w:rFonts w:ascii="Calibri" w:hAnsi="Calibri" w:cs="Calibri"/>
          <w:color w:val="000000"/>
          <w:sz w:val="21"/>
          <w:szCs w:val="21"/>
        </w:rPr>
        <w:t xml:space="preserve"> sector—through the Coalition of Organisations Committed to the Safety and Wellbeing of Australia’s Children—</w:t>
      </w:r>
      <w:r>
        <w:rPr>
          <w:rFonts w:ascii="Calibri" w:hAnsi="Calibri" w:cs="Calibri"/>
          <w:color w:val="000000"/>
          <w:sz w:val="21"/>
          <w:szCs w:val="21"/>
        </w:rPr>
        <w:t xml:space="preserve">are working </w:t>
      </w:r>
      <w:r w:rsidRPr="001369A2">
        <w:rPr>
          <w:rFonts w:ascii="Calibri" w:hAnsi="Calibri" w:cs="Calibri"/>
          <w:color w:val="000000"/>
          <w:sz w:val="21"/>
          <w:szCs w:val="21"/>
        </w:rPr>
        <w:t>together to continue the momentum for change established under the First Action Plan 2009–2012.</w:t>
      </w:r>
    </w:p>
    <w:p w:rsidR="00DC2B11" w:rsidRDefault="00DC2B11" w:rsidP="00DC2B11">
      <w:pPr>
        <w:widowControl w:val="0"/>
        <w:autoSpaceDE w:val="0"/>
        <w:autoSpaceDN w:val="0"/>
        <w:adjustRightInd w:val="0"/>
        <w:spacing w:after="120"/>
        <w:ind w:right="780"/>
        <w:rPr>
          <w:rFonts w:ascii="Calibri" w:hAnsi="Calibri" w:cs="Calibri"/>
          <w:color w:val="000000"/>
          <w:sz w:val="21"/>
          <w:szCs w:val="21"/>
        </w:rPr>
      </w:pPr>
      <w:r>
        <w:rPr>
          <w:rFonts w:ascii="Calibri" w:hAnsi="Calibri" w:cs="Calibri"/>
          <w:color w:val="000000"/>
          <w:sz w:val="21"/>
          <w:szCs w:val="21"/>
        </w:rPr>
        <w:t xml:space="preserve">While </w:t>
      </w:r>
      <w:r w:rsidR="00911C92">
        <w:rPr>
          <w:rFonts w:ascii="Calibri" w:hAnsi="Calibri" w:cs="Calibri"/>
          <w:color w:val="000000"/>
          <w:sz w:val="21"/>
          <w:szCs w:val="21"/>
        </w:rPr>
        <w:t>the Second Action Plan is</w:t>
      </w:r>
      <w:r>
        <w:rPr>
          <w:rFonts w:ascii="Calibri" w:hAnsi="Calibri" w:cs="Calibri"/>
          <w:color w:val="000000"/>
          <w:sz w:val="21"/>
          <w:szCs w:val="21"/>
        </w:rPr>
        <w:t xml:space="preserve"> still in the early stages of implementation, t</w:t>
      </w:r>
      <w:r w:rsidRPr="001369A2">
        <w:rPr>
          <w:rFonts w:ascii="Calibri" w:hAnsi="Calibri" w:cs="Calibri"/>
          <w:color w:val="000000"/>
          <w:sz w:val="21"/>
          <w:szCs w:val="21"/>
        </w:rPr>
        <w:t>h</w:t>
      </w:r>
      <w:r>
        <w:rPr>
          <w:rFonts w:ascii="Calibri" w:hAnsi="Calibri" w:cs="Calibri"/>
          <w:color w:val="000000"/>
          <w:sz w:val="21"/>
          <w:szCs w:val="21"/>
        </w:rPr>
        <w:t>ere have already been some s</w:t>
      </w:r>
      <w:r w:rsidRPr="001369A2">
        <w:rPr>
          <w:rFonts w:ascii="Calibri" w:hAnsi="Calibri" w:cs="Calibri"/>
          <w:color w:val="000000"/>
          <w:sz w:val="21"/>
          <w:szCs w:val="21"/>
        </w:rPr>
        <w:t>ignificant achievements</w:t>
      </w:r>
      <w:r w:rsidRPr="00BA5ADB">
        <w:rPr>
          <w:rFonts w:ascii="Calibri" w:hAnsi="Calibri" w:cs="Calibri"/>
          <w:color w:val="000000"/>
          <w:sz w:val="21"/>
          <w:szCs w:val="21"/>
        </w:rPr>
        <w:t xml:space="preserve">. </w:t>
      </w:r>
      <w:r>
        <w:rPr>
          <w:rFonts w:ascii="Calibri" w:hAnsi="Calibri" w:cs="Calibri"/>
          <w:color w:val="000000"/>
          <w:sz w:val="21"/>
          <w:szCs w:val="21"/>
        </w:rPr>
        <w:t>This Annual Report</w:t>
      </w:r>
      <w:r w:rsidRPr="00BA5ADB">
        <w:rPr>
          <w:rFonts w:ascii="Calibri" w:hAnsi="Calibri" w:cs="Calibri"/>
          <w:color w:val="000000"/>
          <w:sz w:val="21"/>
          <w:szCs w:val="21"/>
        </w:rPr>
        <w:t xml:space="preserve"> </w:t>
      </w:r>
      <w:r>
        <w:rPr>
          <w:rFonts w:ascii="Calibri" w:hAnsi="Calibri" w:cs="Calibri"/>
          <w:color w:val="000000"/>
          <w:sz w:val="21"/>
          <w:szCs w:val="21"/>
        </w:rPr>
        <w:t>provide</w:t>
      </w:r>
      <w:r w:rsidRPr="00BA5ADB">
        <w:rPr>
          <w:rFonts w:ascii="Calibri" w:hAnsi="Calibri" w:cs="Calibri"/>
          <w:color w:val="000000"/>
          <w:sz w:val="21"/>
          <w:szCs w:val="21"/>
        </w:rPr>
        <w:t>s the opportunity to</w:t>
      </w:r>
      <w:r>
        <w:rPr>
          <w:rFonts w:ascii="Calibri" w:hAnsi="Calibri" w:cs="Calibri"/>
          <w:color w:val="000000"/>
          <w:sz w:val="21"/>
          <w:szCs w:val="21"/>
        </w:rPr>
        <w:t xml:space="preserve"> continue</w:t>
      </w:r>
      <w:r w:rsidRPr="00BA5ADB">
        <w:rPr>
          <w:rFonts w:ascii="Calibri" w:hAnsi="Calibri" w:cs="Calibri"/>
          <w:color w:val="000000"/>
          <w:sz w:val="21"/>
          <w:szCs w:val="21"/>
        </w:rPr>
        <w:t xml:space="preserve"> </w:t>
      </w:r>
      <w:r>
        <w:rPr>
          <w:rFonts w:ascii="Calibri" w:hAnsi="Calibri" w:cs="Calibri"/>
          <w:color w:val="000000"/>
          <w:sz w:val="21"/>
          <w:szCs w:val="21"/>
        </w:rPr>
        <w:t>sharing the story of progress</w:t>
      </w:r>
      <w:r w:rsidR="00585899">
        <w:rPr>
          <w:rFonts w:ascii="Calibri" w:hAnsi="Calibri" w:cs="Calibri"/>
          <w:color w:val="000000"/>
          <w:sz w:val="21"/>
          <w:szCs w:val="21"/>
        </w:rPr>
        <w:t>,</w:t>
      </w:r>
      <w:r>
        <w:rPr>
          <w:rFonts w:ascii="Calibri" w:hAnsi="Calibri" w:cs="Calibri"/>
          <w:color w:val="000000"/>
          <w:sz w:val="21"/>
          <w:szCs w:val="21"/>
        </w:rPr>
        <w:t xml:space="preserve"> while also </w:t>
      </w:r>
      <w:r w:rsidRPr="00BA5ADB">
        <w:rPr>
          <w:rFonts w:ascii="Calibri" w:hAnsi="Calibri" w:cs="Calibri"/>
          <w:color w:val="000000"/>
          <w:sz w:val="21"/>
          <w:szCs w:val="21"/>
        </w:rPr>
        <w:t>acknowledg</w:t>
      </w:r>
      <w:r>
        <w:rPr>
          <w:rFonts w:ascii="Calibri" w:hAnsi="Calibri" w:cs="Calibri"/>
          <w:color w:val="000000"/>
          <w:sz w:val="21"/>
          <w:szCs w:val="21"/>
        </w:rPr>
        <w:t>ing</w:t>
      </w:r>
      <w:r w:rsidRPr="00BA5ADB">
        <w:rPr>
          <w:rFonts w:ascii="Calibri" w:hAnsi="Calibri" w:cs="Calibri"/>
          <w:color w:val="000000"/>
          <w:sz w:val="21"/>
          <w:szCs w:val="21"/>
        </w:rPr>
        <w:t xml:space="preserve"> the </w:t>
      </w:r>
      <w:r>
        <w:rPr>
          <w:rFonts w:ascii="Calibri" w:hAnsi="Calibri" w:cs="Calibri"/>
          <w:color w:val="000000"/>
          <w:sz w:val="21"/>
          <w:szCs w:val="21"/>
        </w:rPr>
        <w:t xml:space="preserve">hard work </w:t>
      </w:r>
      <w:r w:rsidRPr="00BA5ADB">
        <w:rPr>
          <w:rFonts w:ascii="Calibri" w:hAnsi="Calibri" w:cs="Calibri"/>
          <w:color w:val="000000"/>
          <w:sz w:val="21"/>
          <w:szCs w:val="21"/>
        </w:rPr>
        <w:t>that lie</w:t>
      </w:r>
      <w:r>
        <w:rPr>
          <w:rFonts w:ascii="Calibri" w:hAnsi="Calibri" w:cs="Calibri"/>
          <w:color w:val="000000"/>
          <w:sz w:val="21"/>
          <w:szCs w:val="21"/>
        </w:rPr>
        <w:t>s</w:t>
      </w:r>
      <w:r w:rsidRPr="00BA5ADB">
        <w:rPr>
          <w:rFonts w:ascii="Calibri" w:hAnsi="Calibri" w:cs="Calibri"/>
          <w:color w:val="000000"/>
          <w:sz w:val="21"/>
          <w:szCs w:val="21"/>
        </w:rPr>
        <w:t xml:space="preserve"> ahead</w:t>
      </w:r>
      <w:r>
        <w:rPr>
          <w:rFonts w:ascii="Calibri" w:hAnsi="Calibri" w:cs="Calibri"/>
          <w:color w:val="000000"/>
          <w:sz w:val="21"/>
          <w:szCs w:val="21"/>
        </w:rPr>
        <w:t xml:space="preserve"> to </w:t>
      </w:r>
      <w:r w:rsidR="00FF663B">
        <w:rPr>
          <w:rFonts w:ascii="Calibri" w:hAnsi="Calibri" w:cs="Calibri"/>
          <w:color w:val="000000"/>
          <w:sz w:val="21"/>
          <w:szCs w:val="21"/>
        </w:rPr>
        <w:t>ensure that</w:t>
      </w:r>
      <w:r>
        <w:rPr>
          <w:rFonts w:ascii="Calibri" w:hAnsi="Calibri" w:cs="Calibri"/>
          <w:color w:val="000000"/>
          <w:sz w:val="21"/>
          <w:szCs w:val="21"/>
        </w:rPr>
        <w:t xml:space="preserve"> </w:t>
      </w:r>
      <w:r w:rsidR="008B49FB">
        <w:rPr>
          <w:rFonts w:ascii="Calibri" w:hAnsi="Calibri" w:cs="Calibri"/>
          <w:color w:val="000000"/>
          <w:sz w:val="21"/>
          <w:szCs w:val="21"/>
        </w:rPr>
        <w:t>the</w:t>
      </w:r>
      <w:r>
        <w:rPr>
          <w:rFonts w:ascii="Calibri" w:hAnsi="Calibri" w:cs="Calibri"/>
          <w:color w:val="000000"/>
          <w:sz w:val="21"/>
          <w:szCs w:val="21"/>
        </w:rPr>
        <w:t xml:space="preserve"> goal</w:t>
      </w:r>
      <w:r w:rsidR="008B49FB">
        <w:rPr>
          <w:rFonts w:ascii="Calibri" w:hAnsi="Calibri" w:cs="Calibri"/>
          <w:color w:val="000000"/>
          <w:sz w:val="21"/>
          <w:szCs w:val="21"/>
        </w:rPr>
        <w:t xml:space="preserve"> of the National Framework is achieved</w:t>
      </w:r>
      <w:r w:rsidRPr="00BA5ADB">
        <w:rPr>
          <w:rFonts w:ascii="Calibri" w:hAnsi="Calibri" w:cs="Calibri"/>
          <w:color w:val="000000"/>
          <w:sz w:val="21"/>
          <w:szCs w:val="21"/>
        </w:rPr>
        <w:t>.</w:t>
      </w:r>
      <w:bookmarkStart w:id="7" w:name="_GoBack"/>
      <w:bookmarkEnd w:id="7"/>
    </w:p>
    <w:p w:rsidR="00DC2B11" w:rsidRPr="00821556" w:rsidRDefault="00DC2B11" w:rsidP="00DC2B11">
      <w:pPr>
        <w:widowControl w:val="0"/>
        <w:autoSpaceDE w:val="0"/>
        <w:autoSpaceDN w:val="0"/>
        <w:adjustRightInd w:val="0"/>
        <w:spacing w:after="120"/>
        <w:ind w:right="780"/>
        <w:rPr>
          <w:rFonts w:ascii="Calibri" w:hAnsi="Calibri" w:cs="Calibri"/>
          <w:color w:val="000000"/>
          <w:sz w:val="21"/>
          <w:szCs w:val="21"/>
        </w:rPr>
      </w:pPr>
      <w:r w:rsidRPr="00BA5ADB">
        <w:rPr>
          <w:rFonts w:ascii="Calibri" w:hAnsi="Calibri" w:cs="Calibri"/>
          <w:color w:val="000000"/>
          <w:sz w:val="21"/>
          <w:szCs w:val="21"/>
        </w:rPr>
        <w:t xml:space="preserve">Contributions to this report have been provided by the Australian and </w:t>
      </w:r>
      <w:r w:rsidR="00F444C3" w:rsidRPr="00BA5ADB">
        <w:rPr>
          <w:rFonts w:ascii="Calibri" w:hAnsi="Calibri" w:cs="Calibri"/>
          <w:color w:val="000000"/>
          <w:sz w:val="21"/>
          <w:szCs w:val="21"/>
        </w:rPr>
        <w:t>state and territory</w:t>
      </w:r>
      <w:r w:rsidRPr="00BA5ADB">
        <w:rPr>
          <w:rFonts w:ascii="Calibri" w:hAnsi="Calibri" w:cs="Calibri"/>
          <w:color w:val="000000"/>
          <w:sz w:val="21"/>
          <w:szCs w:val="21"/>
        </w:rPr>
        <w:t xml:space="preserve"> governments, the Coalition of Organisations Committed to the Safety and Wellbeing of Australia’s Children and the Australian Institute of Health and Welfare</w:t>
      </w:r>
      <w:r>
        <w:rPr>
          <w:rFonts w:ascii="Calibri" w:hAnsi="Calibri" w:cs="Calibri"/>
          <w:color w:val="000000"/>
          <w:sz w:val="21"/>
          <w:szCs w:val="21"/>
        </w:rPr>
        <w:t>.</w:t>
      </w:r>
      <w:r w:rsidRPr="00BA5ADB">
        <w:rPr>
          <w:rFonts w:ascii="Calibri" w:hAnsi="Calibri" w:cs="Calibri"/>
          <w:color w:val="000000"/>
          <w:sz w:val="21"/>
          <w:szCs w:val="21"/>
        </w:rPr>
        <w:t xml:space="preserve"> </w:t>
      </w:r>
      <w:r>
        <w:rPr>
          <w:rFonts w:ascii="Calibri" w:hAnsi="Calibri" w:cs="Calibri"/>
          <w:color w:val="000000"/>
          <w:sz w:val="21"/>
          <w:szCs w:val="21"/>
        </w:rPr>
        <w:t>For the first time, t</w:t>
      </w:r>
      <w:r w:rsidRPr="00BA5ADB">
        <w:rPr>
          <w:rFonts w:ascii="Calibri" w:hAnsi="Calibri" w:cs="Calibri"/>
          <w:color w:val="000000"/>
          <w:sz w:val="21"/>
          <w:szCs w:val="21"/>
        </w:rPr>
        <w:t xml:space="preserve">he data provided </w:t>
      </w:r>
      <w:r w:rsidR="00D34242">
        <w:rPr>
          <w:rFonts w:ascii="Calibri" w:hAnsi="Calibri" w:cs="Calibri"/>
          <w:color w:val="000000"/>
          <w:sz w:val="21"/>
          <w:szCs w:val="21"/>
        </w:rPr>
        <w:t>show</w:t>
      </w:r>
      <w:r>
        <w:rPr>
          <w:rFonts w:ascii="Calibri" w:hAnsi="Calibri" w:cs="Calibri"/>
          <w:color w:val="000000"/>
          <w:sz w:val="21"/>
          <w:szCs w:val="21"/>
        </w:rPr>
        <w:t xml:space="preserve"> progress against the full list of National Framework performance indicators outlined in the Second Action Plan</w:t>
      </w:r>
      <w:r w:rsidRPr="00BE2C73">
        <w:rPr>
          <w:rFonts w:ascii="Calibri" w:hAnsi="Calibri" w:cs="Calibri"/>
          <w:color w:val="000000"/>
          <w:sz w:val="21"/>
          <w:szCs w:val="21"/>
        </w:rPr>
        <w:t xml:space="preserve">. </w:t>
      </w:r>
    </w:p>
    <w:p w:rsidR="008A4396" w:rsidRPr="00FB59F6" w:rsidRDefault="008A4396" w:rsidP="00BA5ADB">
      <w:pPr>
        <w:widowControl w:val="0"/>
        <w:autoSpaceDE w:val="0"/>
        <w:autoSpaceDN w:val="0"/>
        <w:adjustRightInd w:val="0"/>
        <w:ind w:left="709" w:right="780"/>
        <w:rPr>
          <w:rFonts w:ascii="Calibri" w:hAnsi="Calibri" w:cs="Calibri"/>
          <w:color w:val="000000"/>
          <w:sz w:val="18"/>
          <w:szCs w:val="18"/>
        </w:rPr>
      </w:pPr>
    </w:p>
    <w:p w:rsidR="000B44F3" w:rsidRPr="00821556" w:rsidRDefault="000B44F3">
      <w:pPr>
        <w:widowControl w:val="0"/>
        <w:autoSpaceDE w:val="0"/>
        <w:autoSpaceDN w:val="0"/>
        <w:adjustRightInd w:val="0"/>
        <w:spacing w:line="200" w:lineRule="exact"/>
        <w:ind w:right="3206"/>
        <w:rPr>
          <w:rFonts w:ascii="Arial" w:hAnsi="Arial"/>
          <w:color w:val="000000"/>
          <w:sz w:val="24"/>
          <w:szCs w:val="24"/>
        </w:rPr>
        <w:sectPr w:rsidR="000B44F3" w:rsidRPr="00821556" w:rsidSect="005356A0">
          <w:headerReference w:type="even" r:id="rId15"/>
          <w:headerReference w:type="default" r:id="rId16"/>
          <w:footerReference w:type="default" r:id="rId17"/>
          <w:headerReference w:type="first" r:id="rId18"/>
          <w:pgSz w:w="11905" w:h="16837" w:code="9"/>
          <w:pgMar w:top="1418" w:right="278" w:bottom="420" w:left="1134" w:header="720" w:footer="720" w:gutter="0"/>
          <w:pgNumType w:fmt="lowerRoman" w:start="2"/>
          <w:cols w:space="720"/>
          <w:noEndnote/>
        </w:sectPr>
      </w:pPr>
    </w:p>
    <w:p w:rsidR="009E55CF" w:rsidRPr="00E3445F" w:rsidRDefault="002A0ACC" w:rsidP="00B940CF">
      <w:pPr>
        <w:pStyle w:val="Heading1"/>
      </w:pPr>
      <w:bookmarkStart w:id="8" w:name="_Toc400007666"/>
      <w:bookmarkStart w:id="9" w:name="_Toc400711453"/>
      <w:r w:rsidRPr="002C05A6">
        <w:t>C</w:t>
      </w:r>
      <w:r w:rsidR="009E55CF" w:rsidRPr="002C05A6">
        <w:t>ontents</w:t>
      </w:r>
      <w:bookmarkEnd w:id="8"/>
      <w:bookmarkEnd w:id="9"/>
    </w:p>
    <w:p w:rsidR="000433CA" w:rsidRDefault="00F10305">
      <w:pPr>
        <w:pStyle w:val="TOC1"/>
        <w:tabs>
          <w:tab w:val="right" w:leader="dot" w:pos="10954"/>
        </w:tabs>
        <w:rPr>
          <w:rFonts w:eastAsiaTheme="minorEastAsia" w:cstheme="minorBidi"/>
          <w:bCs w:val="0"/>
          <w:noProof/>
          <w:sz w:val="22"/>
          <w:szCs w:val="22"/>
          <w:lang w:eastAsia="en-AU"/>
        </w:rPr>
      </w:pPr>
      <w:r w:rsidRPr="000433CA">
        <w:rPr>
          <w:b/>
          <w:caps/>
          <w:w w:val="90"/>
          <w:sz w:val="24"/>
          <w:szCs w:val="24"/>
        </w:rPr>
        <w:fldChar w:fldCharType="begin"/>
      </w:r>
      <w:r w:rsidRPr="000433CA">
        <w:rPr>
          <w:caps/>
          <w:w w:val="90"/>
          <w:sz w:val="24"/>
          <w:szCs w:val="24"/>
        </w:rPr>
        <w:instrText xml:space="preserve"> TOC \o "1-2" \h \z \u </w:instrText>
      </w:r>
      <w:r w:rsidRPr="000433CA">
        <w:rPr>
          <w:b/>
          <w:caps/>
          <w:w w:val="90"/>
          <w:sz w:val="24"/>
          <w:szCs w:val="24"/>
        </w:rPr>
        <w:fldChar w:fldCharType="separate"/>
      </w:r>
      <w:hyperlink w:anchor="_Toc400711452" w:history="1">
        <w:r w:rsidR="000433CA" w:rsidRPr="00CB5388">
          <w:rPr>
            <w:rStyle w:val="Hyperlink"/>
            <w:noProof/>
          </w:rPr>
          <w:t>Foreword</w:t>
        </w:r>
        <w:r w:rsidR="000433CA">
          <w:rPr>
            <w:noProof/>
            <w:webHidden/>
          </w:rPr>
          <w:tab/>
        </w:r>
        <w:r w:rsidR="000433CA">
          <w:rPr>
            <w:noProof/>
            <w:webHidden/>
          </w:rPr>
          <w:fldChar w:fldCharType="begin"/>
        </w:r>
        <w:r w:rsidR="000433CA">
          <w:rPr>
            <w:noProof/>
            <w:webHidden/>
          </w:rPr>
          <w:instrText xml:space="preserve"> PAGEREF _Toc400711452 \h </w:instrText>
        </w:r>
        <w:r w:rsidR="000433CA">
          <w:rPr>
            <w:noProof/>
            <w:webHidden/>
          </w:rPr>
        </w:r>
        <w:r w:rsidR="000433CA">
          <w:rPr>
            <w:noProof/>
            <w:webHidden/>
          </w:rPr>
          <w:fldChar w:fldCharType="separate"/>
        </w:r>
        <w:r w:rsidR="000433CA">
          <w:rPr>
            <w:noProof/>
            <w:webHidden/>
          </w:rPr>
          <w:t>ii</w:t>
        </w:r>
        <w:r w:rsidR="000433CA">
          <w:rPr>
            <w:noProof/>
            <w:webHidden/>
          </w:rPr>
          <w:fldChar w:fldCharType="end"/>
        </w:r>
      </w:hyperlink>
    </w:p>
    <w:p w:rsidR="000433CA" w:rsidRDefault="000433CA">
      <w:pPr>
        <w:pStyle w:val="TOC1"/>
        <w:tabs>
          <w:tab w:val="right" w:leader="dot" w:pos="10954"/>
        </w:tabs>
        <w:rPr>
          <w:rFonts w:eastAsiaTheme="minorEastAsia" w:cstheme="minorBidi"/>
          <w:bCs w:val="0"/>
          <w:noProof/>
          <w:sz w:val="22"/>
          <w:szCs w:val="22"/>
          <w:lang w:eastAsia="en-AU"/>
        </w:rPr>
      </w:pPr>
      <w:hyperlink w:anchor="_Toc400711453" w:history="1">
        <w:r w:rsidRPr="00CB5388">
          <w:rPr>
            <w:rStyle w:val="Hyperlink"/>
            <w:noProof/>
          </w:rPr>
          <w:t>Contents</w:t>
        </w:r>
        <w:r>
          <w:rPr>
            <w:noProof/>
            <w:webHidden/>
          </w:rPr>
          <w:tab/>
        </w:r>
        <w:r>
          <w:rPr>
            <w:noProof/>
            <w:webHidden/>
          </w:rPr>
          <w:fldChar w:fldCharType="begin"/>
        </w:r>
        <w:r>
          <w:rPr>
            <w:noProof/>
            <w:webHidden/>
          </w:rPr>
          <w:instrText xml:space="preserve"> PAGEREF _Toc400711453 \h </w:instrText>
        </w:r>
        <w:r>
          <w:rPr>
            <w:noProof/>
            <w:webHidden/>
          </w:rPr>
        </w:r>
        <w:r>
          <w:rPr>
            <w:noProof/>
            <w:webHidden/>
          </w:rPr>
          <w:fldChar w:fldCharType="separate"/>
        </w:r>
        <w:r>
          <w:rPr>
            <w:noProof/>
            <w:webHidden/>
          </w:rPr>
          <w:t>iii</w:t>
        </w:r>
        <w:r>
          <w:rPr>
            <w:noProof/>
            <w:webHidden/>
          </w:rPr>
          <w:fldChar w:fldCharType="end"/>
        </w:r>
      </w:hyperlink>
    </w:p>
    <w:p w:rsidR="000433CA" w:rsidRDefault="000433CA">
      <w:pPr>
        <w:pStyle w:val="TOC1"/>
        <w:tabs>
          <w:tab w:val="right" w:leader="dot" w:pos="10954"/>
        </w:tabs>
        <w:rPr>
          <w:rFonts w:eastAsiaTheme="minorEastAsia" w:cstheme="minorBidi"/>
          <w:bCs w:val="0"/>
          <w:noProof/>
          <w:sz w:val="22"/>
          <w:szCs w:val="22"/>
          <w:lang w:eastAsia="en-AU"/>
        </w:rPr>
      </w:pPr>
      <w:hyperlink w:anchor="_Toc400711454" w:history="1">
        <w:r w:rsidRPr="00CB5388">
          <w:rPr>
            <w:rStyle w:val="Hyperlink"/>
            <w:noProof/>
          </w:rPr>
          <w:t>List of Figures</w:t>
        </w:r>
        <w:r>
          <w:rPr>
            <w:noProof/>
            <w:webHidden/>
          </w:rPr>
          <w:tab/>
        </w:r>
        <w:r>
          <w:rPr>
            <w:noProof/>
            <w:webHidden/>
          </w:rPr>
          <w:fldChar w:fldCharType="begin"/>
        </w:r>
        <w:r>
          <w:rPr>
            <w:noProof/>
            <w:webHidden/>
          </w:rPr>
          <w:instrText xml:space="preserve"> PAGEREF _Toc400711454 \h </w:instrText>
        </w:r>
        <w:r>
          <w:rPr>
            <w:noProof/>
            <w:webHidden/>
          </w:rPr>
        </w:r>
        <w:r>
          <w:rPr>
            <w:noProof/>
            <w:webHidden/>
          </w:rPr>
          <w:fldChar w:fldCharType="separate"/>
        </w:r>
        <w:r>
          <w:rPr>
            <w:noProof/>
            <w:webHidden/>
          </w:rPr>
          <w:t>v</w:t>
        </w:r>
        <w:r>
          <w:rPr>
            <w:noProof/>
            <w:webHidden/>
          </w:rPr>
          <w:fldChar w:fldCharType="end"/>
        </w:r>
      </w:hyperlink>
    </w:p>
    <w:p w:rsidR="000433CA" w:rsidRDefault="000433CA">
      <w:pPr>
        <w:pStyle w:val="TOC1"/>
        <w:tabs>
          <w:tab w:val="right" w:leader="dot" w:pos="10954"/>
        </w:tabs>
        <w:rPr>
          <w:rFonts w:eastAsiaTheme="minorEastAsia" w:cstheme="minorBidi"/>
          <w:bCs w:val="0"/>
          <w:noProof/>
          <w:sz w:val="22"/>
          <w:szCs w:val="22"/>
          <w:lang w:eastAsia="en-AU"/>
        </w:rPr>
      </w:pPr>
      <w:hyperlink w:anchor="_Toc400711455" w:history="1">
        <w:r w:rsidRPr="00CB5388">
          <w:rPr>
            <w:rStyle w:val="Hyperlink"/>
            <w:noProof/>
          </w:rPr>
          <w:t>List of Tables</w:t>
        </w:r>
        <w:r>
          <w:rPr>
            <w:noProof/>
            <w:webHidden/>
          </w:rPr>
          <w:tab/>
        </w:r>
        <w:r>
          <w:rPr>
            <w:noProof/>
            <w:webHidden/>
          </w:rPr>
          <w:fldChar w:fldCharType="begin"/>
        </w:r>
        <w:r>
          <w:rPr>
            <w:noProof/>
            <w:webHidden/>
          </w:rPr>
          <w:instrText xml:space="preserve"> PAGEREF _Toc400711455 \h </w:instrText>
        </w:r>
        <w:r>
          <w:rPr>
            <w:noProof/>
            <w:webHidden/>
          </w:rPr>
        </w:r>
        <w:r>
          <w:rPr>
            <w:noProof/>
            <w:webHidden/>
          </w:rPr>
          <w:fldChar w:fldCharType="separate"/>
        </w:r>
        <w:r>
          <w:rPr>
            <w:noProof/>
            <w:webHidden/>
          </w:rPr>
          <w:t>v</w:t>
        </w:r>
        <w:r>
          <w:rPr>
            <w:noProof/>
            <w:webHidden/>
          </w:rPr>
          <w:fldChar w:fldCharType="end"/>
        </w:r>
      </w:hyperlink>
    </w:p>
    <w:p w:rsidR="000433CA" w:rsidRDefault="000433CA">
      <w:pPr>
        <w:pStyle w:val="TOC1"/>
        <w:tabs>
          <w:tab w:val="right" w:leader="dot" w:pos="10954"/>
        </w:tabs>
        <w:rPr>
          <w:rFonts w:eastAsiaTheme="minorEastAsia" w:cstheme="minorBidi"/>
          <w:bCs w:val="0"/>
          <w:noProof/>
          <w:sz w:val="22"/>
          <w:szCs w:val="22"/>
          <w:lang w:eastAsia="en-AU"/>
        </w:rPr>
      </w:pPr>
      <w:hyperlink w:anchor="_Toc400711456" w:history="1">
        <w:r w:rsidRPr="00CB5388">
          <w:rPr>
            <w:rStyle w:val="Hyperlink"/>
            <w:noProof/>
          </w:rPr>
          <w:t>Executive Summary</w:t>
        </w:r>
        <w:r>
          <w:rPr>
            <w:noProof/>
            <w:webHidden/>
          </w:rPr>
          <w:tab/>
        </w:r>
        <w:r>
          <w:rPr>
            <w:noProof/>
            <w:webHidden/>
          </w:rPr>
          <w:fldChar w:fldCharType="begin"/>
        </w:r>
        <w:r>
          <w:rPr>
            <w:noProof/>
            <w:webHidden/>
          </w:rPr>
          <w:instrText xml:space="preserve"> PAGEREF _Toc400711456 \h </w:instrText>
        </w:r>
        <w:r>
          <w:rPr>
            <w:noProof/>
            <w:webHidden/>
          </w:rPr>
        </w:r>
        <w:r>
          <w:rPr>
            <w:noProof/>
            <w:webHidden/>
          </w:rPr>
          <w:fldChar w:fldCharType="separate"/>
        </w:r>
        <w:r>
          <w:rPr>
            <w:noProof/>
            <w:webHidden/>
          </w:rPr>
          <w:t>1</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57" w:history="1">
        <w:r w:rsidRPr="00CB5388">
          <w:rPr>
            <w:rStyle w:val="Hyperlink"/>
            <w:noProof/>
          </w:rPr>
          <w:t>Introduction to the National Framework and review of progress</w:t>
        </w:r>
        <w:r>
          <w:rPr>
            <w:noProof/>
            <w:webHidden/>
          </w:rPr>
          <w:tab/>
        </w:r>
        <w:r>
          <w:rPr>
            <w:noProof/>
            <w:webHidden/>
          </w:rPr>
          <w:fldChar w:fldCharType="begin"/>
        </w:r>
        <w:r>
          <w:rPr>
            <w:noProof/>
            <w:webHidden/>
          </w:rPr>
          <w:instrText xml:space="preserve"> PAGEREF _Toc400711457 \h </w:instrText>
        </w:r>
        <w:r>
          <w:rPr>
            <w:noProof/>
            <w:webHidden/>
          </w:rPr>
        </w:r>
        <w:r>
          <w:rPr>
            <w:noProof/>
            <w:webHidden/>
          </w:rPr>
          <w:fldChar w:fldCharType="separate"/>
        </w:r>
        <w:r>
          <w:rPr>
            <w:noProof/>
            <w:webHidden/>
          </w:rPr>
          <w:t>1</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58" w:history="1">
        <w:r w:rsidRPr="00CB5388">
          <w:rPr>
            <w:rStyle w:val="Hyperlink"/>
            <w:noProof/>
          </w:rPr>
          <w:t>Data collection and reporting</w:t>
        </w:r>
        <w:r>
          <w:rPr>
            <w:noProof/>
            <w:webHidden/>
          </w:rPr>
          <w:tab/>
        </w:r>
        <w:r>
          <w:rPr>
            <w:noProof/>
            <w:webHidden/>
          </w:rPr>
          <w:fldChar w:fldCharType="begin"/>
        </w:r>
        <w:r>
          <w:rPr>
            <w:noProof/>
            <w:webHidden/>
          </w:rPr>
          <w:instrText xml:space="preserve"> PAGEREF _Toc400711458 \h </w:instrText>
        </w:r>
        <w:r>
          <w:rPr>
            <w:noProof/>
            <w:webHidden/>
          </w:rPr>
        </w:r>
        <w:r>
          <w:rPr>
            <w:noProof/>
            <w:webHidden/>
          </w:rPr>
          <w:fldChar w:fldCharType="separate"/>
        </w:r>
        <w:r>
          <w:rPr>
            <w:noProof/>
            <w:webHidden/>
          </w:rPr>
          <w:t>2</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59" w:history="1">
        <w:r w:rsidRPr="00CB5388">
          <w:rPr>
            <w:rStyle w:val="Hyperlink"/>
            <w:noProof/>
          </w:rPr>
          <w:t>Tracking progress against the Supporting Outcomes</w:t>
        </w:r>
        <w:r>
          <w:rPr>
            <w:noProof/>
            <w:webHidden/>
          </w:rPr>
          <w:tab/>
        </w:r>
        <w:r>
          <w:rPr>
            <w:noProof/>
            <w:webHidden/>
          </w:rPr>
          <w:fldChar w:fldCharType="begin"/>
        </w:r>
        <w:r>
          <w:rPr>
            <w:noProof/>
            <w:webHidden/>
          </w:rPr>
          <w:instrText xml:space="preserve"> PAGEREF _Toc400711459 \h </w:instrText>
        </w:r>
        <w:r>
          <w:rPr>
            <w:noProof/>
            <w:webHidden/>
          </w:rPr>
        </w:r>
        <w:r>
          <w:rPr>
            <w:noProof/>
            <w:webHidden/>
          </w:rPr>
          <w:fldChar w:fldCharType="separate"/>
        </w:r>
        <w:r>
          <w:rPr>
            <w:noProof/>
            <w:webHidden/>
          </w:rPr>
          <w:t>2</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60" w:history="1">
        <w:r w:rsidRPr="00CB5388">
          <w:rPr>
            <w:rStyle w:val="Hyperlink"/>
            <w:noProof/>
          </w:rPr>
          <w:t>Highlighting our achievements</w:t>
        </w:r>
        <w:r>
          <w:rPr>
            <w:noProof/>
            <w:webHidden/>
          </w:rPr>
          <w:tab/>
        </w:r>
        <w:r>
          <w:rPr>
            <w:noProof/>
            <w:webHidden/>
          </w:rPr>
          <w:fldChar w:fldCharType="begin"/>
        </w:r>
        <w:r>
          <w:rPr>
            <w:noProof/>
            <w:webHidden/>
          </w:rPr>
          <w:instrText xml:space="preserve"> PAGEREF _Toc400711460 \h </w:instrText>
        </w:r>
        <w:r>
          <w:rPr>
            <w:noProof/>
            <w:webHidden/>
          </w:rPr>
        </w:r>
        <w:r>
          <w:rPr>
            <w:noProof/>
            <w:webHidden/>
          </w:rPr>
          <w:fldChar w:fldCharType="separate"/>
        </w:r>
        <w:r>
          <w:rPr>
            <w:noProof/>
            <w:webHidden/>
          </w:rPr>
          <w:t>3</w:t>
        </w:r>
        <w:r>
          <w:rPr>
            <w:noProof/>
            <w:webHidden/>
          </w:rPr>
          <w:fldChar w:fldCharType="end"/>
        </w:r>
      </w:hyperlink>
    </w:p>
    <w:p w:rsidR="000433CA" w:rsidRDefault="000433CA">
      <w:pPr>
        <w:pStyle w:val="TOC1"/>
        <w:tabs>
          <w:tab w:val="right" w:leader="dot" w:pos="10954"/>
        </w:tabs>
        <w:rPr>
          <w:rFonts w:eastAsiaTheme="minorEastAsia" w:cstheme="minorBidi"/>
          <w:bCs w:val="0"/>
          <w:noProof/>
          <w:sz w:val="22"/>
          <w:szCs w:val="22"/>
          <w:lang w:eastAsia="en-AU"/>
        </w:rPr>
      </w:pPr>
      <w:hyperlink w:anchor="_Toc400711461" w:history="1">
        <w:r w:rsidRPr="00CB5388">
          <w:rPr>
            <w:rStyle w:val="Hyperlink"/>
            <w:noProof/>
          </w:rPr>
          <w:t>Chapter one: The National Framework</w:t>
        </w:r>
        <w:r>
          <w:rPr>
            <w:noProof/>
            <w:webHidden/>
          </w:rPr>
          <w:tab/>
        </w:r>
        <w:r>
          <w:rPr>
            <w:noProof/>
            <w:webHidden/>
          </w:rPr>
          <w:fldChar w:fldCharType="begin"/>
        </w:r>
        <w:r>
          <w:rPr>
            <w:noProof/>
            <w:webHidden/>
          </w:rPr>
          <w:instrText xml:space="preserve"> PAGEREF _Toc400711461 \h </w:instrText>
        </w:r>
        <w:r>
          <w:rPr>
            <w:noProof/>
            <w:webHidden/>
          </w:rPr>
        </w:r>
        <w:r>
          <w:rPr>
            <w:noProof/>
            <w:webHidden/>
          </w:rPr>
          <w:fldChar w:fldCharType="separate"/>
        </w:r>
        <w:r>
          <w:rPr>
            <w:noProof/>
            <w:webHidden/>
          </w:rPr>
          <w:t>12</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62" w:history="1">
        <w:r w:rsidRPr="00CB5388">
          <w:rPr>
            <w:rStyle w:val="Hyperlink"/>
            <w:noProof/>
          </w:rPr>
          <w:t>What is the National Framework for Protecting Australia’s Children?</w:t>
        </w:r>
        <w:r>
          <w:rPr>
            <w:noProof/>
            <w:webHidden/>
          </w:rPr>
          <w:tab/>
        </w:r>
        <w:r>
          <w:rPr>
            <w:noProof/>
            <w:webHidden/>
          </w:rPr>
          <w:fldChar w:fldCharType="begin"/>
        </w:r>
        <w:r>
          <w:rPr>
            <w:noProof/>
            <w:webHidden/>
          </w:rPr>
          <w:instrText xml:space="preserve"> PAGEREF _Toc400711462 \h </w:instrText>
        </w:r>
        <w:r>
          <w:rPr>
            <w:noProof/>
            <w:webHidden/>
          </w:rPr>
        </w:r>
        <w:r>
          <w:rPr>
            <w:noProof/>
            <w:webHidden/>
          </w:rPr>
          <w:fldChar w:fldCharType="separate"/>
        </w:r>
        <w:r>
          <w:rPr>
            <w:noProof/>
            <w:webHidden/>
          </w:rPr>
          <w:t>12</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63" w:history="1">
        <w:r w:rsidRPr="00CB5388">
          <w:rPr>
            <w:rStyle w:val="Hyperlink"/>
            <w:noProof/>
          </w:rPr>
          <w:t>Why was the National Framework needed?</w:t>
        </w:r>
        <w:r>
          <w:rPr>
            <w:noProof/>
            <w:webHidden/>
          </w:rPr>
          <w:tab/>
        </w:r>
        <w:r>
          <w:rPr>
            <w:noProof/>
            <w:webHidden/>
          </w:rPr>
          <w:fldChar w:fldCharType="begin"/>
        </w:r>
        <w:r>
          <w:rPr>
            <w:noProof/>
            <w:webHidden/>
          </w:rPr>
          <w:instrText xml:space="preserve"> PAGEREF _Toc400711463 \h </w:instrText>
        </w:r>
        <w:r>
          <w:rPr>
            <w:noProof/>
            <w:webHidden/>
          </w:rPr>
        </w:r>
        <w:r>
          <w:rPr>
            <w:noProof/>
            <w:webHidden/>
          </w:rPr>
          <w:fldChar w:fldCharType="separate"/>
        </w:r>
        <w:r>
          <w:rPr>
            <w:noProof/>
            <w:webHidden/>
          </w:rPr>
          <w:t>13</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64" w:history="1">
        <w:r w:rsidRPr="00CB5388">
          <w:rPr>
            <w:rStyle w:val="Hyperlink"/>
            <w:noProof/>
          </w:rPr>
          <w:t>Working together</w:t>
        </w:r>
        <w:r>
          <w:rPr>
            <w:noProof/>
            <w:webHidden/>
          </w:rPr>
          <w:tab/>
        </w:r>
        <w:r>
          <w:rPr>
            <w:noProof/>
            <w:webHidden/>
          </w:rPr>
          <w:fldChar w:fldCharType="begin"/>
        </w:r>
        <w:r>
          <w:rPr>
            <w:noProof/>
            <w:webHidden/>
          </w:rPr>
          <w:instrText xml:space="preserve"> PAGEREF _Toc400711464 \h </w:instrText>
        </w:r>
        <w:r>
          <w:rPr>
            <w:noProof/>
            <w:webHidden/>
          </w:rPr>
        </w:r>
        <w:r>
          <w:rPr>
            <w:noProof/>
            <w:webHidden/>
          </w:rPr>
          <w:fldChar w:fldCharType="separate"/>
        </w:r>
        <w:r>
          <w:rPr>
            <w:noProof/>
            <w:webHidden/>
          </w:rPr>
          <w:t>13</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65" w:history="1">
        <w:r w:rsidRPr="00CB5388">
          <w:rPr>
            <w:rStyle w:val="Hyperlink"/>
            <w:noProof/>
          </w:rPr>
          <w:t>Who oversees the National Framework?</w:t>
        </w:r>
        <w:r>
          <w:rPr>
            <w:noProof/>
            <w:webHidden/>
          </w:rPr>
          <w:tab/>
        </w:r>
        <w:r>
          <w:rPr>
            <w:noProof/>
            <w:webHidden/>
          </w:rPr>
          <w:fldChar w:fldCharType="begin"/>
        </w:r>
        <w:r>
          <w:rPr>
            <w:noProof/>
            <w:webHidden/>
          </w:rPr>
          <w:instrText xml:space="preserve"> PAGEREF _Toc400711465 \h </w:instrText>
        </w:r>
        <w:r>
          <w:rPr>
            <w:noProof/>
            <w:webHidden/>
          </w:rPr>
        </w:r>
        <w:r>
          <w:rPr>
            <w:noProof/>
            <w:webHidden/>
          </w:rPr>
          <w:fldChar w:fldCharType="separate"/>
        </w:r>
        <w:r>
          <w:rPr>
            <w:noProof/>
            <w:webHidden/>
          </w:rPr>
          <w:t>14</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66" w:history="1">
        <w:r w:rsidRPr="00CB5388">
          <w:rPr>
            <w:rStyle w:val="Hyperlink"/>
            <w:noProof/>
          </w:rPr>
          <w:t>Purpose of this report</w:t>
        </w:r>
        <w:r>
          <w:rPr>
            <w:noProof/>
            <w:webHidden/>
          </w:rPr>
          <w:tab/>
        </w:r>
        <w:r>
          <w:rPr>
            <w:noProof/>
            <w:webHidden/>
          </w:rPr>
          <w:fldChar w:fldCharType="begin"/>
        </w:r>
        <w:r>
          <w:rPr>
            <w:noProof/>
            <w:webHidden/>
          </w:rPr>
          <w:instrText xml:space="preserve"> PAGEREF _Toc400711466 \h </w:instrText>
        </w:r>
        <w:r>
          <w:rPr>
            <w:noProof/>
            <w:webHidden/>
          </w:rPr>
        </w:r>
        <w:r>
          <w:rPr>
            <w:noProof/>
            <w:webHidden/>
          </w:rPr>
          <w:fldChar w:fldCharType="separate"/>
        </w:r>
        <w:r>
          <w:rPr>
            <w:noProof/>
            <w:webHidden/>
          </w:rPr>
          <w:t>15</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67" w:history="1">
        <w:r w:rsidRPr="00CB5388">
          <w:rPr>
            <w:rStyle w:val="Hyperlink"/>
            <w:noProof/>
          </w:rPr>
          <w:t>The Second Action Plan</w:t>
        </w:r>
        <w:r>
          <w:rPr>
            <w:noProof/>
            <w:webHidden/>
          </w:rPr>
          <w:tab/>
        </w:r>
        <w:r>
          <w:rPr>
            <w:noProof/>
            <w:webHidden/>
          </w:rPr>
          <w:fldChar w:fldCharType="begin"/>
        </w:r>
        <w:r>
          <w:rPr>
            <w:noProof/>
            <w:webHidden/>
          </w:rPr>
          <w:instrText xml:space="preserve"> PAGEREF _Toc400711467 \h </w:instrText>
        </w:r>
        <w:r>
          <w:rPr>
            <w:noProof/>
            <w:webHidden/>
          </w:rPr>
        </w:r>
        <w:r>
          <w:rPr>
            <w:noProof/>
            <w:webHidden/>
          </w:rPr>
          <w:fldChar w:fldCharType="separate"/>
        </w:r>
        <w:r>
          <w:rPr>
            <w:noProof/>
            <w:webHidden/>
          </w:rPr>
          <w:t>15</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68" w:history="1">
        <w:r w:rsidRPr="00CB5388">
          <w:rPr>
            <w:rStyle w:val="Hyperlink"/>
            <w:noProof/>
          </w:rPr>
          <w:t>Funding</w:t>
        </w:r>
        <w:r>
          <w:rPr>
            <w:noProof/>
            <w:webHidden/>
          </w:rPr>
          <w:tab/>
        </w:r>
        <w:r>
          <w:rPr>
            <w:noProof/>
            <w:webHidden/>
          </w:rPr>
          <w:fldChar w:fldCharType="begin"/>
        </w:r>
        <w:r>
          <w:rPr>
            <w:noProof/>
            <w:webHidden/>
          </w:rPr>
          <w:instrText xml:space="preserve"> PAGEREF _Toc400711468 \h </w:instrText>
        </w:r>
        <w:r>
          <w:rPr>
            <w:noProof/>
            <w:webHidden/>
          </w:rPr>
        </w:r>
        <w:r>
          <w:rPr>
            <w:noProof/>
            <w:webHidden/>
          </w:rPr>
          <w:fldChar w:fldCharType="separate"/>
        </w:r>
        <w:r>
          <w:rPr>
            <w:noProof/>
            <w:webHidden/>
          </w:rPr>
          <w:t>16</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69" w:history="1">
        <w:r w:rsidRPr="00CB5388">
          <w:rPr>
            <w:rStyle w:val="Hyperlink"/>
            <w:noProof/>
          </w:rPr>
          <w:t>Conclusion</w:t>
        </w:r>
        <w:r>
          <w:rPr>
            <w:noProof/>
            <w:webHidden/>
          </w:rPr>
          <w:tab/>
        </w:r>
        <w:r>
          <w:rPr>
            <w:noProof/>
            <w:webHidden/>
          </w:rPr>
          <w:fldChar w:fldCharType="begin"/>
        </w:r>
        <w:r>
          <w:rPr>
            <w:noProof/>
            <w:webHidden/>
          </w:rPr>
          <w:instrText xml:space="preserve"> PAGEREF _Toc400711469 \h </w:instrText>
        </w:r>
        <w:r>
          <w:rPr>
            <w:noProof/>
            <w:webHidden/>
          </w:rPr>
        </w:r>
        <w:r>
          <w:rPr>
            <w:noProof/>
            <w:webHidden/>
          </w:rPr>
          <w:fldChar w:fldCharType="separate"/>
        </w:r>
        <w:r>
          <w:rPr>
            <w:noProof/>
            <w:webHidden/>
          </w:rPr>
          <w:t>16</w:t>
        </w:r>
        <w:r>
          <w:rPr>
            <w:noProof/>
            <w:webHidden/>
          </w:rPr>
          <w:fldChar w:fldCharType="end"/>
        </w:r>
      </w:hyperlink>
    </w:p>
    <w:p w:rsidR="000433CA" w:rsidRDefault="000433CA">
      <w:pPr>
        <w:pStyle w:val="TOC1"/>
        <w:tabs>
          <w:tab w:val="right" w:leader="dot" w:pos="10954"/>
        </w:tabs>
        <w:rPr>
          <w:rFonts w:eastAsiaTheme="minorEastAsia" w:cstheme="minorBidi"/>
          <w:bCs w:val="0"/>
          <w:noProof/>
          <w:sz w:val="22"/>
          <w:szCs w:val="22"/>
          <w:lang w:eastAsia="en-AU"/>
        </w:rPr>
      </w:pPr>
      <w:hyperlink w:anchor="_Toc400711470" w:history="1">
        <w:r w:rsidRPr="00CB5388">
          <w:rPr>
            <w:rStyle w:val="Hyperlink"/>
            <w:noProof/>
          </w:rPr>
          <w:t>Chapter two: The Second Three-Year Action Plan, 2012-2015</w:t>
        </w:r>
        <w:r w:rsidRPr="00CB5388">
          <w:rPr>
            <w:rStyle w:val="Hyperlink"/>
            <w:noProof/>
          </w:rPr>
          <w:noBreakHyphen/>
          <w:t>Measuring Progress</w:t>
        </w:r>
        <w:r>
          <w:rPr>
            <w:noProof/>
            <w:webHidden/>
          </w:rPr>
          <w:tab/>
        </w:r>
        <w:r>
          <w:rPr>
            <w:noProof/>
            <w:webHidden/>
          </w:rPr>
          <w:fldChar w:fldCharType="begin"/>
        </w:r>
        <w:r>
          <w:rPr>
            <w:noProof/>
            <w:webHidden/>
          </w:rPr>
          <w:instrText xml:space="preserve"> PAGEREF _Toc400711470 \h </w:instrText>
        </w:r>
        <w:r>
          <w:rPr>
            <w:noProof/>
            <w:webHidden/>
          </w:rPr>
        </w:r>
        <w:r>
          <w:rPr>
            <w:noProof/>
            <w:webHidden/>
          </w:rPr>
          <w:fldChar w:fldCharType="separate"/>
        </w:r>
        <w:r>
          <w:rPr>
            <w:noProof/>
            <w:webHidden/>
          </w:rPr>
          <w:t>18</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71" w:history="1">
        <w:r w:rsidRPr="00CB5388">
          <w:rPr>
            <w:rStyle w:val="Hyperlink"/>
            <w:noProof/>
            <w:lang w:eastAsia="en-AU"/>
          </w:rPr>
          <w:t>Measuring Progress</w:t>
        </w:r>
        <w:r>
          <w:rPr>
            <w:noProof/>
            <w:webHidden/>
          </w:rPr>
          <w:tab/>
        </w:r>
        <w:r>
          <w:rPr>
            <w:noProof/>
            <w:webHidden/>
          </w:rPr>
          <w:fldChar w:fldCharType="begin"/>
        </w:r>
        <w:r>
          <w:rPr>
            <w:noProof/>
            <w:webHidden/>
          </w:rPr>
          <w:instrText xml:space="preserve"> PAGEREF _Toc400711471 \h </w:instrText>
        </w:r>
        <w:r>
          <w:rPr>
            <w:noProof/>
            <w:webHidden/>
          </w:rPr>
        </w:r>
        <w:r>
          <w:rPr>
            <w:noProof/>
            <w:webHidden/>
          </w:rPr>
          <w:fldChar w:fldCharType="separate"/>
        </w:r>
        <w:r>
          <w:rPr>
            <w:noProof/>
            <w:webHidden/>
          </w:rPr>
          <w:t>18</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72" w:history="1">
        <w:r w:rsidRPr="00CB5388">
          <w:rPr>
            <w:rStyle w:val="Hyperlink"/>
            <w:noProof/>
          </w:rPr>
          <w:t>High-level outcome: are Australia’s children and young people safe and well?</w:t>
        </w:r>
        <w:r>
          <w:rPr>
            <w:noProof/>
            <w:webHidden/>
          </w:rPr>
          <w:tab/>
        </w:r>
        <w:r>
          <w:rPr>
            <w:noProof/>
            <w:webHidden/>
          </w:rPr>
          <w:fldChar w:fldCharType="begin"/>
        </w:r>
        <w:r>
          <w:rPr>
            <w:noProof/>
            <w:webHidden/>
          </w:rPr>
          <w:instrText xml:space="preserve"> PAGEREF _Toc400711472 \h </w:instrText>
        </w:r>
        <w:r>
          <w:rPr>
            <w:noProof/>
            <w:webHidden/>
          </w:rPr>
        </w:r>
        <w:r>
          <w:rPr>
            <w:noProof/>
            <w:webHidden/>
          </w:rPr>
          <w:fldChar w:fldCharType="separate"/>
        </w:r>
        <w:r>
          <w:rPr>
            <w:noProof/>
            <w:webHidden/>
          </w:rPr>
          <w:t>18</w:t>
        </w:r>
        <w:r>
          <w:rPr>
            <w:noProof/>
            <w:webHidden/>
          </w:rPr>
          <w:fldChar w:fldCharType="end"/>
        </w:r>
      </w:hyperlink>
    </w:p>
    <w:p w:rsidR="000433CA" w:rsidRDefault="000433CA">
      <w:pPr>
        <w:pStyle w:val="TOC1"/>
        <w:tabs>
          <w:tab w:val="right" w:leader="dot" w:pos="10954"/>
        </w:tabs>
        <w:rPr>
          <w:rFonts w:eastAsiaTheme="minorEastAsia" w:cstheme="minorBidi"/>
          <w:bCs w:val="0"/>
          <w:noProof/>
          <w:sz w:val="22"/>
          <w:szCs w:val="22"/>
          <w:lang w:eastAsia="en-AU"/>
        </w:rPr>
      </w:pPr>
      <w:hyperlink w:anchor="_Toc400711473" w:history="1">
        <w:r w:rsidRPr="00CB5388">
          <w:rPr>
            <w:rStyle w:val="Hyperlink"/>
            <w:noProof/>
          </w:rPr>
          <w:t>Chapter three: Outcome 1</w:t>
        </w:r>
        <w:r w:rsidRPr="00CB5388">
          <w:rPr>
            <w:rStyle w:val="Hyperlink"/>
            <w:noProof/>
          </w:rPr>
          <w:noBreakHyphen/>
          <w:t>Children live in safe and supportive families and communities</w:t>
        </w:r>
        <w:r>
          <w:rPr>
            <w:noProof/>
            <w:webHidden/>
          </w:rPr>
          <w:tab/>
        </w:r>
        <w:r>
          <w:rPr>
            <w:noProof/>
            <w:webHidden/>
          </w:rPr>
          <w:fldChar w:fldCharType="begin"/>
        </w:r>
        <w:r>
          <w:rPr>
            <w:noProof/>
            <w:webHidden/>
          </w:rPr>
          <w:instrText xml:space="preserve"> PAGEREF _Toc400711473 \h </w:instrText>
        </w:r>
        <w:r>
          <w:rPr>
            <w:noProof/>
            <w:webHidden/>
          </w:rPr>
        </w:r>
        <w:r>
          <w:rPr>
            <w:noProof/>
            <w:webHidden/>
          </w:rPr>
          <w:fldChar w:fldCharType="separate"/>
        </w:r>
        <w:r>
          <w:rPr>
            <w:noProof/>
            <w:webHidden/>
          </w:rPr>
          <w:t>26</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74" w:history="1">
        <w:r w:rsidRPr="00CB5388">
          <w:rPr>
            <w:rStyle w:val="Hyperlink"/>
            <w:noProof/>
          </w:rPr>
          <w:t>Overview</w:t>
        </w:r>
        <w:r>
          <w:rPr>
            <w:noProof/>
            <w:webHidden/>
          </w:rPr>
          <w:tab/>
        </w:r>
        <w:r>
          <w:rPr>
            <w:noProof/>
            <w:webHidden/>
          </w:rPr>
          <w:fldChar w:fldCharType="begin"/>
        </w:r>
        <w:r>
          <w:rPr>
            <w:noProof/>
            <w:webHidden/>
          </w:rPr>
          <w:instrText xml:space="preserve"> PAGEREF _Toc400711474 \h </w:instrText>
        </w:r>
        <w:r>
          <w:rPr>
            <w:noProof/>
            <w:webHidden/>
          </w:rPr>
        </w:r>
        <w:r>
          <w:rPr>
            <w:noProof/>
            <w:webHidden/>
          </w:rPr>
          <w:fldChar w:fldCharType="separate"/>
        </w:r>
        <w:r>
          <w:rPr>
            <w:noProof/>
            <w:webHidden/>
          </w:rPr>
          <w:t>26</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75" w:history="1">
        <w:r w:rsidRPr="00CB5388">
          <w:rPr>
            <w:rStyle w:val="Hyperlink"/>
            <w:noProof/>
          </w:rPr>
          <w:t>Australian, state and territory government activities</w:t>
        </w:r>
        <w:r>
          <w:rPr>
            <w:noProof/>
            <w:webHidden/>
          </w:rPr>
          <w:tab/>
        </w:r>
        <w:r>
          <w:rPr>
            <w:noProof/>
            <w:webHidden/>
          </w:rPr>
          <w:fldChar w:fldCharType="begin"/>
        </w:r>
        <w:r>
          <w:rPr>
            <w:noProof/>
            <w:webHidden/>
          </w:rPr>
          <w:instrText xml:space="preserve"> PAGEREF _Toc400711475 \h </w:instrText>
        </w:r>
        <w:r>
          <w:rPr>
            <w:noProof/>
            <w:webHidden/>
          </w:rPr>
        </w:r>
        <w:r>
          <w:rPr>
            <w:noProof/>
            <w:webHidden/>
          </w:rPr>
          <w:fldChar w:fldCharType="separate"/>
        </w:r>
        <w:r>
          <w:rPr>
            <w:noProof/>
            <w:webHidden/>
          </w:rPr>
          <w:t>27</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76" w:history="1">
        <w:r w:rsidRPr="00CB5388">
          <w:rPr>
            <w:rStyle w:val="Hyperlink"/>
            <w:noProof/>
          </w:rPr>
          <w:t>Measuring progress</w:t>
        </w:r>
        <w:r>
          <w:rPr>
            <w:noProof/>
            <w:webHidden/>
          </w:rPr>
          <w:tab/>
        </w:r>
        <w:r>
          <w:rPr>
            <w:noProof/>
            <w:webHidden/>
          </w:rPr>
          <w:fldChar w:fldCharType="begin"/>
        </w:r>
        <w:r>
          <w:rPr>
            <w:noProof/>
            <w:webHidden/>
          </w:rPr>
          <w:instrText xml:space="preserve"> PAGEREF _Toc400711476 \h </w:instrText>
        </w:r>
        <w:r>
          <w:rPr>
            <w:noProof/>
            <w:webHidden/>
          </w:rPr>
        </w:r>
        <w:r>
          <w:rPr>
            <w:noProof/>
            <w:webHidden/>
          </w:rPr>
          <w:fldChar w:fldCharType="separate"/>
        </w:r>
        <w:r>
          <w:rPr>
            <w:noProof/>
            <w:webHidden/>
          </w:rPr>
          <w:t>45</w:t>
        </w:r>
        <w:r>
          <w:rPr>
            <w:noProof/>
            <w:webHidden/>
          </w:rPr>
          <w:fldChar w:fldCharType="end"/>
        </w:r>
      </w:hyperlink>
    </w:p>
    <w:p w:rsidR="000433CA" w:rsidRDefault="000433CA">
      <w:pPr>
        <w:pStyle w:val="TOC1"/>
        <w:tabs>
          <w:tab w:val="right" w:leader="dot" w:pos="10954"/>
        </w:tabs>
        <w:rPr>
          <w:rFonts w:eastAsiaTheme="minorEastAsia" w:cstheme="minorBidi"/>
          <w:bCs w:val="0"/>
          <w:noProof/>
          <w:sz w:val="22"/>
          <w:szCs w:val="22"/>
          <w:lang w:eastAsia="en-AU"/>
        </w:rPr>
      </w:pPr>
      <w:hyperlink w:anchor="_Toc400711477" w:history="1">
        <w:r w:rsidRPr="00CB5388">
          <w:rPr>
            <w:rStyle w:val="Hyperlink"/>
            <w:noProof/>
          </w:rPr>
          <w:t>Chapter four: Outcome 2</w:t>
        </w:r>
        <w:r w:rsidRPr="00CB5388">
          <w:rPr>
            <w:rStyle w:val="Hyperlink"/>
            <w:noProof/>
          </w:rPr>
          <w:noBreakHyphen/>
          <w:t>Children and families access adequate support to promote safety and intervene early</w:t>
        </w:r>
        <w:r>
          <w:rPr>
            <w:noProof/>
            <w:webHidden/>
          </w:rPr>
          <w:tab/>
        </w:r>
        <w:r>
          <w:rPr>
            <w:noProof/>
            <w:webHidden/>
          </w:rPr>
          <w:fldChar w:fldCharType="begin"/>
        </w:r>
        <w:r>
          <w:rPr>
            <w:noProof/>
            <w:webHidden/>
          </w:rPr>
          <w:instrText xml:space="preserve"> PAGEREF _Toc400711477 \h </w:instrText>
        </w:r>
        <w:r>
          <w:rPr>
            <w:noProof/>
            <w:webHidden/>
          </w:rPr>
        </w:r>
        <w:r>
          <w:rPr>
            <w:noProof/>
            <w:webHidden/>
          </w:rPr>
          <w:fldChar w:fldCharType="separate"/>
        </w:r>
        <w:r>
          <w:rPr>
            <w:noProof/>
            <w:webHidden/>
          </w:rPr>
          <w:t>47</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78" w:history="1">
        <w:r w:rsidRPr="00CB5388">
          <w:rPr>
            <w:rStyle w:val="Hyperlink"/>
            <w:noProof/>
          </w:rPr>
          <w:t>Overview</w:t>
        </w:r>
        <w:r>
          <w:rPr>
            <w:noProof/>
            <w:webHidden/>
          </w:rPr>
          <w:tab/>
        </w:r>
        <w:r>
          <w:rPr>
            <w:noProof/>
            <w:webHidden/>
          </w:rPr>
          <w:fldChar w:fldCharType="begin"/>
        </w:r>
        <w:r>
          <w:rPr>
            <w:noProof/>
            <w:webHidden/>
          </w:rPr>
          <w:instrText xml:space="preserve"> PAGEREF _Toc400711478 \h </w:instrText>
        </w:r>
        <w:r>
          <w:rPr>
            <w:noProof/>
            <w:webHidden/>
          </w:rPr>
        </w:r>
        <w:r>
          <w:rPr>
            <w:noProof/>
            <w:webHidden/>
          </w:rPr>
          <w:fldChar w:fldCharType="separate"/>
        </w:r>
        <w:r>
          <w:rPr>
            <w:noProof/>
            <w:webHidden/>
          </w:rPr>
          <w:t>47</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79" w:history="1">
        <w:r w:rsidRPr="00CB5388">
          <w:rPr>
            <w:rStyle w:val="Hyperlink"/>
            <w:noProof/>
          </w:rPr>
          <w:t>Australian, state and territory government activities</w:t>
        </w:r>
        <w:r>
          <w:rPr>
            <w:noProof/>
            <w:webHidden/>
          </w:rPr>
          <w:tab/>
        </w:r>
        <w:r>
          <w:rPr>
            <w:noProof/>
            <w:webHidden/>
          </w:rPr>
          <w:fldChar w:fldCharType="begin"/>
        </w:r>
        <w:r>
          <w:rPr>
            <w:noProof/>
            <w:webHidden/>
          </w:rPr>
          <w:instrText xml:space="preserve"> PAGEREF _Toc400711479 \h </w:instrText>
        </w:r>
        <w:r>
          <w:rPr>
            <w:noProof/>
            <w:webHidden/>
          </w:rPr>
        </w:r>
        <w:r>
          <w:rPr>
            <w:noProof/>
            <w:webHidden/>
          </w:rPr>
          <w:fldChar w:fldCharType="separate"/>
        </w:r>
        <w:r>
          <w:rPr>
            <w:noProof/>
            <w:webHidden/>
          </w:rPr>
          <w:t>47</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80" w:history="1">
        <w:r w:rsidRPr="00CB5388">
          <w:rPr>
            <w:rStyle w:val="Hyperlink"/>
            <w:noProof/>
          </w:rPr>
          <w:t>Measuring progress</w:t>
        </w:r>
        <w:r>
          <w:rPr>
            <w:noProof/>
            <w:webHidden/>
          </w:rPr>
          <w:tab/>
        </w:r>
        <w:r>
          <w:rPr>
            <w:noProof/>
            <w:webHidden/>
          </w:rPr>
          <w:fldChar w:fldCharType="begin"/>
        </w:r>
        <w:r>
          <w:rPr>
            <w:noProof/>
            <w:webHidden/>
          </w:rPr>
          <w:instrText xml:space="preserve"> PAGEREF _Toc400711480 \h </w:instrText>
        </w:r>
        <w:r>
          <w:rPr>
            <w:noProof/>
            <w:webHidden/>
          </w:rPr>
        </w:r>
        <w:r>
          <w:rPr>
            <w:noProof/>
            <w:webHidden/>
          </w:rPr>
          <w:fldChar w:fldCharType="separate"/>
        </w:r>
        <w:r>
          <w:rPr>
            <w:noProof/>
            <w:webHidden/>
          </w:rPr>
          <w:t>63</w:t>
        </w:r>
        <w:r>
          <w:rPr>
            <w:noProof/>
            <w:webHidden/>
          </w:rPr>
          <w:fldChar w:fldCharType="end"/>
        </w:r>
      </w:hyperlink>
    </w:p>
    <w:p w:rsidR="000433CA" w:rsidRDefault="000433CA">
      <w:pPr>
        <w:pStyle w:val="TOC1"/>
        <w:tabs>
          <w:tab w:val="right" w:leader="dot" w:pos="10954"/>
        </w:tabs>
        <w:rPr>
          <w:rFonts w:eastAsiaTheme="minorEastAsia" w:cstheme="minorBidi"/>
          <w:bCs w:val="0"/>
          <w:noProof/>
          <w:sz w:val="22"/>
          <w:szCs w:val="22"/>
          <w:lang w:eastAsia="en-AU"/>
        </w:rPr>
      </w:pPr>
      <w:hyperlink w:anchor="_Toc400711481" w:history="1">
        <w:r w:rsidRPr="00CB5388">
          <w:rPr>
            <w:rStyle w:val="Hyperlink"/>
            <w:noProof/>
          </w:rPr>
          <w:t>Chapter five: Outcome 3</w:t>
        </w:r>
        <w:r w:rsidRPr="00CB5388">
          <w:rPr>
            <w:rStyle w:val="Hyperlink"/>
            <w:noProof/>
          </w:rPr>
          <w:noBreakHyphen/>
          <w:t>Risk factors for child abuse and neglect are addressed</w:t>
        </w:r>
        <w:r>
          <w:rPr>
            <w:noProof/>
            <w:webHidden/>
          </w:rPr>
          <w:tab/>
        </w:r>
        <w:r>
          <w:rPr>
            <w:noProof/>
            <w:webHidden/>
          </w:rPr>
          <w:fldChar w:fldCharType="begin"/>
        </w:r>
        <w:r>
          <w:rPr>
            <w:noProof/>
            <w:webHidden/>
          </w:rPr>
          <w:instrText xml:space="preserve"> PAGEREF _Toc400711481 \h </w:instrText>
        </w:r>
        <w:r>
          <w:rPr>
            <w:noProof/>
            <w:webHidden/>
          </w:rPr>
        </w:r>
        <w:r>
          <w:rPr>
            <w:noProof/>
            <w:webHidden/>
          </w:rPr>
          <w:fldChar w:fldCharType="separate"/>
        </w:r>
        <w:r>
          <w:rPr>
            <w:noProof/>
            <w:webHidden/>
          </w:rPr>
          <w:t>67</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82" w:history="1">
        <w:r w:rsidRPr="00CB5388">
          <w:rPr>
            <w:rStyle w:val="Hyperlink"/>
            <w:noProof/>
          </w:rPr>
          <w:t>Overview</w:t>
        </w:r>
        <w:r>
          <w:rPr>
            <w:noProof/>
            <w:webHidden/>
          </w:rPr>
          <w:tab/>
        </w:r>
        <w:r>
          <w:rPr>
            <w:noProof/>
            <w:webHidden/>
          </w:rPr>
          <w:fldChar w:fldCharType="begin"/>
        </w:r>
        <w:r>
          <w:rPr>
            <w:noProof/>
            <w:webHidden/>
          </w:rPr>
          <w:instrText xml:space="preserve"> PAGEREF _Toc400711482 \h </w:instrText>
        </w:r>
        <w:r>
          <w:rPr>
            <w:noProof/>
            <w:webHidden/>
          </w:rPr>
        </w:r>
        <w:r>
          <w:rPr>
            <w:noProof/>
            <w:webHidden/>
          </w:rPr>
          <w:fldChar w:fldCharType="separate"/>
        </w:r>
        <w:r>
          <w:rPr>
            <w:noProof/>
            <w:webHidden/>
          </w:rPr>
          <w:t>67</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83" w:history="1">
        <w:r w:rsidRPr="00CB5388">
          <w:rPr>
            <w:rStyle w:val="Hyperlink"/>
            <w:noProof/>
          </w:rPr>
          <w:t>Australian, state and territory government activities</w:t>
        </w:r>
        <w:r>
          <w:rPr>
            <w:noProof/>
            <w:webHidden/>
          </w:rPr>
          <w:tab/>
        </w:r>
        <w:r>
          <w:rPr>
            <w:noProof/>
            <w:webHidden/>
          </w:rPr>
          <w:fldChar w:fldCharType="begin"/>
        </w:r>
        <w:r>
          <w:rPr>
            <w:noProof/>
            <w:webHidden/>
          </w:rPr>
          <w:instrText xml:space="preserve"> PAGEREF _Toc400711483 \h </w:instrText>
        </w:r>
        <w:r>
          <w:rPr>
            <w:noProof/>
            <w:webHidden/>
          </w:rPr>
        </w:r>
        <w:r>
          <w:rPr>
            <w:noProof/>
            <w:webHidden/>
          </w:rPr>
          <w:fldChar w:fldCharType="separate"/>
        </w:r>
        <w:r>
          <w:rPr>
            <w:noProof/>
            <w:webHidden/>
          </w:rPr>
          <w:t>67</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84" w:history="1">
        <w:r w:rsidRPr="00CB5388">
          <w:rPr>
            <w:rStyle w:val="Hyperlink"/>
            <w:noProof/>
          </w:rPr>
          <w:t>Measuring progress</w:t>
        </w:r>
        <w:r>
          <w:rPr>
            <w:noProof/>
            <w:webHidden/>
          </w:rPr>
          <w:tab/>
        </w:r>
        <w:r>
          <w:rPr>
            <w:noProof/>
            <w:webHidden/>
          </w:rPr>
          <w:fldChar w:fldCharType="begin"/>
        </w:r>
        <w:r>
          <w:rPr>
            <w:noProof/>
            <w:webHidden/>
          </w:rPr>
          <w:instrText xml:space="preserve"> PAGEREF _Toc400711484 \h </w:instrText>
        </w:r>
        <w:r>
          <w:rPr>
            <w:noProof/>
            <w:webHidden/>
          </w:rPr>
        </w:r>
        <w:r>
          <w:rPr>
            <w:noProof/>
            <w:webHidden/>
          </w:rPr>
          <w:fldChar w:fldCharType="separate"/>
        </w:r>
        <w:r>
          <w:rPr>
            <w:noProof/>
            <w:webHidden/>
          </w:rPr>
          <w:t>85</w:t>
        </w:r>
        <w:r>
          <w:rPr>
            <w:noProof/>
            <w:webHidden/>
          </w:rPr>
          <w:fldChar w:fldCharType="end"/>
        </w:r>
      </w:hyperlink>
    </w:p>
    <w:p w:rsidR="000433CA" w:rsidRDefault="000433CA">
      <w:pPr>
        <w:pStyle w:val="TOC1"/>
        <w:tabs>
          <w:tab w:val="right" w:leader="dot" w:pos="10954"/>
        </w:tabs>
        <w:rPr>
          <w:rFonts w:eastAsiaTheme="minorEastAsia" w:cstheme="minorBidi"/>
          <w:bCs w:val="0"/>
          <w:noProof/>
          <w:sz w:val="22"/>
          <w:szCs w:val="22"/>
          <w:lang w:eastAsia="en-AU"/>
        </w:rPr>
      </w:pPr>
      <w:hyperlink w:anchor="_Toc400711485" w:history="1">
        <w:r w:rsidRPr="00CB5388">
          <w:rPr>
            <w:rStyle w:val="Hyperlink"/>
            <w:noProof/>
          </w:rPr>
          <w:t>Chapter six: Outcome 4</w:t>
        </w:r>
        <w:r w:rsidRPr="00CB5388">
          <w:rPr>
            <w:rStyle w:val="Hyperlink"/>
            <w:noProof/>
          </w:rPr>
          <w:noBreakHyphen/>
          <w:t>Children who have been abused or neglected receive the support and care they need for their safety and wellbeing</w:t>
        </w:r>
        <w:r>
          <w:rPr>
            <w:noProof/>
            <w:webHidden/>
          </w:rPr>
          <w:tab/>
        </w:r>
        <w:r>
          <w:rPr>
            <w:noProof/>
            <w:webHidden/>
          </w:rPr>
          <w:fldChar w:fldCharType="begin"/>
        </w:r>
        <w:r>
          <w:rPr>
            <w:noProof/>
            <w:webHidden/>
          </w:rPr>
          <w:instrText xml:space="preserve"> PAGEREF _Toc400711485 \h </w:instrText>
        </w:r>
        <w:r>
          <w:rPr>
            <w:noProof/>
            <w:webHidden/>
          </w:rPr>
        </w:r>
        <w:r>
          <w:rPr>
            <w:noProof/>
            <w:webHidden/>
          </w:rPr>
          <w:fldChar w:fldCharType="separate"/>
        </w:r>
        <w:r>
          <w:rPr>
            <w:noProof/>
            <w:webHidden/>
          </w:rPr>
          <w:t>89</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86" w:history="1">
        <w:r w:rsidRPr="00CB5388">
          <w:rPr>
            <w:rStyle w:val="Hyperlink"/>
            <w:noProof/>
          </w:rPr>
          <w:t>Overview</w:t>
        </w:r>
        <w:r>
          <w:rPr>
            <w:noProof/>
            <w:webHidden/>
          </w:rPr>
          <w:tab/>
        </w:r>
        <w:r>
          <w:rPr>
            <w:noProof/>
            <w:webHidden/>
          </w:rPr>
          <w:fldChar w:fldCharType="begin"/>
        </w:r>
        <w:r>
          <w:rPr>
            <w:noProof/>
            <w:webHidden/>
          </w:rPr>
          <w:instrText xml:space="preserve"> PAGEREF _Toc400711486 \h </w:instrText>
        </w:r>
        <w:r>
          <w:rPr>
            <w:noProof/>
            <w:webHidden/>
          </w:rPr>
        </w:r>
        <w:r>
          <w:rPr>
            <w:noProof/>
            <w:webHidden/>
          </w:rPr>
          <w:fldChar w:fldCharType="separate"/>
        </w:r>
        <w:r>
          <w:rPr>
            <w:noProof/>
            <w:webHidden/>
          </w:rPr>
          <w:t>89</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87" w:history="1">
        <w:r w:rsidRPr="00CB5388">
          <w:rPr>
            <w:rStyle w:val="Hyperlink"/>
            <w:noProof/>
          </w:rPr>
          <w:t>Australian, state and territory government activities</w:t>
        </w:r>
        <w:r>
          <w:rPr>
            <w:noProof/>
            <w:webHidden/>
          </w:rPr>
          <w:tab/>
        </w:r>
        <w:r>
          <w:rPr>
            <w:noProof/>
            <w:webHidden/>
          </w:rPr>
          <w:fldChar w:fldCharType="begin"/>
        </w:r>
        <w:r>
          <w:rPr>
            <w:noProof/>
            <w:webHidden/>
          </w:rPr>
          <w:instrText xml:space="preserve"> PAGEREF _Toc400711487 \h </w:instrText>
        </w:r>
        <w:r>
          <w:rPr>
            <w:noProof/>
            <w:webHidden/>
          </w:rPr>
        </w:r>
        <w:r>
          <w:rPr>
            <w:noProof/>
            <w:webHidden/>
          </w:rPr>
          <w:fldChar w:fldCharType="separate"/>
        </w:r>
        <w:r>
          <w:rPr>
            <w:noProof/>
            <w:webHidden/>
          </w:rPr>
          <w:t>90</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88" w:history="1">
        <w:r w:rsidRPr="00CB5388">
          <w:rPr>
            <w:rStyle w:val="Hyperlink"/>
            <w:noProof/>
          </w:rPr>
          <w:t>Measuring progress</w:t>
        </w:r>
        <w:r>
          <w:rPr>
            <w:noProof/>
            <w:webHidden/>
          </w:rPr>
          <w:tab/>
        </w:r>
        <w:r>
          <w:rPr>
            <w:noProof/>
            <w:webHidden/>
          </w:rPr>
          <w:fldChar w:fldCharType="begin"/>
        </w:r>
        <w:r>
          <w:rPr>
            <w:noProof/>
            <w:webHidden/>
          </w:rPr>
          <w:instrText xml:space="preserve"> PAGEREF _Toc400711488 \h </w:instrText>
        </w:r>
        <w:r>
          <w:rPr>
            <w:noProof/>
            <w:webHidden/>
          </w:rPr>
        </w:r>
        <w:r>
          <w:rPr>
            <w:noProof/>
            <w:webHidden/>
          </w:rPr>
          <w:fldChar w:fldCharType="separate"/>
        </w:r>
        <w:r>
          <w:rPr>
            <w:noProof/>
            <w:webHidden/>
          </w:rPr>
          <w:t>112</w:t>
        </w:r>
        <w:r>
          <w:rPr>
            <w:noProof/>
            <w:webHidden/>
          </w:rPr>
          <w:fldChar w:fldCharType="end"/>
        </w:r>
      </w:hyperlink>
    </w:p>
    <w:p w:rsidR="000433CA" w:rsidRDefault="000433CA">
      <w:pPr>
        <w:pStyle w:val="TOC1"/>
        <w:tabs>
          <w:tab w:val="right" w:leader="dot" w:pos="10954"/>
        </w:tabs>
        <w:rPr>
          <w:rFonts w:eastAsiaTheme="minorEastAsia" w:cstheme="minorBidi"/>
          <w:bCs w:val="0"/>
          <w:noProof/>
          <w:sz w:val="22"/>
          <w:szCs w:val="22"/>
          <w:lang w:eastAsia="en-AU"/>
        </w:rPr>
      </w:pPr>
      <w:hyperlink w:anchor="_Toc400711489" w:history="1">
        <w:r w:rsidRPr="00CB5388">
          <w:rPr>
            <w:rStyle w:val="Hyperlink"/>
            <w:noProof/>
          </w:rPr>
          <w:t>Chapter seven: Outcome 5</w:t>
        </w:r>
        <w:r w:rsidRPr="00CB5388">
          <w:rPr>
            <w:rStyle w:val="Hyperlink"/>
            <w:noProof/>
          </w:rPr>
          <w:noBreakHyphen/>
          <w:t>Indigenous children are supported and safe in their families and communities</w:t>
        </w:r>
        <w:r>
          <w:rPr>
            <w:noProof/>
            <w:webHidden/>
          </w:rPr>
          <w:tab/>
        </w:r>
        <w:r>
          <w:rPr>
            <w:noProof/>
            <w:webHidden/>
          </w:rPr>
          <w:fldChar w:fldCharType="begin"/>
        </w:r>
        <w:r>
          <w:rPr>
            <w:noProof/>
            <w:webHidden/>
          </w:rPr>
          <w:instrText xml:space="preserve"> PAGEREF _Toc400711489 \h </w:instrText>
        </w:r>
        <w:r>
          <w:rPr>
            <w:noProof/>
            <w:webHidden/>
          </w:rPr>
        </w:r>
        <w:r>
          <w:rPr>
            <w:noProof/>
            <w:webHidden/>
          </w:rPr>
          <w:fldChar w:fldCharType="separate"/>
        </w:r>
        <w:r>
          <w:rPr>
            <w:noProof/>
            <w:webHidden/>
          </w:rPr>
          <w:t>118</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90" w:history="1">
        <w:r w:rsidRPr="00CB5388">
          <w:rPr>
            <w:rStyle w:val="Hyperlink"/>
            <w:noProof/>
          </w:rPr>
          <w:t>Overview</w:t>
        </w:r>
        <w:r>
          <w:rPr>
            <w:noProof/>
            <w:webHidden/>
          </w:rPr>
          <w:tab/>
        </w:r>
        <w:r>
          <w:rPr>
            <w:noProof/>
            <w:webHidden/>
          </w:rPr>
          <w:fldChar w:fldCharType="begin"/>
        </w:r>
        <w:r>
          <w:rPr>
            <w:noProof/>
            <w:webHidden/>
          </w:rPr>
          <w:instrText xml:space="preserve"> PAGEREF _Toc400711490 \h </w:instrText>
        </w:r>
        <w:r>
          <w:rPr>
            <w:noProof/>
            <w:webHidden/>
          </w:rPr>
        </w:r>
        <w:r>
          <w:rPr>
            <w:noProof/>
            <w:webHidden/>
          </w:rPr>
          <w:fldChar w:fldCharType="separate"/>
        </w:r>
        <w:r>
          <w:rPr>
            <w:noProof/>
            <w:webHidden/>
          </w:rPr>
          <w:t>118</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91" w:history="1">
        <w:r w:rsidRPr="00CB5388">
          <w:rPr>
            <w:rStyle w:val="Hyperlink"/>
            <w:noProof/>
          </w:rPr>
          <w:t>Australian, state and territory government activities</w:t>
        </w:r>
        <w:r>
          <w:rPr>
            <w:noProof/>
            <w:webHidden/>
          </w:rPr>
          <w:tab/>
        </w:r>
        <w:r>
          <w:rPr>
            <w:noProof/>
            <w:webHidden/>
          </w:rPr>
          <w:fldChar w:fldCharType="begin"/>
        </w:r>
        <w:r>
          <w:rPr>
            <w:noProof/>
            <w:webHidden/>
          </w:rPr>
          <w:instrText xml:space="preserve"> PAGEREF _Toc400711491 \h </w:instrText>
        </w:r>
        <w:r>
          <w:rPr>
            <w:noProof/>
            <w:webHidden/>
          </w:rPr>
        </w:r>
        <w:r>
          <w:rPr>
            <w:noProof/>
            <w:webHidden/>
          </w:rPr>
          <w:fldChar w:fldCharType="separate"/>
        </w:r>
        <w:r>
          <w:rPr>
            <w:noProof/>
            <w:webHidden/>
          </w:rPr>
          <w:t>118</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92" w:history="1">
        <w:r w:rsidRPr="00CB5388">
          <w:rPr>
            <w:rStyle w:val="Hyperlink"/>
            <w:noProof/>
          </w:rPr>
          <w:t>Measuring progress</w:t>
        </w:r>
        <w:r>
          <w:rPr>
            <w:noProof/>
            <w:webHidden/>
          </w:rPr>
          <w:tab/>
        </w:r>
        <w:r>
          <w:rPr>
            <w:noProof/>
            <w:webHidden/>
          </w:rPr>
          <w:fldChar w:fldCharType="begin"/>
        </w:r>
        <w:r>
          <w:rPr>
            <w:noProof/>
            <w:webHidden/>
          </w:rPr>
          <w:instrText xml:space="preserve"> PAGEREF _Toc400711492 \h </w:instrText>
        </w:r>
        <w:r>
          <w:rPr>
            <w:noProof/>
            <w:webHidden/>
          </w:rPr>
        </w:r>
        <w:r>
          <w:rPr>
            <w:noProof/>
            <w:webHidden/>
          </w:rPr>
          <w:fldChar w:fldCharType="separate"/>
        </w:r>
        <w:r>
          <w:rPr>
            <w:noProof/>
            <w:webHidden/>
          </w:rPr>
          <w:t>128</w:t>
        </w:r>
        <w:r>
          <w:rPr>
            <w:noProof/>
            <w:webHidden/>
          </w:rPr>
          <w:fldChar w:fldCharType="end"/>
        </w:r>
      </w:hyperlink>
    </w:p>
    <w:p w:rsidR="000433CA" w:rsidRDefault="000433CA">
      <w:pPr>
        <w:pStyle w:val="TOC1"/>
        <w:tabs>
          <w:tab w:val="right" w:leader="dot" w:pos="10954"/>
        </w:tabs>
        <w:rPr>
          <w:rFonts w:eastAsiaTheme="minorEastAsia" w:cstheme="minorBidi"/>
          <w:bCs w:val="0"/>
          <w:noProof/>
          <w:sz w:val="22"/>
          <w:szCs w:val="22"/>
          <w:lang w:eastAsia="en-AU"/>
        </w:rPr>
      </w:pPr>
      <w:hyperlink w:anchor="_Toc400711493" w:history="1">
        <w:r w:rsidRPr="00CB5388">
          <w:rPr>
            <w:rStyle w:val="Hyperlink"/>
            <w:noProof/>
          </w:rPr>
          <w:t>Chapter eight: Outcome 6</w:t>
        </w:r>
        <w:r w:rsidRPr="00CB5388">
          <w:rPr>
            <w:rStyle w:val="Hyperlink"/>
            <w:noProof/>
          </w:rPr>
          <w:noBreakHyphen/>
          <w:t>Child sexual abuse and exploitation is prevented and survivors receive adequate support</w:t>
        </w:r>
        <w:r>
          <w:rPr>
            <w:noProof/>
            <w:webHidden/>
          </w:rPr>
          <w:tab/>
        </w:r>
        <w:r>
          <w:rPr>
            <w:noProof/>
            <w:webHidden/>
          </w:rPr>
          <w:fldChar w:fldCharType="begin"/>
        </w:r>
        <w:r>
          <w:rPr>
            <w:noProof/>
            <w:webHidden/>
          </w:rPr>
          <w:instrText xml:space="preserve"> PAGEREF _Toc400711493 \h </w:instrText>
        </w:r>
        <w:r>
          <w:rPr>
            <w:noProof/>
            <w:webHidden/>
          </w:rPr>
        </w:r>
        <w:r>
          <w:rPr>
            <w:noProof/>
            <w:webHidden/>
          </w:rPr>
          <w:fldChar w:fldCharType="separate"/>
        </w:r>
        <w:r>
          <w:rPr>
            <w:noProof/>
            <w:webHidden/>
          </w:rPr>
          <w:t>129</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94" w:history="1">
        <w:r w:rsidRPr="00CB5388">
          <w:rPr>
            <w:rStyle w:val="Hyperlink"/>
            <w:noProof/>
          </w:rPr>
          <w:t>Overview</w:t>
        </w:r>
        <w:r>
          <w:rPr>
            <w:noProof/>
            <w:webHidden/>
          </w:rPr>
          <w:tab/>
        </w:r>
        <w:r>
          <w:rPr>
            <w:noProof/>
            <w:webHidden/>
          </w:rPr>
          <w:fldChar w:fldCharType="begin"/>
        </w:r>
        <w:r>
          <w:rPr>
            <w:noProof/>
            <w:webHidden/>
          </w:rPr>
          <w:instrText xml:space="preserve"> PAGEREF _Toc400711494 \h </w:instrText>
        </w:r>
        <w:r>
          <w:rPr>
            <w:noProof/>
            <w:webHidden/>
          </w:rPr>
        </w:r>
        <w:r>
          <w:rPr>
            <w:noProof/>
            <w:webHidden/>
          </w:rPr>
          <w:fldChar w:fldCharType="separate"/>
        </w:r>
        <w:r>
          <w:rPr>
            <w:noProof/>
            <w:webHidden/>
          </w:rPr>
          <w:t>129</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95" w:history="1">
        <w:r w:rsidRPr="00CB5388">
          <w:rPr>
            <w:rStyle w:val="Hyperlink"/>
            <w:noProof/>
          </w:rPr>
          <w:t>Australian, state and territory government activities</w:t>
        </w:r>
        <w:r>
          <w:rPr>
            <w:noProof/>
            <w:webHidden/>
          </w:rPr>
          <w:tab/>
        </w:r>
        <w:r>
          <w:rPr>
            <w:noProof/>
            <w:webHidden/>
          </w:rPr>
          <w:fldChar w:fldCharType="begin"/>
        </w:r>
        <w:r>
          <w:rPr>
            <w:noProof/>
            <w:webHidden/>
          </w:rPr>
          <w:instrText xml:space="preserve"> PAGEREF _Toc400711495 \h </w:instrText>
        </w:r>
        <w:r>
          <w:rPr>
            <w:noProof/>
            <w:webHidden/>
          </w:rPr>
        </w:r>
        <w:r>
          <w:rPr>
            <w:noProof/>
            <w:webHidden/>
          </w:rPr>
          <w:fldChar w:fldCharType="separate"/>
        </w:r>
        <w:r>
          <w:rPr>
            <w:noProof/>
            <w:webHidden/>
          </w:rPr>
          <w:t>129</w:t>
        </w:r>
        <w:r>
          <w:rPr>
            <w:noProof/>
            <w:webHidden/>
          </w:rPr>
          <w:fldChar w:fldCharType="end"/>
        </w:r>
      </w:hyperlink>
    </w:p>
    <w:p w:rsidR="000433CA" w:rsidRDefault="000433CA">
      <w:pPr>
        <w:pStyle w:val="TOC1"/>
        <w:tabs>
          <w:tab w:val="right" w:leader="dot" w:pos="10954"/>
        </w:tabs>
        <w:rPr>
          <w:rFonts w:eastAsiaTheme="minorEastAsia" w:cstheme="minorBidi"/>
          <w:bCs w:val="0"/>
          <w:noProof/>
          <w:sz w:val="22"/>
          <w:szCs w:val="22"/>
          <w:lang w:eastAsia="en-AU"/>
        </w:rPr>
      </w:pPr>
      <w:hyperlink w:anchor="_Toc400711496" w:history="1">
        <w:r w:rsidRPr="00CB5388">
          <w:rPr>
            <w:rStyle w:val="Hyperlink"/>
            <w:noProof/>
          </w:rPr>
          <w:t>Appendix A: National Framework Section Action Plan 2012-2015</w:t>
        </w:r>
        <w:r w:rsidRPr="00CB5388">
          <w:rPr>
            <w:rStyle w:val="Hyperlink"/>
            <w:noProof/>
          </w:rPr>
          <w:noBreakHyphen/>
          <w:t>Status of National Priority Actions</w:t>
        </w:r>
        <w:r>
          <w:rPr>
            <w:noProof/>
            <w:webHidden/>
          </w:rPr>
          <w:tab/>
        </w:r>
        <w:r>
          <w:rPr>
            <w:noProof/>
            <w:webHidden/>
          </w:rPr>
          <w:fldChar w:fldCharType="begin"/>
        </w:r>
        <w:r>
          <w:rPr>
            <w:noProof/>
            <w:webHidden/>
          </w:rPr>
          <w:instrText xml:space="preserve"> PAGEREF _Toc400711496 \h </w:instrText>
        </w:r>
        <w:r>
          <w:rPr>
            <w:noProof/>
            <w:webHidden/>
          </w:rPr>
        </w:r>
        <w:r>
          <w:rPr>
            <w:noProof/>
            <w:webHidden/>
          </w:rPr>
          <w:fldChar w:fldCharType="separate"/>
        </w:r>
        <w:r>
          <w:rPr>
            <w:noProof/>
            <w:webHidden/>
          </w:rPr>
          <w:t>142</w:t>
        </w:r>
        <w:r>
          <w:rPr>
            <w:noProof/>
            <w:webHidden/>
          </w:rPr>
          <w:fldChar w:fldCharType="end"/>
        </w:r>
      </w:hyperlink>
    </w:p>
    <w:p w:rsidR="000433CA" w:rsidRDefault="000433CA">
      <w:pPr>
        <w:pStyle w:val="TOC1"/>
        <w:tabs>
          <w:tab w:val="right" w:leader="dot" w:pos="10954"/>
        </w:tabs>
        <w:rPr>
          <w:rFonts w:eastAsiaTheme="minorEastAsia" w:cstheme="minorBidi"/>
          <w:bCs w:val="0"/>
          <w:noProof/>
          <w:sz w:val="22"/>
          <w:szCs w:val="22"/>
          <w:lang w:eastAsia="en-AU"/>
        </w:rPr>
      </w:pPr>
      <w:hyperlink w:anchor="_Toc400711497" w:history="1">
        <w:r w:rsidRPr="00CB5388">
          <w:rPr>
            <w:rStyle w:val="Hyperlink"/>
            <w:noProof/>
          </w:rPr>
          <w:t>Appendix B: Status of National Framework indicators of change by supporting outcome</w:t>
        </w:r>
        <w:r>
          <w:rPr>
            <w:noProof/>
            <w:webHidden/>
          </w:rPr>
          <w:tab/>
        </w:r>
        <w:r>
          <w:rPr>
            <w:noProof/>
            <w:webHidden/>
          </w:rPr>
          <w:fldChar w:fldCharType="begin"/>
        </w:r>
        <w:r>
          <w:rPr>
            <w:noProof/>
            <w:webHidden/>
          </w:rPr>
          <w:instrText xml:space="preserve"> PAGEREF _Toc400711497 \h </w:instrText>
        </w:r>
        <w:r>
          <w:rPr>
            <w:noProof/>
            <w:webHidden/>
          </w:rPr>
        </w:r>
        <w:r>
          <w:rPr>
            <w:noProof/>
            <w:webHidden/>
          </w:rPr>
          <w:fldChar w:fldCharType="separate"/>
        </w:r>
        <w:r>
          <w:rPr>
            <w:noProof/>
            <w:webHidden/>
          </w:rPr>
          <w:t>154</w:t>
        </w:r>
        <w:r>
          <w:rPr>
            <w:noProof/>
            <w:webHidden/>
          </w:rPr>
          <w:fldChar w:fldCharType="end"/>
        </w:r>
      </w:hyperlink>
    </w:p>
    <w:p w:rsidR="000433CA" w:rsidRDefault="000433CA">
      <w:pPr>
        <w:pStyle w:val="TOC1"/>
        <w:tabs>
          <w:tab w:val="right" w:leader="dot" w:pos="10954"/>
        </w:tabs>
        <w:rPr>
          <w:rFonts w:eastAsiaTheme="minorEastAsia" w:cstheme="minorBidi"/>
          <w:bCs w:val="0"/>
          <w:noProof/>
          <w:sz w:val="22"/>
          <w:szCs w:val="22"/>
          <w:lang w:eastAsia="en-AU"/>
        </w:rPr>
      </w:pPr>
      <w:hyperlink w:anchor="_Toc400711498" w:history="1">
        <w:r w:rsidRPr="00CB5388">
          <w:rPr>
            <w:rStyle w:val="Hyperlink"/>
            <w:noProof/>
          </w:rPr>
          <w:t>Appendix C: National Standards for Out-of-Home Care</w:t>
        </w:r>
        <w:r>
          <w:rPr>
            <w:noProof/>
            <w:webHidden/>
          </w:rPr>
          <w:tab/>
        </w:r>
        <w:r>
          <w:rPr>
            <w:noProof/>
            <w:webHidden/>
          </w:rPr>
          <w:fldChar w:fldCharType="begin"/>
        </w:r>
        <w:r>
          <w:rPr>
            <w:noProof/>
            <w:webHidden/>
          </w:rPr>
          <w:instrText xml:space="preserve"> PAGEREF _Toc400711498 \h </w:instrText>
        </w:r>
        <w:r>
          <w:rPr>
            <w:noProof/>
            <w:webHidden/>
          </w:rPr>
        </w:r>
        <w:r>
          <w:rPr>
            <w:noProof/>
            <w:webHidden/>
          </w:rPr>
          <w:fldChar w:fldCharType="separate"/>
        </w:r>
        <w:r>
          <w:rPr>
            <w:noProof/>
            <w:webHidden/>
          </w:rPr>
          <w:t>156</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499" w:history="1">
        <w:r w:rsidRPr="00CB5388">
          <w:rPr>
            <w:rStyle w:val="Hyperlink"/>
            <w:noProof/>
          </w:rPr>
          <w:t>National Standards for Out-of-Home Care</w:t>
        </w:r>
        <w:r>
          <w:rPr>
            <w:noProof/>
            <w:webHidden/>
          </w:rPr>
          <w:tab/>
        </w:r>
        <w:r>
          <w:rPr>
            <w:noProof/>
            <w:webHidden/>
          </w:rPr>
          <w:fldChar w:fldCharType="begin"/>
        </w:r>
        <w:r>
          <w:rPr>
            <w:noProof/>
            <w:webHidden/>
          </w:rPr>
          <w:instrText xml:space="preserve"> PAGEREF _Toc400711499 \h </w:instrText>
        </w:r>
        <w:r>
          <w:rPr>
            <w:noProof/>
            <w:webHidden/>
          </w:rPr>
        </w:r>
        <w:r>
          <w:rPr>
            <w:noProof/>
            <w:webHidden/>
          </w:rPr>
          <w:fldChar w:fldCharType="separate"/>
        </w:r>
        <w:r>
          <w:rPr>
            <w:noProof/>
            <w:webHidden/>
          </w:rPr>
          <w:t>156</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500" w:history="1">
        <w:r w:rsidRPr="00CB5388">
          <w:rPr>
            <w:rStyle w:val="Hyperlink"/>
            <w:noProof/>
          </w:rPr>
          <w:t>Measuring and reporting on the National Standards</w:t>
        </w:r>
        <w:r>
          <w:rPr>
            <w:noProof/>
            <w:webHidden/>
          </w:rPr>
          <w:tab/>
        </w:r>
        <w:r>
          <w:rPr>
            <w:noProof/>
            <w:webHidden/>
          </w:rPr>
          <w:fldChar w:fldCharType="begin"/>
        </w:r>
        <w:r>
          <w:rPr>
            <w:noProof/>
            <w:webHidden/>
          </w:rPr>
          <w:instrText xml:space="preserve"> PAGEREF _Toc400711500 \h </w:instrText>
        </w:r>
        <w:r>
          <w:rPr>
            <w:noProof/>
            <w:webHidden/>
          </w:rPr>
        </w:r>
        <w:r>
          <w:rPr>
            <w:noProof/>
            <w:webHidden/>
          </w:rPr>
          <w:fldChar w:fldCharType="separate"/>
        </w:r>
        <w:r>
          <w:rPr>
            <w:noProof/>
            <w:webHidden/>
          </w:rPr>
          <w:t>156</w:t>
        </w:r>
        <w:r>
          <w:rPr>
            <w:noProof/>
            <w:webHidden/>
          </w:rPr>
          <w:fldChar w:fldCharType="end"/>
        </w:r>
      </w:hyperlink>
    </w:p>
    <w:p w:rsidR="000433CA" w:rsidRDefault="000433CA">
      <w:pPr>
        <w:pStyle w:val="TOC2"/>
        <w:tabs>
          <w:tab w:val="right" w:leader="dot" w:pos="10954"/>
        </w:tabs>
        <w:rPr>
          <w:rFonts w:eastAsiaTheme="minorEastAsia" w:cstheme="minorBidi"/>
          <w:i/>
          <w:iCs w:val="0"/>
          <w:noProof/>
          <w:sz w:val="22"/>
          <w:szCs w:val="22"/>
          <w:lang w:eastAsia="en-AU"/>
        </w:rPr>
      </w:pPr>
      <w:hyperlink w:anchor="_Toc400711501" w:history="1">
        <w:r w:rsidRPr="00CB5388">
          <w:rPr>
            <w:rStyle w:val="Hyperlink"/>
            <w:noProof/>
          </w:rPr>
          <w:t>2011–12 reporting</w:t>
        </w:r>
        <w:r>
          <w:rPr>
            <w:noProof/>
            <w:webHidden/>
          </w:rPr>
          <w:tab/>
        </w:r>
        <w:r>
          <w:rPr>
            <w:noProof/>
            <w:webHidden/>
          </w:rPr>
          <w:fldChar w:fldCharType="begin"/>
        </w:r>
        <w:r>
          <w:rPr>
            <w:noProof/>
            <w:webHidden/>
          </w:rPr>
          <w:instrText xml:space="preserve"> PAGEREF _Toc400711501 \h </w:instrText>
        </w:r>
        <w:r>
          <w:rPr>
            <w:noProof/>
            <w:webHidden/>
          </w:rPr>
        </w:r>
        <w:r>
          <w:rPr>
            <w:noProof/>
            <w:webHidden/>
          </w:rPr>
          <w:fldChar w:fldCharType="separate"/>
        </w:r>
        <w:r>
          <w:rPr>
            <w:noProof/>
            <w:webHidden/>
          </w:rPr>
          <w:t>158</w:t>
        </w:r>
        <w:r>
          <w:rPr>
            <w:noProof/>
            <w:webHidden/>
          </w:rPr>
          <w:fldChar w:fldCharType="end"/>
        </w:r>
      </w:hyperlink>
    </w:p>
    <w:p w:rsidR="000433CA" w:rsidRDefault="000433CA">
      <w:pPr>
        <w:pStyle w:val="TOC1"/>
        <w:tabs>
          <w:tab w:val="right" w:leader="dot" w:pos="10954"/>
        </w:tabs>
        <w:rPr>
          <w:rFonts w:eastAsiaTheme="minorEastAsia" w:cstheme="minorBidi"/>
          <w:bCs w:val="0"/>
          <w:noProof/>
          <w:sz w:val="22"/>
          <w:szCs w:val="22"/>
          <w:lang w:eastAsia="en-AU"/>
        </w:rPr>
      </w:pPr>
      <w:hyperlink w:anchor="_Toc400711502" w:history="1">
        <w:r w:rsidRPr="00CB5388">
          <w:rPr>
            <w:rStyle w:val="Hyperlink"/>
            <w:noProof/>
          </w:rPr>
          <w:t>List of Shortened Forms</w:t>
        </w:r>
        <w:r>
          <w:rPr>
            <w:noProof/>
            <w:webHidden/>
          </w:rPr>
          <w:tab/>
        </w:r>
        <w:r>
          <w:rPr>
            <w:noProof/>
            <w:webHidden/>
          </w:rPr>
          <w:fldChar w:fldCharType="begin"/>
        </w:r>
        <w:r>
          <w:rPr>
            <w:noProof/>
            <w:webHidden/>
          </w:rPr>
          <w:instrText xml:space="preserve"> PAGEREF _Toc400711502 \h </w:instrText>
        </w:r>
        <w:r>
          <w:rPr>
            <w:noProof/>
            <w:webHidden/>
          </w:rPr>
        </w:r>
        <w:r>
          <w:rPr>
            <w:noProof/>
            <w:webHidden/>
          </w:rPr>
          <w:fldChar w:fldCharType="separate"/>
        </w:r>
        <w:r>
          <w:rPr>
            <w:noProof/>
            <w:webHidden/>
          </w:rPr>
          <w:t>163</w:t>
        </w:r>
        <w:r>
          <w:rPr>
            <w:noProof/>
            <w:webHidden/>
          </w:rPr>
          <w:fldChar w:fldCharType="end"/>
        </w:r>
      </w:hyperlink>
    </w:p>
    <w:p w:rsidR="000433CA" w:rsidRDefault="000433CA">
      <w:pPr>
        <w:pStyle w:val="TOC1"/>
        <w:tabs>
          <w:tab w:val="right" w:leader="dot" w:pos="10954"/>
        </w:tabs>
        <w:rPr>
          <w:rFonts w:eastAsiaTheme="minorEastAsia" w:cstheme="minorBidi"/>
          <w:bCs w:val="0"/>
          <w:noProof/>
          <w:sz w:val="22"/>
          <w:szCs w:val="22"/>
          <w:lang w:eastAsia="en-AU"/>
        </w:rPr>
      </w:pPr>
      <w:hyperlink w:anchor="_Toc400711503" w:history="1">
        <w:r w:rsidRPr="00CB5388">
          <w:rPr>
            <w:rStyle w:val="Hyperlink"/>
            <w:noProof/>
          </w:rPr>
          <w:t>References</w:t>
        </w:r>
        <w:r>
          <w:rPr>
            <w:noProof/>
            <w:webHidden/>
          </w:rPr>
          <w:tab/>
        </w:r>
        <w:r>
          <w:rPr>
            <w:noProof/>
            <w:webHidden/>
          </w:rPr>
          <w:fldChar w:fldCharType="begin"/>
        </w:r>
        <w:r>
          <w:rPr>
            <w:noProof/>
            <w:webHidden/>
          </w:rPr>
          <w:instrText xml:space="preserve"> PAGEREF _Toc400711503 \h </w:instrText>
        </w:r>
        <w:r>
          <w:rPr>
            <w:noProof/>
            <w:webHidden/>
          </w:rPr>
        </w:r>
        <w:r>
          <w:rPr>
            <w:noProof/>
            <w:webHidden/>
          </w:rPr>
          <w:fldChar w:fldCharType="separate"/>
        </w:r>
        <w:r>
          <w:rPr>
            <w:noProof/>
            <w:webHidden/>
          </w:rPr>
          <w:t>168</w:t>
        </w:r>
        <w:r>
          <w:rPr>
            <w:noProof/>
            <w:webHidden/>
          </w:rPr>
          <w:fldChar w:fldCharType="end"/>
        </w:r>
      </w:hyperlink>
    </w:p>
    <w:p w:rsidR="007D58B5" w:rsidRPr="00E3445F" w:rsidRDefault="00F10305" w:rsidP="00303D92">
      <w:r w:rsidRPr="000433CA">
        <w:rPr>
          <w:caps/>
          <w:w w:val="90"/>
          <w:sz w:val="24"/>
          <w:szCs w:val="24"/>
        </w:rPr>
        <w:fldChar w:fldCharType="end"/>
      </w:r>
      <w:r w:rsidR="007D58B5">
        <w:rPr>
          <w:w w:val="90"/>
        </w:rPr>
        <w:br w:type="page"/>
      </w:r>
    </w:p>
    <w:p w:rsidR="0056644F" w:rsidRPr="002C05A6" w:rsidRDefault="0056644F" w:rsidP="00B940CF">
      <w:pPr>
        <w:pStyle w:val="Heading1"/>
        <w:rPr>
          <w:sz w:val="24"/>
          <w:szCs w:val="24"/>
        </w:rPr>
      </w:pPr>
      <w:bookmarkStart w:id="10" w:name="_Toc400007667"/>
      <w:bookmarkStart w:id="11" w:name="_Toc400711454"/>
      <w:r w:rsidRPr="00821556">
        <w:t>List of Figures</w:t>
      </w:r>
      <w:bookmarkEnd w:id="10"/>
      <w:bookmarkEnd w:id="11"/>
    </w:p>
    <w:p w:rsidR="003E3134" w:rsidRDefault="003E3134">
      <w:pPr>
        <w:pStyle w:val="TableofFigures"/>
        <w:tabs>
          <w:tab w:val="right" w:leader="dot" w:pos="10954"/>
        </w:tabs>
        <w:rPr>
          <w:rFonts w:eastAsiaTheme="minorEastAsia" w:cstheme="minorBidi"/>
          <w:iCs w:val="0"/>
          <w:noProof/>
          <w:sz w:val="22"/>
          <w:szCs w:val="22"/>
          <w:lang w:eastAsia="en-AU"/>
        </w:rPr>
      </w:pPr>
      <w:r>
        <w:rPr>
          <w:b/>
          <w:bCs/>
          <w:i/>
          <w:iCs w:val="0"/>
        </w:rPr>
        <w:fldChar w:fldCharType="begin"/>
      </w:r>
      <w:r>
        <w:rPr>
          <w:b/>
          <w:bCs/>
          <w:i/>
          <w:iCs w:val="0"/>
        </w:rPr>
        <w:instrText xml:space="preserve"> TOC \h \z \c "Figure" </w:instrText>
      </w:r>
      <w:r>
        <w:rPr>
          <w:b/>
          <w:bCs/>
          <w:i/>
          <w:iCs w:val="0"/>
        </w:rPr>
        <w:fldChar w:fldCharType="separate"/>
      </w:r>
      <w:hyperlink w:anchor="_Toc400615859" w:history="1">
        <w:r w:rsidRPr="008145B6">
          <w:rPr>
            <w:rStyle w:val="Hyperlink"/>
            <w:noProof/>
          </w:rPr>
          <w:t>Figure 1: A system for protecting children</w:t>
        </w:r>
        <w:r>
          <w:rPr>
            <w:noProof/>
            <w:webHidden/>
          </w:rPr>
          <w:tab/>
        </w:r>
        <w:r>
          <w:rPr>
            <w:noProof/>
            <w:webHidden/>
          </w:rPr>
          <w:fldChar w:fldCharType="begin"/>
        </w:r>
        <w:r>
          <w:rPr>
            <w:noProof/>
            <w:webHidden/>
          </w:rPr>
          <w:instrText xml:space="preserve"> PAGEREF _Toc400615859 \h </w:instrText>
        </w:r>
        <w:r>
          <w:rPr>
            <w:noProof/>
            <w:webHidden/>
          </w:rPr>
        </w:r>
        <w:r>
          <w:rPr>
            <w:noProof/>
            <w:webHidden/>
          </w:rPr>
          <w:fldChar w:fldCharType="separate"/>
        </w:r>
        <w:r w:rsidR="00673CC4">
          <w:rPr>
            <w:noProof/>
            <w:webHidden/>
          </w:rPr>
          <w:t>12</w:t>
        </w:r>
        <w:r>
          <w:rPr>
            <w:noProof/>
            <w:webHidden/>
          </w:rPr>
          <w:fldChar w:fldCharType="end"/>
        </w:r>
      </w:hyperlink>
    </w:p>
    <w:p w:rsidR="003E3134" w:rsidRDefault="00AE4828">
      <w:pPr>
        <w:pStyle w:val="TableofFigures"/>
        <w:tabs>
          <w:tab w:val="right" w:leader="dot" w:pos="10954"/>
        </w:tabs>
        <w:rPr>
          <w:rFonts w:eastAsiaTheme="minorEastAsia" w:cstheme="minorBidi"/>
          <w:iCs w:val="0"/>
          <w:noProof/>
          <w:sz w:val="22"/>
          <w:szCs w:val="22"/>
          <w:lang w:eastAsia="en-AU"/>
        </w:rPr>
      </w:pPr>
      <w:hyperlink w:anchor="_Toc400615860" w:history="1">
        <w:r w:rsidR="003E3134" w:rsidRPr="008145B6">
          <w:rPr>
            <w:rStyle w:val="Hyperlink"/>
            <w:noProof/>
          </w:rPr>
          <w:t>Figure 2: Partnership arrangement</w:t>
        </w:r>
        <w:r w:rsidR="003E3134">
          <w:rPr>
            <w:noProof/>
            <w:webHidden/>
          </w:rPr>
          <w:tab/>
        </w:r>
        <w:r w:rsidR="003E3134">
          <w:rPr>
            <w:noProof/>
            <w:webHidden/>
          </w:rPr>
          <w:fldChar w:fldCharType="begin"/>
        </w:r>
        <w:r w:rsidR="003E3134">
          <w:rPr>
            <w:noProof/>
            <w:webHidden/>
          </w:rPr>
          <w:instrText xml:space="preserve"> PAGEREF _Toc400615860 \h </w:instrText>
        </w:r>
        <w:r w:rsidR="003E3134">
          <w:rPr>
            <w:noProof/>
            <w:webHidden/>
          </w:rPr>
        </w:r>
        <w:r w:rsidR="003E3134">
          <w:rPr>
            <w:noProof/>
            <w:webHidden/>
          </w:rPr>
          <w:fldChar w:fldCharType="separate"/>
        </w:r>
        <w:r w:rsidR="00673CC4">
          <w:rPr>
            <w:noProof/>
            <w:webHidden/>
          </w:rPr>
          <w:t>14</w:t>
        </w:r>
        <w:r w:rsidR="003E3134">
          <w:rPr>
            <w:noProof/>
            <w:webHidden/>
          </w:rPr>
          <w:fldChar w:fldCharType="end"/>
        </w:r>
      </w:hyperlink>
    </w:p>
    <w:p w:rsidR="003E3134" w:rsidRDefault="00AE4828">
      <w:pPr>
        <w:pStyle w:val="TableofFigures"/>
        <w:tabs>
          <w:tab w:val="right" w:leader="dot" w:pos="10954"/>
        </w:tabs>
        <w:rPr>
          <w:rFonts w:eastAsiaTheme="minorEastAsia" w:cstheme="minorBidi"/>
          <w:iCs w:val="0"/>
          <w:noProof/>
          <w:sz w:val="22"/>
          <w:szCs w:val="22"/>
          <w:lang w:eastAsia="en-AU"/>
        </w:rPr>
      </w:pPr>
      <w:hyperlink w:anchor="_Toc400615861" w:history="1">
        <w:r w:rsidR="003E3134" w:rsidRPr="008145B6">
          <w:rPr>
            <w:rStyle w:val="Hyperlink"/>
            <w:noProof/>
          </w:rPr>
          <w:t>Figure 3: Children aged 0–17 years subject to substantiation of a notification, by Indigenous status, 2009–10 to 2011–12</w:t>
        </w:r>
        <w:r w:rsidR="003E3134">
          <w:rPr>
            <w:noProof/>
            <w:webHidden/>
          </w:rPr>
          <w:tab/>
        </w:r>
        <w:r w:rsidR="003E3134">
          <w:rPr>
            <w:noProof/>
            <w:webHidden/>
          </w:rPr>
          <w:fldChar w:fldCharType="begin"/>
        </w:r>
        <w:r w:rsidR="003E3134">
          <w:rPr>
            <w:noProof/>
            <w:webHidden/>
          </w:rPr>
          <w:instrText xml:space="preserve"> PAGEREF _Toc400615861 \h </w:instrText>
        </w:r>
        <w:r w:rsidR="003E3134">
          <w:rPr>
            <w:noProof/>
            <w:webHidden/>
          </w:rPr>
        </w:r>
        <w:r w:rsidR="003E3134">
          <w:rPr>
            <w:noProof/>
            <w:webHidden/>
          </w:rPr>
          <w:fldChar w:fldCharType="separate"/>
        </w:r>
        <w:r w:rsidR="00673CC4">
          <w:rPr>
            <w:noProof/>
            <w:webHidden/>
          </w:rPr>
          <w:t>20</w:t>
        </w:r>
        <w:r w:rsidR="003E3134">
          <w:rPr>
            <w:noProof/>
            <w:webHidden/>
          </w:rPr>
          <w:fldChar w:fldCharType="end"/>
        </w:r>
      </w:hyperlink>
    </w:p>
    <w:p w:rsidR="003E3134" w:rsidRDefault="00AE4828">
      <w:pPr>
        <w:pStyle w:val="TableofFigures"/>
        <w:tabs>
          <w:tab w:val="right" w:leader="dot" w:pos="10954"/>
        </w:tabs>
        <w:rPr>
          <w:rFonts w:eastAsiaTheme="minorEastAsia" w:cstheme="minorBidi"/>
          <w:iCs w:val="0"/>
          <w:noProof/>
          <w:sz w:val="22"/>
          <w:szCs w:val="22"/>
          <w:lang w:eastAsia="en-AU"/>
        </w:rPr>
      </w:pPr>
      <w:hyperlink w:anchor="_Toc400615862" w:history="1">
        <w:r w:rsidR="003E3134" w:rsidRPr="008145B6">
          <w:rPr>
            <w:rStyle w:val="Hyperlink"/>
            <w:noProof/>
          </w:rPr>
          <w:t>Figure 4: Children in out-of-home care at 30 June, by Indigenous status, 2010 to 2012 (number per 1000 children)</w:t>
        </w:r>
        <w:r w:rsidR="003E3134">
          <w:rPr>
            <w:noProof/>
            <w:webHidden/>
          </w:rPr>
          <w:tab/>
        </w:r>
        <w:r w:rsidR="003E3134">
          <w:rPr>
            <w:noProof/>
            <w:webHidden/>
          </w:rPr>
          <w:fldChar w:fldCharType="begin"/>
        </w:r>
        <w:r w:rsidR="003E3134">
          <w:rPr>
            <w:noProof/>
            <w:webHidden/>
          </w:rPr>
          <w:instrText xml:space="preserve"> PAGEREF _Toc400615862 \h </w:instrText>
        </w:r>
        <w:r w:rsidR="003E3134">
          <w:rPr>
            <w:noProof/>
            <w:webHidden/>
          </w:rPr>
        </w:r>
        <w:r w:rsidR="003E3134">
          <w:rPr>
            <w:noProof/>
            <w:webHidden/>
          </w:rPr>
          <w:fldChar w:fldCharType="separate"/>
        </w:r>
        <w:r w:rsidR="00673CC4">
          <w:rPr>
            <w:noProof/>
            <w:webHidden/>
          </w:rPr>
          <w:t>21</w:t>
        </w:r>
        <w:r w:rsidR="003E3134">
          <w:rPr>
            <w:noProof/>
            <w:webHidden/>
          </w:rPr>
          <w:fldChar w:fldCharType="end"/>
        </w:r>
      </w:hyperlink>
    </w:p>
    <w:p w:rsidR="003E3134" w:rsidRDefault="00AE4828">
      <w:pPr>
        <w:pStyle w:val="TableofFigures"/>
        <w:tabs>
          <w:tab w:val="right" w:leader="dot" w:pos="10954"/>
        </w:tabs>
        <w:rPr>
          <w:rFonts w:eastAsiaTheme="minorEastAsia" w:cstheme="minorBidi"/>
          <w:iCs w:val="0"/>
          <w:noProof/>
          <w:sz w:val="22"/>
          <w:szCs w:val="22"/>
          <w:lang w:eastAsia="en-AU"/>
        </w:rPr>
      </w:pPr>
      <w:hyperlink w:anchor="_Toc400615863" w:history="1">
        <w:r w:rsidR="003E3134" w:rsidRPr="008145B6">
          <w:rPr>
            <w:rStyle w:val="Hyperlink"/>
            <w:noProof/>
          </w:rPr>
          <w:t>Figure 5: Children in out-of-home care at 30 June 2010 to 2012 (number per 1000 children)</w:t>
        </w:r>
        <w:r w:rsidR="003E3134">
          <w:rPr>
            <w:noProof/>
            <w:webHidden/>
          </w:rPr>
          <w:tab/>
        </w:r>
        <w:r w:rsidR="003E3134">
          <w:rPr>
            <w:noProof/>
            <w:webHidden/>
          </w:rPr>
          <w:fldChar w:fldCharType="begin"/>
        </w:r>
        <w:r w:rsidR="003E3134">
          <w:rPr>
            <w:noProof/>
            <w:webHidden/>
          </w:rPr>
          <w:instrText xml:space="preserve"> PAGEREF _Toc400615863 \h </w:instrText>
        </w:r>
        <w:r w:rsidR="003E3134">
          <w:rPr>
            <w:noProof/>
            <w:webHidden/>
          </w:rPr>
        </w:r>
        <w:r w:rsidR="003E3134">
          <w:rPr>
            <w:noProof/>
            <w:webHidden/>
          </w:rPr>
          <w:fldChar w:fldCharType="separate"/>
        </w:r>
        <w:r w:rsidR="00673CC4">
          <w:rPr>
            <w:noProof/>
            <w:webHidden/>
          </w:rPr>
          <w:t>140</w:t>
        </w:r>
        <w:r w:rsidR="003E3134">
          <w:rPr>
            <w:noProof/>
            <w:webHidden/>
          </w:rPr>
          <w:fldChar w:fldCharType="end"/>
        </w:r>
      </w:hyperlink>
    </w:p>
    <w:p w:rsidR="004A1E57" w:rsidRDefault="003E3134" w:rsidP="00E3445F">
      <w:r>
        <w:rPr>
          <w:rFonts w:asciiTheme="minorHAnsi" w:hAnsiTheme="minorHAnsi"/>
          <w:b/>
          <w:bCs/>
          <w:i/>
          <w:iCs/>
        </w:rPr>
        <w:fldChar w:fldCharType="end"/>
      </w:r>
    </w:p>
    <w:p w:rsidR="002722EF" w:rsidRPr="00E3445F" w:rsidRDefault="00C90F6B" w:rsidP="00B940CF">
      <w:pPr>
        <w:pStyle w:val="Heading1"/>
        <w:rPr>
          <w:color w:val="auto"/>
          <w:sz w:val="24"/>
          <w:szCs w:val="24"/>
        </w:rPr>
      </w:pPr>
      <w:bookmarkStart w:id="12" w:name="_Toc400007668"/>
      <w:bookmarkStart w:id="13" w:name="_Toc400711455"/>
      <w:r w:rsidRPr="00821556">
        <w:t>List of Tables</w:t>
      </w:r>
      <w:bookmarkEnd w:id="12"/>
      <w:bookmarkEnd w:id="13"/>
    </w:p>
    <w:p w:rsidR="00BB2B4D" w:rsidRPr="003F5327" w:rsidRDefault="00734B2F">
      <w:pPr>
        <w:pStyle w:val="TableofFigures"/>
        <w:tabs>
          <w:tab w:val="right" w:leader="dot" w:pos="10954"/>
        </w:tabs>
        <w:rPr>
          <w:rFonts w:eastAsiaTheme="minorEastAsia" w:cstheme="minorBidi"/>
          <w:iCs w:val="0"/>
          <w:noProof/>
          <w:sz w:val="22"/>
          <w:szCs w:val="22"/>
          <w:lang w:eastAsia="en-AU"/>
        </w:rPr>
      </w:pPr>
      <w:r w:rsidRPr="003F5327">
        <w:fldChar w:fldCharType="begin"/>
      </w:r>
      <w:r w:rsidR="002E40D8" w:rsidRPr="003F5327">
        <w:instrText xml:space="preserve"> TOC \h \z \c "Table" </w:instrText>
      </w:r>
      <w:r w:rsidRPr="003F5327">
        <w:fldChar w:fldCharType="separate"/>
      </w:r>
      <w:hyperlink w:anchor="_Toc400010287" w:history="1">
        <w:r w:rsidR="00BB2B4D" w:rsidRPr="003F5327">
          <w:rPr>
            <w:rStyle w:val="Hyperlink"/>
            <w:noProof/>
          </w:rPr>
          <w:t>Table 1: Supporting Outcomes and corresponding National Priorities</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_Toc400010287 \h </w:instrText>
        </w:r>
        <w:r w:rsidR="00BB2B4D" w:rsidRPr="003F5327">
          <w:rPr>
            <w:noProof/>
            <w:webHidden/>
          </w:rPr>
        </w:r>
        <w:r w:rsidR="00BB2B4D" w:rsidRPr="003F5327">
          <w:rPr>
            <w:noProof/>
            <w:webHidden/>
          </w:rPr>
          <w:fldChar w:fldCharType="separate"/>
        </w:r>
        <w:r w:rsidR="00673CC4" w:rsidRPr="003F5327">
          <w:rPr>
            <w:noProof/>
            <w:webHidden/>
          </w:rPr>
          <w:t>16</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288" w:history="1">
        <w:r w:rsidR="00BB2B4D" w:rsidRPr="003F5327">
          <w:rPr>
            <w:rStyle w:val="Hyperlink"/>
            <w:noProof/>
          </w:rPr>
          <w:t>Table 2: Children aged 0–17 years subject to substantiation of a notification, by Indigenous status, 2009–10 to 2011–12</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_Toc400010288 \h </w:instrText>
        </w:r>
        <w:r w:rsidR="00BB2B4D" w:rsidRPr="003F5327">
          <w:rPr>
            <w:noProof/>
            <w:webHidden/>
          </w:rPr>
        </w:r>
        <w:r w:rsidR="00BB2B4D" w:rsidRPr="003F5327">
          <w:rPr>
            <w:noProof/>
            <w:webHidden/>
          </w:rPr>
          <w:fldChar w:fldCharType="separate"/>
        </w:r>
        <w:r w:rsidR="00673CC4" w:rsidRPr="003F5327">
          <w:rPr>
            <w:noProof/>
            <w:webHidden/>
          </w:rPr>
          <w:t>19</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289" w:history="1">
        <w:r w:rsidR="00BB2B4D" w:rsidRPr="003F5327">
          <w:rPr>
            <w:rStyle w:val="Hyperlink"/>
            <w:noProof/>
          </w:rPr>
          <w:t>Table 3: Children aged 0–17 years in out-of-home care at 30 June, 2010 to 2012</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_Toc400010289 \h </w:instrText>
        </w:r>
        <w:r w:rsidR="00BB2B4D" w:rsidRPr="003F5327">
          <w:rPr>
            <w:noProof/>
            <w:webHidden/>
          </w:rPr>
        </w:r>
        <w:r w:rsidR="00BB2B4D" w:rsidRPr="003F5327">
          <w:rPr>
            <w:noProof/>
            <w:webHidden/>
          </w:rPr>
          <w:fldChar w:fldCharType="separate"/>
        </w:r>
        <w:r w:rsidR="00673CC4" w:rsidRPr="003F5327">
          <w:rPr>
            <w:noProof/>
            <w:webHidden/>
          </w:rPr>
          <w:t>20</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290" w:history="1">
        <w:r w:rsidR="00BB2B4D" w:rsidRPr="003F5327">
          <w:rPr>
            <w:rStyle w:val="Hyperlink"/>
            <w:noProof/>
          </w:rPr>
          <w:t>Table 4: Children in out-of-home care at 30 June, 2010 to 2012</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_Toc400010290 \h </w:instrText>
        </w:r>
        <w:r w:rsidR="00BB2B4D" w:rsidRPr="003F5327">
          <w:rPr>
            <w:noProof/>
            <w:webHidden/>
          </w:rPr>
        </w:r>
        <w:r w:rsidR="00BB2B4D" w:rsidRPr="003F5327">
          <w:rPr>
            <w:noProof/>
            <w:webHidden/>
          </w:rPr>
          <w:fldChar w:fldCharType="separate"/>
        </w:r>
        <w:r w:rsidR="00673CC4" w:rsidRPr="003F5327">
          <w:rPr>
            <w:noProof/>
            <w:webHidden/>
          </w:rPr>
          <w:t>21</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291" w:history="1">
        <w:r w:rsidR="00BB2B4D" w:rsidRPr="003F5327">
          <w:rPr>
            <w:rStyle w:val="Hyperlink"/>
            <w:noProof/>
          </w:rPr>
          <w:t>Table 5: Live births to teenage mothers aged 15–19 years, 2006 to 2010</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_Toc400010291 \h </w:instrText>
        </w:r>
        <w:r w:rsidR="00BB2B4D" w:rsidRPr="003F5327">
          <w:rPr>
            <w:noProof/>
            <w:webHidden/>
          </w:rPr>
        </w:r>
        <w:r w:rsidR="00BB2B4D" w:rsidRPr="003F5327">
          <w:rPr>
            <w:noProof/>
            <w:webHidden/>
          </w:rPr>
          <w:fldChar w:fldCharType="separate"/>
        </w:r>
        <w:r w:rsidR="00673CC4" w:rsidRPr="003F5327">
          <w:rPr>
            <w:noProof/>
            <w:webHidden/>
          </w:rPr>
          <w:t>22</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292" w:history="1">
        <w:r w:rsidR="00BB2B4D" w:rsidRPr="003F5327">
          <w:rPr>
            <w:rStyle w:val="Hyperlink"/>
            <w:noProof/>
          </w:rPr>
          <w:t>Table 6: Live birth babies, by birth weight and Indigenous status, 2010</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_Toc400010292 \h </w:instrText>
        </w:r>
        <w:r w:rsidR="00BB2B4D" w:rsidRPr="003F5327">
          <w:rPr>
            <w:noProof/>
            <w:webHidden/>
          </w:rPr>
        </w:r>
        <w:r w:rsidR="00BB2B4D" w:rsidRPr="003F5327">
          <w:rPr>
            <w:noProof/>
            <w:webHidden/>
          </w:rPr>
          <w:fldChar w:fldCharType="separate"/>
        </w:r>
        <w:r w:rsidR="00673CC4" w:rsidRPr="003F5327">
          <w:rPr>
            <w:noProof/>
            <w:webHidden/>
          </w:rPr>
          <w:t>23</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293" w:history="1">
        <w:r w:rsidR="00BB2B4D" w:rsidRPr="003F5327">
          <w:rPr>
            <w:rStyle w:val="Hyperlink"/>
            <w:noProof/>
          </w:rPr>
          <w:t>Table 7: Assault (homicide deaths) among children aged 0–17 years, 2008–09 to 2009–10</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_Toc400010293 \h </w:instrText>
        </w:r>
        <w:r w:rsidR="00BB2B4D" w:rsidRPr="003F5327">
          <w:rPr>
            <w:noProof/>
            <w:webHidden/>
          </w:rPr>
        </w:r>
        <w:r w:rsidR="00BB2B4D" w:rsidRPr="003F5327">
          <w:rPr>
            <w:noProof/>
            <w:webHidden/>
          </w:rPr>
          <w:fldChar w:fldCharType="separate"/>
        </w:r>
        <w:r w:rsidR="00673CC4" w:rsidRPr="003F5327">
          <w:rPr>
            <w:noProof/>
            <w:webHidden/>
          </w:rPr>
          <w:t>23</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294" w:history="1">
        <w:r w:rsidR="00BB2B4D" w:rsidRPr="003F5327">
          <w:rPr>
            <w:rStyle w:val="Hyperlink"/>
            <w:noProof/>
          </w:rPr>
          <w:t>Table 8: Children developmentally vulnerable on one or more AEDI domains, 2009 and 2012</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_Toc400010294 \h </w:instrText>
        </w:r>
        <w:r w:rsidR="00BB2B4D" w:rsidRPr="003F5327">
          <w:rPr>
            <w:noProof/>
            <w:webHidden/>
          </w:rPr>
        </w:r>
        <w:r w:rsidR="00BB2B4D" w:rsidRPr="003F5327">
          <w:rPr>
            <w:noProof/>
            <w:webHidden/>
          </w:rPr>
          <w:fldChar w:fldCharType="separate"/>
        </w:r>
        <w:r w:rsidR="00673CC4" w:rsidRPr="003F5327">
          <w:rPr>
            <w:noProof/>
            <w:webHidden/>
          </w:rPr>
          <w:t>24</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295" w:history="1">
        <w:r w:rsidR="00BB2B4D" w:rsidRPr="003F5327">
          <w:rPr>
            <w:rStyle w:val="Hyperlink"/>
            <w:noProof/>
          </w:rPr>
          <w:t>Table 9: Contribution of government pensions and allowances to gross household income among families with dependent children aged 0–14 years</w:t>
        </w:r>
        <w:r w:rsidR="00BB2B4D" w:rsidRPr="003F5327">
          <w:rPr>
            <w:rStyle w:val="Hyperlink"/>
            <w:noProof/>
            <w:vertAlign w:val="superscript"/>
          </w:rPr>
          <w:t>(a)</w:t>
        </w:r>
        <w:r w:rsidR="00BB2B4D" w:rsidRPr="003F5327">
          <w:rPr>
            <w:rStyle w:val="Hyperlink"/>
            <w:noProof/>
          </w:rPr>
          <w:t>, 2009–10 and 2011–12</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_Toc400010295 \h </w:instrText>
        </w:r>
        <w:r w:rsidR="00BB2B4D" w:rsidRPr="003F5327">
          <w:rPr>
            <w:noProof/>
            <w:webHidden/>
          </w:rPr>
        </w:r>
        <w:r w:rsidR="00BB2B4D" w:rsidRPr="003F5327">
          <w:rPr>
            <w:noProof/>
            <w:webHidden/>
          </w:rPr>
          <w:fldChar w:fldCharType="separate"/>
        </w:r>
        <w:r w:rsidR="00673CC4" w:rsidRPr="003F5327">
          <w:rPr>
            <w:noProof/>
            <w:webHidden/>
          </w:rPr>
          <w:t>25</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296" w:history="1">
        <w:r w:rsidR="00BB2B4D" w:rsidRPr="003F5327">
          <w:rPr>
            <w:rStyle w:val="Hyperlink"/>
            <w:noProof/>
          </w:rPr>
          <w:t>Table 10: Families with children reporting good, very good or excellent family cohesion, 2010–11</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_Toc400010296 \h </w:instrText>
        </w:r>
        <w:r w:rsidR="00BB2B4D" w:rsidRPr="003F5327">
          <w:rPr>
            <w:noProof/>
            <w:webHidden/>
          </w:rPr>
        </w:r>
        <w:r w:rsidR="00BB2B4D" w:rsidRPr="003F5327">
          <w:rPr>
            <w:noProof/>
            <w:webHidden/>
          </w:rPr>
          <w:fldChar w:fldCharType="separate"/>
        </w:r>
        <w:r w:rsidR="00673CC4" w:rsidRPr="003F5327">
          <w:rPr>
            <w:noProof/>
            <w:webHidden/>
          </w:rPr>
          <w:t>45</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297" w:history="1">
        <w:r w:rsidR="00BB2B4D" w:rsidRPr="003F5327">
          <w:rPr>
            <w:rStyle w:val="Hyperlink"/>
            <w:noProof/>
          </w:rPr>
          <w:t>Table 11: Households with children aged 0–14 where neighbourhood is perceived as safe or very safe, 2010</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_Toc400010297 \h </w:instrText>
        </w:r>
        <w:r w:rsidR="00BB2B4D" w:rsidRPr="003F5327">
          <w:rPr>
            <w:noProof/>
            <w:webHidden/>
          </w:rPr>
        </w:r>
        <w:r w:rsidR="00BB2B4D" w:rsidRPr="003F5327">
          <w:rPr>
            <w:noProof/>
            <w:webHidden/>
          </w:rPr>
          <w:fldChar w:fldCharType="separate"/>
        </w:r>
        <w:r w:rsidR="00673CC4" w:rsidRPr="003F5327">
          <w:rPr>
            <w:noProof/>
            <w:webHidden/>
          </w:rPr>
          <w:t>46</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298" w:history="1">
        <w:r w:rsidR="00BB2B4D" w:rsidRPr="003F5327">
          <w:rPr>
            <w:rStyle w:val="Hyperlink"/>
            <w:noProof/>
          </w:rPr>
          <w:t>Table 12: Children commencing Intensive Family Support services</w:t>
        </w:r>
        <w:r w:rsidR="00BB2B4D" w:rsidRPr="003F5327">
          <w:rPr>
            <w:rStyle w:val="Hyperlink"/>
            <w:noProof/>
            <w:vertAlign w:val="superscript"/>
          </w:rPr>
          <w:t>(a)</w:t>
        </w:r>
        <w:r w:rsidR="00BB2B4D" w:rsidRPr="003F5327">
          <w:rPr>
            <w:rStyle w:val="Hyperlink"/>
            <w:noProof/>
          </w:rPr>
          <w:t>, 2011–12</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_Toc400010298 \h </w:instrText>
        </w:r>
        <w:r w:rsidR="00BB2B4D" w:rsidRPr="003F5327">
          <w:rPr>
            <w:noProof/>
            <w:webHidden/>
          </w:rPr>
        </w:r>
        <w:r w:rsidR="00BB2B4D" w:rsidRPr="003F5327">
          <w:rPr>
            <w:noProof/>
            <w:webHidden/>
          </w:rPr>
          <w:fldChar w:fldCharType="separate"/>
        </w:r>
        <w:r w:rsidR="00673CC4" w:rsidRPr="003F5327">
          <w:rPr>
            <w:noProof/>
            <w:webHidden/>
          </w:rPr>
          <w:t>64</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299" w:history="1">
        <w:r w:rsidR="00BB2B4D" w:rsidRPr="003F5327">
          <w:rPr>
            <w:rStyle w:val="Hyperlink"/>
            <w:noProof/>
          </w:rPr>
          <w:t>Table 13: Children attending a preschool program in the year before full-time schooling, 2012</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_Toc400010299 \h </w:instrText>
        </w:r>
        <w:r w:rsidR="00BB2B4D" w:rsidRPr="003F5327">
          <w:rPr>
            <w:noProof/>
            <w:webHidden/>
          </w:rPr>
        </w:r>
        <w:r w:rsidR="00BB2B4D" w:rsidRPr="003F5327">
          <w:rPr>
            <w:noProof/>
            <w:webHidden/>
          </w:rPr>
          <w:fldChar w:fldCharType="separate"/>
        </w:r>
        <w:r w:rsidR="00673CC4" w:rsidRPr="003F5327">
          <w:rPr>
            <w:noProof/>
            <w:webHidden/>
          </w:rPr>
          <w:t>65</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00" w:history="1">
        <w:r w:rsidR="00BB2B4D" w:rsidRPr="003F5327">
          <w:rPr>
            <w:rStyle w:val="Hyperlink"/>
            <w:noProof/>
          </w:rPr>
          <w:t>Table 14: Women who gave birth, by number of antenatal visits during pregnancy, 2010</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_Toc400010300 \h </w:instrText>
        </w:r>
        <w:r w:rsidR="00BB2B4D" w:rsidRPr="003F5327">
          <w:rPr>
            <w:noProof/>
            <w:webHidden/>
          </w:rPr>
        </w:r>
        <w:r w:rsidR="00BB2B4D" w:rsidRPr="003F5327">
          <w:rPr>
            <w:noProof/>
            <w:webHidden/>
          </w:rPr>
          <w:fldChar w:fldCharType="separate"/>
        </w:r>
        <w:r w:rsidR="00673CC4" w:rsidRPr="003F5327">
          <w:rPr>
            <w:noProof/>
            <w:webHidden/>
          </w:rPr>
          <w:t>66</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01" w:history="1">
        <w:r w:rsidR="00BB2B4D" w:rsidRPr="003F5327">
          <w:rPr>
            <w:rStyle w:val="Hyperlink"/>
            <w:noProof/>
          </w:rPr>
          <w:t>Table 15: Illicit drug use in the past 12 months among parents with children aged 0–14 years, 2007 and 2010</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_Toc400010301 \h </w:instrText>
        </w:r>
        <w:r w:rsidR="00BB2B4D" w:rsidRPr="003F5327">
          <w:rPr>
            <w:noProof/>
            <w:webHidden/>
          </w:rPr>
        </w:r>
        <w:r w:rsidR="00BB2B4D" w:rsidRPr="003F5327">
          <w:rPr>
            <w:noProof/>
            <w:webHidden/>
          </w:rPr>
          <w:fldChar w:fldCharType="separate"/>
        </w:r>
        <w:r w:rsidR="00673CC4" w:rsidRPr="003F5327">
          <w:rPr>
            <w:noProof/>
            <w:webHidden/>
          </w:rPr>
          <w:t>86</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02" w:history="1">
        <w:r w:rsidR="00BB2B4D" w:rsidRPr="003F5327">
          <w:rPr>
            <w:rStyle w:val="Hyperlink"/>
            <w:noProof/>
          </w:rPr>
          <w:t>Table 16: Parents with co-resident children aged 0–14 with a Mental Health Component Summary score of less than 41, by family type, 2006 and 2011</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_Toc400010302 \h </w:instrText>
        </w:r>
        <w:r w:rsidR="00BB2B4D" w:rsidRPr="003F5327">
          <w:rPr>
            <w:noProof/>
            <w:webHidden/>
          </w:rPr>
        </w:r>
        <w:r w:rsidR="00BB2B4D" w:rsidRPr="003F5327">
          <w:rPr>
            <w:noProof/>
            <w:webHidden/>
          </w:rPr>
          <w:fldChar w:fldCharType="separate"/>
        </w:r>
        <w:r w:rsidR="00673CC4" w:rsidRPr="003F5327">
          <w:rPr>
            <w:noProof/>
            <w:webHidden/>
          </w:rPr>
          <w:t>87</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03" w:history="1">
        <w:r w:rsidR="00BB2B4D" w:rsidRPr="003F5327">
          <w:rPr>
            <w:rStyle w:val="Hyperlink"/>
            <w:noProof/>
          </w:rPr>
          <w:t>Table 17: Children aged 0–17 years assisted by specialist homelessness services, 2011–12</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_Toc400010303 \h </w:instrText>
        </w:r>
        <w:r w:rsidR="00BB2B4D" w:rsidRPr="003F5327">
          <w:rPr>
            <w:noProof/>
            <w:webHidden/>
          </w:rPr>
        </w:r>
        <w:r w:rsidR="00BB2B4D" w:rsidRPr="003F5327">
          <w:rPr>
            <w:noProof/>
            <w:webHidden/>
          </w:rPr>
          <w:fldChar w:fldCharType="separate"/>
        </w:r>
        <w:r w:rsidR="00673CC4" w:rsidRPr="003F5327">
          <w:rPr>
            <w:noProof/>
            <w:webHidden/>
          </w:rPr>
          <w:t>88</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04" w:history="1">
        <w:r w:rsidR="00BB2B4D" w:rsidRPr="003F5327">
          <w:rPr>
            <w:rStyle w:val="Hyperlink"/>
            <w:noProof/>
          </w:rPr>
          <w:t>Table 18: Children who were the subject of a resubstantiation within 3 and/or 12 months, 2008–09 to 2010–11</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_Toc400010304 \h </w:instrText>
        </w:r>
        <w:r w:rsidR="00BB2B4D" w:rsidRPr="003F5327">
          <w:rPr>
            <w:noProof/>
            <w:webHidden/>
          </w:rPr>
        </w:r>
        <w:r w:rsidR="00BB2B4D" w:rsidRPr="003F5327">
          <w:rPr>
            <w:noProof/>
            <w:webHidden/>
          </w:rPr>
          <w:fldChar w:fldCharType="separate"/>
        </w:r>
        <w:r w:rsidR="00673CC4" w:rsidRPr="003F5327">
          <w:rPr>
            <w:noProof/>
            <w:webHidden/>
          </w:rPr>
          <w:t>113</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05" w:history="1">
        <w:r w:rsidR="00BB2B4D" w:rsidRPr="003F5327">
          <w:rPr>
            <w:rStyle w:val="Hyperlink"/>
            <w:noProof/>
          </w:rPr>
          <w:t>Table 19: Children exiting out-of-home care in 2011–12</w:t>
        </w:r>
        <w:r w:rsidR="00BB2B4D" w:rsidRPr="003F5327">
          <w:rPr>
            <w:rStyle w:val="Hyperlink"/>
            <w:noProof/>
            <w:vertAlign w:val="superscript"/>
          </w:rPr>
          <w:t>(a)</w:t>
        </w:r>
        <w:r w:rsidR="00BB2B4D" w:rsidRPr="003F5327">
          <w:rPr>
            <w:rStyle w:val="Hyperlink"/>
            <w:noProof/>
          </w:rPr>
          <w:t>, by number of different placements and Indigenous status</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_Toc400010305 \h </w:instrText>
        </w:r>
        <w:r w:rsidR="00BB2B4D" w:rsidRPr="003F5327">
          <w:rPr>
            <w:noProof/>
            <w:webHidden/>
          </w:rPr>
        </w:r>
        <w:r w:rsidR="00BB2B4D" w:rsidRPr="003F5327">
          <w:rPr>
            <w:noProof/>
            <w:webHidden/>
          </w:rPr>
          <w:fldChar w:fldCharType="separate"/>
        </w:r>
        <w:r w:rsidR="00673CC4" w:rsidRPr="003F5327">
          <w:rPr>
            <w:noProof/>
            <w:webHidden/>
          </w:rPr>
          <w:t>113</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06" w:history="1">
        <w:r w:rsidR="00BB2B4D" w:rsidRPr="003F5327">
          <w:rPr>
            <w:rStyle w:val="Hyperlink"/>
            <w:noProof/>
          </w:rPr>
          <w:t>Table 20: Proportion of children on guardianship/custody orders achieving the national reading and numeracy benchmarks, by Indigenous status, 2003 to 2006</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_Toc400010306 \h </w:instrText>
        </w:r>
        <w:r w:rsidR="00BB2B4D" w:rsidRPr="003F5327">
          <w:rPr>
            <w:noProof/>
            <w:webHidden/>
          </w:rPr>
        </w:r>
        <w:r w:rsidR="00BB2B4D" w:rsidRPr="003F5327">
          <w:rPr>
            <w:noProof/>
            <w:webHidden/>
          </w:rPr>
          <w:fldChar w:fldCharType="separate"/>
        </w:r>
        <w:r w:rsidR="00673CC4" w:rsidRPr="003F5327">
          <w:rPr>
            <w:noProof/>
            <w:webHidden/>
          </w:rPr>
          <w:t>115</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07" w:history="1">
        <w:r w:rsidR="00BB2B4D" w:rsidRPr="003F5327">
          <w:rPr>
            <w:rStyle w:val="Hyperlink"/>
            <w:noProof/>
          </w:rPr>
          <w:t>Table 21: Young people aged 15 years and over who have a current and approved leaving care plan, at 30 June 2012</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_Toc400010307 \h </w:instrText>
        </w:r>
        <w:r w:rsidR="00BB2B4D" w:rsidRPr="003F5327">
          <w:rPr>
            <w:noProof/>
            <w:webHidden/>
          </w:rPr>
        </w:r>
        <w:r w:rsidR="00BB2B4D" w:rsidRPr="003F5327">
          <w:rPr>
            <w:noProof/>
            <w:webHidden/>
          </w:rPr>
          <w:fldChar w:fldCharType="separate"/>
        </w:r>
        <w:r w:rsidR="00673CC4" w:rsidRPr="003F5327">
          <w:rPr>
            <w:noProof/>
            <w:webHidden/>
          </w:rPr>
          <w:t>116</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08" w:history="1">
        <w:r w:rsidR="00BB2B4D" w:rsidRPr="003F5327">
          <w:rPr>
            <w:rStyle w:val="Hyperlink"/>
            <w:noProof/>
          </w:rPr>
          <w:t>Table 22: Indigenous children in out-of-home care at 30 June, by Indigenous status and relationship of carer, 2010 to 2012</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_Toc400010308 \h </w:instrText>
        </w:r>
        <w:r w:rsidR="00BB2B4D" w:rsidRPr="003F5327">
          <w:rPr>
            <w:noProof/>
            <w:webHidden/>
          </w:rPr>
        </w:r>
        <w:r w:rsidR="00BB2B4D" w:rsidRPr="003F5327">
          <w:rPr>
            <w:noProof/>
            <w:webHidden/>
          </w:rPr>
          <w:fldChar w:fldCharType="separate"/>
        </w:r>
        <w:r w:rsidR="00673CC4" w:rsidRPr="003F5327">
          <w:rPr>
            <w:noProof/>
            <w:webHidden/>
          </w:rPr>
          <w:t>128</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09" w:history="1">
        <w:r w:rsidR="00BB2B4D" w:rsidRPr="003F5327">
          <w:rPr>
            <w:rStyle w:val="Hyperlink"/>
            <w:noProof/>
          </w:rPr>
          <w:t>Table 23: Children aged 0–17 years who were the subject of a substantiation, by type of abuse or neglect and Indigenous status, 2011–12</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_Toc400010309 \h </w:instrText>
        </w:r>
        <w:r w:rsidR="00BB2B4D" w:rsidRPr="003F5327">
          <w:rPr>
            <w:noProof/>
            <w:webHidden/>
          </w:rPr>
        </w:r>
        <w:r w:rsidR="00BB2B4D" w:rsidRPr="003F5327">
          <w:rPr>
            <w:noProof/>
            <w:webHidden/>
          </w:rPr>
          <w:fldChar w:fldCharType="separate"/>
        </w:r>
        <w:r w:rsidR="00673CC4" w:rsidRPr="003F5327">
          <w:rPr>
            <w:noProof/>
            <w:webHidden/>
          </w:rPr>
          <w:t>139</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10" w:history="1">
        <w:r w:rsidR="00BB2B4D" w:rsidRPr="003F5327">
          <w:rPr>
            <w:rStyle w:val="Hyperlink"/>
            <w:noProof/>
          </w:rPr>
          <w:t>Table 24: Children who were recorded victims of sexual assault, 2010 to 2012</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_Toc400010310 \h </w:instrText>
        </w:r>
        <w:r w:rsidR="00BB2B4D" w:rsidRPr="003F5327">
          <w:rPr>
            <w:noProof/>
            <w:webHidden/>
          </w:rPr>
        </w:r>
        <w:r w:rsidR="00BB2B4D" w:rsidRPr="003F5327">
          <w:rPr>
            <w:noProof/>
            <w:webHidden/>
          </w:rPr>
          <w:fldChar w:fldCharType="separate"/>
        </w:r>
        <w:r w:rsidR="00673CC4" w:rsidRPr="003F5327">
          <w:rPr>
            <w:noProof/>
            <w:webHidden/>
          </w:rPr>
          <w:t>141</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11" w:history="1">
        <w:r w:rsidR="00BB2B4D" w:rsidRPr="003F5327">
          <w:rPr>
            <w:rStyle w:val="Hyperlink"/>
            <w:noProof/>
          </w:rPr>
          <w:t>Table 25: Status of National Framework indicators, by supporting outcome</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_Toc400010311 \h </w:instrText>
        </w:r>
        <w:r w:rsidR="00BB2B4D" w:rsidRPr="003F5327">
          <w:rPr>
            <w:noProof/>
            <w:webHidden/>
          </w:rPr>
        </w:r>
        <w:r w:rsidR="00BB2B4D" w:rsidRPr="003F5327">
          <w:rPr>
            <w:noProof/>
            <w:webHidden/>
          </w:rPr>
          <w:fldChar w:fldCharType="separate"/>
        </w:r>
        <w:r w:rsidR="00673CC4" w:rsidRPr="003F5327">
          <w:rPr>
            <w:noProof/>
            <w:webHidden/>
          </w:rPr>
          <w:t>158</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12" w:history="1">
        <w:r w:rsidR="00BB2B4D" w:rsidRPr="003F5327">
          <w:rPr>
            <w:rStyle w:val="Hyperlink"/>
            <w:noProof/>
          </w:rPr>
          <w:t>Table 26: National Standards for Out-of-Home Care, and related measures</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_Toc400010312 \h </w:instrText>
        </w:r>
        <w:r w:rsidR="00BB2B4D" w:rsidRPr="003F5327">
          <w:rPr>
            <w:noProof/>
            <w:webHidden/>
          </w:rPr>
        </w:r>
        <w:r w:rsidR="00BB2B4D" w:rsidRPr="003F5327">
          <w:rPr>
            <w:noProof/>
            <w:webHidden/>
          </w:rPr>
          <w:fldChar w:fldCharType="separate"/>
        </w:r>
        <w:r w:rsidR="00673CC4" w:rsidRPr="003F5327">
          <w:rPr>
            <w:noProof/>
            <w:webHidden/>
          </w:rPr>
          <w:t>161</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13" w:history="1">
        <w:r w:rsidR="00BB2B4D" w:rsidRPr="003F5327">
          <w:rPr>
            <w:rStyle w:val="Hyperlink"/>
            <w:noProof/>
          </w:rPr>
          <w:t>Table 27: Children exiting out-of-home care in 2011–12</w:t>
        </w:r>
        <w:r w:rsidR="00BB2B4D" w:rsidRPr="003F5327">
          <w:rPr>
            <w:rStyle w:val="Hyperlink"/>
            <w:noProof/>
            <w:vertAlign w:val="superscript"/>
          </w:rPr>
          <w:t>(a)</w:t>
        </w:r>
        <w:r w:rsidR="00BB2B4D" w:rsidRPr="003F5327">
          <w:rPr>
            <w:rStyle w:val="Hyperlink"/>
            <w:noProof/>
          </w:rPr>
          <w:t>, by number of different placements and Indigenous status</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_Toc400010313 \h </w:instrText>
        </w:r>
        <w:r w:rsidR="00BB2B4D" w:rsidRPr="003F5327">
          <w:rPr>
            <w:noProof/>
            <w:webHidden/>
          </w:rPr>
        </w:r>
        <w:r w:rsidR="00BB2B4D" w:rsidRPr="003F5327">
          <w:rPr>
            <w:noProof/>
            <w:webHidden/>
          </w:rPr>
          <w:fldChar w:fldCharType="separate"/>
        </w:r>
        <w:r w:rsidR="00673CC4" w:rsidRPr="003F5327">
          <w:rPr>
            <w:noProof/>
            <w:webHidden/>
          </w:rPr>
          <w:t>162</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14" w:history="1">
        <w:r w:rsidR="00BB2B4D" w:rsidRPr="003F5327">
          <w:rPr>
            <w:rStyle w:val="Hyperlink"/>
            <w:noProof/>
          </w:rPr>
          <w:t>Table 28</w:t>
        </w:r>
        <w:r w:rsidR="00BB2B4D" w:rsidRPr="003F5327">
          <w:rPr>
            <w:rStyle w:val="Hyperlink"/>
            <w:rFonts w:cs="Arial"/>
            <w:noProof/>
          </w:rPr>
          <w:t>: Children in out-of-home care who were the subject of a child protection substantiation and the</w:t>
        </w:r>
        <w:r w:rsidR="00BB2B4D" w:rsidRPr="003F5327">
          <w:rPr>
            <w:rStyle w:val="Hyperlink"/>
            <w:noProof/>
          </w:rPr>
          <w:t xml:space="preserve"> person believed responsible was living in the household, 2011–12</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_Toc400010314 \h </w:instrText>
        </w:r>
        <w:r w:rsidR="00BB2B4D" w:rsidRPr="003F5327">
          <w:rPr>
            <w:noProof/>
            <w:webHidden/>
          </w:rPr>
        </w:r>
        <w:r w:rsidR="00BB2B4D" w:rsidRPr="003F5327">
          <w:rPr>
            <w:noProof/>
            <w:webHidden/>
          </w:rPr>
          <w:fldChar w:fldCharType="separate"/>
        </w:r>
        <w:r w:rsidR="00673CC4" w:rsidRPr="003F5327">
          <w:rPr>
            <w:noProof/>
            <w:webHidden/>
          </w:rPr>
          <w:t>163</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15" w:history="1">
        <w:r w:rsidR="00BB2B4D" w:rsidRPr="003F5327">
          <w:rPr>
            <w:rStyle w:val="Hyperlink"/>
            <w:noProof/>
          </w:rPr>
          <w:t>Table 29: Indigenous children in out-of-home care, by carer type, 2011–12</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_Toc400010315 \h </w:instrText>
        </w:r>
        <w:r w:rsidR="00BB2B4D" w:rsidRPr="003F5327">
          <w:rPr>
            <w:noProof/>
            <w:webHidden/>
          </w:rPr>
        </w:r>
        <w:r w:rsidR="00BB2B4D" w:rsidRPr="003F5327">
          <w:rPr>
            <w:noProof/>
            <w:webHidden/>
          </w:rPr>
          <w:fldChar w:fldCharType="separate"/>
        </w:r>
        <w:r w:rsidR="00673CC4" w:rsidRPr="003F5327">
          <w:rPr>
            <w:noProof/>
            <w:webHidden/>
          </w:rPr>
          <w:t>163</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16" w:history="1">
        <w:r w:rsidR="00BB2B4D" w:rsidRPr="003F5327">
          <w:rPr>
            <w:rStyle w:val="Hyperlink"/>
            <w:noProof/>
          </w:rPr>
          <w:t>Table 30: Children aged 0–17 years who have a current documented and approved case plan, at 30 June 2012</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_Toc400010316 \h </w:instrText>
        </w:r>
        <w:r w:rsidR="00BB2B4D" w:rsidRPr="003F5327">
          <w:rPr>
            <w:noProof/>
            <w:webHidden/>
          </w:rPr>
        </w:r>
        <w:r w:rsidR="00BB2B4D" w:rsidRPr="003F5327">
          <w:rPr>
            <w:noProof/>
            <w:webHidden/>
          </w:rPr>
          <w:fldChar w:fldCharType="separate"/>
        </w:r>
        <w:r w:rsidR="00673CC4" w:rsidRPr="003F5327">
          <w:rPr>
            <w:noProof/>
            <w:webHidden/>
          </w:rPr>
          <w:t>164</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17" w:history="1">
        <w:r w:rsidR="00BB2B4D" w:rsidRPr="003F5327">
          <w:rPr>
            <w:rStyle w:val="Hyperlink"/>
            <w:noProof/>
          </w:rPr>
          <w:t>Table 31: Children in out-of-home care placed with relatives/kin, at 30 June 2012</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_Toc400010317 \h </w:instrText>
        </w:r>
        <w:r w:rsidR="00BB2B4D" w:rsidRPr="003F5327">
          <w:rPr>
            <w:noProof/>
            <w:webHidden/>
          </w:rPr>
        </w:r>
        <w:r w:rsidR="00BB2B4D" w:rsidRPr="003F5327">
          <w:rPr>
            <w:noProof/>
            <w:webHidden/>
          </w:rPr>
          <w:fldChar w:fldCharType="separate"/>
        </w:r>
        <w:r w:rsidR="00673CC4" w:rsidRPr="003F5327">
          <w:rPr>
            <w:noProof/>
            <w:webHidden/>
          </w:rPr>
          <w:t>164</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18" w:history="1">
        <w:r w:rsidR="00BB2B4D" w:rsidRPr="003F5327">
          <w:rPr>
            <w:rStyle w:val="Hyperlink"/>
            <w:noProof/>
          </w:rPr>
          <w:t>Table 32: Foster carer households with a placement at 30 June 2012, by number of foster children placed</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_Toc400010318 \h </w:instrText>
        </w:r>
        <w:r w:rsidR="00BB2B4D" w:rsidRPr="003F5327">
          <w:rPr>
            <w:noProof/>
            <w:webHidden/>
          </w:rPr>
        </w:r>
        <w:r w:rsidR="00BB2B4D" w:rsidRPr="003F5327">
          <w:rPr>
            <w:noProof/>
            <w:webHidden/>
          </w:rPr>
          <w:fldChar w:fldCharType="separate"/>
        </w:r>
        <w:r w:rsidR="00673CC4" w:rsidRPr="003F5327">
          <w:rPr>
            <w:noProof/>
            <w:webHidden/>
          </w:rPr>
          <w:t>165</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19" w:history="1">
        <w:r w:rsidR="00BB2B4D" w:rsidRPr="003F5327">
          <w:rPr>
            <w:rStyle w:val="Hyperlink"/>
            <w:noProof/>
          </w:rPr>
          <w:t>Table 33: Foster carer households with a placement during 2011–12</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_Toc400010319 \h </w:instrText>
        </w:r>
        <w:r w:rsidR="00BB2B4D" w:rsidRPr="003F5327">
          <w:rPr>
            <w:noProof/>
            <w:webHidden/>
          </w:rPr>
        </w:r>
        <w:r w:rsidR="00BB2B4D" w:rsidRPr="003F5327">
          <w:rPr>
            <w:noProof/>
            <w:webHidden/>
          </w:rPr>
          <w:fldChar w:fldCharType="separate"/>
        </w:r>
        <w:r w:rsidR="00673CC4" w:rsidRPr="003F5327">
          <w:rPr>
            <w:noProof/>
            <w:webHidden/>
          </w:rPr>
          <w:t>165</w:t>
        </w:r>
        <w:r w:rsidR="00BB2B4D" w:rsidRPr="003F5327">
          <w:rPr>
            <w:noProof/>
            <w:webHidden/>
          </w:rPr>
          <w:fldChar w:fldCharType="end"/>
        </w:r>
      </w:hyperlink>
    </w:p>
    <w:p w:rsidR="00BB2B4D" w:rsidRPr="003F5327" w:rsidRDefault="00AE4828">
      <w:pPr>
        <w:pStyle w:val="TableofFigures"/>
        <w:tabs>
          <w:tab w:val="right" w:leader="dot" w:pos="10954"/>
        </w:tabs>
        <w:rPr>
          <w:rFonts w:eastAsiaTheme="minorEastAsia" w:cstheme="minorBidi"/>
          <w:iCs w:val="0"/>
          <w:noProof/>
          <w:sz w:val="22"/>
          <w:szCs w:val="22"/>
          <w:lang w:eastAsia="en-AU"/>
        </w:rPr>
      </w:pPr>
      <w:hyperlink w:anchor="_Toc400010320" w:history="1">
        <w:r w:rsidR="00BB2B4D" w:rsidRPr="003F5327">
          <w:rPr>
            <w:rStyle w:val="Hyperlink"/>
            <w:noProof/>
          </w:rPr>
          <w:t>Table 34: Young people aged 15 years and over who have a current and approved leaving care plan, at 30 June 2012</w:t>
        </w:r>
        <w:r w:rsidR="00BB2B4D" w:rsidRPr="003F5327">
          <w:rPr>
            <w:noProof/>
            <w:webHidden/>
          </w:rPr>
          <w:tab/>
        </w:r>
        <w:r w:rsidR="00BB2B4D" w:rsidRPr="003F5327">
          <w:rPr>
            <w:noProof/>
            <w:webHidden/>
          </w:rPr>
          <w:fldChar w:fldCharType="begin"/>
        </w:r>
        <w:r w:rsidR="00BB2B4D" w:rsidRPr="003F5327">
          <w:rPr>
            <w:noProof/>
            <w:webHidden/>
          </w:rPr>
          <w:instrText xml:space="preserve"> PAGEREF _Toc400010320 \h </w:instrText>
        </w:r>
        <w:r w:rsidR="00BB2B4D" w:rsidRPr="003F5327">
          <w:rPr>
            <w:noProof/>
            <w:webHidden/>
          </w:rPr>
        </w:r>
        <w:r w:rsidR="00BB2B4D" w:rsidRPr="003F5327">
          <w:rPr>
            <w:noProof/>
            <w:webHidden/>
          </w:rPr>
          <w:fldChar w:fldCharType="separate"/>
        </w:r>
        <w:r w:rsidR="00673CC4" w:rsidRPr="003F5327">
          <w:rPr>
            <w:noProof/>
            <w:webHidden/>
          </w:rPr>
          <w:t>166</w:t>
        </w:r>
        <w:r w:rsidR="00BB2B4D" w:rsidRPr="003F5327">
          <w:rPr>
            <w:noProof/>
            <w:webHidden/>
          </w:rPr>
          <w:fldChar w:fldCharType="end"/>
        </w:r>
      </w:hyperlink>
    </w:p>
    <w:p w:rsidR="002E40D8" w:rsidRPr="00821556" w:rsidRDefault="00734B2F" w:rsidP="002C05A6">
      <w:pPr>
        <w:spacing w:before="20" w:after="20"/>
      </w:pPr>
      <w:r w:rsidRPr="003F5327">
        <w:fldChar w:fldCharType="end"/>
      </w:r>
    </w:p>
    <w:p w:rsidR="003E5673" w:rsidRPr="00821556" w:rsidRDefault="003E5673" w:rsidP="003E5673">
      <w:pPr>
        <w:sectPr w:rsidR="003E5673" w:rsidRPr="00821556" w:rsidSect="005356A0">
          <w:pgSz w:w="11905" w:h="16837" w:code="9"/>
          <w:pgMar w:top="964" w:right="278" w:bottom="420" w:left="663" w:header="720" w:footer="720" w:gutter="0"/>
          <w:pgNumType w:fmt="lowerRoman"/>
          <w:cols w:space="720"/>
          <w:noEndnote/>
          <w:docGrid w:linePitch="272"/>
        </w:sectPr>
      </w:pPr>
    </w:p>
    <w:p w:rsidR="000B44F3" w:rsidRDefault="000B44F3" w:rsidP="00B940CF">
      <w:pPr>
        <w:pStyle w:val="Heading1"/>
      </w:pPr>
      <w:bookmarkStart w:id="14" w:name="_Toc334515400"/>
      <w:bookmarkStart w:id="15" w:name="_Toc400007669"/>
      <w:bookmarkStart w:id="16" w:name="_Toc400711456"/>
      <w:r w:rsidRPr="00821556">
        <w:t xml:space="preserve">Executive </w:t>
      </w:r>
      <w:bookmarkEnd w:id="14"/>
      <w:r w:rsidR="00A87234">
        <w:t>S</w:t>
      </w:r>
      <w:r w:rsidR="00A87234" w:rsidRPr="00821556">
        <w:t>ummary</w:t>
      </w:r>
      <w:bookmarkEnd w:id="15"/>
      <w:bookmarkEnd w:id="16"/>
    </w:p>
    <w:p w:rsidR="005F34A4" w:rsidRPr="00DC1B19" w:rsidRDefault="00060C54" w:rsidP="00DA4CA7">
      <w:pPr>
        <w:rPr>
          <w:rFonts w:asciiTheme="minorHAnsi" w:hAnsiTheme="minorHAnsi"/>
          <w:sz w:val="24"/>
        </w:rPr>
      </w:pPr>
      <w:r w:rsidRPr="00DC1B19">
        <w:rPr>
          <w:rFonts w:asciiTheme="minorHAnsi" w:hAnsiTheme="minorHAnsi"/>
          <w:sz w:val="24"/>
        </w:rPr>
        <w:t>Protecting Children is Everyone’s Business:</w:t>
      </w:r>
      <w:r w:rsidR="00DC2B11" w:rsidRPr="00DC1B19">
        <w:rPr>
          <w:rFonts w:asciiTheme="minorHAnsi" w:hAnsiTheme="minorHAnsi"/>
          <w:sz w:val="24"/>
        </w:rPr>
        <w:t xml:space="preserve"> National Framework for Protecting Australia’s Children 2009–2020 (the National Framework) </w:t>
      </w:r>
      <w:r w:rsidR="008C58BF" w:rsidRPr="00DC1B19">
        <w:rPr>
          <w:rFonts w:asciiTheme="minorHAnsi" w:hAnsiTheme="minorHAnsi"/>
          <w:sz w:val="24"/>
        </w:rPr>
        <w:t>grew out of a</w:t>
      </w:r>
      <w:r w:rsidR="002324CD" w:rsidRPr="00DC1B19">
        <w:rPr>
          <w:rFonts w:asciiTheme="minorHAnsi" w:hAnsiTheme="minorHAnsi"/>
          <w:sz w:val="24"/>
        </w:rPr>
        <w:t xml:space="preserve"> significant </w:t>
      </w:r>
      <w:r w:rsidR="008C58BF" w:rsidRPr="00DC1B19">
        <w:rPr>
          <w:rFonts w:asciiTheme="minorHAnsi" w:hAnsiTheme="minorHAnsi"/>
          <w:sz w:val="24"/>
        </w:rPr>
        <w:t>and historic agreement</w:t>
      </w:r>
      <w:r w:rsidR="002324CD" w:rsidRPr="00DC1B19">
        <w:rPr>
          <w:rFonts w:asciiTheme="minorHAnsi" w:hAnsiTheme="minorHAnsi"/>
          <w:sz w:val="24"/>
        </w:rPr>
        <w:t xml:space="preserve"> by </w:t>
      </w:r>
      <w:r w:rsidR="00DC2B11" w:rsidRPr="00DC1B19">
        <w:rPr>
          <w:rFonts w:asciiTheme="minorHAnsi" w:hAnsiTheme="minorHAnsi"/>
          <w:sz w:val="24"/>
        </w:rPr>
        <w:t xml:space="preserve">all Australian governments </w:t>
      </w:r>
      <w:r w:rsidR="008C58BF" w:rsidRPr="00DC1B19">
        <w:rPr>
          <w:rFonts w:asciiTheme="minorHAnsi" w:hAnsiTheme="minorHAnsi"/>
          <w:sz w:val="24"/>
        </w:rPr>
        <w:t>and</w:t>
      </w:r>
      <w:r w:rsidR="00DC2B11" w:rsidRPr="00DC1B19">
        <w:rPr>
          <w:rFonts w:asciiTheme="minorHAnsi" w:hAnsiTheme="minorHAnsi"/>
          <w:sz w:val="24"/>
        </w:rPr>
        <w:t xml:space="preserve"> the </w:t>
      </w:r>
      <w:r w:rsidR="00C8305C" w:rsidRPr="00DC1B19">
        <w:rPr>
          <w:rFonts w:asciiTheme="minorHAnsi" w:hAnsiTheme="minorHAnsi"/>
          <w:sz w:val="24"/>
        </w:rPr>
        <w:t>community</w:t>
      </w:r>
      <w:r w:rsidR="00DC2B11" w:rsidRPr="00DC1B19">
        <w:rPr>
          <w:rFonts w:asciiTheme="minorHAnsi" w:hAnsiTheme="minorHAnsi"/>
          <w:sz w:val="24"/>
        </w:rPr>
        <w:t xml:space="preserve"> sector to </w:t>
      </w:r>
      <w:r w:rsidR="008C58BF" w:rsidRPr="00DC1B19">
        <w:rPr>
          <w:rFonts w:asciiTheme="minorHAnsi" w:hAnsiTheme="minorHAnsi"/>
          <w:sz w:val="24"/>
        </w:rPr>
        <w:t xml:space="preserve">work together in a structured way to </w:t>
      </w:r>
      <w:r w:rsidR="00DC2B11" w:rsidRPr="00DC1B19">
        <w:rPr>
          <w:rFonts w:asciiTheme="minorHAnsi" w:hAnsiTheme="minorHAnsi"/>
          <w:sz w:val="24"/>
        </w:rPr>
        <w:t xml:space="preserve">improve the lives and opportunities of children and families and ensure that there is a ‘substantial and sustained reduction in child abuse and neglect in Australia over time’. </w:t>
      </w:r>
    </w:p>
    <w:p w:rsidR="00536C34" w:rsidRPr="00DC1B19" w:rsidRDefault="00536C34" w:rsidP="00DA4CA7">
      <w:pPr>
        <w:rPr>
          <w:rFonts w:asciiTheme="minorHAnsi" w:hAnsiTheme="minorHAnsi"/>
          <w:sz w:val="24"/>
        </w:rPr>
      </w:pPr>
    </w:p>
    <w:p w:rsidR="00DC2B11" w:rsidRDefault="00DC2B11" w:rsidP="00DA4CA7">
      <w:pPr>
        <w:rPr>
          <w:rFonts w:asciiTheme="minorHAnsi" w:hAnsiTheme="minorHAnsi"/>
          <w:sz w:val="24"/>
        </w:rPr>
      </w:pPr>
      <w:r w:rsidRPr="00DC1B19">
        <w:rPr>
          <w:rFonts w:asciiTheme="minorHAnsi" w:hAnsiTheme="minorHAnsi"/>
          <w:sz w:val="24"/>
        </w:rPr>
        <w:t xml:space="preserve">The National Framework emphasises </w:t>
      </w:r>
      <w:r w:rsidR="008C58BF" w:rsidRPr="00DC1B19">
        <w:rPr>
          <w:rFonts w:asciiTheme="minorHAnsi" w:hAnsiTheme="minorHAnsi"/>
          <w:sz w:val="24"/>
        </w:rPr>
        <w:t xml:space="preserve">the importance of </w:t>
      </w:r>
      <w:r w:rsidRPr="00DC1B19">
        <w:rPr>
          <w:rFonts w:asciiTheme="minorHAnsi" w:hAnsiTheme="minorHAnsi"/>
          <w:sz w:val="24"/>
        </w:rPr>
        <w:t>early intervention and prevention</w:t>
      </w:r>
      <w:r w:rsidR="008C58BF" w:rsidRPr="00DC1B19">
        <w:rPr>
          <w:rFonts w:asciiTheme="minorHAnsi" w:hAnsiTheme="minorHAnsi"/>
          <w:sz w:val="24"/>
        </w:rPr>
        <w:t xml:space="preserve"> in achieving the best outcomes for all children, especially children at risk.</w:t>
      </w:r>
      <w:r w:rsidR="00A43557" w:rsidRPr="00DC1B19">
        <w:rPr>
          <w:rFonts w:asciiTheme="minorHAnsi" w:hAnsiTheme="minorHAnsi"/>
          <w:sz w:val="24"/>
        </w:rPr>
        <w:t xml:space="preserve"> </w:t>
      </w:r>
      <w:r w:rsidR="008C58BF" w:rsidRPr="00DC1B19">
        <w:rPr>
          <w:rFonts w:asciiTheme="minorHAnsi" w:hAnsiTheme="minorHAnsi"/>
          <w:sz w:val="24"/>
        </w:rPr>
        <w:t xml:space="preserve">The Framework </w:t>
      </w:r>
      <w:r w:rsidR="000252D4" w:rsidRPr="00DC1B19">
        <w:rPr>
          <w:rFonts w:asciiTheme="minorHAnsi" w:hAnsiTheme="minorHAnsi"/>
          <w:sz w:val="24"/>
        </w:rPr>
        <w:t>stresses</w:t>
      </w:r>
      <w:r w:rsidR="008C58BF" w:rsidRPr="00DC1B19">
        <w:rPr>
          <w:rFonts w:asciiTheme="minorHAnsi" w:hAnsiTheme="minorHAnsi"/>
          <w:sz w:val="24"/>
        </w:rPr>
        <w:t xml:space="preserve"> the need for </w:t>
      </w:r>
      <w:r w:rsidRPr="00DC1B19">
        <w:rPr>
          <w:rFonts w:asciiTheme="minorHAnsi" w:hAnsiTheme="minorHAnsi"/>
          <w:sz w:val="24"/>
        </w:rPr>
        <w:t xml:space="preserve">universal supports </w:t>
      </w:r>
      <w:r w:rsidR="008C58BF" w:rsidRPr="00DC1B19">
        <w:rPr>
          <w:rFonts w:asciiTheme="minorHAnsi" w:hAnsiTheme="minorHAnsi"/>
          <w:sz w:val="24"/>
        </w:rPr>
        <w:t xml:space="preserve">and services and </w:t>
      </w:r>
      <w:r w:rsidR="000252D4" w:rsidRPr="00DC1B19">
        <w:rPr>
          <w:rFonts w:asciiTheme="minorHAnsi" w:hAnsiTheme="minorHAnsi"/>
          <w:sz w:val="24"/>
        </w:rPr>
        <w:t xml:space="preserve">includes strategies for breaking down </w:t>
      </w:r>
      <w:r w:rsidR="008C58BF" w:rsidRPr="00DC1B19">
        <w:rPr>
          <w:rFonts w:asciiTheme="minorHAnsi" w:hAnsiTheme="minorHAnsi"/>
          <w:sz w:val="24"/>
        </w:rPr>
        <w:t>the barriers faced by some families in accessing them. S</w:t>
      </w:r>
      <w:r w:rsidRPr="00DC1B19">
        <w:rPr>
          <w:rFonts w:asciiTheme="minorHAnsi" w:hAnsiTheme="minorHAnsi"/>
          <w:sz w:val="24"/>
        </w:rPr>
        <w:t>econdary prevention interventions</w:t>
      </w:r>
      <w:r w:rsidR="008C58BF" w:rsidRPr="00DC1B19">
        <w:rPr>
          <w:rFonts w:asciiTheme="minorHAnsi" w:hAnsiTheme="minorHAnsi"/>
          <w:sz w:val="24"/>
        </w:rPr>
        <w:t xml:space="preserve"> are also vital</w:t>
      </w:r>
      <w:r w:rsidRPr="00DC1B19">
        <w:rPr>
          <w:rFonts w:asciiTheme="minorHAnsi" w:hAnsiTheme="minorHAnsi"/>
          <w:sz w:val="24"/>
        </w:rPr>
        <w:t xml:space="preserve"> for families </w:t>
      </w:r>
      <w:r w:rsidR="008C58BF" w:rsidRPr="00DC1B19">
        <w:rPr>
          <w:rFonts w:asciiTheme="minorHAnsi" w:hAnsiTheme="minorHAnsi"/>
          <w:sz w:val="24"/>
        </w:rPr>
        <w:t>who</w:t>
      </w:r>
      <w:r w:rsidRPr="00DC1B19">
        <w:rPr>
          <w:rFonts w:asciiTheme="minorHAnsi" w:hAnsiTheme="minorHAnsi"/>
          <w:sz w:val="24"/>
        </w:rPr>
        <w:t xml:space="preserve"> need additional</w:t>
      </w:r>
      <w:r w:rsidR="000252D4" w:rsidRPr="00DC1B19">
        <w:rPr>
          <w:rFonts w:asciiTheme="minorHAnsi" w:hAnsiTheme="minorHAnsi"/>
          <w:sz w:val="24"/>
        </w:rPr>
        <w:t>, targeted</w:t>
      </w:r>
      <w:r w:rsidRPr="00DC1B19">
        <w:rPr>
          <w:rFonts w:asciiTheme="minorHAnsi" w:hAnsiTheme="minorHAnsi"/>
          <w:sz w:val="24"/>
        </w:rPr>
        <w:t xml:space="preserve"> assistance. </w:t>
      </w:r>
    </w:p>
    <w:p w:rsidR="000252D4" w:rsidRPr="00F30930" w:rsidRDefault="000252D4" w:rsidP="007F4E0D">
      <w:pPr>
        <w:pStyle w:val="Heading2"/>
      </w:pPr>
      <w:bookmarkStart w:id="17" w:name="_Toc400007670"/>
      <w:bookmarkStart w:id="18" w:name="_Toc400711457"/>
      <w:r w:rsidRPr="00F30930">
        <w:t xml:space="preserve">Introduction to the </w:t>
      </w:r>
      <w:r w:rsidR="00312A79" w:rsidRPr="00F30930">
        <w:t xml:space="preserve">National </w:t>
      </w:r>
      <w:r w:rsidRPr="00F30930">
        <w:t>Framework and review of progress</w:t>
      </w:r>
      <w:bookmarkEnd w:id="17"/>
      <w:bookmarkEnd w:id="18"/>
    </w:p>
    <w:p w:rsidR="000252D4" w:rsidRPr="00DC1B19" w:rsidRDefault="000252D4" w:rsidP="00DC1B19">
      <w:pPr>
        <w:rPr>
          <w:rFonts w:asciiTheme="minorHAnsi" w:hAnsiTheme="minorHAnsi"/>
          <w:sz w:val="24"/>
        </w:rPr>
      </w:pPr>
      <w:r w:rsidRPr="00DC1B19">
        <w:rPr>
          <w:rFonts w:asciiTheme="minorHAnsi" w:hAnsiTheme="minorHAnsi"/>
          <w:sz w:val="24"/>
        </w:rPr>
        <w:t>Chapter one of this report outlines the history of the National Framework: why and how it beg</w:t>
      </w:r>
      <w:r w:rsidR="006A6D6A" w:rsidRPr="00DC1B19">
        <w:rPr>
          <w:rFonts w:asciiTheme="minorHAnsi" w:hAnsiTheme="minorHAnsi"/>
          <w:sz w:val="24"/>
        </w:rPr>
        <w:t>a</w:t>
      </w:r>
      <w:r w:rsidRPr="00DC1B19">
        <w:rPr>
          <w:rFonts w:asciiTheme="minorHAnsi" w:hAnsiTheme="minorHAnsi"/>
          <w:sz w:val="24"/>
        </w:rPr>
        <w:t xml:space="preserve">n, and how </w:t>
      </w:r>
      <w:r w:rsidR="006A6D6A" w:rsidRPr="00DC1B19">
        <w:rPr>
          <w:rFonts w:asciiTheme="minorHAnsi" w:hAnsiTheme="minorHAnsi"/>
          <w:sz w:val="24"/>
        </w:rPr>
        <w:t>it is</w:t>
      </w:r>
      <w:r w:rsidRPr="00DC1B19">
        <w:rPr>
          <w:rFonts w:asciiTheme="minorHAnsi" w:hAnsiTheme="minorHAnsi"/>
          <w:sz w:val="24"/>
        </w:rPr>
        <w:t xml:space="preserve"> </w:t>
      </w:r>
      <w:r w:rsidR="00312A79" w:rsidRPr="00DC1B19">
        <w:rPr>
          <w:rFonts w:asciiTheme="minorHAnsi" w:hAnsiTheme="minorHAnsi"/>
          <w:sz w:val="24"/>
        </w:rPr>
        <w:t>being implemented</w:t>
      </w:r>
      <w:r w:rsidR="00CD6299" w:rsidRPr="00DC1B19">
        <w:rPr>
          <w:rFonts w:asciiTheme="minorHAnsi" w:hAnsiTheme="minorHAnsi"/>
          <w:sz w:val="24"/>
        </w:rPr>
        <w:t>.</w:t>
      </w:r>
      <w:r w:rsidRPr="00DC1B19">
        <w:rPr>
          <w:rFonts w:asciiTheme="minorHAnsi" w:hAnsiTheme="minorHAnsi"/>
          <w:sz w:val="24"/>
        </w:rPr>
        <w:t xml:space="preserve"> That chapter also includes some of the principal achievements of the </w:t>
      </w:r>
      <w:r w:rsidR="00312A79" w:rsidRPr="00DC1B19">
        <w:rPr>
          <w:rFonts w:asciiTheme="minorHAnsi" w:hAnsiTheme="minorHAnsi"/>
          <w:sz w:val="24"/>
        </w:rPr>
        <w:t xml:space="preserve">National </w:t>
      </w:r>
      <w:r w:rsidRPr="00DC1B19">
        <w:rPr>
          <w:rFonts w:asciiTheme="minorHAnsi" w:hAnsiTheme="minorHAnsi"/>
          <w:sz w:val="24"/>
        </w:rPr>
        <w:t>Framework so far, particularly focusing on the past year, 2012–13.</w:t>
      </w:r>
    </w:p>
    <w:p w:rsidR="00306284" w:rsidRPr="00DC1B19" w:rsidRDefault="00306284" w:rsidP="00DC1B19">
      <w:pPr>
        <w:rPr>
          <w:rFonts w:asciiTheme="minorHAnsi" w:hAnsiTheme="minorHAnsi"/>
          <w:sz w:val="24"/>
        </w:rPr>
      </w:pPr>
    </w:p>
    <w:p w:rsidR="00DC2B11" w:rsidRPr="00DC1B19" w:rsidRDefault="00DC2B11" w:rsidP="00DC1B19">
      <w:pPr>
        <w:rPr>
          <w:rFonts w:asciiTheme="minorHAnsi" w:hAnsiTheme="minorHAnsi"/>
          <w:sz w:val="24"/>
        </w:rPr>
      </w:pPr>
      <w:r w:rsidRPr="00DC1B19">
        <w:rPr>
          <w:rFonts w:asciiTheme="minorHAnsi" w:hAnsiTheme="minorHAnsi"/>
          <w:sz w:val="24"/>
        </w:rPr>
        <w:t>The National Framework, endorsed on 30 April 2009 by the Council of Australian Governments (COAG), is being implemented through a series of three-year action plans. The First Action Plan 2009</w:t>
      </w:r>
      <w:r w:rsidR="008C58BF" w:rsidRPr="00DC1B19">
        <w:rPr>
          <w:rFonts w:asciiTheme="minorHAnsi" w:hAnsiTheme="minorHAnsi"/>
          <w:sz w:val="24"/>
        </w:rPr>
        <w:t>–</w:t>
      </w:r>
      <w:r w:rsidRPr="00DC1B19">
        <w:rPr>
          <w:rFonts w:asciiTheme="minorHAnsi" w:hAnsiTheme="minorHAnsi"/>
          <w:sz w:val="24"/>
        </w:rPr>
        <w:t>12 (First Action Plan) has now been completed</w:t>
      </w:r>
      <w:r w:rsidR="008C58BF" w:rsidRPr="00DC1B19">
        <w:rPr>
          <w:rFonts w:asciiTheme="minorHAnsi" w:hAnsiTheme="minorHAnsi"/>
          <w:sz w:val="24"/>
        </w:rPr>
        <w:t>,</w:t>
      </w:r>
      <w:r w:rsidRPr="00DC1B19">
        <w:rPr>
          <w:rFonts w:asciiTheme="minorHAnsi" w:hAnsiTheme="minorHAnsi"/>
          <w:sz w:val="24"/>
        </w:rPr>
        <w:t xml:space="preserve"> </w:t>
      </w:r>
      <w:r w:rsidR="008C58BF" w:rsidRPr="00DC1B19">
        <w:rPr>
          <w:rFonts w:asciiTheme="minorHAnsi" w:hAnsiTheme="minorHAnsi"/>
          <w:sz w:val="24"/>
        </w:rPr>
        <w:t>marking an important milestone in the life of the Framework. I</w:t>
      </w:r>
      <w:r w:rsidRPr="00DC1B19">
        <w:rPr>
          <w:rFonts w:asciiTheme="minorHAnsi" w:hAnsiTheme="minorHAnsi"/>
          <w:sz w:val="24"/>
        </w:rPr>
        <w:t>mplementation of the Second Action Plan 2012</w:t>
      </w:r>
      <w:r w:rsidR="008C58BF" w:rsidRPr="00DC1B19">
        <w:rPr>
          <w:rFonts w:asciiTheme="minorHAnsi" w:hAnsiTheme="minorHAnsi"/>
          <w:sz w:val="24"/>
        </w:rPr>
        <w:t>–</w:t>
      </w:r>
      <w:r w:rsidRPr="00DC1B19">
        <w:rPr>
          <w:rFonts w:asciiTheme="minorHAnsi" w:hAnsiTheme="minorHAnsi"/>
          <w:sz w:val="24"/>
        </w:rPr>
        <w:t xml:space="preserve">2015 (Second Action Plan) is well underway. </w:t>
      </w:r>
    </w:p>
    <w:p w:rsidR="00306284" w:rsidRPr="00DC1B19" w:rsidRDefault="00306284" w:rsidP="00DC1B19">
      <w:pPr>
        <w:rPr>
          <w:rFonts w:asciiTheme="minorHAnsi" w:hAnsiTheme="minorHAnsi"/>
          <w:sz w:val="24"/>
        </w:rPr>
      </w:pPr>
    </w:p>
    <w:p w:rsidR="009640C5" w:rsidRPr="00DC1B19" w:rsidRDefault="00DC2B11" w:rsidP="00DC1B19">
      <w:pPr>
        <w:rPr>
          <w:rFonts w:asciiTheme="minorHAnsi" w:hAnsiTheme="minorHAnsi"/>
          <w:sz w:val="24"/>
        </w:rPr>
      </w:pPr>
      <w:r w:rsidRPr="00DC1B19">
        <w:rPr>
          <w:rFonts w:asciiTheme="minorHAnsi" w:hAnsiTheme="minorHAnsi"/>
          <w:sz w:val="24"/>
        </w:rPr>
        <w:t>The Chair of the Standing Council on Community and Disability Services (SCCDS) is required to report annually to COAG on progress under the National Framework through the implementation of its three-year action plans. Th</w:t>
      </w:r>
      <w:r w:rsidR="008C58BF" w:rsidRPr="00DC1B19">
        <w:rPr>
          <w:rFonts w:asciiTheme="minorHAnsi" w:hAnsiTheme="minorHAnsi"/>
          <w:sz w:val="24"/>
        </w:rPr>
        <w:t>is</w:t>
      </w:r>
      <w:r w:rsidRPr="00DC1B19">
        <w:rPr>
          <w:rFonts w:asciiTheme="minorHAnsi" w:hAnsiTheme="minorHAnsi"/>
          <w:sz w:val="24"/>
        </w:rPr>
        <w:t xml:space="preserve"> Annual Report for 2012</w:t>
      </w:r>
      <w:r w:rsidR="008C58BF" w:rsidRPr="00DC1B19">
        <w:rPr>
          <w:rFonts w:asciiTheme="minorHAnsi" w:hAnsiTheme="minorHAnsi"/>
          <w:sz w:val="24"/>
        </w:rPr>
        <w:t>–</w:t>
      </w:r>
      <w:r w:rsidRPr="00DC1B19">
        <w:rPr>
          <w:rFonts w:asciiTheme="minorHAnsi" w:hAnsiTheme="minorHAnsi"/>
          <w:sz w:val="24"/>
        </w:rPr>
        <w:t>13 covers activities undertaken in the fourth year of the National Framework</w:t>
      </w:r>
      <w:r w:rsidR="00D2354B" w:rsidRPr="00DC1B19">
        <w:rPr>
          <w:rFonts w:asciiTheme="minorHAnsi" w:hAnsiTheme="minorHAnsi"/>
          <w:sz w:val="24"/>
        </w:rPr>
        <w:t>,</w:t>
      </w:r>
      <w:r w:rsidR="00312A79" w:rsidRPr="00DC1B19">
        <w:rPr>
          <w:rFonts w:asciiTheme="minorHAnsi" w:hAnsiTheme="minorHAnsi"/>
          <w:sz w:val="24"/>
        </w:rPr>
        <w:t xml:space="preserve"> with a</w:t>
      </w:r>
      <w:r w:rsidRPr="00DC1B19">
        <w:rPr>
          <w:rFonts w:asciiTheme="minorHAnsi" w:hAnsiTheme="minorHAnsi"/>
          <w:sz w:val="24"/>
        </w:rPr>
        <w:t xml:space="preserve"> key focus </w:t>
      </w:r>
      <w:r w:rsidR="00312A79" w:rsidRPr="00DC1B19">
        <w:rPr>
          <w:rFonts w:asciiTheme="minorHAnsi" w:hAnsiTheme="minorHAnsi"/>
          <w:sz w:val="24"/>
        </w:rPr>
        <w:t>on</w:t>
      </w:r>
      <w:r w:rsidRPr="00DC1B19">
        <w:rPr>
          <w:rFonts w:asciiTheme="minorHAnsi" w:hAnsiTheme="minorHAnsi"/>
          <w:sz w:val="24"/>
        </w:rPr>
        <w:t xml:space="preserve"> the National Priorities and actions in the first </w:t>
      </w:r>
      <w:r w:rsidR="009640C5" w:rsidRPr="00DC1B19">
        <w:rPr>
          <w:rFonts w:asciiTheme="minorHAnsi" w:hAnsiTheme="minorHAnsi"/>
          <w:sz w:val="24"/>
        </w:rPr>
        <w:t>year of the Second Action Plan.</w:t>
      </w:r>
    </w:p>
    <w:p w:rsidR="00306284" w:rsidRPr="00DC1B19" w:rsidRDefault="00306284" w:rsidP="00DC1B19">
      <w:pPr>
        <w:rPr>
          <w:rFonts w:asciiTheme="minorHAnsi" w:hAnsiTheme="minorHAnsi"/>
          <w:sz w:val="24"/>
        </w:rPr>
      </w:pPr>
    </w:p>
    <w:p w:rsidR="00DC2B11" w:rsidRPr="00DC1B19" w:rsidRDefault="00DC2B11" w:rsidP="00DC1B19">
      <w:pPr>
        <w:rPr>
          <w:rFonts w:asciiTheme="minorHAnsi" w:hAnsiTheme="minorHAnsi"/>
          <w:sz w:val="24"/>
        </w:rPr>
      </w:pPr>
      <w:r w:rsidRPr="00DC1B19">
        <w:rPr>
          <w:rFonts w:asciiTheme="minorHAnsi" w:hAnsiTheme="minorHAnsi"/>
          <w:sz w:val="24"/>
        </w:rPr>
        <w:t>The report tells a story of consolidation</w:t>
      </w:r>
      <w:r w:rsidR="008764E1" w:rsidRPr="00DC1B19">
        <w:rPr>
          <w:rFonts w:asciiTheme="minorHAnsi" w:hAnsiTheme="minorHAnsi"/>
          <w:sz w:val="24"/>
        </w:rPr>
        <w:t xml:space="preserve">: </w:t>
      </w:r>
      <w:r w:rsidRPr="00DC1B19">
        <w:rPr>
          <w:rFonts w:asciiTheme="minorHAnsi" w:hAnsiTheme="minorHAnsi"/>
          <w:sz w:val="24"/>
        </w:rPr>
        <w:t>how National Priorities from the First Action Plan are being embedded and delivered through the Second Action Plan</w:t>
      </w:r>
      <w:r w:rsidR="009640C5" w:rsidRPr="00DC1B19">
        <w:rPr>
          <w:rFonts w:asciiTheme="minorHAnsi" w:hAnsiTheme="minorHAnsi"/>
          <w:sz w:val="24"/>
        </w:rPr>
        <w:t xml:space="preserve"> and</w:t>
      </w:r>
      <w:r w:rsidRPr="00DC1B19">
        <w:rPr>
          <w:rFonts w:asciiTheme="minorHAnsi" w:hAnsiTheme="minorHAnsi"/>
          <w:sz w:val="24"/>
        </w:rPr>
        <w:t xml:space="preserve"> what progress is being made to explore opportunities for joint work in new areas</w:t>
      </w:r>
      <w:r w:rsidR="000252D4" w:rsidRPr="00DC1B19">
        <w:rPr>
          <w:rFonts w:asciiTheme="minorHAnsi" w:hAnsiTheme="minorHAnsi"/>
          <w:sz w:val="24"/>
        </w:rPr>
        <w:t xml:space="preserve"> </w:t>
      </w:r>
      <w:r w:rsidRPr="00DC1B19">
        <w:rPr>
          <w:rFonts w:asciiTheme="minorHAnsi" w:hAnsiTheme="minorHAnsi"/>
          <w:sz w:val="24"/>
        </w:rPr>
        <w:t>to keep Australia’s children safe and well.</w:t>
      </w:r>
      <w:r w:rsidR="007764A2" w:rsidRPr="00DC1B19">
        <w:rPr>
          <w:rFonts w:asciiTheme="minorHAnsi" w:hAnsiTheme="minorHAnsi"/>
          <w:sz w:val="24"/>
        </w:rPr>
        <w:t xml:space="preserve"> </w:t>
      </w:r>
      <w:r w:rsidRPr="00DC1B19">
        <w:rPr>
          <w:rFonts w:asciiTheme="minorHAnsi" w:hAnsiTheme="minorHAnsi"/>
          <w:sz w:val="24"/>
        </w:rPr>
        <w:t xml:space="preserve">These </w:t>
      </w:r>
      <w:r w:rsidR="000252D4" w:rsidRPr="00DC1B19">
        <w:rPr>
          <w:rFonts w:asciiTheme="minorHAnsi" w:hAnsiTheme="minorHAnsi"/>
          <w:sz w:val="24"/>
        </w:rPr>
        <w:t>directions,</w:t>
      </w:r>
      <w:r w:rsidRPr="00DC1B19">
        <w:rPr>
          <w:rFonts w:asciiTheme="minorHAnsi" w:hAnsiTheme="minorHAnsi"/>
          <w:sz w:val="24"/>
        </w:rPr>
        <w:t xml:space="preserve"> ‘embedding, delivering and exploring’</w:t>
      </w:r>
      <w:r w:rsidR="000252D4" w:rsidRPr="00DC1B19">
        <w:rPr>
          <w:rFonts w:asciiTheme="minorHAnsi" w:hAnsiTheme="minorHAnsi"/>
          <w:sz w:val="24"/>
        </w:rPr>
        <w:t>,</w:t>
      </w:r>
      <w:r w:rsidRPr="00DC1B19">
        <w:rPr>
          <w:rFonts w:asciiTheme="minorHAnsi" w:hAnsiTheme="minorHAnsi"/>
          <w:sz w:val="24"/>
        </w:rPr>
        <w:t xml:space="preserve"> form the basis for the structure of the Second Action Plan</w:t>
      </w:r>
      <w:r w:rsidR="000252D4" w:rsidRPr="00DC1B19">
        <w:rPr>
          <w:rFonts w:asciiTheme="minorHAnsi" w:hAnsiTheme="minorHAnsi"/>
          <w:sz w:val="24"/>
        </w:rPr>
        <w:t xml:space="preserve">. </w:t>
      </w:r>
    </w:p>
    <w:p w:rsidR="00306284" w:rsidRPr="00DC1B19" w:rsidRDefault="00306284" w:rsidP="00DC1B19">
      <w:pPr>
        <w:rPr>
          <w:rFonts w:asciiTheme="minorHAnsi" w:hAnsiTheme="minorHAnsi"/>
          <w:sz w:val="24"/>
        </w:rPr>
      </w:pPr>
    </w:p>
    <w:p w:rsidR="002A6407" w:rsidRPr="00DC1B19" w:rsidRDefault="00DC2B11" w:rsidP="00DC1B19">
      <w:pPr>
        <w:rPr>
          <w:rFonts w:asciiTheme="minorHAnsi" w:hAnsiTheme="minorHAnsi"/>
          <w:sz w:val="24"/>
        </w:rPr>
      </w:pPr>
      <w:r w:rsidRPr="00DC1B19">
        <w:rPr>
          <w:rFonts w:asciiTheme="minorHAnsi" w:hAnsiTheme="minorHAnsi"/>
          <w:sz w:val="24"/>
        </w:rPr>
        <w:t xml:space="preserve">The Second Action Plan has an ambitious </w:t>
      </w:r>
      <w:r w:rsidR="00661167" w:rsidRPr="00DC1B19">
        <w:rPr>
          <w:rFonts w:asciiTheme="minorHAnsi" w:hAnsiTheme="minorHAnsi"/>
          <w:sz w:val="24"/>
        </w:rPr>
        <w:t>target,</w:t>
      </w:r>
      <w:r w:rsidRPr="00DC1B19">
        <w:rPr>
          <w:rFonts w:asciiTheme="minorHAnsi" w:hAnsiTheme="minorHAnsi"/>
          <w:sz w:val="24"/>
        </w:rPr>
        <w:t xml:space="preserve"> with 69 actions under 20 </w:t>
      </w:r>
      <w:r w:rsidR="00A03313" w:rsidRPr="00DC1B19">
        <w:rPr>
          <w:rFonts w:asciiTheme="minorHAnsi" w:hAnsiTheme="minorHAnsi"/>
          <w:sz w:val="24"/>
        </w:rPr>
        <w:t>National Priorities</w:t>
      </w:r>
      <w:r w:rsidRPr="00DC1B19">
        <w:rPr>
          <w:rFonts w:asciiTheme="minorHAnsi" w:hAnsiTheme="minorHAnsi"/>
          <w:sz w:val="24"/>
        </w:rPr>
        <w:t xml:space="preserve"> to be implemented by 2015. Significantly, it also recognises that</w:t>
      </w:r>
      <w:r w:rsidR="004A1E57" w:rsidRPr="00DC1B19">
        <w:rPr>
          <w:rFonts w:asciiTheme="minorHAnsi" w:hAnsiTheme="minorHAnsi"/>
          <w:sz w:val="24"/>
        </w:rPr>
        <w:t>, in order</w:t>
      </w:r>
      <w:r w:rsidRPr="00DC1B19">
        <w:rPr>
          <w:rFonts w:asciiTheme="minorHAnsi" w:hAnsiTheme="minorHAnsi"/>
          <w:sz w:val="24"/>
        </w:rPr>
        <w:t xml:space="preserve"> to make protecting children everyone’s business and achieve the National Framework’s target of a substantial and sustained reduction in child abuse and neglect, all levels of government and the broader </w:t>
      </w:r>
      <w:r w:rsidR="00C8305C" w:rsidRPr="00DC1B19">
        <w:rPr>
          <w:rFonts w:asciiTheme="minorHAnsi" w:hAnsiTheme="minorHAnsi"/>
          <w:sz w:val="24"/>
        </w:rPr>
        <w:t>community</w:t>
      </w:r>
      <w:r w:rsidRPr="00DC1B19">
        <w:rPr>
          <w:rFonts w:asciiTheme="minorHAnsi" w:hAnsiTheme="minorHAnsi"/>
          <w:sz w:val="24"/>
        </w:rPr>
        <w:t xml:space="preserve"> sector must </w:t>
      </w:r>
      <w:r w:rsidR="008264DE" w:rsidRPr="00DC1B19">
        <w:rPr>
          <w:rFonts w:asciiTheme="minorHAnsi" w:hAnsiTheme="minorHAnsi"/>
          <w:sz w:val="24"/>
        </w:rPr>
        <w:t xml:space="preserve">continue to </w:t>
      </w:r>
      <w:r w:rsidRPr="00DC1B19">
        <w:rPr>
          <w:rFonts w:asciiTheme="minorHAnsi" w:hAnsiTheme="minorHAnsi"/>
          <w:sz w:val="24"/>
        </w:rPr>
        <w:t>work together to strengthen families, deliver effective early intervention and prevention and collaborate through joining up service delivery across child protection and broader service systems.</w:t>
      </w:r>
    </w:p>
    <w:p w:rsidR="009640C5" w:rsidRPr="00DC1B19" w:rsidRDefault="009640C5" w:rsidP="00DC1B19">
      <w:pPr>
        <w:rPr>
          <w:rFonts w:asciiTheme="minorHAnsi" w:hAnsiTheme="minorHAnsi"/>
          <w:sz w:val="24"/>
        </w:rPr>
      </w:pPr>
    </w:p>
    <w:p w:rsidR="00DC2B11" w:rsidRPr="00DC1B19" w:rsidRDefault="00DC2B11" w:rsidP="00DC1B19">
      <w:pPr>
        <w:rPr>
          <w:rFonts w:asciiTheme="minorHAnsi" w:hAnsiTheme="minorHAnsi"/>
          <w:sz w:val="24"/>
        </w:rPr>
      </w:pPr>
      <w:r w:rsidRPr="00DC1B19">
        <w:rPr>
          <w:rFonts w:asciiTheme="minorHAnsi" w:hAnsiTheme="minorHAnsi"/>
          <w:sz w:val="24"/>
        </w:rPr>
        <w:t>To achieve this, the Second Action Plan includes specific action to ensure linkages with other major reforms and broader social reform agenda that impact on Australia’s children and families, such as:</w:t>
      </w:r>
    </w:p>
    <w:p w:rsidR="00DC2B11" w:rsidRPr="00047C3C" w:rsidRDefault="00DC2B11" w:rsidP="00306284">
      <w:pPr>
        <w:pStyle w:val="ListBullet"/>
        <w:ind w:left="357" w:hanging="357"/>
      </w:pPr>
      <w:r w:rsidRPr="00047C3C">
        <w:t xml:space="preserve">Closing the Gap on Indigenous </w:t>
      </w:r>
      <w:r w:rsidR="008C58BF">
        <w:t>d</w:t>
      </w:r>
      <w:r w:rsidRPr="00047C3C">
        <w:t xml:space="preserve">isadvantage </w:t>
      </w:r>
    </w:p>
    <w:p w:rsidR="00DC2B11" w:rsidRDefault="00DC2B11" w:rsidP="008C58BF">
      <w:pPr>
        <w:pStyle w:val="ListBullet"/>
      </w:pPr>
      <w:r>
        <w:t>Early childhood development strategies and frameworks</w:t>
      </w:r>
    </w:p>
    <w:p w:rsidR="00DC2B11" w:rsidRDefault="00DC2B11" w:rsidP="008C58BF">
      <w:pPr>
        <w:pStyle w:val="ListBullet"/>
      </w:pPr>
      <w:r>
        <w:t xml:space="preserve">Domestic and family </w:t>
      </w:r>
      <w:r w:rsidRPr="00A34BD4">
        <w:t>violence</w:t>
      </w:r>
      <w:r>
        <w:t xml:space="preserve"> initiatives, including the </w:t>
      </w:r>
      <w:r w:rsidRPr="00047C3C">
        <w:rPr>
          <w:i/>
        </w:rPr>
        <w:t xml:space="preserve">National Plan to </w:t>
      </w:r>
      <w:r w:rsidR="00504DB7">
        <w:rPr>
          <w:i/>
        </w:rPr>
        <w:t>Reduce</w:t>
      </w:r>
      <w:r w:rsidRPr="00047C3C">
        <w:rPr>
          <w:i/>
        </w:rPr>
        <w:t xml:space="preserve"> Violence </w:t>
      </w:r>
      <w:r w:rsidR="00504DB7">
        <w:rPr>
          <w:i/>
        </w:rPr>
        <w:t>a</w:t>
      </w:r>
      <w:r w:rsidRPr="00047C3C">
        <w:rPr>
          <w:i/>
        </w:rPr>
        <w:t xml:space="preserve">gainst Women and their </w:t>
      </w:r>
      <w:r w:rsidR="00504DB7">
        <w:rPr>
          <w:i/>
        </w:rPr>
        <w:t>C</w:t>
      </w:r>
      <w:r w:rsidRPr="00047C3C">
        <w:rPr>
          <w:i/>
        </w:rPr>
        <w:t>hildren 2010</w:t>
      </w:r>
      <w:r>
        <w:rPr>
          <w:i/>
        </w:rPr>
        <w:t>–</w:t>
      </w:r>
      <w:r w:rsidRPr="00047C3C">
        <w:rPr>
          <w:i/>
        </w:rPr>
        <w:t>2020</w:t>
      </w:r>
    </w:p>
    <w:p w:rsidR="00DC2B11" w:rsidRDefault="00DC2B11" w:rsidP="008C58BF">
      <w:pPr>
        <w:pStyle w:val="ListBullet"/>
      </w:pPr>
      <w:r>
        <w:t xml:space="preserve">National Partnership Agreements and programs targeting </w:t>
      </w:r>
      <w:r w:rsidRPr="00047C3C">
        <w:t xml:space="preserve">housing and homelessness </w:t>
      </w:r>
    </w:p>
    <w:p w:rsidR="00DC2B11" w:rsidRDefault="00DC2B11" w:rsidP="008C58BF">
      <w:pPr>
        <w:pStyle w:val="ListBullet"/>
      </w:pPr>
      <w:r>
        <w:t>D</w:t>
      </w:r>
      <w:r w:rsidRPr="00047C3C">
        <w:t xml:space="preserve">isability </w:t>
      </w:r>
      <w:r>
        <w:t>reform</w:t>
      </w:r>
      <w:r w:rsidRPr="00047C3C">
        <w:t xml:space="preserve"> </w:t>
      </w:r>
    </w:p>
    <w:p w:rsidR="00DC2B11" w:rsidRDefault="00DC2B11" w:rsidP="008C58BF">
      <w:pPr>
        <w:pStyle w:val="ListBullet"/>
      </w:pPr>
      <w:r>
        <w:t>M</w:t>
      </w:r>
      <w:r w:rsidRPr="00047C3C">
        <w:t>ental health</w:t>
      </w:r>
      <w:r>
        <w:t xml:space="preserve"> strategies and initiatives</w:t>
      </w:r>
      <w:r w:rsidRPr="00047C3C">
        <w:t xml:space="preserve">. </w:t>
      </w:r>
    </w:p>
    <w:p w:rsidR="00DC2B11" w:rsidRPr="00DC1B19" w:rsidRDefault="00DC2B11" w:rsidP="00DC2B11">
      <w:pPr>
        <w:rPr>
          <w:rStyle w:val="StyleBodyCalibri12pt"/>
          <w:highlight w:val="yellow"/>
        </w:rPr>
      </w:pPr>
    </w:p>
    <w:p w:rsidR="000252D4" w:rsidRDefault="008264DE" w:rsidP="000252D4">
      <w:pPr>
        <w:rPr>
          <w:rStyle w:val="StyleBodyCalibri12pt"/>
        </w:rPr>
      </w:pPr>
      <w:r w:rsidRPr="00DC1B19">
        <w:rPr>
          <w:rStyle w:val="StyleBodyCalibri12pt"/>
        </w:rPr>
        <w:t>Opportunities f</w:t>
      </w:r>
      <w:r w:rsidR="000252D4" w:rsidRPr="00DC1B19">
        <w:rPr>
          <w:rStyle w:val="StyleBodyCalibri12pt"/>
        </w:rPr>
        <w:t>or</w:t>
      </w:r>
      <w:r w:rsidRPr="00DC1B19">
        <w:rPr>
          <w:rStyle w:val="StyleBodyCalibri12pt"/>
        </w:rPr>
        <w:t xml:space="preserve"> further</w:t>
      </w:r>
      <w:r w:rsidR="000252D4" w:rsidRPr="00DC1B19">
        <w:rPr>
          <w:rStyle w:val="StyleBodyCalibri12pt"/>
        </w:rPr>
        <w:t xml:space="preserve"> joint work in new areas (including early childhood, education, domestic and family violence, disability, health and mental health) will </w:t>
      </w:r>
      <w:r w:rsidRPr="00DC1B19">
        <w:rPr>
          <w:rStyle w:val="StyleBodyCalibri12pt"/>
        </w:rPr>
        <w:t xml:space="preserve">emerge, </w:t>
      </w:r>
      <w:r w:rsidR="000252D4" w:rsidRPr="00DC1B19">
        <w:rPr>
          <w:rStyle w:val="StyleBodyCalibri12pt"/>
        </w:rPr>
        <w:t>strengthen</w:t>
      </w:r>
      <w:r w:rsidRPr="00DC1B19">
        <w:rPr>
          <w:rStyle w:val="StyleBodyCalibri12pt"/>
        </w:rPr>
        <w:t>ing</w:t>
      </w:r>
      <w:r w:rsidR="000252D4" w:rsidRPr="00DC1B19">
        <w:rPr>
          <w:rStyle w:val="StyleBodyCalibri12pt"/>
        </w:rPr>
        <w:t xml:space="preserve"> the focus of these agenda </w:t>
      </w:r>
      <w:r w:rsidRPr="00DC1B19">
        <w:rPr>
          <w:rStyle w:val="StyleBodyCalibri12pt"/>
        </w:rPr>
        <w:t>on keeping</w:t>
      </w:r>
      <w:r w:rsidR="000252D4" w:rsidRPr="00DC1B19">
        <w:rPr>
          <w:rStyle w:val="StyleBodyCalibri12pt"/>
        </w:rPr>
        <w:t xml:space="preserve"> Australia’s children safe and well.</w:t>
      </w:r>
    </w:p>
    <w:p w:rsidR="0005401F" w:rsidRPr="00F30930" w:rsidRDefault="0005401F" w:rsidP="007F4E0D">
      <w:pPr>
        <w:pStyle w:val="Heading2"/>
      </w:pPr>
      <w:bookmarkStart w:id="19" w:name="_Toc400007671"/>
      <w:bookmarkStart w:id="20" w:name="_Toc400711458"/>
      <w:r w:rsidRPr="00F30930">
        <w:t>Data collection and reporting</w:t>
      </w:r>
      <w:bookmarkEnd w:id="19"/>
      <w:bookmarkEnd w:id="20"/>
    </w:p>
    <w:p w:rsidR="000D1744" w:rsidRPr="00DC1B19" w:rsidRDefault="0005401F" w:rsidP="00DC1B19">
      <w:pPr>
        <w:rPr>
          <w:rFonts w:asciiTheme="minorHAnsi" w:hAnsiTheme="minorHAnsi"/>
          <w:sz w:val="24"/>
        </w:rPr>
      </w:pPr>
      <w:r w:rsidRPr="00DC1B19">
        <w:rPr>
          <w:rFonts w:asciiTheme="minorHAnsi" w:hAnsiTheme="minorHAnsi"/>
          <w:sz w:val="24"/>
        </w:rPr>
        <w:t xml:space="preserve">Chapter two focuses on </w:t>
      </w:r>
      <w:r w:rsidR="008264DE" w:rsidRPr="00DC1B19">
        <w:rPr>
          <w:rFonts w:asciiTheme="minorHAnsi" w:hAnsiTheme="minorHAnsi"/>
          <w:sz w:val="24"/>
        </w:rPr>
        <w:t>measuring</w:t>
      </w:r>
      <w:r w:rsidRPr="00DC1B19">
        <w:rPr>
          <w:rFonts w:asciiTheme="minorHAnsi" w:hAnsiTheme="minorHAnsi"/>
          <w:sz w:val="24"/>
        </w:rPr>
        <w:t xml:space="preserve"> progress under the National Framework. Improving and harmonising data collection continues to be a critical focus. Considerable effort is being invested to ensure that there will be </w:t>
      </w:r>
      <w:r w:rsidR="008264DE" w:rsidRPr="00DC1B19">
        <w:rPr>
          <w:rFonts w:asciiTheme="minorHAnsi" w:hAnsiTheme="minorHAnsi"/>
          <w:sz w:val="24"/>
        </w:rPr>
        <w:t xml:space="preserve">meaningful </w:t>
      </w:r>
      <w:r w:rsidRPr="00DC1B19">
        <w:rPr>
          <w:rFonts w:asciiTheme="minorHAnsi" w:hAnsiTheme="minorHAnsi"/>
          <w:sz w:val="24"/>
        </w:rPr>
        <w:t>evidence to monitor our progress and guide our actions through to 2020.</w:t>
      </w:r>
    </w:p>
    <w:p w:rsidR="000C07C1" w:rsidRPr="00DC1B19" w:rsidRDefault="000C07C1" w:rsidP="00DC1B19">
      <w:pPr>
        <w:rPr>
          <w:rFonts w:asciiTheme="minorHAnsi" w:hAnsiTheme="minorHAnsi"/>
          <w:sz w:val="24"/>
        </w:rPr>
      </w:pPr>
    </w:p>
    <w:p w:rsidR="000D1744" w:rsidRPr="00DC1B19" w:rsidRDefault="0005401F" w:rsidP="00DC1B19">
      <w:pPr>
        <w:rPr>
          <w:rFonts w:asciiTheme="minorHAnsi" w:hAnsiTheme="minorHAnsi"/>
          <w:sz w:val="24"/>
        </w:rPr>
      </w:pPr>
      <w:r w:rsidRPr="00DC1B19">
        <w:rPr>
          <w:rFonts w:asciiTheme="minorHAnsi" w:hAnsiTheme="minorHAnsi"/>
          <w:sz w:val="24"/>
        </w:rPr>
        <w:t>During the first year of the Second Action Plan, 201</w:t>
      </w:r>
      <w:r w:rsidR="007E2710" w:rsidRPr="00DC1B19">
        <w:rPr>
          <w:rFonts w:asciiTheme="minorHAnsi" w:hAnsiTheme="minorHAnsi"/>
          <w:sz w:val="24"/>
        </w:rPr>
        <w:t>2</w:t>
      </w:r>
      <w:r w:rsidRPr="00DC1B19">
        <w:rPr>
          <w:rFonts w:asciiTheme="minorHAnsi" w:hAnsiTheme="minorHAnsi"/>
          <w:sz w:val="24"/>
        </w:rPr>
        <w:t>–1</w:t>
      </w:r>
      <w:r w:rsidR="007E2710" w:rsidRPr="00DC1B19">
        <w:rPr>
          <w:rFonts w:asciiTheme="minorHAnsi" w:hAnsiTheme="minorHAnsi"/>
          <w:sz w:val="24"/>
        </w:rPr>
        <w:t>3</w:t>
      </w:r>
      <w:r w:rsidRPr="00DC1B19">
        <w:rPr>
          <w:rFonts w:asciiTheme="minorHAnsi" w:hAnsiTheme="minorHAnsi"/>
          <w:sz w:val="24"/>
        </w:rPr>
        <w:t>, the Australian Institute of Health and Welfare (AIHW) and states and territories developed and tested the Child Protection National Minimum Data Set (CP NMDS) as a priority. The CP NMDS</w:t>
      </w:r>
      <w:r w:rsidR="006E0358" w:rsidRPr="00DC1B19">
        <w:rPr>
          <w:rFonts w:asciiTheme="minorHAnsi" w:hAnsiTheme="minorHAnsi"/>
          <w:sz w:val="24"/>
        </w:rPr>
        <w:t xml:space="preserve"> will replace the existing aggregate</w:t>
      </w:r>
      <w:r w:rsidR="00B30B95" w:rsidRPr="00DC1B19">
        <w:rPr>
          <w:rFonts w:asciiTheme="minorHAnsi" w:hAnsiTheme="minorHAnsi"/>
          <w:sz w:val="24"/>
        </w:rPr>
        <w:t>-</w:t>
      </w:r>
      <w:r w:rsidR="006E0358" w:rsidRPr="00DC1B19">
        <w:rPr>
          <w:rFonts w:asciiTheme="minorHAnsi" w:hAnsiTheme="minorHAnsi"/>
          <w:sz w:val="24"/>
        </w:rPr>
        <w:t xml:space="preserve"> level collection and</w:t>
      </w:r>
      <w:r w:rsidRPr="00DC1B19">
        <w:rPr>
          <w:rFonts w:asciiTheme="minorHAnsi" w:hAnsiTheme="minorHAnsi"/>
          <w:sz w:val="24"/>
        </w:rPr>
        <w:t xml:space="preserve"> aims to deliver a person-level national database for child protection, covering as many of the statutory child protection processes as possible. It has required considerable investment by states and territories.</w:t>
      </w:r>
    </w:p>
    <w:p w:rsidR="000C07C1" w:rsidRPr="00DC1B19" w:rsidRDefault="000C07C1" w:rsidP="00DC1B19">
      <w:pPr>
        <w:rPr>
          <w:rFonts w:asciiTheme="minorHAnsi" w:hAnsiTheme="minorHAnsi"/>
          <w:sz w:val="24"/>
        </w:rPr>
      </w:pPr>
    </w:p>
    <w:p w:rsidR="00306284" w:rsidRPr="00DC1B19" w:rsidRDefault="0005401F" w:rsidP="00DC1B19">
      <w:pPr>
        <w:rPr>
          <w:rFonts w:asciiTheme="minorHAnsi" w:hAnsiTheme="minorHAnsi"/>
          <w:sz w:val="24"/>
        </w:rPr>
      </w:pPr>
      <w:r w:rsidRPr="00DC1B19">
        <w:rPr>
          <w:rFonts w:asciiTheme="minorHAnsi" w:hAnsiTheme="minorHAnsi"/>
          <w:sz w:val="24"/>
        </w:rPr>
        <w:t>I</w:t>
      </w:r>
      <w:r w:rsidR="00661167" w:rsidRPr="00DC1B19">
        <w:rPr>
          <w:rFonts w:asciiTheme="minorHAnsi" w:hAnsiTheme="minorHAnsi"/>
          <w:sz w:val="24"/>
        </w:rPr>
        <w:t xml:space="preserve">mplemented on 1 July 2013, </w:t>
      </w:r>
      <w:r w:rsidRPr="00DC1B19">
        <w:rPr>
          <w:rFonts w:asciiTheme="minorHAnsi" w:hAnsiTheme="minorHAnsi"/>
          <w:sz w:val="24"/>
        </w:rPr>
        <w:t xml:space="preserve">the CP NMDS </w:t>
      </w:r>
      <w:r w:rsidR="00661167" w:rsidRPr="00DC1B19">
        <w:rPr>
          <w:rFonts w:asciiTheme="minorHAnsi" w:hAnsiTheme="minorHAnsi"/>
          <w:sz w:val="24"/>
        </w:rPr>
        <w:t xml:space="preserve">will provide an annual data source for approximately one-third of the current set of National Framework performance indicators. It also includes data on </w:t>
      </w:r>
      <w:r w:rsidR="00B34112" w:rsidRPr="00DC1B19">
        <w:rPr>
          <w:rFonts w:asciiTheme="minorHAnsi" w:hAnsiTheme="minorHAnsi"/>
          <w:sz w:val="24"/>
        </w:rPr>
        <w:t xml:space="preserve">some </w:t>
      </w:r>
      <w:r w:rsidR="00661167" w:rsidRPr="00DC1B19">
        <w:rPr>
          <w:rFonts w:asciiTheme="minorHAnsi" w:hAnsiTheme="minorHAnsi"/>
          <w:sz w:val="24"/>
        </w:rPr>
        <w:t xml:space="preserve">measures for the National Standards for Out-of-Home Care. </w:t>
      </w:r>
      <w:r w:rsidR="00B34112" w:rsidRPr="00DC1B19">
        <w:rPr>
          <w:rFonts w:asciiTheme="minorHAnsi" w:hAnsiTheme="minorHAnsi"/>
          <w:sz w:val="24"/>
        </w:rPr>
        <w:t>States and territories will provide 2012</w:t>
      </w:r>
      <w:r w:rsidR="00217DDB" w:rsidRPr="00DC1B19">
        <w:rPr>
          <w:rFonts w:asciiTheme="minorHAnsi" w:hAnsiTheme="minorHAnsi"/>
          <w:sz w:val="24"/>
        </w:rPr>
        <w:t>–</w:t>
      </w:r>
      <w:r w:rsidR="00B34112" w:rsidRPr="00DC1B19">
        <w:rPr>
          <w:rFonts w:asciiTheme="minorHAnsi" w:hAnsiTheme="minorHAnsi"/>
          <w:sz w:val="24"/>
        </w:rPr>
        <w:t xml:space="preserve">13 </w:t>
      </w:r>
      <w:r w:rsidR="00661167" w:rsidRPr="00DC1B19">
        <w:rPr>
          <w:rFonts w:asciiTheme="minorHAnsi" w:hAnsiTheme="minorHAnsi"/>
          <w:sz w:val="24"/>
        </w:rPr>
        <w:t>CP NMDS data in late 2013, and a full set of this data will be reported on in 2014.</w:t>
      </w:r>
    </w:p>
    <w:p w:rsidR="00306284" w:rsidRPr="00DC1B19" w:rsidRDefault="00306284" w:rsidP="00DC1B19">
      <w:pPr>
        <w:rPr>
          <w:rFonts w:asciiTheme="minorHAnsi" w:hAnsiTheme="minorHAnsi"/>
          <w:sz w:val="24"/>
        </w:rPr>
      </w:pPr>
    </w:p>
    <w:p w:rsidR="00661167" w:rsidRPr="00DC1B19" w:rsidRDefault="00306284" w:rsidP="00DC1B19">
      <w:pPr>
        <w:rPr>
          <w:rFonts w:asciiTheme="minorHAnsi" w:hAnsiTheme="minorHAnsi"/>
          <w:sz w:val="24"/>
        </w:rPr>
      </w:pPr>
      <w:r w:rsidRPr="00DC1B19">
        <w:rPr>
          <w:rFonts w:asciiTheme="minorHAnsi" w:hAnsiTheme="minorHAnsi"/>
          <w:sz w:val="24"/>
        </w:rPr>
        <w:t>T</w:t>
      </w:r>
      <w:r w:rsidR="00504DB7" w:rsidRPr="00DC1B19">
        <w:rPr>
          <w:rFonts w:asciiTheme="minorHAnsi" w:hAnsiTheme="minorHAnsi"/>
          <w:sz w:val="24"/>
        </w:rPr>
        <w:t>he</w:t>
      </w:r>
      <w:r w:rsidR="005753DC" w:rsidRPr="00DC1B19">
        <w:rPr>
          <w:rFonts w:asciiTheme="minorHAnsi" w:hAnsiTheme="minorHAnsi"/>
          <w:sz w:val="24"/>
        </w:rPr>
        <w:t xml:space="preserve"> </w:t>
      </w:r>
      <w:r w:rsidR="00B34112" w:rsidRPr="00DC1B19">
        <w:rPr>
          <w:rFonts w:asciiTheme="minorHAnsi" w:hAnsiTheme="minorHAnsi"/>
          <w:sz w:val="24"/>
        </w:rPr>
        <w:t xml:space="preserve">Second Action Plan includes an improved set </w:t>
      </w:r>
      <w:r w:rsidR="0050234E" w:rsidRPr="00DC1B19">
        <w:rPr>
          <w:rFonts w:asciiTheme="minorHAnsi" w:hAnsiTheme="minorHAnsi"/>
          <w:sz w:val="24"/>
        </w:rPr>
        <w:t xml:space="preserve">of </w:t>
      </w:r>
      <w:r w:rsidR="00B34112" w:rsidRPr="00DC1B19">
        <w:rPr>
          <w:rFonts w:asciiTheme="minorHAnsi" w:hAnsiTheme="minorHAnsi"/>
          <w:sz w:val="24"/>
        </w:rPr>
        <w:t>National Framework performance indicators</w:t>
      </w:r>
      <w:r w:rsidR="005753DC" w:rsidRPr="00DC1B19">
        <w:rPr>
          <w:rFonts w:asciiTheme="minorHAnsi" w:hAnsiTheme="minorHAnsi"/>
          <w:sz w:val="24"/>
        </w:rPr>
        <w:t>.</w:t>
      </w:r>
      <w:r w:rsidR="00A43557" w:rsidRPr="00DC1B19">
        <w:rPr>
          <w:rFonts w:asciiTheme="minorHAnsi" w:hAnsiTheme="minorHAnsi"/>
          <w:sz w:val="24"/>
        </w:rPr>
        <w:t xml:space="preserve"> </w:t>
      </w:r>
      <w:r w:rsidR="005753DC" w:rsidRPr="00DC1B19">
        <w:rPr>
          <w:rFonts w:asciiTheme="minorHAnsi" w:hAnsiTheme="minorHAnsi"/>
          <w:sz w:val="24"/>
        </w:rPr>
        <w:t xml:space="preserve">This is the first </w:t>
      </w:r>
      <w:r w:rsidR="00650DD6" w:rsidRPr="00DC1B19">
        <w:rPr>
          <w:rFonts w:asciiTheme="minorHAnsi" w:hAnsiTheme="minorHAnsi"/>
          <w:sz w:val="24"/>
        </w:rPr>
        <w:t>time that reporting against these new National Framework indicators has occurred</w:t>
      </w:r>
      <w:r w:rsidR="005753DC" w:rsidRPr="00DC1B19">
        <w:rPr>
          <w:rFonts w:asciiTheme="minorHAnsi" w:hAnsiTheme="minorHAnsi"/>
          <w:sz w:val="24"/>
        </w:rPr>
        <w:t xml:space="preserve">. </w:t>
      </w:r>
      <w:r w:rsidR="00661167" w:rsidRPr="00DC1B19">
        <w:rPr>
          <w:rFonts w:asciiTheme="minorHAnsi" w:hAnsiTheme="minorHAnsi"/>
          <w:sz w:val="24"/>
        </w:rPr>
        <w:t xml:space="preserve">These indicators will ensure that progress can be monitored over the life of the National Framework and reported at a national level. </w:t>
      </w:r>
    </w:p>
    <w:p w:rsidR="000C07C1" w:rsidRPr="00DC1B19" w:rsidRDefault="000C07C1" w:rsidP="00DC1B19">
      <w:pPr>
        <w:rPr>
          <w:rFonts w:asciiTheme="minorHAnsi" w:hAnsiTheme="minorHAnsi"/>
          <w:sz w:val="24"/>
        </w:rPr>
      </w:pPr>
    </w:p>
    <w:p w:rsidR="00661167" w:rsidRPr="00DC1B19" w:rsidRDefault="00661167" w:rsidP="00DC1B19">
      <w:pPr>
        <w:rPr>
          <w:rFonts w:asciiTheme="minorHAnsi" w:hAnsiTheme="minorHAnsi"/>
          <w:sz w:val="24"/>
        </w:rPr>
      </w:pPr>
      <w:r w:rsidRPr="00DC1B19">
        <w:rPr>
          <w:rFonts w:asciiTheme="minorHAnsi" w:hAnsiTheme="minorHAnsi"/>
          <w:sz w:val="24"/>
        </w:rPr>
        <w:t>There are 31 performance indicators under the Second Action Plan, building and improving on the initial set of indicators identified in the National Framework (AIHW 2013d). Some of these indicators are reportable</w:t>
      </w:r>
      <w:r w:rsidR="00A866CC" w:rsidRPr="00DC1B19">
        <w:rPr>
          <w:rFonts w:asciiTheme="minorHAnsi" w:hAnsiTheme="minorHAnsi"/>
          <w:sz w:val="24"/>
        </w:rPr>
        <w:t>,</w:t>
      </w:r>
      <w:r w:rsidRPr="00DC1B19">
        <w:rPr>
          <w:rFonts w:asciiTheme="minorHAnsi" w:hAnsiTheme="minorHAnsi"/>
          <w:sz w:val="24"/>
        </w:rPr>
        <w:t xml:space="preserve"> and the data sources for some are still being developed. A table showing the status of these indicators against each supporting outcome is at Appendix </w:t>
      </w:r>
      <w:r w:rsidR="00063158" w:rsidRPr="00DC1B19">
        <w:rPr>
          <w:rFonts w:asciiTheme="minorHAnsi" w:hAnsiTheme="minorHAnsi"/>
          <w:sz w:val="24"/>
        </w:rPr>
        <w:t>B</w:t>
      </w:r>
      <w:r w:rsidRPr="00DC1B19">
        <w:rPr>
          <w:rFonts w:asciiTheme="minorHAnsi" w:hAnsiTheme="minorHAnsi"/>
          <w:sz w:val="24"/>
        </w:rPr>
        <w:t>.</w:t>
      </w:r>
    </w:p>
    <w:p w:rsidR="00B34112" w:rsidRPr="00DC1B19" w:rsidRDefault="00B34112" w:rsidP="00DC1B19">
      <w:pPr>
        <w:rPr>
          <w:rFonts w:asciiTheme="minorHAnsi" w:hAnsiTheme="minorHAnsi"/>
          <w:sz w:val="24"/>
        </w:rPr>
      </w:pPr>
    </w:p>
    <w:p w:rsidR="00661167" w:rsidRPr="00DC1B19" w:rsidRDefault="00B34112" w:rsidP="00DC1B19">
      <w:pPr>
        <w:rPr>
          <w:rFonts w:asciiTheme="minorHAnsi" w:hAnsiTheme="minorHAnsi"/>
          <w:sz w:val="24"/>
        </w:rPr>
      </w:pPr>
      <w:r w:rsidRPr="00DC1B19">
        <w:rPr>
          <w:rFonts w:asciiTheme="minorHAnsi" w:hAnsiTheme="minorHAnsi"/>
          <w:sz w:val="24"/>
        </w:rPr>
        <w:t>Due to the implementation timeframes of the CP NMDS, national 2012–13 child protection data were not available for inclusion in this report. In view of this,</w:t>
      </w:r>
      <w:r w:rsidR="00A43557" w:rsidRPr="00DC1B19">
        <w:rPr>
          <w:rFonts w:asciiTheme="minorHAnsi" w:hAnsiTheme="minorHAnsi"/>
          <w:sz w:val="24"/>
        </w:rPr>
        <w:t xml:space="preserve"> </w:t>
      </w:r>
      <w:r w:rsidRPr="00DC1B19">
        <w:rPr>
          <w:rFonts w:asciiTheme="minorHAnsi" w:hAnsiTheme="minorHAnsi"/>
          <w:sz w:val="24"/>
        </w:rPr>
        <w:t>2011–12 child protection data are used in this report to measure progress against the relevant National Framework performance indicators (around one-third of the total set of indicators).</w:t>
      </w:r>
    </w:p>
    <w:p w:rsidR="00B34112" w:rsidRPr="00DC1B19" w:rsidRDefault="00B34112" w:rsidP="00DC1B19">
      <w:pPr>
        <w:rPr>
          <w:rFonts w:asciiTheme="minorHAnsi" w:hAnsiTheme="minorHAnsi"/>
          <w:sz w:val="24"/>
        </w:rPr>
      </w:pPr>
    </w:p>
    <w:p w:rsidR="000D1744" w:rsidRDefault="00661167" w:rsidP="00DC1B19">
      <w:pPr>
        <w:rPr>
          <w:rFonts w:asciiTheme="minorHAnsi" w:hAnsiTheme="minorHAnsi"/>
          <w:sz w:val="24"/>
        </w:rPr>
      </w:pPr>
      <w:r w:rsidRPr="00DC1B19">
        <w:rPr>
          <w:rFonts w:asciiTheme="minorHAnsi" w:hAnsiTheme="minorHAnsi"/>
          <w:sz w:val="24"/>
        </w:rPr>
        <w:t xml:space="preserve">Eight of the </w:t>
      </w:r>
      <w:r w:rsidR="003747C5" w:rsidRPr="00DC1B19">
        <w:rPr>
          <w:rFonts w:asciiTheme="minorHAnsi" w:hAnsiTheme="minorHAnsi"/>
          <w:sz w:val="24"/>
        </w:rPr>
        <w:t xml:space="preserve">31 </w:t>
      </w:r>
      <w:r w:rsidRPr="00DC1B19">
        <w:rPr>
          <w:rFonts w:asciiTheme="minorHAnsi" w:hAnsiTheme="minorHAnsi"/>
          <w:sz w:val="24"/>
        </w:rPr>
        <w:t xml:space="preserve">indicators measure progress against the high-level outcome of the National Framework, that Australia’s children and young people are safe and well; Chapter </w:t>
      </w:r>
      <w:r w:rsidR="00A866CC" w:rsidRPr="00DC1B19">
        <w:rPr>
          <w:rFonts w:asciiTheme="minorHAnsi" w:hAnsiTheme="minorHAnsi"/>
          <w:sz w:val="24"/>
        </w:rPr>
        <w:t>two</w:t>
      </w:r>
      <w:r w:rsidRPr="00DC1B19">
        <w:rPr>
          <w:rFonts w:asciiTheme="minorHAnsi" w:hAnsiTheme="minorHAnsi"/>
          <w:sz w:val="24"/>
        </w:rPr>
        <w:t xml:space="preserve"> det</w:t>
      </w:r>
      <w:r w:rsidR="000D1744" w:rsidRPr="00DC1B19">
        <w:rPr>
          <w:rFonts w:asciiTheme="minorHAnsi" w:hAnsiTheme="minorHAnsi"/>
          <w:sz w:val="24"/>
        </w:rPr>
        <w:t xml:space="preserve">ails the findings against them. </w:t>
      </w:r>
      <w:r w:rsidRPr="00DC1B19">
        <w:rPr>
          <w:rFonts w:asciiTheme="minorHAnsi" w:hAnsiTheme="minorHAnsi"/>
          <w:sz w:val="24"/>
        </w:rPr>
        <w:t xml:space="preserve">The remaining indicators measure the National Framework’s </w:t>
      </w:r>
      <w:r w:rsidR="00504DB7" w:rsidRPr="00DC1B19">
        <w:rPr>
          <w:rFonts w:asciiTheme="minorHAnsi" w:hAnsiTheme="minorHAnsi"/>
          <w:sz w:val="24"/>
        </w:rPr>
        <w:t>Supporting Outcomes</w:t>
      </w:r>
      <w:r w:rsidRPr="00DC1B19">
        <w:rPr>
          <w:rFonts w:asciiTheme="minorHAnsi" w:hAnsiTheme="minorHAnsi"/>
          <w:sz w:val="24"/>
        </w:rPr>
        <w:t xml:space="preserve">. </w:t>
      </w:r>
    </w:p>
    <w:p w:rsidR="000D1744" w:rsidRPr="00F30930" w:rsidRDefault="000D1744" w:rsidP="007F4E0D">
      <w:pPr>
        <w:pStyle w:val="Heading2"/>
      </w:pPr>
      <w:bookmarkStart w:id="21" w:name="_Toc400007672"/>
      <w:bookmarkStart w:id="22" w:name="_Toc400711459"/>
      <w:r w:rsidRPr="00F30930">
        <w:t>Tracking progress against the Supporting Outcomes</w:t>
      </w:r>
      <w:bookmarkEnd w:id="21"/>
      <w:bookmarkEnd w:id="22"/>
    </w:p>
    <w:p w:rsidR="00DC2B11" w:rsidRPr="00DC1B19" w:rsidRDefault="00661167" w:rsidP="00DC1B19">
      <w:pPr>
        <w:rPr>
          <w:rFonts w:asciiTheme="minorHAnsi" w:hAnsiTheme="minorHAnsi"/>
          <w:sz w:val="24"/>
        </w:rPr>
      </w:pPr>
      <w:proofErr w:type="gramStart"/>
      <w:r w:rsidRPr="00DC1B19">
        <w:rPr>
          <w:rFonts w:asciiTheme="minorHAnsi" w:hAnsiTheme="minorHAnsi"/>
          <w:sz w:val="24"/>
        </w:rPr>
        <w:t>Chapters</w:t>
      </w:r>
      <w:proofErr w:type="gramEnd"/>
      <w:r w:rsidRPr="00DC1B19">
        <w:rPr>
          <w:rFonts w:asciiTheme="minorHAnsi" w:hAnsiTheme="minorHAnsi"/>
          <w:sz w:val="24"/>
        </w:rPr>
        <w:t xml:space="preserve"> three to eight detail the work being done across all jurisdictions and in the community sector to progress priorities </w:t>
      </w:r>
      <w:r w:rsidR="00DC2B11" w:rsidRPr="00DC1B19">
        <w:rPr>
          <w:rFonts w:asciiTheme="minorHAnsi" w:hAnsiTheme="minorHAnsi"/>
          <w:sz w:val="24"/>
        </w:rPr>
        <w:t>under the National Framework and Second Action Plan</w:t>
      </w:r>
      <w:r w:rsidR="00FC323D" w:rsidRPr="00DC1B19">
        <w:rPr>
          <w:rFonts w:asciiTheme="minorHAnsi" w:hAnsiTheme="minorHAnsi"/>
          <w:sz w:val="24"/>
        </w:rPr>
        <w:t>. This work is mapped</w:t>
      </w:r>
      <w:r w:rsidR="00DC2B11" w:rsidRPr="00DC1B19">
        <w:rPr>
          <w:rFonts w:asciiTheme="minorHAnsi" w:hAnsiTheme="minorHAnsi"/>
          <w:sz w:val="24"/>
        </w:rPr>
        <w:t xml:space="preserve"> against each of the National Framework’s six Supporting Outcomes, namely:</w:t>
      </w:r>
    </w:p>
    <w:p w:rsidR="00DC2B11" w:rsidRPr="00D8161C" w:rsidRDefault="00DC2B11" w:rsidP="00F66D8A">
      <w:pPr>
        <w:pStyle w:val="ListBullet"/>
        <w:numPr>
          <w:ilvl w:val="0"/>
          <w:numId w:val="7"/>
        </w:numPr>
      </w:pPr>
      <w:r w:rsidRPr="00D8161C">
        <w:t>Children live in safe and supportive families and communities</w:t>
      </w:r>
      <w:r>
        <w:t>.</w:t>
      </w:r>
    </w:p>
    <w:p w:rsidR="00DC2B11" w:rsidRPr="00D8161C" w:rsidRDefault="00DC2B11" w:rsidP="00F66D8A">
      <w:pPr>
        <w:pStyle w:val="ListBullet"/>
        <w:numPr>
          <w:ilvl w:val="0"/>
          <w:numId w:val="7"/>
        </w:numPr>
      </w:pPr>
      <w:r w:rsidRPr="00D8161C">
        <w:t>Children and families access adequate support to promote safety and intervene early</w:t>
      </w:r>
      <w:r>
        <w:t>.</w:t>
      </w:r>
    </w:p>
    <w:p w:rsidR="00DC2B11" w:rsidRPr="00D8161C" w:rsidRDefault="00DC2B11" w:rsidP="00F66D8A">
      <w:pPr>
        <w:pStyle w:val="ListBullet"/>
        <w:numPr>
          <w:ilvl w:val="0"/>
          <w:numId w:val="7"/>
        </w:numPr>
      </w:pPr>
      <w:r w:rsidRPr="00D8161C">
        <w:t>Risk factors for child abuse and neglect are addressed</w:t>
      </w:r>
      <w:r>
        <w:t>.</w:t>
      </w:r>
    </w:p>
    <w:p w:rsidR="00DC2B11" w:rsidRPr="00D8161C" w:rsidRDefault="00DC2B11" w:rsidP="00F66D8A">
      <w:pPr>
        <w:pStyle w:val="ListBullet"/>
        <w:numPr>
          <w:ilvl w:val="0"/>
          <w:numId w:val="7"/>
        </w:numPr>
      </w:pPr>
      <w:r w:rsidRPr="00D8161C">
        <w:t>Children who have been abused or neglected receive the support and care they need for their safety and wellbeing</w:t>
      </w:r>
      <w:r>
        <w:t>.</w:t>
      </w:r>
    </w:p>
    <w:p w:rsidR="00DC2B11" w:rsidRPr="00D8161C" w:rsidRDefault="00DC2B11" w:rsidP="00F66D8A">
      <w:pPr>
        <w:pStyle w:val="ListBullet"/>
        <w:numPr>
          <w:ilvl w:val="0"/>
          <w:numId w:val="7"/>
        </w:numPr>
      </w:pPr>
      <w:r w:rsidRPr="00D8161C">
        <w:t>Indigenous children are supported and safe in their families and communities</w:t>
      </w:r>
      <w:r>
        <w:t>.</w:t>
      </w:r>
    </w:p>
    <w:p w:rsidR="00DC2B11" w:rsidRPr="00D8161C" w:rsidRDefault="00DC2B11" w:rsidP="00F66D8A">
      <w:pPr>
        <w:pStyle w:val="ListBullet"/>
        <w:numPr>
          <w:ilvl w:val="0"/>
          <w:numId w:val="7"/>
        </w:numPr>
      </w:pPr>
      <w:r w:rsidRPr="00D8161C">
        <w:t>Child sexual abuse and exploitation is prevented and survivors receive adequate support</w:t>
      </w:r>
      <w:r>
        <w:t>.</w:t>
      </w:r>
    </w:p>
    <w:p w:rsidR="00DC2B11" w:rsidRPr="00DC1B19" w:rsidRDefault="00DC2B11" w:rsidP="00DC2B11">
      <w:pPr>
        <w:rPr>
          <w:rStyle w:val="StyleBodyCalibri12pt"/>
        </w:rPr>
      </w:pPr>
    </w:p>
    <w:p w:rsidR="00DC2B11" w:rsidRPr="00DC1B19" w:rsidRDefault="00DC2B11" w:rsidP="00DC2B11">
      <w:pPr>
        <w:rPr>
          <w:rStyle w:val="StyleBodyCalibri12pt"/>
        </w:rPr>
      </w:pPr>
      <w:r w:rsidRPr="00DC1B19">
        <w:rPr>
          <w:rStyle w:val="StyleBodyCalibri12pt"/>
        </w:rPr>
        <w:t xml:space="preserve">Appendix A summarises progress against each of the National Priorities in the Second Action Plan and provides short status updates against each of the individual actions. </w:t>
      </w:r>
    </w:p>
    <w:p w:rsidR="00DC2B11" w:rsidRPr="0089674C" w:rsidRDefault="00DC2B11" w:rsidP="007F4E0D">
      <w:pPr>
        <w:pStyle w:val="Heading2"/>
      </w:pPr>
      <w:bookmarkStart w:id="23" w:name="_Toc400007673"/>
      <w:bookmarkStart w:id="24" w:name="_Toc400711460"/>
      <w:r w:rsidRPr="0089674C">
        <w:t>Highlighting our achievements</w:t>
      </w:r>
      <w:bookmarkEnd w:id="23"/>
      <w:bookmarkEnd w:id="24"/>
    </w:p>
    <w:p w:rsidR="00DC2B11" w:rsidRPr="00DC1B19" w:rsidRDefault="000C07C1" w:rsidP="00536C34">
      <w:pPr>
        <w:rPr>
          <w:rStyle w:val="StyleBodyCalibri12pt"/>
        </w:rPr>
      </w:pPr>
      <w:r w:rsidRPr="00DC1B19">
        <w:rPr>
          <w:rStyle w:val="StyleBodyCalibri12pt"/>
        </w:rPr>
        <w:t xml:space="preserve">The first year of the Second Action Plan </w:t>
      </w:r>
      <w:r w:rsidR="00E54D0A" w:rsidRPr="00DC1B19">
        <w:rPr>
          <w:rStyle w:val="StyleBodyCalibri12pt"/>
        </w:rPr>
        <w:t xml:space="preserve">has been </w:t>
      </w:r>
      <w:r w:rsidR="00E374DD" w:rsidRPr="00DC1B19">
        <w:rPr>
          <w:rStyle w:val="StyleBodyCalibri12pt"/>
        </w:rPr>
        <w:t xml:space="preserve">a </w:t>
      </w:r>
      <w:r w:rsidR="00E54D0A" w:rsidRPr="00DC1B19">
        <w:rPr>
          <w:rStyle w:val="StyleBodyCalibri12pt"/>
        </w:rPr>
        <w:t>productive</w:t>
      </w:r>
      <w:r w:rsidR="00E374DD" w:rsidRPr="00DC1B19">
        <w:rPr>
          <w:rStyle w:val="StyleBodyCalibri12pt"/>
        </w:rPr>
        <w:t xml:space="preserve"> one</w:t>
      </w:r>
      <w:r w:rsidR="00E54D0A" w:rsidRPr="00DC1B19">
        <w:rPr>
          <w:rStyle w:val="StyleBodyCalibri12pt"/>
        </w:rPr>
        <w:t>. Key a</w:t>
      </w:r>
      <w:r w:rsidR="00DC2B11" w:rsidRPr="00DC1B19">
        <w:rPr>
          <w:rStyle w:val="StyleBodyCalibri12pt"/>
        </w:rPr>
        <w:t xml:space="preserve">chievements include the development of stronger partnerships with </w:t>
      </w:r>
      <w:r w:rsidR="00080781" w:rsidRPr="00DC1B19">
        <w:rPr>
          <w:rStyle w:val="StyleBodyCalibri12pt"/>
        </w:rPr>
        <w:t xml:space="preserve">community </w:t>
      </w:r>
      <w:r w:rsidR="00DC2B11" w:rsidRPr="00DC1B19">
        <w:rPr>
          <w:rStyle w:val="StyleBodyCalibri12pt"/>
        </w:rPr>
        <w:t xml:space="preserve">sectors such as domestic and family violence and mental health, as well as continued work to improve outcomes for Indigenous children. The partnership approach under the National Framework has continued to strengthen through close collaboration with the </w:t>
      </w:r>
      <w:r w:rsidR="00080781" w:rsidRPr="00DC1B19">
        <w:rPr>
          <w:rStyle w:val="StyleBodyCalibri12pt"/>
        </w:rPr>
        <w:t>community and academic</w:t>
      </w:r>
      <w:r w:rsidR="00DC2B11" w:rsidRPr="00DC1B19">
        <w:rPr>
          <w:rStyle w:val="StyleBodyCalibri12pt"/>
        </w:rPr>
        <w:t xml:space="preserve"> sector</w:t>
      </w:r>
      <w:r w:rsidR="00080781" w:rsidRPr="00DC1B19">
        <w:rPr>
          <w:rStyle w:val="StyleBodyCalibri12pt"/>
        </w:rPr>
        <w:t>s</w:t>
      </w:r>
      <w:r w:rsidR="0024717A" w:rsidRPr="00DC1B19">
        <w:rPr>
          <w:rStyle w:val="StyleBodyCalibri12pt"/>
        </w:rPr>
        <w:t>,</w:t>
      </w:r>
      <w:r w:rsidR="00DC2B11" w:rsidRPr="00DC1B19">
        <w:rPr>
          <w:rStyle w:val="StyleBodyCalibri12pt"/>
        </w:rPr>
        <w:t xml:space="preserve"> through the </w:t>
      </w:r>
      <w:r w:rsidR="00A60EB2" w:rsidRPr="00DC1B19">
        <w:rPr>
          <w:rStyle w:val="StyleBodyCalibri12pt"/>
        </w:rPr>
        <w:t xml:space="preserve">Coalition of Organisations Committed to the Safety and Wellbeing of Australia’s Children (the </w:t>
      </w:r>
      <w:r w:rsidR="00E54D0A" w:rsidRPr="00DC1B19">
        <w:rPr>
          <w:rStyle w:val="StyleBodyCalibri12pt"/>
        </w:rPr>
        <w:t>Coalition</w:t>
      </w:r>
      <w:r w:rsidR="00A60EB2" w:rsidRPr="00DC1B19">
        <w:rPr>
          <w:rStyle w:val="StyleBodyCalibri12pt"/>
        </w:rPr>
        <w:t>)</w:t>
      </w:r>
      <w:r w:rsidR="0024717A" w:rsidRPr="00DC1B19">
        <w:rPr>
          <w:rStyle w:val="StyleBodyCalibri12pt"/>
        </w:rPr>
        <w:t>,</w:t>
      </w:r>
      <w:r w:rsidR="00E54D0A" w:rsidRPr="00DC1B19">
        <w:rPr>
          <w:rStyle w:val="StyleBodyCalibri12pt"/>
        </w:rPr>
        <w:t xml:space="preserve"> </w:t>
      </w:r>
      <w:r w:rsidR="00DC2B11" w:rsidRPr="00DC1B19">
        <w:rPr>
          <w:rStyle w:val="StyleBodyCalibri12pt"/>
        </w:rPr>
        <w:t>to implement the Second Action Plan. A brief summary of some of these highlights is set out below, including national achievements, Australian and state and territory government initiatives and Coalition contributions.</w:t>
      </w:r>
    </w:p>
    <w:p w:rsidR="00DC2B11" w:rsidRPr="0089674C" w:rsidRDefault="00DC2B11" w:rsidP="007F4E0D">
      <w:pPr>
        <w:pStyle w:val="Heading3"/>
      </w:pPr>
      <w:bookmarkStart w:id="25" w:name="_Toc400007674"/>
      <w:r w:rsidRPr="0089674C">
        <w:t>National Achievements</w:t>
      </w:r>
      <w:bookmarkEnd w:id="25"/>
    </w:p>
    <w:p w:rsidR="00383B17" w:rsidRPr="00D92BEA" w:rsidRDefault="00E374DD" w:rsidP="00D92BEA">
      <w:pPr>
        <w:pStyle w:val="Heading4"/>
      </w:pPr>
      <w:r w:rsidRPr="00D92BEA">
        <w:t>Responding to the needs of children exposed to domestic and family violence</w:t>
      </w:r>
    </w:p>
    <w:p w:rsidR="00383B17" w:rsidRDefault="00383B17" w:rsidP="00383B17">
      <w:pPr>
        <w:rPr>
          <w:rStyle w:val="StyleBodyCalibri12pt"/>
        </w:rPr>
      </w:pPr>
      <w:r w:rsidRPr="00DC1B19">
        <w:rPr>
          <w:rStyle w:val="StyleBodyCalibri12pt"/>
        </w:rPr>
        <w:t xml:space="preserve">The National Centre of Excellence </w:t>
      </w:r>
      <w:r w:rsidR="00A44A38" w:rsidRPr="00DC1B19">
        <w:rPr>
          <w:rStyle w:val="StyleBodyCalibri12pt"/>
        </w:rPr>
        <w:t xml:space="preserve">(NCE) </w:t>
      </w:r>
      <w:r w:rsidRPr="00DC1B19">
        <w:rPr>
          <w:rStyle w:val="StyleBodyCalibri12pt"/>
        </w:rPr>
        <w:t xml:space="preserve">to Reduce Violence against Women and their Children is a key deliverable under the </w:t>
      </w:r>
      <w:r w:rsidRPr="000433CA">
        <w:rPr>
          <w:rStyle w:val="StyleBodyCalibri12ptItalic"/>
        </w:rPr>
        <w:t>National Plan to Reduce Violence against Women and their Children 2010</w:t>
      </w:r>
      <w:r w:rsidR="00B350E8" w:rsidRPr="000433CA">
        <w:rPr>
          <w:rStyle w:val="StyleBodyCalibri12ptItalic"/>
        </w:rPr>
        <w:t>–</w:t>
      </w:r>
      <w:r w:rsidRPr="000433CA">
        <w:rPr>
          <w:rStyle w:val="StyleBodyCalibri12ptItalic"/>
        </w:rPr>
        <w:t>2022</w:t>
      </w:r>
      <w:r w:rsidRPr="00DC1B19">
        <w:rPr>
          <w:rStyle w:val="StyleBodyCalibri12pt"/>
        </w:rPr>
        <w:t xml:space="preserve">. The NCE was registered as an independent company limited by guarantee with the Australian Securities and Investments Commission on 12 February 2013. A leading expert </w:t>
      </w:r>
      <w:r w:rsidR="00306284" w:rsidRPr="00DC1B19">
        <w:rPr>
          <w:rStyle w:val="StyleBodyCalibri12pt"/>
        </w:rPr>
        <w:t>on the subject of</w:t>
      </w:r>
      <w:r w:rsidRPr="00DC1B19">
        <w:rPr>
          <w:rStyle w:val="StyleBodyCalibri12pt"/>
        </w:rPr>
        <w:t xml:space="preserve"> violence against women, Emeritus Professor Anne Edwards, was announced as the initial NCE Chair. The NCE’s first priority is developing a national research agenda to improve policy and service delivery in preventing and responding to </w:t>
      </w:r>
      <w:r w:rsidR="0024717A" w:rsidRPr="00DC1B19">
        <w:rPr>
          <w:rStyle w:val="StyleBodyCalibri12pt"/>
        </w:rPr>
        <w:t xml:space="preserve">violence against </w:t>
      </w:r>
      <w:r w:rsidRPr="00DC1B19">
        <w:rPr>
          <w:rStyle w:val="StyleBodyCalibri12pt"/>
        </w:rPr>
        <w:t>women and their children across Australia.</w:t>
      </w:r>
    </w:p>
    <w:p w:rsidR="00DC2B11" w:rsidRPr="00F30930" w:rsidRDefault="00DC2B11" w:rsidP="00D92BEA">
      <w:pPr>
        <w:pStyle w:val="Heading4"/>
      </w:pPr>
      <w:r w:rsidRPr="00F30930">
        <w:t>National Research Agenda</w:t>
      </w:r>
    </w:p>
    <w:p w:rsidR="00DC2B11" w:rsidRDefault="00DC2B11" w:rsidP="00881E61">
      <w:pPr>
        <w:rPr>
          <w:rStyle w:val="StyleBodyCalibri12pt"/>
        </w:rPr>
      </w:pPr>
      <w:r w:rsidRPr="00DC1B19">
        <w:rPr>
          <w:rStyle w:val="StyleBodyCalibri12pt"/>
        </w:rPr>
        <w:t xml:space="preserve">The inaugural National Research Agenda for child protection was agreed by Australia’s Community and Disability Services Ministers following extensive consultation with all stakeholders to agree </w:t>
      </w:r>
      <w:r w:rsidR="0024717A" w:rsidRPr="00DC1B19">
        <w:rPr>
          <w:rStyle w:val="StyleBodyCalibri12pt"/>
        </w:rPr>
        <w:t xml:space="preserve">on </w:t>
      </w:r>
      <w:r w:rsidRPr="00DC1B19">
        <w:rPr>
          <w:rStyle w:val="StyleBodyCalibri12pt"/>
        </w:rPr>
        <w:t xml:space="preserve">the research priorities. </w:t>
      </w:r>
      <w:r w:rsidR="00F57198" w:rsidRPr="00DC1B19">
        <w:rPr>
          <w:rStyle w:val="StyleBodyCalibri12pt"/>
        </w:rPr>
        <w:t xml:space="preserve">This marks another important step in prioritising research attention to issues relating to child safety. </w:t>
      </w:r>
      <w:r w:rsidRPr="00DC1B19">
        <w:rPr>
          <w:rStyle w:val="StyleBodyCalibri12pt"/>
        </w:rPr>
        <w:t xml:space="preserve">Two broad priority research categories were selected: Promoting Safe Communities and Protecting Indigenous Children. Three projects were selected from a strong field and </w:t>
      </w:r>
      <w:r w:rsidR="008C3D48" w:rsidRPr="00DC1B19">
        <w:rPr>
          <w:rStyle w:val="StyleBodyCalibri12pt"/>
        </w:rPr>
        <w:t xml:space="preserve">funded to </w:t>
      </w:r>
      <w:r w:rsidRPr="00DC1B19">
        <w:rPr>
          <w:rStyle w:val="StyleBodyCalibri12pt"/>
        </w:rPr>
        <w:t xml:space="preserve">deliver research outcomes across the three years of the Second Action Plan. </w:t>
      </w:r>
      <w:r w:rsidR="00E374DD" w:rsidRPr="00DC1B19">
        <w:rPr>
          <w:rStyle w:val="StyleBodyCalibri12pt"/>
        </w:rPr>
        <w:t>All three projects have commenced and will be completed by 2015</w:t>
      </w:r>
      <w:r w:rsidR="00C645AB" w:rsidRPr="00DC1B19">
        <w:rPr>
          <w:rStyle w:val="StyleBodyCalibri12pt"/>
        </w:rPr>
        <w:t>.</w:t>
      </w:r>
    </w:p>
    <w:p w:rsidR="009204A5" w:rsidRPr="00F30930" w:rsidRDefault="009204A5" w:rsidP="00D92BEA">
      <w:pPr>
        <w:pStyle w:val="Heading4"/>
      </w:pPr>
      <w:r w:rsidRPr="00F30930">
        <w:t>Workforce research</w:t>
      </w:r>
    </w:p>
    <w:p w:rsidR="009204A5" w:rsidRPr="00881E61" w:rsidRDefault="009204A5" w:rsidP="00881E61">
      <w:pPr>
        <w:pStyle w:val="BodyText"/>
        <w:rPr>
          <w:rFonts w:ascii="Calibri" w:hAnsi="Calibri"/>
          <w:sz w:val="24"/>
        </w:rPr>
      </w:pPr>
      <w:r w:rsidRPr="00881E61">
        <w:rPr>
          <w:rFonts w:ascii="Calibri" w:hAnsi="Calibri"/>
          <w:sz w:val="24"/>
        </w:rPr>
        <w:t>Following Ministers’ endorsement, the National Analysis of Workforce Trends in Statutory Child Protection report (McArthur &amp; Thomson 2012) was publicly released on 12 December 2012. The report was produced by the Institute of Child Protection Studies at the Australian Catholic University</w:t>
      </w:r>
      <w:r w:rsidR="00036F0B" w:rsidRPr="00881E61">
        <w:rPr>
          <w:rFonts w:ascii="Calibri" w:hAnsi="Calibri"/>
          <w:sz w:val="24"/>
        </w:rPr>
        <w:t xml:space="preserve"> (ACU)</w:t>
      </w:r>
      <w:r w:rsidRPr="00881E61">
        <w:rPr>
          <w:rFonts w:ascii="Calibri" w:hAnsi="Calibri"/>
          <w:sz w:val="24"/>
        </w:rPr>
        <w:t>. Findings from the report are informing future work under the Sector Development National Priority under the Second Action Plan.</w:t>
      </w:r>
    </w:p>
    <w:p w:rsidR="009204A5" w:rsidRPr="005F36D6" w:rsidRDefault="009204A5" w:rsidP="00D92BEA">
      <w:pPr>
        <w:pStyle w:val="Heading4"/>
      </w:pPr>
      <w:r w:rsidRPr="005F36D6">
        <w:t>Collaborative cross-border approaches to child safety and wellbeing</w:t>
      </w:r>
    </w:p>
    <w:p w:rsidR="009204A5" w:rsidRPr="00881E61" w:rsidRDefault="009204A5" w:rsidP="00881E61">
      <w:pPr>
        <w:rPr>
          <w:rFonts w:ascii="Calibri" w:hAnsi="Calibri"/>
          <w:sz w:val="24"/>
        </w:rPr>
      </w:pPr>
      <w:r w:rsidRPr="00881E61">
        <w:rPr>
          <w:rFonts w:ascii="Calibri" w:hAnsi="Calibri"/>
          <w:sz w:val="24"/>
        </w:rPr>
        <w:t>Significant progress has been made in developing collaborative approaches to child safety and wellbeing where children and families move between jurisdictions. Focusing on the central desert region of Central Australia, three jurisdictions (Western Australia, South Australia and the Northern Territory) have been examining child protection arrangements from various perspectives in the context of existing protocols and operating procedures for the last 12</w:t>
      </w:r>
      <w:r w:rsidR="008232F8" w:rsidRPr="00881E61">
        <w:rPr>
          <w:rFonts w:ascii="Calibri" w:hAnsi="Calibri"/>
          <w:sz w:val="24"/>
        </w:rPr>
        <w:t> </w:t>
      </w:r>
      <w:r w:rsidRPr="00881E61">
        <w:rPr>
          <w:rFonts w:ascii="Calibri" w:hAnsi="Calibri"/>
          <w:sz w:val="24"/>
        </w:rPr>
        <w:t>months.</w:t>
      </w:r>
    </w:p>
    <w:p w:rsidR="00536C34" w:rsidRPr="00881E61" w:rsidRDefault="00536C34" w:rsidP="00881E61">
      <w:pPr>
        <w:rPr>
          <w:rFonts w:ascii="Calibri" w:hAnsi="Calibri"/>
          <w:sz w:val="24"/>
        </w:rPr>
      </w:pPr>
    </w:p>
    <w:p w:rsidR="009204A5" w:rsidRPr="00881E61" w:rsidRDefault="009204A5" w:rsidP="00881E61">
      <w:pPr>
        <w:rPr>
          <w:rFonts w:ascii="Calibri" w:hAnsi="Calibri"/>
          <w:sz w:val="24"/>
        </w:rPr>
      </w:pPr>
      <w:r w:rsidRPr="00881E61">
        <w:rPr>
          <w:rFonts w:ascii="Calibri" w:hAnsi="Calibri"/>
          <w:sz w:val="24"/>
        </w:rPr>
        <w:t xml:space="preserve">All three jurisdictions have achieved a greater awareness and knowledge of their respective legal, operational and practice issues. They are using this information to inform practical solutions and a joined-up approach to improve outcomes for children in the child protection system </w:t>
      </w:r>
      <w:proofErr w:type="gramStart"/>
      <w:r w:rsidRPr="00881E61">
        <w:rPr>
          <w:rFonts w:ascii="Calibri" w:hAnsi="Calibri"/>
          <w:sz w:val="24"/>
        </w:rPr>
        <w:t>who</w:t>
      </w:r>
      <w:proofErr w:type="gramEnd"/>
      <w:r w:rsidRPr="00881E61">
        <w:rPr>
          <w:rFonts w:ascii="Calibri" w:hAnsi="Calibri"/>
          <w:sz w:val="24"/>
        </w:rPr>
        <w:t xml:space="preserve"> cross state and territory borders.</w:t>
      </w:r>
    </w:p>
    <w:p w:rsidR="009204A5" w:rsidRPr="005F36D6" w:rsidRDefault="009204A5" w:rsidP="00D92BEA">
      <w:pPr>
        <w:pStyle w:val="Heading4"/>
      </w:pPr>
      <w:r w:rsidRPr="005F36D6">
        <w:t xml:space="preserve">Meeting the health needs of children and young people in the child protection system </w:t>
      </w:r>
    </w:p>
    <w:p w:rsidR="009204A5" w:rsidRPr="00881E61" w:rsidRDefault="009204A5" w:rsidP="00881E61">
      <w:pPr>
        <w:rPr>
          <w:rFonts w:ascii="Calibri" w:hAnsi="Calibri"/>
          <w:sz w:val="24"/>
        </w:rPr>
      </w:pPr>
      <w:r w:rsidRPr="00881E61">
        <w:rPr>
          <w:rFonts w:ascii="Calibri" w:hAnsi="Calibri"/>
          <w:sz w:val="24"/>
        </w:rPr>
        <w:t xml:space="preserve">As part of the Second Action Plan, Australia’s Community and Disability Services Ministers have agreed to give early priority to better addressing the health needs of children and young people in the child protection system, including </w:t>
      </w:r>
      <w:r w:rsidR="004D10F2" w:rsidRPr="00881E61">
        <w:rPr>
          <w:rFonts w:ascii="Calibri" w:hAnsi="Calibri"/>
          <w:sz w:val="24"/>
        </w:rPr>
        <w:t xml:space="preserve">in </w:t>
      </w:r>
      <w:r w:rsidRPr="00881E61">
        <w:rPr>
          <w:rFonts w:ascii="Calibri" w:hAnsi="Calibri"/>
          <w:sz w:val="24"/>
        </w:rPr>
        <w:t>out-of-home care. This work has been prioritised in response to wide acknowledg</w:t>
      </w:r>
      <w:r w:rsidR="00C77E18" w:rsidRPr="00881E61">
        <w:rPr>
          <w:rFonts w:ascii="Calibri" w:hAnsi="Calibri"/>
          <w:sz w:val="24"/>
        </w:rPr>
        <w:t>e</w:t>
      </w:r>
      <w:r w:rsidRPr="00881E61">
        <w:rPr>
          <w:rFonts w:ascii="Calibri" w:hAnsi="Calibri"/>
          <w:sz w:val="24"/>
        </w:rPr>
        <w:t xml:space="preserve">ment that children and young people in the child protection system are likely to have poorer physical, mental and developmental health than their peers. </w:t>
      </w:r>
    </w:p>
    <w:p w:rsidR="00536C34" w:rsidRPr="00881E61" w:rsidRDefault="00536C34" w:rsidP="00881E61">
      <w:pPr>
        <w:rPr>
          <w:rFonts w:ascii="Calibri" w:hAnsi="Calibri"/>
          <w:sz w:val="24"/>
        </w:rPr>
      </w:pPr>
    </w:p>
    <w:p w:rsidR="009204A5" w:rsidRPr="00881E61" w:rsidRDefault="009204A5" w:rsidP="00881E61">
      <w:pPr>
        <w:rPr>
          <w:rFonts w:ascii="Calibri" w:hAnsi="Calibri"/>
          <w:sz w:val="24"/>
        </w:rPr>
      </w:pPr>
      <w:r w:rsidRPr="00881E61">
        <w:rPr>
          <w:rFonts w:ascii="Calibri" w:hAnsi="Calibri"/>
          <w:sz w:val="24"/>
        </w:rPr>
        <w:t xml:space="preserve">The Australian Government, New South Wales and Victoria are leading work to undertake a comprehensive analysis of current opportunities, supports and services to ensure ongoing, substantive health assessments and interventions using effective mechanisms to track health histories. </w:t>
      </w:r>
    </w:p>
    <w:p w:rsidR="009204A5" w:rsidRPr="005F36D6" w:rsidRDefault="009204A5" w:rsidP="00D92BEA">
      <w:pPr>
        <w:pStyle w:val="Heading4"/>
      </w:pPr>
      <w:r w:rsidRPr="005F36D6">
        <w:t xml:space="preserve">Engaging Indigenous Community Leaders </w:t>
      </w:r>
    </w:p>
    <w:p w:rsidR="009204A5" w:rsidRPr="00881E61" w:rsidRDefault="009204A5" w:rsidP="00881E61">
      <w:pPr>
        <w:rPr>
          <w:rFonts w:ascii="Calibri" w:hAnsi="Calibri"/>
          <w:sz w:val="24"/>
        </w:rPr>
      </w:pPr>
      <w:r w:rsidRPr="00881E61">
        <w:rPr>
          <w:rFonts w:ascii="Calibri" w:hAnsi="Calibri"/>
          <w:sz w:val="24"/>
        </w:rPr>
        <w:t>Indigenous workforce participation in child protection and family support was identified as a priority consideration at the Aboriginal and Torres Strait Islander Child Placement Principle</w:t>
      </w:r>
      <w:r w:rsidR="00724F8E" w:rsidRPr="00881E61">
        <w:rPr>
          <w:rFonts w:ascii="Calibri" w:hAnsi="Calibri"/>
          <w:sz w:val="24"/>
        </w:rPr>
        <w:t xml:space="preserve"> (</w:t>
      </w:r>
      <w:r w:rsidR="00314725" w:rsidRPr="00881E61">
        <w:rPr>
          <w:rFonts w:ascii="Calibri" w:hAnsi="Calibri"/>
          <w:sz w:val="24"/>
        </w:rPr>
        <w:t>ATSICPP</w:t>
      </w:r>
      <w:r w:rsidR="00724F8E" w:rsidRPr="00881E61">
        <w:rPr>
          <w:rFonts w:ascii="Calibri" w:hAnsi="Calibri"/>
          <w:sz w:val="24"/>
        </w:rPr>
        <w:t>)</w:t>
      </w:r>
      <w:r w:rsidRPr="00881E61">
        <w:rPr>
          <w:rFonts w:ascii="Calibri" w:hAnsi="Calibri"/>
          <w:sz w:val="24"/>
        </w:rPr>
        <w:t xml:space="preserve"> workshops in May 2013. The Secretariat of National Aboriginal and Islander Child Care</w:t>
      </w:r>
      <w:r w:rsidR="008232F8" w:rsidRPr="00881E61">
        <w:rPr>
          <w:rFonts w:ascii="Calibri" w:hAnsi="Calibri"/>
          <w:sz w:val="24"/>
        </w:rPr>
        <w:t xml:space="preserve"> (SNAICC)</w:t>
      </w:r>
      <w:r w:rsidRPr="00881E61">
        <w:rPr>
          <w:rFonts w:ascii="Calibri" w:hAnsi="Calibri"/>
          <w:sz w:val="24"/>
        </w:rPr>
        <w:t xml:space="preserve">, the Australian Government, Queensland and New South Wales worked in partnership to deliver the workshop, which included representation from a number of </w:t>
      </w:r>
      <w:r w:rsidR="00C8305C" w:rsidRPr="00881E61">
        <w:rPr>
          <w:rFonts w:ascii="Calibri" w:hAnsi="Calibri"/>
          <w:sz w:val="24"/>
        </w:rPr>
        <w:t>community</w:t>
      </w:r>
      <w:r w:rsidRPr="00881E61">
        <w:rPr>
          <w:rFonts w:ascii="Calibri" w:hAnsi="Calibri"/>
          <w:sz w:val="24"/>
        </w:rPr>
        <w:t xml:space="preserve"> </w:t>
      </w:r>
      <w:r w:rsidR="00C8305C" w:rsidRPr="00881E61">
        <w:rPr>
          <w:rFonts w:ascii="Calibri" w:hAnsi="Calibri"/>
          <w:sz w:val="24"/>
        </w:rPr>
        <w:t xml:space="preserve">sector </w:t>
      </w:r>
      <w:r w:rsidRPr="00881E61">
        <w:rPr>
          <w:rFonts w:ascii="Calibri" w:hAnsi="Calibri"/>
          <w:sz w:val="24"/>
        </w:rPr>
        <w:t xml:space="preserve">organisations supporting the interests of Aboriginal and Torres Strait Islander children in out-of-home care. Outcomes </w:t>
      </w:r>
      <w:r w:rsidR="00653037" w:rsidRPr="00881E61">
        <w:rPr>
          <w:rFonts w:ascii="Calibri" w:hAnsi="Calibri"/>
          <w:sz w:val="24"/>
        </w:rPr>
        <w:t>from</w:t>
      </w:r>
      <w:r w:rsidRPr="00881E61">
        <w:rPr>
          <w:rFonts w:ascii="Calibri" w:hAnsi="Calibri"/>
          <w:sz w:val="24"/>
        </w:rPr>
        <w:t xml:space="preserve"> the workshop are currently being developed.</w:t>
      </w:r>
    </w:p>
    <w:p w:rsidR="002A6407" w:rsidRPr="005F36D6" w:rsidRDefault="002A6407" w:rsidP="00D92BEA">
      <w:pPr>
        <w:pStyle w:val="Heading4"/>
      </w:pPr>
      <w:r w:rsidRPr="005F36D6">
        <w:t>Building Capacity Building Bridges Project</w:t>
      </w:r>
      <w:r w:rsidR="002A7141" w:rsidRPr="005F36D6">
        <w:t xml:space="preserve"> (BCBB)</w:t>
      </w:r>
    </w:p>
    <w:p w:rsidR="002A6407" w:rsidRPr="00881E61" w:rsidRDefault="002A6407" w:rsidP="00881E61">
      <w:pPr>
        <w:rPr>
          <w:rFonts w:ascii="Calibri" w:hAnsi="Calibri"/>
          <w:sz w:val="24"/>
        </w:rPr>
      </w:pPr>
      <w:r w:rsidRPr="00881E61">
        <w:rPr>
          <w:rFonts w:ascii="Calibri" w:hAnsi="Calibri"/>
          <w:sz w:val="24"/>
        </w:rPr>
        <w:t>The BCBB project has continued to deliver child and family-sensitive practice training in 12</w:t>
      </w:r>
      <w:r w:rsidR="00547D90" w:rsidRPr="00881E61">
        <w:rPr>
          <w:rFonts w:ascii="Calibri" w:hAnsi="Calibri"/>
          <w:sz w:val="24"/>
        </w:rPr>
        <w:t> </w:t>
      </w:r>
      <w:r w:rsidRPr="00881E61">
        <w:rPr>
          <w:rFonts w:ascii="Calibri" w:hAnsi="Calibri"/>
          <w:sz w:val="24"/>
        </w:rPr>
        <w:t xml:space="preserve">Communities for Children sites across Australia, partnering with these sites to promote child and family-sensitive and collaborative practice in adult-focused services. More than 1000 practitioners from over 250 organisations have attended workshops. </w:t>
      </w:r>
    </w:p>
    <w:p w:rsidR="00536C34" w:rsidRPr="00881E61" w:rsidRDefault="00536C34" w:rsidP="00881E61">
      <w:pPr>
        <w:rPr>
          <w:rFonts w:ascii="Calibri" w:hAnsi="Calibri"/>
          <w:sz w:val="24"/>
        </w:rPr>
      </w:pPr>
    </w:p>
    <w:p w:rsidR="002A6407" w:rsidRPr="00881E61" w:rsidRDefault="002A6407" w:rsidP="00881E61">
      <w:pPr>
        <w:rPr>
          <w:rFonts w:ascii="Calibri" w:hAnsi="Calibri"/>
          <w:sz w:val="24"/>
        </w:rPr>
      </w:pPr>
      <w:r w:rsidRPr="00881E61">
        <w:rPr>
          <w:rFonts w:ascii="Calibri" w:hAnsi="Calibri"/>
          <w:sz w:val="24"/>
        </w:rPr>
        <w:t xml:space="preserve">An evaluation report on this project, released in May 2013, indicates that the training has been successful in enhancing knowledge development that supports child and family-sensitive practice across service sectors. Another positive outcome highlighted in the evaluation report was </w:t>
      </w:r>
      <w:r w:rsidR="00D75E7C" w:rsidRPr="00881E61">
        <w:rPr>
          <w:rFonts w:ascii="Calibri" w:hAnsi="Calibri"/>
          <w:sz w:val="24"/>
        </w:rPr>
        <w:t>that</w:t>
      </w:r>
      <w:r w:rsidRPr="00881E61">
        <w:rPr>
          <w:rFonts w:ascii="Calibri" w:hAnsi="Calibri"/>
          <w:sz w:val="24"/>
        </w:rPr>
        <w:t xml:space="preserve"> opportunities were created through the project to bring service sectors together to reflect on what is working and what more needs to happen to better support vulnerable families and children. BCBB will continue until 30 June 2014.</w:t>
      </w:r>
    </w:p>
    <w:p w:rsidR="00383B17" w:rsidRPr="005F36D6" w:rsidRDefault="00383B17" w:rsidP="00D92BEA">
      <w:pPr>
        <w:pStyle w:val="Heading4"/>
      </w:pPr>
      <w:r w:rsidRPr="005F36D6">
        <w:t>Implementing the Common Approach to Assessment, Referral and Support (CAARS)</w:t>
      </w:r>
    </w:p>
    <w:p w:rsidR="00383B17" w:rsidRPr="00881E61" w:rsidRDefault="00383B17" w:rsidP="00881E61">
      <w:pPr>
        <w:rPr>
          <w:rFonts w:ascii="Calibri" w:hAnsi="Calibri"/>
          <w:sz w:val="24"/>
        </w:rPr>
      </w:pPr>
      <w:r w:rsidRPr="00881E61">
        <w:rPr>
          <w:rFonts w:ascii="Calibri" w:hAnsi="Calibri"/>
          <w:sz w:val="24"/>
        </w:rPr>
        <w:t xml:space="preserve">CAARS was adapted in 2012 and trialled in 13 new Family Mental Health Support Services across Australia. Providers have valued the flexibility in the use of CAARS tools and have developed different and creative ways to trial them in their practice or organisation. </w:t>
      </w:r>
    </w:p>
    <w:p w:rsidR="00B82366" w:rsidRPr="005F36D6" w:rsidRDefault="00B82366" w:rsidP="00D92BEA">
      <w:pPr>
        <w:pStyle w:val="Heading4"/>
      </w:pPr>
      <w:r w:rsidRPr="005F36D6">
        <w:t>Child and Family Centres</w:t>
      </w:r>
      <w:r w:rsidR="00533153" w:rsidRPr="005F36D6">
        <w:t xml:space="preserve"> (CFC)</w:t>
      </w:r>
      <w:r w:rsidRPr="005F36D6">
        <w:t xml:space="preserve"> </w:t>
      </w:r>
    </w:p>
    <w:p w:rsidR="00F30930" w:rsidRDefault="00B82366">
      <w:pPr>
        <w:rPr>
          <w:rFonts w:ascii="Arial" w:hAnsi="Arial"/>
          <w:color w:val="00755E"/>
          <w:sz w:val="27"/>
          <w:szCs w:val="28"/>
        </w:rPr>
      </w:pPr>
      <w:r w:rsidRPr="00881E61">
        <w:rPr>
          <w:rFonts w:ascii="Calibri" w:hAnsi="Calibri"/>
          <w:sz w:val="24"/>
        </w:rPr>
        <w:t xml:space="preserve">The National Partnership Agreement on Indigenous Early Childhood Development provides Australian Government funding of $292.62 million to establish 38 </w:t>
      </w:r>
      <w:r w:rsidR="00533153" w:rsidRPr="00881E61">
        <w:rPr>
          <w:rFonts w:ascii="Calibri" w:hAnsi="Calibri"/>
          <w:sz w:val="24"/>
        </w:rPr>
        <w:t>CFC</w:t>
      </w:r>
      <w:r w:rsidRPr="00881E61">
        <w:rPr>
          <w:rFonts w:ascii="Calibri" w:hAnsi="Calibri"/>
          <w:sz w:val="24"/>
        </w:rPr>
        <w:t xml:space="preserve">s across Australia by June 2014. </w:t>
      </w:r>
      <w:r w:rsidR="00CC5A72" w:rsidRPr="00881E61">
        <w:rPr>
          <w:rFonts w:ascii="Calibri" w:hAnsi="Calibri"/>
          <w:sz w:val="24"/>
        </w:rPr>
        <w:t>The centres are being implemented in partnership with states and territories and deliver integrated services</w:t>
      </w:r>
      <w:r w:rsidR="001B1D5D" w:rsidRPr="00881E61">
        <w:rPr>
          <w:rFonts w:ascii="Calibri" w:hAnsi="Calibri"/>
          <w:sz w:val="24"/>
        </w:rPr>
        <w:t>,</w:t>
      </w:r>
      <w:r w:rsidR="00CC5A72" w:rsidRPr="00881E61">
        <w:rPr>
          <w:rFonts w:ascii="Calibri" w:hAnsi="Calibri"/>
          <w:sz w:val="24"/>
        </w:rPr>
        <w:t xml:space="preserve"> including early learning, child care, family/parent support programs and health and </w:t>
      </w:r>
      <w:r w:rsidR="00DF24F0" w:rsidRPr="00881E61">
        <w:rPr>
          <w:rFonts w:ascii="Calibri" w:hAnsi="Calibri"/>
          <w:sz w:val="24"/>
        </w:rPr>
        <w:t>well</w:t>
      </w:r>
      <w:r w:rsidR="00CC5A72" w:rsidRPr="00881E61">
        <w:rPr>
          <w:rFonts w:ascii="Calibri" w:hAnsi="Calibri"/>
          <w:sz w:val="24"/>
        </w:rPr>
        <w:t>being services. Construction is complete at 18 sites</w:t>
      </w:r>
      <w:r w:rsidR="00DF24F0" w:rsidRPr="00881E61">
        <w:rPr>
          <w:rFonts w:ascii="Calibri" w:hAnsi="Calibri"/>
          <w:sz w:val="24"/>
        </w:rPr>
        <w:t>,</w:t>
      </w:r>
      <w:r w:rsidR="00CC5A72" w:rsidRPr="00881E61">
        <w:rPr>
          <w:rFonts w:ascii="Calibri" w:hAnsi="Calibri"/>
          <w:sz w:val="24"/>
        </w:rPr>
        <w:t xml:space="preserve"> with the remaining 20 centres scheduled to be completed before June 2014.</w:t>
      </w:r>
      <w:r w:rsidR="00F30930">
        <w:br w:type="page"/>
      </w:r>
    </w:p>
    <w:p w:rsidR="00DC2B11" w:rsidRPr="005F36D6" w:rsidRDefault="00DC2B11" w:rsidP="000E1C34">
      <w:pPr>
        <w:pStyle w:val="Heading3"/>
      </w:pPr>
      <w:bookmarkStart w:id="26" w:name="_Toc400007675"/>
      <w:r w:rsidRPr="005F36D6">
        <w:t>Australian Government Achievements</w:t>
      </w:r>
      <w:r w:rsidR="00E374DD" w:rsidRPr="005F36D6">
        <w:t xml:space="preserve"> Supporting the National Framework</w:t>
      </w:r>
      <w:bookmarkEnd w:id="26"/>
    </w:p>
    <w:p w:rsidR="002E55B6" w:rsidRPr="00881E61" w:rsidRDefault="002E55B6" w:rsidP="00D92BEA">
      <w:pPr>
        <w:pStyle w:val="Heading4"/>
      </w:pPr>
      <w:r w:rsidRPr="00881E61">
        <w:t>National Children’s Commissioner</w:t>
      </w:r>
    </w:p>
    <w:p w:rsidR="002E55B6" w:rsidRPr="00A742B5" w:rsidRDefault="002E55B6" w:rsidP="002E55B6">
      <w:pPr>
        <w:rPr>
          <w:rFonts w:ascii="Calibri" w:hAnsi="Calibri" w:cs="Calibri"/>
          <w:sz w:val="24"/>
          <w:szCs w:val="24"/>
        </w:rPr>
      </w:pPr>
      <w:r>
        <w:rPr>
          <w:rFonts w:ascii="Calibri" w:hAnsi="Calibri" w:cs="Calibri"/>
          <w:sz w:val="24"/>
          <w:szCs w:val="24"/>
        </w:rPr>
        <w:t>Legislation commenced in 2012</w:t>
      </w:r>
      <w:r w:rsidRPr="00A742B5">
        <w:rPr>
          <w:rFonts w:ascii="Calibri" w:hAnsi="Calibri" w:cs="Calibri"/>
          <w:sz w:val="24"/>
          <w:szCs w:val="24"/>
        </w:rPr>
        <w:t xml:space="preserve"> </w:t>
      </w:r>
      <w:r>
        <w:rPr>
          <w:rFonts w:ascii="Calibri" w:hAnsi="Calibri" w:cs="Calibri"/>
          <w:sz w:val="24"/>
          <w:szCs w:val="24"/>
        </w:rPr>
        <w:t>and, following a selection process, Ms Megan Mitchell was appointed as t</w:t>
      </w:r>
      <w:r w:rsidRPr="00A742B5">
        <w:rPr>
          <w:rFonts w:ascii="Calibri" w:hAnsi="Calibri" w:cs="Calibri"/>
          <w:sz w:val="24"/>
          <w:szCs w:val="24"/>
        </w:rPr>
        <w:t xml:space="preserve">he first National Children’s Commissioner </w:t>
      </w:r>
      <w:r>
        <w:rPr>
          <w:rFonts w:ascii="Calibri" w:hAnsi="Calibri" w:cs="Calibri"/>
          <w:sz w:val="24"/>
          <w:szCs w:val="24"/>
        </w:rPr>
        <w:t>in February 2013 for a period of five years. She took up the role in March 2013</w:t>
      </w:r>
      <w:r w:rsidRPr="00A742B5">
        <w:rPr>
          <w:rFonts w:ascii="Calibri" w:hAnsi="Calibri" w:cs="Calibri"/>
          <w:sz w:val="24"/>
          <w:szCs w:val="24"/>
        </w:rPr>
        <w:t>.</w:t>
      </w:r>
    </w:p>
    <w:p w:rsidR="00DC2B11" w:rsidRPr="000056E3" w:rsidRDefault="00DC2B11" w:rsidP="00D92BEA">
      <w:pPr>
        <w:pStyle w:val="Heading4"/>
      </w:pPr>
      <w:r w:rsidRPr="000056E3">
        <w:t xml:space="preserve">Child Aware Approaches </w:t>
      </w:r>
    </w:p>
    <w:p w:rsidR="00A83E11" w:rsidRPr="00A83E11" w:rsidRDefault="00A83E11" w:rsidP="00A83E11">
      <w:pPr>
        <w:rPr>
          <w:rFonts w:ascii="Calibri" w:hAnsi="Calibri" w:cs="Calibri"/>
          <w:sz w:val="24"/>
          <w:szCs w:val="24"/>
        </w:rPr>
      </w:pPr>
      <w:r w:rsidRPr="00A83E11">
        <w:rPr>
          <w:rFonts w:ascii="Calibri" w:hAnsi="Calibri" w:cs="Calibri"/>
          <w:sz w:val="24"/>
          <w:szCs w:val="24"/>
        </w:rPr>
        <w:t>The Child Aware Approaches grant round held in 2012 was an early investment in the Second Action Plan of the National Framework</w:t>
      </w:r>
      <w:r w:rsidR="00D75E7C">
        <w:rPr>
          <w:rFonts w:ascii="Calibri" w:hAnsi="Calibri" w:cs="Calibri"/>
          <w:sz w:val="24"/>
          <w:szCs w:val="24"/>
        </w:rPr>
        <w:t>,</w:t>
      </w:r>
      <w:r w:rsidR="00E374DD" w:rsidRPr="00E374DD">
        <w:t xml:space="preserve"> </w:t>
      </w:r>
      <w:r w:rsidR="00E374DD" w:rsidRPr="00E374DD">
        <w:rPr>
          <w:rFonts w:ascii="Calibri" w:hAnsi="Calibri" w:cs="Calibri"/>
          <w:sz w:val="24"/>
          <w:szCs w:val="24"/>
        </w:rPr>
        <w:t>to help build and promote the evidence base about the intersections between risk factors for child abuse and neglect and to help practitioners adopt or enhance practice responses</w:t>
      </w:r>
      <w:r w:rsidRPr="00A83E11">
        <w:rPr>
          <w:rFonts w:ascii="Calibri" w:hAnsi="Calibri" w:cs="Calibri"/>
          <w:sz w:val="24"/>
          <w:szCs w:val="24"/>
        </w:rPr>
        <w:t>.</w:t>
      </w:r>
      <w:r w:rsidR="007764A2">
        <w:rPr>
          <w:rFonts w:ascii="Calibri" w:hAnsi="Calibri" w:cs="Calibri"/>
          <w:sz w:val="24"/>
          <w:szCs w:val="24"/>
        </w:rPr>
        <w:t xml:space="preserve"> </w:t>
      </w:r>
      <w:r w:rsidRPr="00A83E11">
        <w:rPr>
          <w:rFonts w:ascii="Calibri" w:hAnsi="Calibri" w:cs="Calibri"/>
          <w:sz w:val="24"/>
          <w:szCs w:val="24"/>
        </w:rPr>
        <w:t xml:space="preserve">The grant round also supported outcomes from the National Mental Health Reform and the </w:t>
      </w:r>
      <w:r w:rsidRPr="00504DB7">
        <w:rPr>
          <w:rFonts w:ascii="Calibri" w:hAnsi="Calibri" w:cs="Calibri"/>
          <w:i/>
          <w:sz w:val="24"/>
          <w:szCs w:val="24"/>
        </w:rPr>
        <w:t>National Plan to Reduce Violence against Women and their Children 2010</w:t>
      </w:r>
      <w:r w:rsidR="007C1C7D" w:rsidRPr="00504DB7">
        <w:rPr>
          <w:rFonts w:ascii="Calibri" w:hAnsi="Calibri" w:cs="Calibri"/>
          <w:i/>
          <w:sz w:val="24"/>
          <w:szCs w:val="24"/>
        </w:rPr>
        <w:t>–</w:t>
      </w:r>
      <w:r w:rsidRPr="00504DB7">
        <w:rPr>
          <w:rFonts w:ascii="Calibri" w:hAnsi="Calibri" w:cs="Calibri"/>
          <w:i/>
          <w:sz w:val="24"/>
          <w:szCs w:val="24"/>
        </w:rPr>
        <w:t>2022</w:t>
      </w:r>
      <w:r w:rsidRPr="00A83E11">
        <w:rPr>
          <w:rFonts w:ascii="Calibri" w:hAnsi="Calibri" w:cs="Calibri"/>
          <w:sz w:val="24"/>
          <w:szCs w:val="24"/>
        </w:rPr>
        <w:t xml:space="preserve">. </w:t>
      </w:r>
      <w:r w:rsidR="007C1C7D">
        <w:rPr>
          <w:rFonts w:ascii="Calibri" w:hAnsi="Calibri" w:cs="Calibri"/>
          <w:sz w:val="24"/>
          <w:szCs w:val="24"/>
        </w:rPr>
        <w:t>Forty-three</w:t>
      </w:r>
      <w:r w:rsidRPr="00A83E11">
        <w:rPr>
          <w:rFonts w:ascii="Calibri" w:hAnsi="Calibri" w:cs="Calibri"/>
          <w:sz w:val="24"/>
          <w:szCs w:val="24"/>
        </w:rPr>
        <w:t xml:space="preserve"> </w:t>
      </w:r>
      <w:r w:rsidR="00C8305C">
        <w:rPr>
          <w:rFonts w:ascii="Calibri" w:hAnsi="Calibri" w:cs="Calibri"/>
          <w:sz w:val="24"/>
          <w:szCs w:val="24"/>
        </w:rPr>
        <w:t>community</w:t>
      </w:r>
      <w:r w:rsidRPr="00A83E11">
        <w:rPr>
          <w:rFonts w:ascii="Calibri" w:hAnsi="Calibri" w:cs="Calibri"/>
          <w:sz w:val="24"/>
          <w:szCs w:val="24"/>
        </w:rPr>
        <w:t xml:space="preserve"> </w:t>
      </w:r>
      <w:r w:rsidR="00C8305C">
        <w:rPr>
          <w:rFonts w:ascii="Calibri" w:hAnsi="Calibri" w:cs="Calibri"/>
          <w:sz w:val="24"/>
          <w:szCs w:val="24"/>
        </w:rPr>
        <w:t xml:space="preserve">sector </w:t>
      </w:r>
      <w:r w:rsidRPr="00A83E11">
        <w:rPr>
          <w:rFonts w:ascii="Calibri" w:hAnsi="Calibri" w:cs="Calibri"/>
          <w:sz w:val="24"/>
          <w:szCs w:val="24"/>
        </w:rPr>
        <w:t>organisations</w:t>
      </w:r>
      <w:r w:rsidR="007C1C7D">
        <w:rPr>
          <w:rFonts w:ascii="Calibri" w:hAnsi="Calibri" w:cs="Calibri"/>
          <w:sz w:val="24"/>
          <w:szCs w:val="24"/>
        </w:rPr>
        <w:t xml:space="preserve"> across a range of sectors</w:t>
      </w:r>
      <w:r w:rsidRPr="00A83E11">
        <w:rPr>
          <w:rFonts w:ascii="Calibri" w:hAnsi="Calibri" w:cs="Calibri"/>
          <w:sz w:val="24"/>
          <w:szCs w:val="24"/>
        </w:rPr>
        <w:t xml:space="preserve"> received grants.</w:t>
      </w:r>
      <w:r w:rsidR="007764A2">
        <w:rPr>
          <w:rFonts w:ascii="Calibri" w:hAnsi="Calibri" w:cs="Calibri"/>
          <w:sz w:val="24"/>
          <w:szCs w:val="24"/>
        </w:rPr>
        <w:t xml:space="preserve"> </w:t>
      </w:r>
    </w:p>
    <w:p w:rsidR="00A83E11" w:rsidRPr="00A83E11" w:rsidRDefault="00A83E11" w:rsidP="00A83E11">
      <w:pPr>
        <w:rPr>
          <w:rFonts w:ascii="Calibri" w:hAnsi="Calibri" w:cs="Calibri"/>
          <w:sz w:val="24"/>
          <w:szCs w:val="24"/>
        </w:rPr>
      </w:pPr>
    </w:p>
    <w:p w:rsidR="00DC2B11" w:rsidRPr="006F7584" w:rsidRDefault="00A83E11" w:rsidP="00A83E11">
      <w:pPr>
        <w:rPr>
          <w:rFonts w:ascii="Calibri" w:hAnsi="Calibri" w:cs="Calibri"/>
          <w:sz w:val="24"/>
          <w:szCs w:val="24"/>
        </w:rPr>
      </w:pPr>
      <w:r w:rsidRPr="00A83E11">
        <w:rPr>
          <w:rFonts w:ascii="Calibri" w:hAnsi="Calibri" w:cs="Calibri"/>
          <w:sz w:val="24"/>
          <w:szCs w:val="24"/>
        </w:rPr>
        <w:t>Promising practices and innovative resources were showcased at the inaugural national Child Aware Approaches Conference</w:t>
      </w:r>
      <w:r w:rsidR="00D75E7C">
        <w:rPr>
          <w:rFonts w:ascii="Calibri" w:hAnsi="Calibri" w:cs="Calibri"/>
          <w:sz w:val="24"/>
          <w:szCs w:val="24"/>
        </w:rPr>
        <w:t>,</w:t>
      </w:r>
      <w:r w:rsidRPr="00A83E11">
        <w:rPr>
          <w:rFonts w:ascii="Calibri" w:hAnsi="Calibri" w:cs="Calibri"/>
          <w:sz w:val="24"/>
          <w:szCs w:val="24"/>
        </w:rPr>
        <w:t xml:space="preserve"> sponsored by the Australian Government and hosted by Families Australia in Melbourne in April 2013.</w:t>
      </w:r>
      <w:r w:rsidR="007764A2">
        <w:rPr>
          <w:rFonts w:ascii="Calibri" w:hAnsi="Calibri" w:cs="Calibri"/>
          <w:sz w:val="24"/>
          <w:szCs w:val="24"/>
        </w:rPr>
        <w:t xml:space="preserve"> </w:t>
      </w:r>
      <w:r w:rsidRPr="00A83E11">
        <w:rPr>
          <w:rFonts w:ascii="Calibri" w:hAnsi="Calibri" w:cs="Calibri"/>
          <w:sz w:val="24"/>
          <w:szCs w:val="24"/>
        </w:rPr>
        <w:t xml:space="preserve">Planning is underway for the second Child Aware </w:t>
      </w:r>
      <w:r w:rsidR="002C513B">
        <w:rPr>
          <w:rFonts w:ascii="Calibri" w:hAnsi="Calibri" w:cs="Calibri"/>
          <w:sz w:val="24"/>
          <w:szCs w:val="24"/>
        </w:rPr>
        <w:t>Approaches</w:t>
      </w:r>
      <w:r w:rsidR="00DF24F0">
        <w:rPr>
          <w:rFonts w:ascii="Calibri" w:hAnsi="Calibri" w:cs="Calibri"/>
          <w:sz w:val="24"/>
          <w:szCs w:val="24"/>
        </w:rPr>
        <w:t xml:space="preserve"> </w:t>
      </w:r>
      <w:r w:rsidR="00097279">
        <w:rPr>
          <w:rFonts w:ascii="Calibri" w:hAnsi="Calibri" w:cs="Calibri"/>
          <w:sz w:val="24"/>
          <w:szCs w:val="24"/>
        </w:rPr>
        <w:t>C</w:t>
      </w:r>
      <w:r w:rsidR="00F62655">
        <w:rPr>
          <w:rFonts w:ascii="Calibri" w:hAnsi="Calibri" w:cs="Calibri"/>
          <w:sz w:val="24"/>
          <w:szCs w:val="24"/>
        </w:rPr>
        <w:t xml:space="preserve">onference, 31 March to 1 </w:t>
      </w:r>
      <w:r w:rsidRPr="00A83E11">
        <w:rPr>
          <w:rFonts w:ascii="Calibri" w:hAnsi="Calibri" w:cs="Calibri"/>
          <w:sz w:val="24"/>
          <w:szCs w:val="24"/>
        </w:rPr>
        <w:t>April 2014.</w:t>
      </w:r>
      <w:r w:rsidR="002C513B">
        <w:rPr>
          <w:rFonts w:ascii="Calibri" w:hAnsi="Calibri" w:cs="Calibri"/>
          <w:sz w:val="24"/>
          <w:szCs w:val="24"/>
        </w:rPr>
        <w:t xml:space="preserve"> The theme for 2014 is </w:t>
      </w:r>
      <w:r w:rsidR="002C513B" w:rsidRPr="002C513B">
        <w:rPr>
          <w:rFonts w:ascii="Calibri" w:hAnsi="Calibri" w:cs="Calibri"/>
          <w:i/>
          <w:sz w:val="24"/>
          <w:szCs w:val="24"/>
        </w:rPr>
        <w:t xml:space="preserve">Sharing, </w:t>
      </w:r>
      <w:r w:rsidR="002C513B">
        <w:rPr>
          <w:rFonts w:ascii="Calibri" w:hAnsi="Calibri" w:cs="Calibri"/>
          <w:i/>
          <w:sz w:val="24"/>
          <w:szCs w:val="24"/>
        </w:rPr>
        <w:t>B</w:t>
      </w:r>
      <w:r w:rsidR="002C513B" w:rsidRPr="002C513B">
        <w:rPr>
          <w:rFonts w:ascii="Calibri" w:hAnsi="Calibri" w:cs="Calibri"/>
          <w:i/>
          <w:sz w:val="24"/>
          <w:szCs w:val="24"/>
        </w:rPr>
        <w:t xml:space="preserve">uilding and </w:t>
      </w:r>
      <w:r w:rsidR="002C513B">
        <w:rPr>
          <w:rFonts w:ascii="Calibri" w:hAnsi="Calibri" w:cs="Calibri"/>
          <w:i/>
          <w:sz w:val="24"/>
          <w:szCs w:val="24"/>
        </w:rPr>
        <w:t>R</w:t>
      </w:r>
      <w:r w:rsidR="002C513B" w:rsidRPr="002C513B">
        <w:rPr>
          <w:rFonts w:ascii="Calibri" w:hAnsi="Calibri" w:cs="Calibri"/>
          <w:i/>
          <w:sz w:val="24"/>
          <w:szCs w:val="24"/>
        </w:rPr>
        <w:t xml:space="preserve">ecognising </w:t>
      </w:r>
      <w:r w:rsidR="002C513B">
        <w:rPr>
          <w:rFonts w:ascii="Calibri" w:hAnsi="Calibri" w:cs="Calibri"/>
          <w:i/>
          <w:sz w:val="24"/>
          <w:szCs w:val="24"/>
        </w:rPr>
        <w:t>C</w:t>
      </w:r>
      <w:r w:rsidR="002C513B" w:rsidRPr="002C513B">
        <w:rPr>
          <w:rFonts w:ascii="Calibri" w:hAnsi="Calibri" w:cs="Calibri"/>
          <w:i/>
          <w:sz w:val="24"/>
          <w:szCs w:val="24"/>
        </w:rPr>
        <w:t xml:space="preserve">hild </w:t>
      </w:r>
      <w:r w:rsidR="002C513B">
        <w:rPr>
          <w:rFonts w:ascii="Calibri" w:hAnsi="Calibri" w:cs="Calibri"/>
          <w:i/>
          <w:sz w:val="24"/>
          <w:szCs w:val="24"/>
        </w:rPr>
        <w:t>A</w:t>
      </w:r>
      <w:r w:rsidR="002C513B" w:rsidRPr="002C513B">
        <w:rPr>
          <w:rFonts w:ascii="Calibri" w:hAnsi="Calibri" w:cs="Calibri"/>
          <w:i/>
          <w:sz w:val="24"/>
          <w:szCs w:val="24"/>
        </w:rPr>
        <w:t xml:space="preserve">ware </w:t>
      </w:r>
      <w:r w:rsidR="002C513B">
        <w:rPr>
          <w:rFonts w:ascii="Calibri" w:hAnsi="Calibri" w:cs="Calibri"/>
          <w:i/>
          <w:sz w:val="24"/>
          <w:szCs w:val="24"/>
        </w:rPr>
        <w:t>I</w:t>
      </w:r>
      <w:r w:rsidR="002C513B" w:rsidRPr="00DF24F0">
        <w:rPr>
          <w:rFonts w:ascii="Calibri" w:hAnsi="Calibri" w:cs="Calibri"/>
          <w:i/>
          <w:sz w:val="24"/>
          <w:szCs w:val="24"/>
        </w:rPr>
        <w:t>nnovation</w:t>
      </w:r>
      <w:r w:rsidR="002C513B">
        <w:rPr>
          <w:rFonts w:ascii="Calibri" w:hAnsi="Calibri" w:cs="Calibri"/>
          <w:sz w:val="24"/>
          <w:szCs w:val="24"/>
        </w:rPr>
        <w:t>.</w:t>
      </w:r>
    </w:p>
    <w:p w:rsidR="00383B17" w:rsidRPr="000056E3" w:rsidRDefault="00383B17" w:rsidP="00D92BEA">
      <w:pPr>
        <w:pStyle w:val="Heading4"/>
      </w:pPr>
      <w:r w:rsidRPr="000056E3">
        <w:t>Responding to Sexual Abuse</w:t>
      </w:r>
    </w:p>
    <w:p w:rsidR="005774D9" w:rsidRPr="005774D9" w:rsidRDefault="005774D9" w:rsidP="005774D9">
      <w:pPr>
        <w:rPr>
          <w:rFonts w:ascii="Calibri" w:hAnsi="Calibri"/>
          <w:sz w:val="24"/>
          <w:szCs w:val="24"/>
        </w:rPr>
      </w:pPr>
      <w:r w:rsidRPr="005774D9">
        <w:rPr>
          <w:rFonts w:ascii="Calibri" w:hAnsi="Calibri"/>
          <w:sz w:val="24"/>
          <w:szCs w:val="24"/>
        </w:rPr>
        <w:t xml:space="preserve">Under the Second Action Plan, the Australian </w:t>
      </w:r>
      <w:r w:rsidR="0051661B">
        <w:rPr>
          <w:rFonts w:ascii="Calibri" w:hAnsi="Calibri"/>
          <w:sz w:val="24"/>
          <w:szCs w:val="24"/>
        </w:rPr>
        <w:t>G</w:t>
      </w:r>
      <w:r w:rsidRPr="005774D9">
        <w:rPr>
          <w:rFonts w:ascii="Calibri" w:hAnsi="Calibri"/>
          <w:sz w:val="24"/>
          <w:szCs w:val="24"/>
        </w:rPr>
        <w:t>overnment, together with state and territory governments and the community sector</w:t>
      </w:r>
      <w:r w:rsidR="003F08CF">
        <w:rPr>
          <w:rFonts w:ascii="Calibri" w:hAnsi="Calibri"/>
          <w:sz w:val="24"/>
          <w:szCs w:val="24"/>
        </w:rPr>
        <w:t>,</w:t>
      </w:r>
      <w:r w:rsidRPr="005774D9">
        <w:rPr>
          <w:rFonts w:ascii="Calibri" w:hAnsi="Calibri"/>
          <w:sz w:val="24"/>
          <w:szCs w:val="24"/>
        </w:rPr>
        <w:t xml:space="preserve"> has committed to: </w:t>
      </w:r>
    </w:p>
    <w:p w:rsidR="005774D9" w:rsidRPr="005774D9" w:rsidRDefault="003F08CF" w:rsidP="003F08CF">
      <w:pPr>
        <w:pStyle w:val="ListBullet"/>
      </w:pPr>
      <w:r>
        <w:t>d</w:t>
      </w:r>
      <w:r w:rsidR="005774D9" w:rsidRPr="005774D9">
        <w:t xml:space="preserve">evelop and trial programs to prevent sexual abuse and keep children safe, including specific programs for remote Indigenous Communities </w:t>
      </w:r>
    </w:p>
    <w:p w:rsidR="005774D9" w:rsidRPr="005774D9" w:rsidRDefault="003F08CF" w:rsidP="003F08CF">
      <w:pPr>
        <w:pStyle w:val="ListBullet"/>
      </w:pPr>
      <w:r>
        <w:t>r</w:t>
      </w:r>
      <w:r w:rsidR="005774D9" w:rsidRPr="005774D9">
        <w:t xml:space="preserve">eview support strategies to assist children, young people and adults who have experienced complex trauma to engage with the service system </w:t>
      </w:r>
    </w:p>
    <w:p w:rsidR="005774D9" w:rsidRPr="005774D9" w:rsidRDefault="003F08CF" w:rsidP="003F08CF">
      <w:pPr>
        <w:pStyle w:val="ListBullet"/>
      </w:pPr>
      <w:r>
        <w:t>s</w:t>
      </w:r>
      <w:r w:rsidR="005774D9" w:rsidRPr="005774D9">
        <w:t>hare best practice in therapeutic and trauma-informed approaches</w:t>
      </w:r>
    </w:p>
    <w:p w:rsidR="005774D9" w:rsidRPr="005774D9" w:rsidRDefault="003F08CF" w:rsidP="003F08CF">
      <w:pPr>
        <w:pStyle w:val="ListBullet"/>
      </w:pPr>
      <w:proofErr w:type="gramStart"/>
      <w:r>
        <w:t>e</w:t>
      </w:r>
      <w:r w:rsidR="005774D9" w:rsidRPr="005774D9">
        <w:t>xplore</w:t>
      </w:r>
      <w:proofErr w:type="gramEnd"/>
      <w:r w:rsidR="005774D9" w:rsidRPr="005774D9">
        <w:t xml:space="preserve"> ways to respond nationally to the sexualisation of children.</w:t>
      </w:r>
    </w:p>
    <w:p w:rsidR="005774D9" w:rsidRPr="005774D9" w:rsidRDefault="005774D9" w:rsidP="005774D9">
      <w:pPr>
        <w:rPr>
          <w:rFonts w:ascii="Calibri" w:hAnsi="Calibri"/>
          <w:sz w:val="24"/>
          <w:szCs w:val="24"/>
        </w:rPr>
      </w:pPr>
    </w:p>
    <w:p w:rsidR="005774D9" w:rsidRPr="005774D9" w:rsidRDefault="005774D9" w:rsidP="005774D9">
      <w:pPr>
        <w:rPr>
          <w:rFonts w:ascii="Calibri" w:hAnsi="Calibri"/>
          <w:sz w:val="24"/>
          <w:szCs w:val="24"/>
        </w:rPr>
      </w:pPr>
      <w:r w:rsidRPr="005774D9">
        <w:rPr>
          <w:rFonts w:ascii="Calibri" w:hAnsi="Calibri"/>
          <w:sz w:val="24"/>
          <w:szCs w:val="24"/>
        </w:rPr>
        <w:t>As part of this work, the Australian Government is funding a number of programs to prevent child sexual abuse and support survivors</w:t>
      </w:r>
      <w:r w:rsidR="005902B9">
        <w:rPr>
          <w:rFonts w:ascii="Calibri" w:hAnsi="Calibri"/>
          <w:sz w:val="24"/>
          <w:szCs w:val="24"/>
        </w:rPr>
        <w:t>,</w:t>
      </w:r>
      <w:r w:rsidRPr="005774D9">
        <w:rPr>
          <w:rFonts w:ascii="Calibri" w:hAnsi="Calibri"/>
          <w:sz w:val="24"/>
          <w:szCs w:val="24"/>
        </w:rPr>
        <w:t xml:space="preserve"> including:</w:t>
      </w:r>
    </w:p>
    <w:p w:rsidR="005774D9" w:rsidRPr="005774D9" w:rsidRDefault="005774D9" w:rsidP="003F08CF">
      <w:pPr>
        <w:pStyle w:val="ListBullet"/>
      </w:pPr>
      <w:proofErr w:type="spellStart"/>
      <w:r w:rsidRPr="005774D9">
        <w:t>Bravehearts</w:t>
      </w:r>
      <w:proofErr w:type="spellEnd"/>
      <w:r w:rsidR="005902B9">
        <w:t>’ delivery of</w:t>
      </w:r>
      <w:r w:rsidRPr="005774D9">
        <w:t xml:space="preserve"> the</w:t>
      </w:r>
      <w:r w:rsidRPr="005902B9">
        <w:rPr>
          <w:i/>
        </w:rPr>
        <w:t xml:space="preserve"> Ditto’s Keep Safe Adventure Show</w:t>
      </w:r>
      <w:r w:rsidRPr="005774D9">
        <w:t xml:space="preserve"> education program in Far North Queensland </w:t>
      </w:r>
    </w:p>
    <w:p w:rsidR="005774D9" w:rsidRPr="005774D9" w:rsidRDefault="005774D9" w:rsidP="003F08CF">
      <w:pPr>
        <w:pStyle w:val="ListBullet"/>
      </w:pPr>
      <w:r w:rsidRPr="005774D9">
        <w:t>National Child Protection Week</w:t>
      </w:r>
      <w:r w:rsidR="005902B9">
        <w:t xml:space="preserve">, funded through </w:t>
      </w:r>
      <w:r w:rsidR="00C033C8">
        <w:rPr>
          <w:rFonts w:cs="Calibri"/>
          <w:szCs w:val="24"/>
        </w:rPr>
        <w:t>the National Association for the Prevention of Child Abuse and Neglect (</w:t>
      </w:r>
      <w:r w:rsidR="00C033C8" w:rsidRPr="001365FC">
        <w:rPr>
          <w:rFonts w:cs="Calibri"/>
          <w:szCs w:val="24"/>
        </w:rPr>
        <w:t>NAPCAN</w:t>
      </w:r>
      <w:r w:rsidR="00C033C8">
        <w:rPr>
          <w:rFonts w:cs="Calibri"/>
          <w:szCs w:val="24"/>
        </w:rPr>
        <w:t>)</w:t>
      </w:r>
    </w:p>
    <w:p w:rsidR="005774D9" w:rsidRPr="005774D9" w:rsidRDefault="005774D9" w:rsidP="003F08CF">
      <w:pPr>
        <w:pStyle w:val="ListBullet"/>
      </w:pPr>
      <w:proofErr w:type="gramStart"/>
      <w:r w:rsidRPr="005774D9">
        <w:t>the</w:t>
      </w:r>
      <w:proofErr w:type="gramEnd"/>
      <w:r w:rsidRPr="005774D9">
        <w:t xml:space="preserve"> Taking the First Steps program</w:t>
      </w:r>
      <w:r w:rsidR="005902B9">
        <w:t>, conducted by Heartfelt House</w:t>
      </w:r>
      <w:r w:rsidRPr="005774D9">
        <w:t>.</w:t>
      </w:r>
    </w:p>
    <w:p w:rsidR="005774D9" w:rsidRPr="005774D9" w:rsidRDefault="005774D9" w:rsidP="005774D9">
      <w:pPr>
        <w:rPr>
          <w:rFonts w:ascii="Calibri" w:hAnsi="Calibri"/>
          <w:sz w:val="24"/>
          <w:szCs w:val="24"/>
        </w:rPr>
      </w:pPr>
    </w:p>
    <w:p w:rsidR="005774D9" w:rsidRDefault="005774D9" w:rsidP="005774D9">
      <w:pPr>
        <w:rPr>
          <w:rFonts w:ascii="Calibri" w:hAnsi="Calibri"/>
          <w:sz w:val="24"/>
          <w:szCs w:val="24"/>
        </w:rPr>
      </w:pPr>
      <w:r w:rsidRPr="005774D9">
        <w:rPr>
          <w:rFonts w:ascii="Calibri" w:hAnsi="Calibri"/>
          <w:sz w:val="24"/>
          <w:szCs w:val="24"/>
        </w:rPr>
        <w:t>The Australian Institute of Family Studies is also undertaking a research project on Prevention and Early Intervention in Child Sexual Abuse</w:t>
      </w:r>
      <w:r w:rsidR="004408CB">
        <w:rPr>
          <w:rFonts w:ascii="Calibri" w:hAnsi="Calibri"/>
          <w:sz w:val="24"/>
          <w:szCs w:val="24"/>
        </w:rPr>
        <w:t>,</w:t>
      </w:r>
      <w:r w:rsidRPr="005774D9">
        <w:rPr>
          <w:rFonts w:ascii="Calibri" w:hAnsi="Calibri"/>
          <w:sz w:val="24"/>
          <w:szCs w:val="24"/>
        </w:rPr>
        <w:t xml:space="preserve"> to inform future preventative approaches to child sexual abuse.</w:t>
      </w:r>
      <w:r w:rsidR="00A973E8">
        <w:rPr>
          <w:rFonts w:ascii="Calibri" w:hAnsi="Calibri"/>
          <w:sz w:val="24"/>
          <w:szCs w:val="24"/>
        </w:rPr>
        <w:t xml:space="preserve"> </w:t>
      </w:r>
      <w:r w:rsidRPr="005774D9">
        <w:rPr>
          <w:rFonts w:ascii="Calibri" w:hAnsi="Calibri"/>
          <w:sz w:val="24"/>
          <w:szCs w:val="24"/>
        </w:rPr>
        <w:t xml:space="preserve">Further information on each of these initiatives is provided in Chapter </w:t>
      </w:r>
      <w:r w:rsidR="003F08CF">
        <w:rPr>
          <w:rFonts w:ascii="Calibri" w:hAnsi="Calibri"/>
          <w:sz w:val="24"/>
          <w:szCs w:val="24"/>
        </w:rPr>
        <w:t>eight</w:t>
      </w:r>
      <w:r w:rsidRPr="005774D9">
        <w:rPr>
          <w:rFonts w:ascii="Calibri" w:hAnsi="Calibri"/>
          <w:sz w:val="24"/>
          <w:szCs w:val="24"/>
        </w:rPr>
        <w:t>.</w:t>
      </w:r>
    </w:p>
    <w:p w:rsidR="005774D9" w:rsidRDefault="005774D9" w:rsidP="002F0130">
      <w:pPr>
        <w:rPr>
          <w:rFonts w:ascii="Calibri" w:hAnsi="Calibri"/>
          <w:sz w:val="24"/>
          <w:szCs w:val="24"/>
        </w:rPr>
      </w:pPr>
    </w:p>
    <w:p w:rsidR="002F0130" w:rsidRPr="00A35A2D" w:rsidRDefault="002F0130" w:rsidP="002F0130">
      <w:pPr>
        <w:rPr>
          <w:rFonts w:ascii="Calibri" w:hAnsi="Calibri"/>
          <w:sz w:val="24"/>
          <w:szCs w:val="24"/>
        </w:rPr>
      </w:pPr>
      <w:r w:rsidRPr="00A35A2D">
        <w:rPr>
          <w:rFonts w:ascii="Calibri" w:hAnsi="Calibri"/>
          <w:sz w:val="24"/>
          <w:szCs w:val="24"/>
        </w:rPr>
        <w:t>As noted in the 2011–12 National Framework Annual Report, the Royal Commission</w:t>
      </w:r>
      <w:r w:rsidR="00A43557">
        <w:rPr>
          <w:rFonts w:ascii="Calibri" w:hAnsi="Calibri"/>
          <w:sz w:val="24"/>
          <w:szCs w:val="24"/>
        </w:rPr>
        <w:t xml:space="preserve"> </w:t>
      </w:r>
      <w:r w:rsidRPr="00A35A2D">
        <w:rPr>
          <w:rFonts w:ascii="Calibri" w:hAnsi="Calibri"/>
          <w:sz w:val="24"/>
          <w:szCs w:val="24"/>
        </w:rPr>
        <w:t xml:space="preserve">into Institutional Responses to Child Sexual Abuse is continuing to inquire into how institutions with a responsibility for children have managed and responded to allegations and instances of child sexual abuse and related matters. The Royal Commission is investigating where </w:t>
      </w:r>
      <w:r w:rsidR="00B97250">
        <w:rPr>
          <w:rFonts w:ascii="Calibri" w:hAnsi="Calibri"/>
          <w:sz w:val="24"/>
          <w:szCs w:val="24"/>
        </w:rPr>
        <w:t>institutions and</w:t>
      </w:r>
      <w:r w:rsidRPr="00A35A2D">
        <w:rPr>
          <w:rFonts w:ascii="Calibri" w:hAnsi="Calibri"/>
          <w:sz w:val="24"/>
          <w:szCs w:val="24"/>
        </w:rPr>
        <w:t xml:space="preserve"> systems have failed </w:t>
      </w:r>
      <w:r w:rsidR="00B97250">
        <w:rPr>
          <w:rFonts w:ascii="Calibri" w:hAnsi="Calibri"/>
          <w:sz w:val="24"/>
          <w:szCs w:val="24"/>
        </w:rPr>
        <w:t xml:space="preserve">and what </w:t>
      </w:r>
      <w:r w:rsidR="004408CB">
        <w:rPr>
          <w:rFonts w:ascii="Calibri" w:hAnsi="Calibri"/>
          <w:sz w:val="24"/>
          <w:szCs w:val="24"/>
        </w:rPr>
        <w:t>is</w:t>
      </w:r>
      <w:r w:rsidR="00B97250">
        <w:rPr>
          <w:rFonts w:ascii="Calibri" w:hAnsi="Calibri"/>
          <w:sz w:val="24"/>
          <w:szCs w:val="24"/>
        </w:rPr>
        <w:t xml:space="preserve"> best practice in responding to </w:t>
      </w:r>
      <w:r w:rsidRPr="00A35A2D">
        <w:rPr>
          <w:rFonts w:ascii="Calibri" w:hAnsi="Calibri"/>
          <w:sz w:val="24"/>
          <w:szCs w:val="24"/>
        </w:rPr>
        <w:t xml:space="preserve">child sexual abuse. </w:t>
      </w:r>
      <w:r w:rsidR="00D75E7C">
        <w:rPr>
          <w:rFonts w:ascii="Calibri" w:hAnsi="Calibri"/>
          <w:sz w:val="24"/>
          <w:szCs w:val="24"/>
        </w:rPr>
        <w:t>The f</w:t>
      </w:r>
      <w:r w:rsidRPr="00A35A2D">
        <w:rPr>
          <w:rFonts w:ascii="Calibri" w:hAnsi="Calibri"/>
          <w:sz w:val="24"/>
          <w:szCs w:val="24"/>
        </w:rPr>
        <w:t xml:space="preserve">indings of the Royal Commission will provide an important opportunity to learn from the past and </w:t>
      </w:r>
      <w:r w:rsidR="00D75E7C">
        <w:rPr>
          <w:rFonts w:ascii="Calibri" w:hAnsi="Calibri"/>
          <w:sz w:val="24"/>
          <w:szCs w:val="24"/>
        </w:rPr>
        <w:t xml:space="preserve">to </w:t>
      </w:r>
      <w:r w:rsidRPr="00A35A2D">
        <w:rPr>
          <w:rFonts w:ascii="Calibri" w:hAnsi="Calibri"/>
          <w:sz w:val="24"/>
          <w:szCs w:val="24"/>
        </w:rPr>
        <w:t>continue to strengthen protections for children and support for survivors of abuse.</w:t>
      </w:r>
    </w:p>
    <w:p w:rsidR="00536C34" w:rsidRPr="00E36CD1" w:rsidRDefault="00536C34" w:rsidP="00E36CD1">
      <w:pPr>
        <w:rPr>
          <w:rFonts w:ascii="Calibri" w:hAnsi="Calibri"/>
          <w:sz w:val="24"/>
        </w:rPr>
      </w:pPr>
    </w:p>
    <w:p w:rsidR="00442A5E" w:rsidRPr="00E36CD1" w:rsidRDefault="002F0130" w:rsidP="00E36CD1">
      <w:pPr>
        <w:rPr>
          <w:rFonts w:ascii="Calibri" w:hAnsi="Calibri"/>
          <w:sz w:val="24"/>
        </w:rPr>
      </w:pPr>
      <w:r w:rsidRPr="00E36CD1">
        <w:rPr>
          <w:rFonts w:ascii="Calibri" w:hAnsi="Calibri"/>
          <w:sz w:val="24"/>
        </w:rPr>
        <w:t xml:space="preserve">To ensure </w:t>
      </w:r>
      <w:r w:rsidR="00AD268A" w:rsidRPr="00E36CD1">
        <w:rPr>
          <w:rFonts w:ascii="Calibri" w:hAnsi="Calibri"/>
          <w:sz w:val="24"/>
        </w:rPr>
        <w:t xml:space="preserve">that </w:t>
      </w:r>
      <w:r w:rsidRPr="00E36CD1">
        <w:rPr>
          <w:rFonts w:ascii="Calibri" w:hAnsi="Calibri"/>
          <w:sz w:val="24"/>
        </w:rPr>
        <w:t xml:space="preserve">people have access to appropriate support services, </w:t>
      </w:r>
      <w:r w:rsidR="00B97250" w:rsidRPr="00E36CD1">
        <w:rPr>
          <w:rFonts w:ascii="Calibri" w:hAnsi="Calibri"/>
          <w:sz w:val="24"/>
        </w:rPr>
        <w:t xml:space="preserve">28 organisations have been funded </w:t>
      </w:r>
      <w:r w:rsidRPr="00E36CD1">
        <w:rPr>
          <w:rFonts w:ascii="Calibri" w:hAnsi="Calibri"/>
          <w:sz w:val="24"/>
        </w:rPr>
        <w:t xml:space="preserve">to provide community-based support services to people affected by the Royal Commission. These organisations deliver free services such as counselling, support and case management to individuals and their family members. The Government is also providing legal and financial assistance for witnesses and has established a free legal advisory service for people who are considering engaging with the Royal Commission. These services complement the existing support provided by the Royal Commission. </w:t>
      </w:r>
    </w:p>
    <w:p w:rsidR="00DC2B11" w:rsidRPr="00D92BEA" w:rsidRDefault="00DC2B11" w:rsidP="00D92BEA">
      <w:pPr>
        <w:pStyle w:val="Heading4"/>
        <w:rPr>
          <w:lang w:val="en-AU"/>
        </w:rPr>
      </w:pPr>
      <w:r w:rsidRPr="000056E3">
        <w:t>Family Mental Health Support Services</w:t>
      </w:r>
      <w:r w:rsidR="00F62655" w:rsidRPr="000056E3">
        <w:t xml:space="preserve"> (FMHSS)</w:t>
      </w:r>
    </w:p>
    <w:p w:rsidR="0055678B" w:rsidRPr="00DC1B19" w:rsidRDefault="0055678B" w:rsidP="0055678B">
      <w:pPr>
        <w:rPr>
          <w:rStyle w:val="StyleBodyCalibri12pt"/>
        </w:rPr>
      </w:pPr>
      <w:r w:rsidRPr="00DC1B19">
        <w:rPr>
          <w:rStyle w:val="StyleBodyCalibri12pt"/>
        </w:rPr>
        <w:t>FMHSS</w:t>
      </w:r>
      <w:r w:rsidR="00F62655" w:rsidRPr="00DC1B19">
        <w:rPr>
          <w:rStyle w:val="StyleBodyCalibri12pt"/>
        </w:rPr>
        <w:t>s</w:t>
      </w:r>
      <w:r w:rsidRPr="00DC1B19">
        <w:rPr>
          <w:rStyle w:val="StyleBodyCalibri12pt"/>
        </w:rPr>
        <w:t xml:space="preserve"> provide early intervention support services to assist vulnerable children and young people who are at risk of</w:t>
      </w:r>
      <w:r w:rsidR="00AD268A" w:rsidRPr="00DC1B19">
        <w:rPr>
          <w:rStyle w:val="StyleBodyCalibri12pt"/>
        </w:rPr>
        <w:t>,</w:t>
      </w:r>
      <w:r w:rsidRPr="00DC1B19">
        <w:rPr>
          <w:rStyle w:val="StyleBodyCalibri12pt"/>
        </w:rPr>
        <w:t xml:space="preserve"> or affected by, men</w:t>
      </w:r>
      <w:r w:rsidR="00E374DD" w:rsidRPr="00DC1B19">
        <w:rPr>
          <w:rStyle w:val="StyleBodyCalibri12pt"/>
        </w:rPr>
        <w:t>tal illness</w:t>
      </w:r>
      <w:r w:rsidR="00A35A2D" w:rsidRPr="00DC1B19">
        <w:rPr>
          <w:rStyle w:val="StyleBodyCalibri12pt"/>
        </w:rPr>
        <w:t>, and their families</w:t>
      </w:r>
      <w:r w:rsidR="00E374DD" w:rsidRPr="00DC1B19">
        <w:rPr>
          <w:rStyle w:val="StyleBodyCalibri12pt"/>
        </w:rPr>
        <w:t>.</w:t>
      </w:r>
      <w:r w:rsidR="00A43557" w:rsidRPr="00DC1B19">
        <w:rPr>
          <w:rStyle w:val="StyleBodyCalibri12pt"/>
        </w:rPr>
        <w:t xml:space="preserve"> </w:t>
      </w:r>
      <w:r w:rsidR="007E2710" w:rsidRPr="00DC1B19">
        <w:rPr>
          <w:rStyle w:val="StyleBodyCalibri12pt"/>
        </w:rPr>
        <w:t>Families and children who may have come to the attention of the child protection system but who are not receiving structured intervention, and young people leaving out-of-home care</w:t>
      </w:r>
      <w:r w:rsidR="00AD268A" w:rsidRPr="00DC1B19">
        <w:rPr>
          <w:rStyle w:val="StyleBodyCalibri12pt"/>
        </w:rPr>
        <w:t>,</w:t>
      </w:r>
      <w:r w:rsidR="007E2710" w:rsidRPr="00DC1B19">
        <w:rPr>
          <w:rStyle w:val="StyleBodyCalibri12pt"/>
        </w:rPr>
        <w:t xml:space="preserve"> receive priority access to services.</w:t>
      </w:r>
      <w:r w:rsidR="00AD268A" w:rsidRPr="00DC1B19">
        <w:rPr>
          <w:rStyle w:val="StyleBodyCalibri12pt"/>
        </w:rPr>
        <w:t xml:space="preserve"> </w:t>
      </w:r>
      <w:r w:rsidR="00E374DD" w:rsidRPr="00DC1B19">
        <w:rPr>
          <w:rStyle w:val="StyleBodyCalibri12pt"/>
        </w:rPr>
        <w:t>The focus of the</w:t>
      </w:r>
      <w:r w:rsidRPr="00DC1B19">
        <w:rPr>
          <w:rStyle w:val="StyleBodyCalibri12pt"/>
        </w:rPr>
        <w:t xml:space="preserve"> services </w:t>
      </w:r>
      <w:r w:rsidR="007E2710" w:rsidRPr="00DC1B19">
        <w:rPr>
          <w:rStyle w:val="StyleBodyCalibri12pt"/>
        </w:rPr>
        <w:t xml:space="preserve">provided </w:t>
      </w:r>
      <w:r w:rsidRPr="00DC1B19">
        <w:rPr>
          <w:rStyle w:val="StyleBodyCalibri12pt"/>
        </w:rPr>
        <w:t>is on early interventions specifically for children and young people</w:t>
      </w:r>
      <w:r w:rsidR="00B82355" w:rsidRPr="00DC1B19">
        <w:rPr>
          <w:rStyle w:val="StyleBodyCalibri12pt"/>
        </w:rPr>
        <w:t xml:space="preserve">, </w:t>
      </w:r>
      <w:r w:rsidRPr="00DC1B19">
        <w:rPr>
          <w:rStyle w:val="StyleBodyCalibri12pt"/>
        </w:rPr>
        <w:t>information and referral for families requiring short-term assistance and community outreach, mental health promotion and community development activities.</w:t>
      </w:r>
    </w:p>
    <w:p w:rsidR="0055678B" w:rsidRPr="00DC1B19" w:rsidRDefault="0055678B" w:rsidP="0055678B">
      <w:pPr>
        <w:rPr>
          <w:rStyle w:val="StyleBodyCalibri12pt"/>
        </w:rPr>
      </w:pPr>
    </w:p>
    <w:p w:rsidR="00A1177E" w:rsidRPr="00512DF5" w:rsidRDefault="0055678B" w:rsidP="00A1177E">
      <w:r w:rsidRPr="00DC1B19">
        <w:rPr>
          <w:rStyle w:val="StyleBodyCalibri12pt"/>
        </w:rPr>
        <w:t>In 2012</w:t>
      </w:r>
      <w:r w:rsidR="00B82355" w:rsidRPr="00DC1B19">
        <w:rPr>
          <w:rStyle w:val="StyleBodyCalibri12pt"/>
        </w:rPr>
        <w:t>–</w:t>
      </w:r>
      <w:r w:rsidRPr="00DC1B19">
        <w:rPr>
          <w:rStyle w:val="StyleBodyCalibri12pt"/>
        </w:rPr>
        <w:t>13, there were 52 operational FMHSS sites that assisted over 68</w:t>
      </w:r>
      <w:r w:rsidR="000C2825" w:rsidRPr="00DC1B19">
        <w:rPr>
          <w:rStyle w:val="StyleBodyCalibri12pt"/>
        </w:rPr>
        <w:t> </w:t>
      </w:r>
      <w:r w:rsidRPr="00DC1B19">
        <w:rPr>
          <w:rStyle w:val="StyleBodyCalibri12pt"/>
        </w:rPr>
        <w:t>400 participants through a combination of individual and community</w:t>
      </w:r>
      <w:r w:rsidR="00D75E7C" w:rsidRPr="00DC1B19">
        <w:rPr>
          <w:rStyle w:val="StyleBodyCalibri12pt"/>
        </w:rPr>
        <w:t>-</w:t>
      </w:r>
      <w:r w:rsidRPr="00DC1B19">
        <w:rPr>
          <w:rStyle w:val="StyleBodyCalibri12pt"/>
        </w:rPr>
        <w:t>based support.</w:t>
      </w:r>
      <w:r w:rsidR="00A43557" w:rsidRPr="00DC1B19">
        <w:rPr>
          <w:rStyle w:val="StyleBodyCalibri12pt"/>
        </w:rPr>
        <w:t xml:space="preserve"> </w:t>
      </w:r>
    </w:p>
    <w:p w:rsidR="007954CA" w:rsidRPr="000056E3" w:rsidRDefault="00E53252" w:rsidP="00D92BEA">
      <w:pPr>
        <w:pStyle w:val="Heading4"/>
      </w:pPr>
      <w:r w:rsidRPr="000056E3">
        <w:t>National Disability Insurance Scheme</w:t>
      </w:r>
      <w:r w:rsidR="00A44A38" w:rsidRPr="000056E3">
        <w:t xml:space="preserve"> (NDIS)</w:t>
      </w:r>
    </w:p>
    <w:p w:rsidR="00E53252" w:rsidRPr="00DC1B19" w:rsidRDefault="00E53252" w:rsidP="00E53252">
      <w:pPr>
        <w:rPr>
          <w:rStyle w:val="StyleBodyCalibri12pt"/>
        </w:rPr>
      </w:pPr>
      <w:r w:rsidRPr="00DC1B19">
        <w:rPr>
          <w:rStyle w:val="StyleBodyCalibri12pt"/>
        </w:rPr>
        <w:t>The NDIS, introduced by the Australian Government in partnership with states and territories, is a new way of providing individualised support for eligible people with permanent and significant disability and their families and carers. The supports available under the scheme will vary from person to person but may include therapies, home and vehicle modifications, assistive devices and equipment, assistance with household tasks, personal care and transport, and as</w:t>
      </w:r>
      <w:r w:rsidR="00D92BEA">
        <w:rPr>
          <w:rStyle w:val="StyleBodyCalibri12pt"/>
        </w:rPr>
        <w:t>sistance for family and carers.</w:t>
      </w:r>
    </w:p>
    <w:p w:rsidR="00E53252" w:rsidRPr="00DC1B19" w:rsidRDefault="00E53252" w:rsidP="00E53252">
      <w:pPr>
        <w:rPr>
          <w:rStyle w:val="StyleBodyCalibri12pt"/>
        </w:rPr>
      </w:pPr>
    </w:p>
    <w:p w:rsidR="00E53252" w:rsidRPr="00DC1B19" w:rsidRDefault="00E53252" w:rsidP="00E53252">
      <w:pPr>
        <w:rPr>
          <w:rStyle w:val="StyleBodyCalibri12pt"/>
        </w:rPr>
      </w:pPr>
      <w:r w:rsidRPr="00DC1B19">
        <w:rPr>
          <w:rStyle w:val="StyleBodyCalibri12pt"/>
        </w:rPr>
        <w:t xml:space="preserve">Improvements in the support for people with disability will also lead to improved quality of life for their </w:t>
      </w:r>
      <w:proofErr w:type="spellStart"/>
      <w:r w:rsidRPr="00DC1B19">
        <w:rPr>
          <w:rStyle w:val="StyleBodyCalibri12pt"/>
        </w:rPr>
        <w:t>carers</w:t>
      </w:r>
      <w:proofErr w:type="spellEnd"/>
      <w:r w:rsidRPr="00DC1B19">
        <w:rPr>
          <w:rStyle w:val="StyleBodyCalibri12pt"/>
        </w:rPr>
        <w:t xml:space="preserve"> and other family members. Importantly, the NDIS will ultimately move away from the current system’s crisis model, where families only receive support if they are unable to continue in their caring role and there are no other options, </w:t>
      </w:r>
      <w:r w:rsidR="00D75E7C" w:rsidRPr="00DC1B19">
        <w:rPr>
          <w:rStyle w:val="StyleBodyCalibri12pt"/>
        </w:rPr>
        <w:t>instead working</w:t>
      </w:r>
      <w:r w:rsidRPr="00DC1B19">
        <w:rPr>
          <w:rStyle w:val="StyleBodyCalibri12pt"/>
        </w:rPr>
        <w:t xml:space="preserve"> with families before they reach crisis point.</w:t>
      </w:r>
    </w:p>
    <w:p w:rsidR="00E53252" w:rsidRPr="00DC1B19" w:rsidRDefault="00E53252" w:rsidP="00E53252">
      <w:pPr>
        <w:rPr>
          <w:rStyle w:val="StyleBodyCalibri12pt"/>
        </w:rPr>
      </w:pPr>
    </w:p>
    <w:p w:rsidR="00E53252" w:rsidRPr="00DC1B19" w:rsidRDefault="00E53252" w:rsidP="00E53252">
      <w:pPr>
        <w:rPr>
          <w:rStyle w:val="StyleBodyCalibri12pt"/>
        </w:rPr>
      </w:pPr>
      <w:r w:rsidRPr="00DC1B19">
        <w:rPr>
          <w:rStyle w:val="StyleBodyCalibri12pt"/>
        </w:rPr>
        <w:t xml:space="preserve">The NDIS will also provide support </w:t>
      </w:r>
      <w:r w:rsidR="000C2825" w:rsidRPr="00DC1B19">
        <w:rPr>
          <w:rStyle w:val="StyleBodyCalibri12pt"/>
        </w:rPr>
        <w:t xml:space="preserve">through </w:t>
      </w:r>
      <w:r w:rsidR="005308E0" w:rsidRPr="00DC1B19">
        <w:rPr>
          <w:rStyle w:val="StyleBodyCalibri12pt"/>
        </w:rPr>
        <w:t xml:space="preserve">planners and </w:t>
      </w:r>
      <w:r w:rsidRPr="00DC1B19">
        <w:rPr>
          <w:rStyle w:val="StyleBodyCalibri12pt"/>
        </w:rPr>
        <w:t xml:space="preserve">Local Area Coordinators who will work with people with disability, their families and carers to consider their immediate and future goals and how these might best be achieved, </w:t>
      </w:r>
      <w:r w:rsidR="005A0A5A" w:rsidRPr="00DC1B19">
        <w:rPr>
          <w:rStyle w:val="StyleBodyCalibri12pt"/>
        </w:rPr>
        <w:t xml:space="preserve">and </w:t>
      </w:r>
      <w:r w:rsidR="006F4B65" w:rsidRPr="00DC1B19">
        <w:rPr>
          <w:rStyle w:val="StyleBodyCalibri12pt"/>
        </w:rPr>
        <w:t xml:space="preserve">will </w:t>
      </w:r>
      <w:r w:rsidR="005A0A5A" w:rsidRPr="00DC1B19">
        <w:rPr>
          <w:rStyle w:val="StyleBodyCalibri12pt"/>
        </w:rPr>
        <w:t>also</w:t>
      </w:r>
      <w:r w:rsidRPr="00DC1B19">
        <w:rPr>
          <w:rStyle w:val="StyleBodyCalibri12pt"/>
        </w:rPr>
        <w:t xml:space="preserve"> help them </w:t>
      </w:r>
      <w:r w:rsidR="006F4B65" w:rsidRPr="00DC1B19">
        <w:rPr>
          <w:rStyle w:val="StyleBodyCalibri12pt"/>
        </w:rPr>
        <w:t xml:space="preserve">to </w:t>
      </w:r>
      <w:r w:rsidRPr="00DC1B19">
        <w:rPr>
          <w:rStyle w:val="StyleBodyCalibri12pt"/>
        </w:rPr>
        <w:t>achieve these goals by building new networks and accessing support and services in their community. Local Area Coordinators may also work with children and young people with disability and their families and carers to access supports from systems such as the education, health</w:t>
      </w:r>
      <w:r w:rsidR="005A0A5A" w:rsidRPr="00DC1B19">
        <w:rPr>
          <w:rStyle w:val="StyleBodyCalibri12pt"/>
        </w:rPr>
        <w:t>,</w:t>
      </w:r>
      <w:r w:rsidRPr="00DC1B19">
        <w:rPr>
          <w:rStyle w:val="StyleBodyCalibri12pt"/>
        </w:rPr>
        <w:t xml:space="preserve"> child protection and family support systems.</w:t>
      </w:r>
    </w:p>
    <w:p w:rsidR="00E53252" w:rsidRPr="00DC1B19" w:rsidRDefault="00E53252" w:rsidP="00E53252">
      <w:pPr>
        <w:rPr>
          <w:rStyle w:val="StyleBodyCalibri12pt"/>
        </w:rPr>
      </w:pPr>
    </w:p>
    <w:p w:rsidR="00E53252" w:rsidRPr="00DC1B19" w:rsidRDefault="00E53252" w:rsidP="00E53252">
      <w:pPr>
        <w:rPr>
          <w:rStyle w:val="StyleBodyCalibri12pt"/>
        </w:rPr>
      </w:pPr>
      <w:r w:rsidRPr="00DC1B19">
        <w:rPr>
          <w:rStyle w:val="StyleBodyCalibri12pt"/>
        </w:rPr>
        <w:t xml:space="preserve">A number of NDIS </w:t>
      </w:r>
      <w:r w:rsidR="005308E0" w:rsidRPr="00DC1B19">
        <w:rPr>
          <w:rStyle w:val="StyleBodyCalibri12pt"/>
        </w:rPr>
        <w:t xml:space="preserve">trial </w:t>
      </w:r>
      <w:r w:rsidRPr="00DC1B19">
        <w:rPr>
          <w:rStyle w:val="StyleBodyCalibri12pt"/>
        </w:rPr>
        <w:t>site</w:t>
      </w:r>
      <w:r w:rsidR="00314AAC" w:rsidRPr="00DC1B19">
        <w:rPr>
          <w:rStyle w:val="StyleBodyCalibri12pt"/>
        </w:rPr>
        <w:t>s</w:t>
      </w:r>
      <w:r w:rsidRPr="00DC1B19">
        <w:rPr>
          <w:rStyle w:val="StyleBodyCalibri12pt"/>
        </w:rPr>
        <w:t xml:space="preserve"> commenced from July 2013. The South Australian and Tasmanian </w:t>
      </w:r>
      <w:r w:rsidR="005308E0" w:rsidRPr="00DC1B19">
        <w:rPr>
          <w:rStyle w:val="StyleBodyCalibri12pt"/>
        </w:rPr>
        <w:t xml:space="preserve">trial </w:t>
      </w:r>
      <w:r w:rsidRPr="00DC1B19">
        <w:rPr>
          <w:rStyle w:val="StyleBodyCalibri12pt"/>
        </w:rPr>
        <w:t>sites will have a particular focus on children and young people.</w:t>
      </w:r>
      <w:r w:rsidR="00A43557" w:rsidRPr="00DC1B19">
        <w:rPr>
          <w:rStyle w:val="StyleBodyCalibri12pt"/>
        </w:rPr>
        <w:t xml:space="preserve"> </w:t>
      </w:r>
      <w:r w:rsidRPr="00DC1B19">
        <w:rPr>
          <w:rStyle w:val="StyleBodyCalibri12pt"/>
        </w:rPr>
        <w:t xml:space="preserve">The evaluation of the NDIS </w:t>
      </w:r>
      <w:r w:rsidR="005308E0" w:rsidRPr="00DC1B19">
        <w:rPr>
          <w:rStyle w:val="StyleBodyCalibri12pt"/>
        </w:rPr>
        <w:t xml:space="preserve">trial </w:t>
      </w:r>
      <w:r w:rsidRPr="00DC1B19">
        <w:rPr>
          <w:rStyle w:val="StyleBodyCalibri12pt"/>
        </w:rPr>
        <w:t>in these sites will provide an opportunity to measure outcomes for children and young people with disability receiving supports under the new scheme.</w:t>
      </w:r>
    </w:p>
    <w:p w:rsidR="00DC2B11" w:rsidRPr="000056E3" w:rsidRDefault="00DC2B11" w:rsidP="00D92BEA">
      <w:pPr>
        <w:pStyle w:val="Heading4"/>
      </w:pPr>
      <w:r w:rsidRPr="000056E3">
        <w:t>Family Support Program</w:t>
      </w:r>
    </w:p>
    <w:p w:rsidR="007E2710" w:rsidRDefault="007E2710" w:rsidP="00AF2ED7">
      <w:pPr>
        <w:rPr>
          <w:rFonts w:ascii="Calibri" w:hAnsi="Calibri"/>
          <w:sz w:val="24"/>
        </w:rPr>
      </w:pPr>
      <w:r w:rsidRPr="007E2710">
        <w:rPr>
          <w:rFonts w:ascii="Calibri" w:hAnsi="Calibri"/>
          <w:sz w:val="24"/>
        </w:rPr>
        <w:t xml:space="preserve">The Family Support Program supports the Australian Government's commitment to the National Framework by complementing state and territory services through early intervention and prevention support for children and families at risk. The Family Support Program ensures </w:t>
      </w:r>
      <w:r w:rsidR="005A0A5A">
        <w:rPr>
          <w:rFonts w:ascii="Calibri" w:hAnsi="Calibri"/>
          <w:sz w:val="24"/>
        </w:rPr>
        <w:t xml:space="preserve">that </w:t>
      </w:r>
      <w:r w:rsidRPr="007E2710">
        <w:rPr>
          <w:rFonts w:ascii="Calibri" w:hAnsi="Calibri"/>
          <w:sz w:val="24"/>
        </w:rPr>
        <w:t>services are available to support the wellbeing and nurturing of children and families</w:t>
      </w:r>
      <w:r w:rsidR="005A0A5A">
        <w:rPr>
          <w:rFonts w:ascii="Calibri" w:hAnsi="Calibri"/>
          <w:sz w:val="24"/>
        </w:rPr>
        <w:t>,</w:t>
      </w:r>
      <w:r w:rsidRPr="007E2710">
        <w:rPr>
          <w:rFonts w:ascii="Calibri" w:hAnsi="Calibri"/>
          <w:sz w:val="24"/>
        </w:rPr>
        <w:t xml:space="preserve"> to enable them to manage life's transitions, </w:t>
      </w:r>
      <w:r w:rsidR="00D75E7C">
        <w:rPr>
          <w:rFonts w:ascii="Calibri" w:hAnsi="Calibri"/>
          <w:sz w:val="24"/>
        </w:rPr>
        <w:t xml:space="preserve">to </w:t>
      </w:r>
      <w:r w:rsidRPr="007E2710">
        <w:rPr>
          <w:rFonts w:ascii="Calibri" w:hAnsi="Calibri"/>
          <w:sz w:val="24"/>
        </w:rPr>
        <w:t xml:space="preserve">ensure </w:t>
      </w:r>
      <w:r w:rsidR="00384FF8">
        <w:rPr>
          <w:rFonts w:ascii="Calibri" w:hAnsi="Calibri"/>
          <w:sz w:val="24"/>
        </w:rPr>
        <w:t xml:space="preserve">that </w:t>
      </w:r>
      <w:r w:rsidRPr="007E2710">
        <w:rPr>
          <w:rFonts w:ascii="Calibri" w:hAnsi="Calibri"/>
          <w:sz w:val="24"/>
        </w:rPr>
        <w:t xml:space="preserve">children are protected and </w:t>
      </w:r>
      <w:r w:rsidR="00D75E7C">
        <w:rPr>
          <w:rFonts w:ascii="Calibri" w:hAnsi="Calibri"/>
          <w:sz w:val="24"/>
        </w:rPr>
        <w:t xml:space="preserve">to </w:t>
      </w:r>
      <w:r w:rsidRPr="007E2710">
        <w:rPr>
          <w:rFonts w:ascii="Calibri" w:hAnsi="Calibri"/>
          <w:sz w:val="24"/>
        </w:rPr>
        <w:t>contribute to building stron</w:t>
      </w:r>
      <w:r>
        <w:rPr>
          <w:rFonts w:ascii="Calibri" w:hAnsi="Calibri"/>
          <w:sz w:val="24"/>
        </w:rPr>
        <w:t>ger, more resilient communities</w:t>
      </w:r>
      <w:r w:rsidRPr="007E2710">
        <w:rPr>
          <w:rFonts w:ascii="Calibri" w:hAnsi="Calibri"/>
          <w:sz w:val="24"/>
        </w:rPr>
        <w:t>.</w:t>
      </w:r>
    </w:p>
    <w:p w:rsidR="007E2710" w:rsidRDefault="007E2710" w:rsidP="00AF2ED7">
      <w:pPr>
        <w:contextualSpacing/>
        <w:rPr>
          <w:rFonts w:ascii="Calibri" w:hAnsi="Calibri"/>
          <w:sz w:val="24"/>
        </w:rPr>
      </w:pPr>
    </w:p>
    <w:p w:rsidR="00AF2ED7" w:rsidRPr="00D17497" w:rsidRDefault="00AF2ED7" w:rsidP="00AF2ED7">
      <w:pPr>
        <w:rPr>
          <w:rFonts w:ascii="Calibri" w:hAnsi="Calibri"/>
          <w:sz w:val="24"/>
        </w:rPr>
      </w:pPr>
      <w:r w:rsidRPr="00D17497">
        <w:rPr>
          <w:rFonts w:ascii="Calibri" w:hAnsi="Calibri"/>
          <w:sz w:val="24"/>
        </w:rPr>
        <w:t>Over the last 12 months, the Australian Government has consulted with Family Support Program providers, state and territory governments and the community to strengthen the delivery of children and family services.</w:t>
      </w:r>
    </w:p>
    <w:p w:rsidR="00AF2ED7" w:rsidRPr="000056E3" w:rsidRDefault="00AF2ED7" w:rsidP="00D92BEA">
      <w:pPr>
        <w:pStyle w:val="Heading4"/>
      </w:pPr>
      <w:r w:rsidRPr="000056E3">
        <w:t>Communities for Children</w:t>
      </w:r>
    </w:p>
    <w:p w:rsidR="00AF2ED7" w:rsidRPr="00D17497" w:rsidRDefault="00AF2ED7" w:rsidP="00AF2ED7">
      <w:pPr>
        <w:rPr>
          <w:rFonts w:ascii="Calibri" w:hAnsi="Calibri"/>
          <w:sz w:val="24"/>
        </w:rPr>
      </w:pPr>
      <w:r w:rsidRPr="00D17497">
        <w:rPr>
          <w:rFonts w:ascii="Calibri" w:hAnsi="Calibri"/>
          <w:iCs/>
          <w:sz w:val="24"/>
        </w:rPr>
        <w:t xml:space="preserve">Communities for Children services ensure </w:t>
      </w:r>
      <w:r w:rsidR="00512DF5">
        <w:rPr>
          <w:rFonts w:ascii="Calibri" w:hAnsi="Calibri"/>
          <w:iCs/>
          <w:sz w:val="24"/>
        </w:rPr>
        <w:t xml:space="preserve">that </w:t>
      </w:r>
      <w:r w:rsidRPr="00D17497">
        <w:rPr>
          <w:rFonts w:ascii="Calibri" w:hAnsi="Calibri"/>
          <w:iCs/>
          <w:sz w:val="24"/>
        </w:rPr>
        <w:t>children have the best start in life by focusing on prevention and early intervention approaches that bring about positive family functioning, safety</w:t>
      </w:r>
      <w:r w:rsidR="00D75E7C">
        <w:rPr>
          <w:rFonts w:ascii="Calibri" w:hAnsi="Calibri"/>
          <w:iCs/>
          <w:sz w:val="24"/>
        </w:rPr>
        <w:t xml:space="preserve"> and child development outcomes</w:t>
      </w:r>
      <w:r w:rsidRPr="00D17497">
        <w:rPr>
          <w:rFonts w:ascii="Calibri" w:hAnsi="Calibri"/>
          <w:iCs/>
          <w:sz w:val="24"/>
        </w:rPr>
        <w:t xml:space="preserve"> especially for children and families in disadvantaged communities.</w:t>
      </w:r>
      <w:r w:rsidRPr="00D17497">
        <w:rPr>
          <w:rFonts w:ascii="Calibri" w:hAnsi="Calibri"/>
          <w:sz w:val="24"/>
        </w:rPr>
        <w:t xml:space="preserve"> Communities for Children Facilitating Partner and Communities for Children Direct services received $85 million for 2012–13.</w:t>
      </w:r>
    </w:p>
    <w:p w:rsidR="00AF2ED7" w:rsidRPr="000056E3" w:rsidRDefault="00AF2ED7" w:rsidP="00D92BEA">
      <w:pPr>
        <w:pStyle w:val="Heading4"/>
      </w:pPr>
      <w:r w:rsidRPr="000056E3">
        <w:t>Communities for Children</w:t>
      </w:r>
      <w:r w:rsidR="008764E1" w:rsidRPr="000056E3">
        <w:t xml:space="preserve"> – </w:t>
      </w:r>
      <w:r w:rsidR="00D42E46">
        <w:t>Indigenous Parenting Services</w:t>
      </w:r>
    </w:p>
    <w:p w:rsidR="00AF2ED7" w:rsidRPr="006A71B0" w:rsidRDefault="00AF2ED7" w:rsidP="00AF2ED7">
      <w:pPr>
        <w:rPr>
          <w:rFonts w:ascii="Calibri" w:hAnsi="Calibri"/>
          <w:sz w:val="24"/>
        </w:rPr>
      </w:pPr>
      <w:r w:rsidRPr="006A71B0">
        <w:rPr>
          <w:rFonts w:ascii="Calibri" w:hAnsi="Calibri"/>
          <w:iCs/>
          <w:sz w:val="24"/>
        </w:rPr>
        <w:t xml:space="preserve">Indigenous Parenting Services provide prevention and early intervention activities to Aboriginal and Torres Strait Islander children, families and communities. They support Indigenous families and children through transitions to child care, </w:t>
      </w:r>
      <w:r w:rsidR="006A71B0" w:rsidRPr="006A71B0">
        <w:rPr>
          <w:rFonts w:ascii="Calibri" w:hAnsi="Calibri"/>
          <w:iCs/>
          <w:sz w:val="24"/>
        </w:rPr>
        <w:t>pre</w:t>
      </w:r>
      <w:r w:rsidRPr="006A71B0">
        <w:rPr>
          <w:rFonts w:ascii="Calibri" w:hAnsi="Calibri"/>
          <w:iCs/>
          <w:sz w:val="24"/>
        </w:rPr>
        <w:t>school and primary school and help Indigenous parents address social, cultural, personal, historical, financial and health factors that can present barriers to effective parenting. Communities for Children</w:t>
      </w:r>
      <w:r w:rsidR="008764E1">
        <w:rPr>
          <w:rFonts w:ascii="Calibri" w:hAnsi="Calibri"/>
          <w:iCs/>
          <w:sz w:val="24"/>
        </w:rPr>
        <w:t xml:space="preserve"> –</w:t>
      </w:r>
      <w:r w:rsidRPr="006A71B0">
        <w:rPr>
          <w:rFonts w:ascii="Calibri" w:hAnsi="Calibri"/>
          <w:iCs/>
          <w:sz w:val="24"/>
        </w:rPr>
        <w:t xml:space="preserve"> Indigenous Parenting Services received almost $30 million for 2012</w:t>
      </w:r>
      <w:r w:rsidR="006A71B0" w:rsidRPr="006A71B0">
        <w:rPr>
          <w:rFonts w:ascii="Calibri" w:hAnsi="Calibri"/>
          <w:iCs/>
          <w:sz w:val="24"/>
        </w:rPr>
        <w:t>–</w:t>
      </w:r>
      <w:r w:rsidRPr="006A71B0">
        <w:rPr>
          <w:rFonts w:ascii="Calibri" w:hAnsi="Calibri"/>
          <w:iCs/>
          <w:sz w:val="24"/>
        </w:rPr>
        <w:t>13.</w:t>
      </w:r>
    </w:p>
    <w:p w:rsidR="00DC2B11" w:rsidRPr="008016CD" w:rsidRDefault="00DC2B11" w:rsidP="000E1C34">
      <w:pPr>
        <w:pStyle w:val="Heading3"/>
        <w:rPr>
          <w:iCs/>
        </w:rPr>
      </w:pPr>
      <w:bookmarkStart w:id="27" w:name="_Toc400007676"/>
      <w:r w:rsidRPr="008016CD">
        <w:t xml:space="preserve">States and </w:t>
      </w:r>
      <w:r w:rsidR="007477FC">
        <w:t>T</w:t>
      </w:r>
      <w:r w:rsidRPr="008016CD">
        <w:t>erritories</w:t>
      </w:r>
      <w:bookmarkEnd w:id="27"/>
    </w:p>
    <w:p w:rsidR="00DC2B11" w:rsidRDefault="00DC2B11" w:rsidP="00DC2B11">
      <w:pPr>
        <w:rPr>
          <w:rFonts w:ascii="Calibri" w:hAnsi="Calibri" w:cs="Calibri"/>
          <w:sz w:val="24"/>
          <w:szCs w:val="24"/>
        </w:rPr>
      </w:pPr>
      <w:r>
        <w:rPr>
          <w:rFonts w:ascii="Calibri" w:hAnsi="Calibri" w:cs="Calibri"/>
          <w:sz w:val="24"/>
          <w:szCs w:val="24"/>
        </w:rPr>
        <w:t>The following paragraphs provide a very brief summary of some of the intensive work being done in states and territories.</w:t>
      </w:r>
    </w:p>
    <w:p w:rsidR="00DC2B11" w:rsidRPr="00D42E46" w:rsidRDefault="00DC2B11" w:rsidP="00D92BEA">
      <w:pPr>
        <w:pStyle w:val="Heading4"/>
      </w:pPr>
      <w:r w:rsidRPr="00D42E46">
        <w:t xml:space="preserve">Australian Capital Territory </w:t>
      </w:r>
    </w:p>
    <w:p w:rsidR="000C07C1" w:rsidRDefault="000C07C1" w:rsidP="000C07C1">
      <w:pPr>
        <w:rPr>
          <w:rFonts w:ascii="Calibri" w:hAnsi="Calibri" w:cs="Calibri"/>
          <w:sz w:val="24"/>
          <w:szCs w:val="24"/>
        </w:rPr>
      </w:pPr>
      <w:r w:rsidRPr="00404E0F">
        <w:rPr>
          <w:rFonts w:ascii="Calibri" w:hAnsi="Calibri" w:cs="Calibri"/>
          <w:sz w:val="24"/>
          <w:szCs w:val="24"/>
        </w:rPr>
        <w:t xml:space="preserve">The </w:t>
      </w:r>
      <w:r w:rsidR="006A4B94">
        <w:rPr>
          <w:rFonts w:ascii="Calibri" w:hAnsi="Calibri" w:cs="Calibri"/>
          <w:sz w:val="24"/>
          <w:szCs w:val="24"/>
        </w:rPr>
        <w:t>Australian Capital Territory’s (</w:t>
      </w:r>
      <w:r w:rsidRPr="00404E0F">
        <w:rPr>
          <w:rFonts w:ascii="Calibri" w:hAnsi="Calibri" w:cs="Calibri"/>
          <w:sz w:val="24"/>
          <w:szCs w:val="24"/>
        </w:rPr>
        <w:t>ACT</w:t>
      </w:r>
      <w:r w:rsidR="006A4B94">
        <w:rPr>
          <w:rFonts w:ascii="Calibri" w:hAnsi="Calibri" w:cs="Calibri"/>
          <w:sz w:val="24"/>
          <w:szCs w:val="24"/>
        </w:rPr>
        <w:t>)</w:t>
      </w:r>
      <w:r w:rsidRPr="00404E0F">
        <w:rPr>
          <w:rFonts w:ascii="Calibri" w:hAnsi="Calibri" w:cs="Calibri"/>
          <w:sz w:val="24"/>
          <w:szCs w:val="24"/>
        </w:rPr>
        <w:t xml:space="preserve"> new central intake service </w:t>
      </w:r>
      <w:r w:rsidR="0057232C">
        <w:rPr>
          <w:rFonts w:ascii="Calibri" w:hAnsi="Calibri" w:cs="Calibri"/>
          <w:sz w:val="24"/>
          <w:szCs w:val="24"/>
        </w:rPr>
        <w:t xml:space="preserve">to </w:t>
      </w:r>
      <w:r w:rsidR="0057232C" w:rsidRPr="00404E0F">
        <w:rPr>
          <w:rFonts w:ascii="Calibri" w:hAnsi="Calibri" w:cs="Calibri"/>
          <w:sz w:val="24"/>
          <w:szCs w:val="24"/>
        </w:rPr>
        <w:t>the Child, Youth and Family Services Program</w:t>
      </w:r>
      <w:r w:rsidR="0057232C">
        <w:rPr>
          <w:rFonts w:ascii="Calibri" w:hAnsi="Calibri" w:cs="Calibri"/>
          <w:sz w:val="24"/>
          <w:szCs w:val="24"/>
        </w:rPr>
        <w:t xml:space="preserve"> </w:t>
      </w:r>
      <w:r w:rsidRPr="00404E0F">
        <w:rPr>
          <w:rFonts w:ascii="Calibri" w:hAnsi="Calibri" w:cs="Calibri"/>
          <w:sz w:val="24"/>
          <w:szCs w:val="24"/>
        </w:rPr>
        <w:t xml:space="preserve">is called the Child, Youth and Family Gateway </w:t>
      </w:r>
      <w:r>
        <w:rPr>
          <w:rFonts w:ascii="Calibri" w:hAnsi="Calibri" w:cs="Calibri"/>
          <w:sz w:val="24"/>
          <w:szCs w:val="24"/>
        </w:rPr>
        <w:t>and</w:t>
      </w:r>
      <w:r w:rsidRPr="00404E0F">
        <w:rPr>
          <w:rFonts w:ascii="Calibri" w:hAnsi="Calibri" w:cs="Calibri"/>
          <w:sz w:val="24"/>
          <w:szCs w:val="24"/>
        </w:rPr>
        <w:t xml:space="preserve"> is for children, young people and families who are looking for services and supports but are not sure where to go. The Gateway provides links to programs and services that can support people to have the best chance to stay on track in their lives.</w:t>
      </w:r>
    </w:p>
    <w:p w:rsidR="0057232C" w:rsidRDefault="0057232C" w:rsidP="000C07C1">
      <w:pPr>
        <w:rPr>
          <w:rFonts w:ascii="Calibri" w:hAnsi="Calibri" w:cs="Calibri"/>
          <w:sz w:val="24"/>
          <w:szCs w:val="24"/>
        </w:rPr>
      </w:pPr>
    </w:p>
    <w:p w:rsidR="0057232C" w:rsidRPr="00C673F8" w:rsidRDefault="0057232C" w:rsidP="0057232C">
      <w:pPr>
        <w:rPr>
          <w:rFonts w:ascii="Calibri" w:hAnsi="Calibri" w:cs="Calibri"/>
          <w:sz w:val="24"/>
          <w:szCs w:val="24"/>
        </w:rPr>
      </w:pPr>
      <w:r w:rsidRPr="004628A1">
        <w:rPr>
          <w:rFonts w:ascii="Calibri" w:hAnsi="Calibri" w:cs="Calibri"/>
          <w:sz w:val="24"/>
          <w:szCs w:val="24"/>
        </w:rPr>
        <w:t>The</w:t>
      </w:r>
      <w:r>
        <w:rPr>
          <w:rFonts w:ascii="Calibri" w:hAnsi="Calibri" w:cs="Calibri"/>
          <w:sz w:val="24"/>
          <w:szCs w:val="24"/>
        </w:rPr>
        <w:t xml:space="preserve"> ACT has been developing an Out-of-</w:t>
      </w:r>
      <w:r w:rsidRPr="004628A1">
        <w:rPr>
          <w:rFonts w:ascii="Calibri" w:hAnsi="Calibri" w:cs="Calibri"/>
          <w:sz w:val="24"/>
          <w:szCs w:val="24"/>
        </w:rPr>
        <w:t>Home Care Five Year Strategy</w:t>
      </w:r>
      <w:r>
        <w:rPr>
          <w:rFonts w:ascii="Calibri" w:hAnsi="Calibri" w:cs="Calibri"/>
          <w:sz w:val="24"/>
          <w:szCs w:val="24"/>
        </w:rPr>
        <w:t xml:space="preserve"> which</w:t>
      </w:r>
      <w:r w:rsidRPr="004628A1">
        <w:rPr>
          <w:rFonts w:ascii="Calibri" w:hAnsi="Calibri" w:cs="Calibri"/>
          <w:sz w:val="24"/>
          <w:szCs w:val="24"/>
        </w:rPr>
        <w:t xml:space="preserve"> will focus on providing long</w:t>
      </w:r>
      <w:r>
        <w:rPr>
          <w:rFonts w:ascii="Calibri" w:hAnsi="Calibri" w:cs="Calibri"/>
          <w:sz w:val="24"/>
          <w:szCs w:val="24"/>
        </w:rPr>
        <w:t>-</w:t>
      </w:r>
      <w:r w:rsidRPr="004628A1">
        <w:rPr>
          <w:rFonts w:ascii="Calibri" w:hAnsi="Calibri" w:cs="Calibri"/>
          <w:sz w:val="24"/>
          <w:szCs w:val="24"/>
        </w:rPr>
        <w:t>term planning</w:t>
      </w:r>
      <w:r>
        <w:rPr>
          <w:rFonts w:ascii="Calibri" w:hAnsi="Calibri" w:cs="Calibri"/>
          <w:sz w:val="24"/>
          <w:szCs w:val="24"/>
        </w:rPr>
        <w:t xml:space="preserve"> for the development of an out-of-</w:t>
      </w:r>
      <w:r w:rsidRPr="004628A1">
        <w:rPr>
          <w:rFonts w:ascii="Calibri" w:hAnsi="Calibri" w:cs="Calibri"/>
          <w:sz w:val="24"/>
          <w:szCs w:val="24"/>
        </w:rPr>
        <w:t xml:space="preserve">home care sector that is better able to respond to </w:t>
      </w:r>
      <w:r>
        <w:rPr>
          <w:rFonts w:ascii="Calibri" w:hAnsi="Calibri" w:cs="Calibri"/>
          <w:sz w:val="24"/>
          <w:szCs w:val="24"/>
        </w:rPr>
        <w:t xml:space="preserve">the </w:t>
      </w:r>
      <w:r w:rsidRPr="004628A1">
        <w:rPr>
          <w:rFonts w:ascii="Calibri" w:hAnsi="Calibri" w:cs="Calibri"/>
          <w:sz w:val="24"/>
          <w:szCs w:val="24"/>
        </w:rPr>
        <w:t>increasing complexities of children and young people who are entering the care system.</w:t>
      </w:r>
      <w:r>
        <w:rPr>
          <w:rFonts w:ascii="Calibri" w:hAnsi="Calibri" w:cs="Calibri"/>
          <w:sz w:val="24"/>
          <w:szCs w:val="24"/>
        </w:rPr>
        <w:t xml:space="preserve"> </w:t>
      </w:r>
      <w:r w:rsidRPr="00C673F8">
        <w:rPr>
          <w:rFonts w:ascii="Calibri" w:hAnsi="Calibri" w:cs="Calibri"/>
          <w:sz w:val="24"/>
          <w:szCs w:val="24"/>
        </w:rPr>
        <w:t>The ACT survey</w:t>
      </w:r>
      <w:r>
        <w:rPr>
          <w:rFonts w:ascii="Calibri" w:hAnsi="Calibri" w:cs="Calibri"/>
          <w:sz w:val="24"/>
          <w:szCs w:val="24"/>
        </w:rPr>
        <w:t xml:space="preserve"> of</w:t>
      </w:r>
      <w:r w:rsidRPr="00C673F8">
        <w:rPr>
          <w:rFonts w:ascii="Calibri" w:hAnsi="Calibri" w:cs="Calibri"/>
          <w:sz w:val="24"/>
          <w:szCs w:val="24"/>
        </w:rPr>
        <w:t xml:space="preserve"> foster carers and kinship carers </w:t>
      </w:r>
      <w:r>
        <w:rPr>
          <w:rFonts w:ascii="Calibri" w:hAnsi="Calibri" w:cs="Calibri"/>
          <w:sz w:val="24"/>
          <w:szCs w:val="24"/>
        </w:rPr>
        <w:t>will inform its development.</w:t>
      </w:r>
    </w:p>
    <w:p w:rsidR="0057232C" w:rsidRDefault="0057232C" w:rsidP="000C07C1">
      <w:pPr>
        <w:rPr>
          <w:rFonts w:ascii="Calibri" w:hAnsi="Calibri" w:cs="Calibri"/>
          <w:sz w:val="24"/>
          <w:szCs w:val="24"/>
        </w:rPr>
      </w:pPr>
    </w:p>
    <w:p w:rsidR="000C07C1" w:rsidRPr="001C5425" w:rsidRDefault="0057232C" w:rsidP="000C07C1">
      <w:pPr>
        <w:rPr>
          <w:rFonts w:ascii="Calibri" w:hAnsi="Calibri" w:cs="Calibri"/>
          <w:sz w:val="24"/>
          <w:szCs w:val="24"/>
        </w:rPr>
      </w:pPr>
      <w:r>
        <w:rPr>
          <w:rFonts w:ascii="Calibri" w:hAnsi="Calibri" w:cs="Calibri"/>
          <w:sz w:val="24"/>
          <w:szCs w:val="24"/>
        </w:rPr>
        <w:t>T</w:t>
      </w:r>
      <w:r w:rsidR="000C07C1" w:rsidRPr="001C5425">
        <w:rPr>
          <w:rFonts w:ascii="Calibri" w:hAnsi="Calibri" w:cs="Calibri"/>
          <w:sz w:val="24"/>
          <w:szCs w:val="24"/>
        </w:rPr>
        <w:t xml:space="preserve">he Working </w:t>
      </w:r>
      <w:r w:rsidR="000C07C1">
        <w:rPr>
          <w:rFonts w:ascii="Calibri" w:hAnsi="Calibri" w:cs="Calibri"/>
          <w:sz w:val="24"/>
          <w:szCs w:val="24"/>
        </w:rPr>
        <w:t>w</w:t>
      </w:r>
      <w:r w:rsidR="000C07C1" w:rsidRPr="001C5425">
        <w:rPr>
          <w:rFonts w:ascii="Calibri" w:hAnsi="Calibri" w:cs="Calibri"/>
          <w:sz w:val="24"/>
          <w:szCs w:val="24"/>
        </w:rPr>
        <w:t xml:space="preserve">ith Vulnerable People background checking scheme was established in November 2012 under the </w:t>
      </w:r>
      <w:r w:rsidR="000C07C1" w:rsidRPr="00FA0340">
        <w:rPr>
          <w:rFonts w:ascii="Calibri" w:hAnsi="Calibri" w:cs="Calibri"/>
          <w:i/>
          <w:sz w:val="24"/>
          <w:szCs w:val="24"/>
        </w:rPr>
        <w:t>Working with Vulnerable People (Background Checking) Act 2011</w:t>
      </w:r>
      <w:r w:rsidR="000C07C1" w:rsidRPr="001C5425">
        <w:rPr>
          <w:rFonts w:ascii="Calibri" w:hAnsi="Calibri" w:cs="Calibri"/>
          <w:sz w:val="24"/>
          <w:szCs w:val="24"/>
        </w:rPr>
        <w:t xml:space="preserve">. The scheme establishes mandatory minimum checking standards that apply to all people working across activities involving children or vulnerable people. </w:t>
      </w:r>
    </w:p>
    <w:p w:rsidR="000C07C1" w:rsidRPr="001C5425" w:rsidRDefault="000C07C1" w:rsidP="000C07C1">
      <w:pPr>
        <w:rPr>
          <w:rFonts w:ascii="Calibri" w:hAnsi="Calibri" w:cs="Calibri"/>
          <w:sz w:val="24"/>
          <w:szCs w:val="24"/>
        </w:rPr>
      </w:pPr>
    </w:p>
    <w:p w:rsidR="000C07C1" w:rsidRPr="00C673F8" w:rsidRDefault="000C07C1" w:rsidP="000C07C1">
      <w:pPr>
        <w:rPr>
          <w:rFonts w:ascii="Calibri" w:hAnsi="Calibri" w:cs="Calibri"/>
          <w:sz w:val="24"/>
          <w:szCs w:val="24"/>
        </w:rPr>
      </w:pPr>
      <w:r w:rsidRPr="00C673F8">
        <w:rPr>
          <w:rFonts w:ascii="Calibri" w:hAnsi="Calibri" w:cs="Calibri"/>
          <w:sz w:val="24"/>
          <w:szCs w:val="24"/>
        </w:rPr>
        <w:t>The ACT Prevention of Violence against Women and Children Implementation Plan Phase One 2011</w:t>
      </w:r>
      <w:r>
        <w:rPr>
          <w:rFonts w:ascii="Calibri" w:hAnsi="Calibri" w:cs="Calibri"/>
          <w:sz w:val="24"/>
          <w:szCs w:val="24"/>
        </w:rPr>
        <w:t>–</w:t>
      </w:r>
      <w:r w:rsidRPr="00C673F8">
        <w:rPr>
          <w:rFonts w:ascii="Calibri" w:hAnsi="Calibri" w:cs="Calibri"/>
          <w:sz w:val="24"/>
          <w:szCs w:val="24"/>
        </w:rPr>
        <w:t>2014 was released in August 2012. It outlines actions to be undertaken in the first three years which focus on building strong foundations for the work that lies ahead over the life of the</w:t>
      </w:r>
    </w:p>
    <w:p w:rsidR="000C07C1" w:rsidRDefault="000C07C1" w:rsidP="000C07C1">
      <w:pPr>
        <w:rPr>
          <w:rFonts w:ascii="Calibri" w:hAnsi="Calibri" w:cs="Calibri"/>
          <w:sz w:val="24"/>
          <w:szCs w:val="24"/>
        </w:rPr>
      </w:pPr>
      <w:r w:rsidRPr="00C673F8">
        <w:rPr>
          <w:rFonts w:ascii="Calibri" w:hAnsi="Calibri" w:cs="Calibri"/>
          <w:sz w:val="24"/>
          <w:szCs w:val="24"/>
        </w:rPr>
        <w:t xml:space="preserve">ACT </w:t>
      </w:r>
      <w:r w:rsidRPr="00AE7DB5">
        <w:rPr>
          <w:rFonts w:ascii="Calibri" w:hAnsi="Calibri" w:cs="Calibri"/>
          <w:i/>
          <w:sz w:val="24"/>
          <w:szCs w:val="24"/>
        </w:rPr>
        <w:t>Prevention of Violence against Women and Children Strategy 2010–17 Our Responsibility: Ending Violence against Women and Children</w:t>
      </w:r>
      <w:r w:rsidRPr="00C673F8">
        <w:rPr>
          <w:rFonts w:ascii="Calibri" w:hAnsi="Calibri" w:cs="Calibri"/>
          <w:sz w:val="24"/>
          <w:szCs w:val="24"/>
        </w:rPr>
        <w:t xml:space="preserve"> and the </w:t>
      </w:r>
      <w:r w:rsidRPr="00AE7DB5">
        <w:rPr>
          <w:rFonts w:ascii="Calibri" w:hAnsi="Calibri" w:cs="Calibri"/>
          <w:i/>
          <w:sz w:val="24"/>
          <w:szCs w:val="24"/>
        </w:rPr>
        <w:t>National Plan to Reduce Violence against Women and their Children 2010–2022</w:t>
      </w:r>
      <w:r w:rsidRPr="00C673F8">
        <w:rPr>
          <w:rFonts w:ascii="Calibri" w:hAnsi="Calibri" w:cs="Calibri"/>
          <w:sz w:val="24"/>
          <w:szCs w:val="24"/>
        </w:rPr>
        <w:t xml:space="preserve">. Our Responsibility is a joint initiative of the Community Services and the Justice and Community Safety Directorates and </w:t>
      </w:r>
      <w:r>
        <w:rPr>
          <w:rFonts w:ascii="Calibri" w:hAnsi="Calibri" w:cs="Calibri"/>
          <w:sz w:val="24"/>
          <w:szCs w:val="24"/>
        </w:rPr>
        <w:t xml:space="preserve">is </w:t>
      </w:r>
      <w:r w:rsidRPr="00C673F8">
        <w:rPr>
          <w:rFonts w:ascii="Calibri" w:hAnsi="Calibri" w:cs="Calibri"/>
          <w:sz w:val="24"/>
          <w:szCs w:val="24"/>
        </w:rPr>
        <w:t xml:space="preserve">the first of its kind in the ACT. </w:t>
      </w:r>
    </w:p>
    <w:p w:rsidR="00DC2B11" w:rsidRPr="00D42E46" w:rsidRDefault="00DC2B11" w:rsidP="00D92BEA">
      <w:pPr>
        <w:pStyle w:val="Heading4"/>
      </w:pPr>
      <w:r w:rsidRPr="00D42E46">
        <w:t xml:space="preserve">New South Wales </w:t>
      </w:r>
    </w:p>
    <w:p w:rsidR="007E6FE5" w:rsidRPr="00DC1B19" w:rsidRDefault="00B927F3" w:rsidP="00661167">
      <w:pPr>
        <w:rPr>
          <w:rStyle w:val="StyleBodyCalibri12pt"/>
        </w:rPr>
      </w:pPr>
      <w:r w:rsidRPr="00DC1B19">
        <w:rPr>
          <w:rStyle w:val="StyleBodyCalibri12pt"/>
        </w:rPr>
        <w:t>The New South Wales (</w:t>
      </w:r>
      <w:r w:rsidR="007E6FE5" w:rsidRPr="00DC1B19">
        <w:rPr>
          <w:rStyle w:val="StyleBodyCalibri12pt"/>
        </w:rPr>
        <w:t>NSW</w:t>
      </w:r>
      <w:r w:rsidRPr="00DC1B19">
        <w:rPr>
          <w:rStyle w:val="StyleBodyCalibri12pt"/>
        </w:rPr>
        <w:t>)</w:t>
      </w:r>
      <w:r w:rsidR="007E6FE5" w:rsidRPr="00DC1B19">
        <w:rPr>
          <w:rStyle w:val="StyleBodyCalibri12pt"/>
        </w:rPr>
        <w:t xml:space="preserve">, </w:t>
      </w:r>
      <w:r w:rsidR="00CC4FA8" w:rsidRPr="00DC1B19">
        <w:rPr>
          <w:rStyle w:val="StyleBodyCalibri12pt"/>
        </w:rPr>
        <w:t>Australian</w:t>
      </w:r>
      <w:r w:rsidR="007E6FE5" w:rsidRPr="00DC1B19">
        <w:rPr>
          <w:rStyle w:val="StyleBodyCalibri12pt"/>
        </w:rPr>
        <w:t xml:space="preserve"> and Victorian Governments engaged ACIL Allen Consulting Group to examine best practice</w:t>
      </w:r>
      <w:r w:rsidR="005D780B" w:rsidRPr="00DC1B19">
        <w:rPr>
          <w:rStyle w:val="StyleBodyCalibri12pt"/>
        </w:rPr>
        <w:t xml:space="preserve"> in</w:t>
      </w:r>
      <w:r w:rsidR="007E6FE5" w:rsidRPr="00DC1B19">
        <w:rPr>
          <w:rStyle w:val="StyleBodyCalibri12pt"/>
        </w:rPr>
        <w:t>, and develop options for improving</w:t>
      </w:r>
      <w:r w:rsidR="005D780B" w:rsidRPr="00DC1B19">
        <w:rPr>
          <w:rStyle w:val="StyleBodyCalibri12pt"/>
        </w:rPr>
        <w:t>,</w:t>
      </w:r>
      <w:r w:rsidR="007E6FE5" w:rsidRPr="00DC1B19">
        <w:rPr>
          <w:rStyle w:val="StyleBodyCalibri12pt"/>
        </w:rPr>
        <w:t xml:space="preserve"> health assessments and interventions for children and young people in the child protection system.</w:t>
      </w:r>
    </w:p>
    <w:p w:rsidR="007E6FE5" w:rsidRPr="00DC1B19" w:rsidRDefault="007E6FE5" w:rsidP="007E6FE5">
      <w:pPr>
        <w:rPr>
          <w:rStyle w:val="StyleBodyCalibri12pt"/>
        </w:rPr>
      </w:pPr>
    </w:p>
    <w:p w:rsidR="004004DF" w:rsidRPr="00DC1B19" w:rsidRDefault="004004DF" w:rsidP="004004DF">
      <w:pPr>
        <w:rPr>
          <w:rStyle w:val="StyleBodyCalibri12pt"/>
        </w:rPr>
      </w:pPr>
      <w:r w:rsidRPr="00DC1B19">
        <w:rPr>
          <w:rStyle w:val="StyleBodyCalibri12pt"/>
        </w:rPr>
        <w:t>In July 2012</w:t>
      </w:r>
      <w:r w:rsidR="000441F5" w:rsidRPr="00DC1B19">
        <w:rPr>
          <w:rStyle w:val="StyleBodyCalibri12pt"/>
        </w:rPr>
        <w:t>,</w:t>
      </w:r>
      <w:r w:rsidRPr="00DC1B19">
        <w:rPr>
          <w:rStyle w:val="StyleBodyCalibri12pt"/>
        </w:rPr>
        <w:t xml:space="preserve"> </w:t>
      </w:r>
      <w:r w:rsidR="00C033C8" w:rsidRPr="001C6A73">
        <w:rPr>
          <w:rFonts w:ascii="Calibri" w:hAnsi="Calibri"/>
          <w:sz w:val="24"/>
        </w:rPr>
        <w:t>Family and Community Services</w:t>
      </w:r>
      <w:r w:rsidR="00C033C8">
        <w:rPr>
          <w:rFonts w:ascii="Calibri" w:hAnsi="Calibri"/>
          <w:sz w:val="24"/>
        </w:rPr>
        <w:t xml:space="preserve"> (</w:t>
      </w:r>
      <w:r w:rsidRPr="00DC1B19">
        <w:rPr>
          <w:rStyle w:val="StyleBodyCalibri12pt"/>
        </w:rPr>
        <w:t>FACS</w:t>
      </w:r>
      <w:r w:rsidR="00C033C8" w:rsidRPr="00DC1B19">
        <w:rPr>
          <w:rStyle w:val="StyleBodyCalibri12pt"/>
        </w:rPr>
        <w:t>)</w:t>
      </w:r>
      <w:r w:rsidRPr="00DC1B19">
        <w:rPr>
          <w:rStyle w:val="StyleBodyCalibri12pt"/>
        </w:rPr>
        <w:t xml:space="preserve"> established the Office of the Senior Practitioner in the Community Services division to drive reforms that put the best interests of children and young people at the centre of everything we do. The </w:t>
      </w:r>
      <w:r w:rsidR="00917247" w:rsidRPr="00DC1B19">
        <w:rPr>
          <w:rStyle w:val="StyleBodyCalibri12pt"/>
        </w:rPr>
        <w:t>O</w:t>
      </w:r>
      <w:r w:rsidRPr="00DC1B19">
        <w:rPr>
          <w:rStyle w:val="StyleBodyCalibri12pt"/>
        </w:rPr>
        <w:t>ffice will enable us to draw on the experiences, lessons and inspiration of our local operations staff and on international best practice. It will also help to ensure that fair, transparent and independent review of our practice and decisions feeds back into ongoing improvement.</w:t>
      </w:r>
    </w:p>
    <w:p w:rsidR="004004DF" w:rsidRPr="00DC1B19" w:rsidRDefault="004004DF" w:rsidP="004004DF">
      <w:pPr>
        <w:rPr>
          <w:rStyle w:val="StyleBodyCalibri12pt"/>
        </w:rPr>
      </w:pPr>
    </w:p>
    <w:p w:rsidR="004004DF" w:rsidRPr="00DC1B19" w:rsidRDefault="004004DF" w:rsidP="004004DF">
      <w:pPr>
        <w:rPr>
          <w:rStyle w:val="StyleBodyCalibri12pt"/>
        </w:rPr>
      </w:pPr>
      <w:r w:rsidRPr="00DC1B19">
        <w:rPr>
          <w:rStyle w:val="StyleBodyCalibri12pt"/>
        </w:rPr>
        <w:t>In December 2012</w:t>
      </w:r>
      <w:r w:rsidR="000441F5" w:rsidRPr="00DC1B19">
        <w:rPr>
          <w:rStyle w:val="StyleBodyCalibri12pt"/>
        </w:rPr>
        <w:t>,</w:t>
      </w:r>
      <w:r w:rsidRPr="00DC1B19">
        <w:rPr>
          <w:rStyle w:val="StyleBodyCalibri12pt"/>
        </w:rPr>
        <w:t xml:space="preserve"> Community Services launched the Care and Protection Practice Framework.</w:t>
      </w:r>
      <w:r w:rsidR="000441F5" w:rsidRPr="00DC1B19">
        <w:rPr>
          <w:rStyle w:val="StyleBodyCalibri12pt"/>
        </w:rPr>
        <w:t xml:space="preserve"> </w:t>
      </w:r>
      <w:r w:rsidRPr="00DC1B19">
        <w:rPr>
          <w:rStyle w:val="StyleBodyCalibri12pt"/>
        </w:rPr>
        <w:t xml:space="preserve">The Framework aims to </w:t>
      </w:r>
      <w:r w:rsidR="009D6130" w:rsidRPr="00DC1B19">
        <w:rPr>
          <w:rStyle w:val="StyleBodyCalibri12pt"/>
        </w:rPr>
        <w:t xml:space="preserve">achieve </w:t>
      </w:r>
      <w:r w:rsidRPr="00DC1B19">
        <w:rPr>
          <w:rStyle w:val="StyleBodyCalibri12pt"/>
        </w:rPr>
        <w:t xml:space="preserve">consistency and direction by providing a united frame of reference to help all child protection practitioners </w:t>
      </w:r>
      <w:r w:rsidR="009D6130" w:rsidRPr="00DC1B19">
        <w:rPr>
          <w:rStyle w:val="StyleBodyCalibri12pt"/>
        </w:rPr>
        <w:t xml:space="preserve">to </w:t>
      </w:r>
      <w:r w:rsidRPr="00DC1B19">
        <w:rPr>
          <w:rStyle w:val="StyleBodyCalibri12pt"/>
        </w:rPr>
        <w:t>get the basics right. The Framework outlines the values and principles that underpin our approach to working with children and families. It also answers questions that are fundamental to informing practice</w:t>
      </w:r>
      <w:r w:rsidR="001F524F" w:rsidRPr="00DC1B19">
        <w:rPr>
          <w:rStyle w:val="StyleBodyCalibri12pt"/>
        </w:rPr>
        <w:t>,</w:t>
      </w:r>
      <w:r w:rsidRPr="00DC1B19">
        <w:rPr>
          <w:rStyle w:val="StyleBodyCalibri12pt"/>
        </w:rPr>
        <w:t xml:space="preserve"> such as ‘What do we seek to do each day, with each family?’ and ‘How do we go about achieving this?’</w:t>
      </w:r>
      <w:r w:rsidR="00A973E8" w:rsidRPr="00DC1B19">
        <w:rPr>
          <w:rStyle w:val="StyleBodyCalibri12pt"/>
        </w:rPr>
        <w:t xml:space="preserve"> </w:t>
      </w:r>
    </w:p>
    <w:p w:rsidR="004004DF" w:rsidRPr="00DC1B19" w:rsidRDefault="004004DF" w:rsidP="004004DF">
      <w:pPr>
        <w:rPr>
          <w:rStyle w:val="StyleBodyCalibri12pt"/>
        </w:rPr>
      </w:pPr>
    </w:p>
    <w:p w:rsidR="007E6FE5" w:rsidRPr="00DC1B19" w:rsidRDefault="007E6FE5" w:rsidP="00661167">
      <w:pPr>
        <w:rPr>
          <w:rStyle w:val="StyleBodyCalibri12pt"/>
        </w:rPr>
      </w:pPr>
      <w:r w:rsidRPr="00DC1B19">
        <w:rPr>
          <w:rStyle w:val="StyleBodyCalibri12pt"/>
        </w:rPr>
        <w:t>A new</w:t>
      </w:r>
      <w:r w:rsidR="00985FE8" w:rsidRPr="00DC1B19">
        <w:rPr>
          <w:rStyle w:val="StyleBodyCalibri12pt"/>
        </w:rPr>
        <w:t xml:space="preserve"> </w:t>
      </w:r>
      <w:r w:rsidRPr="00DC1B19">
        <w:rPr>
          <w:rStyle w:val="StyleBodyCalibri12pt"/>
        </w:rPr>
        <w:t xml:space="preserve">Working with Children Check </w:t>
      </w:r>
      <w:r w:rsidR="00561911" w:rsidRPr="00DC1B19">
        <w:rPr>
          <w:rStyle w:val="StyleBodyCalibri12pt"/>
        </w:rPr>
        <w:t xml:space="preserve">(WWCC) </w:t>
      </w:r>
      <w:r w:rsidRPr="00DC1B19">
        <w:rPr>
          <w:rStyle w:val="StyleBodyCalibri12pt"/>
        </w:rPr>
        <w:t xml:space="preserve">in NSW commenced in June 2013. The new </w:t>
      </w:r>
      <w:r w:rsidR="00097279" w:rsidRPr="00DC1B19">
        <w:rPr>
          <w:rStyle w:val="StyleBodyCalibri12pt"/>
        </w:rPr>
        <w:t>c</w:t>
      </w:r>
      <w:r w:rsidRPr="00DC1B19">
        <w:rPr>
          <w:rStyle w:val="StyleBodyCalibri12pt"/>
        </w:rPr>
        <w:t>heck will provide either a clearance or a bar.</w:t>
      </w:r>
      <w:r w:rsidR="005D780B" w:rsidRPr="00DC1B19">
        <w:rPr>
          <w:rStyle w:val="StyleBodyCalibri12pt"/>
        </w:rPr>
        <w:t xml:space="preserve"> </w:t>
      </w:r>
      <w:r w:rsidRPr="00DC1B19">
        <w:rPr>
          <w:rStyle w:val="StyleBodyCalibri12pt"/>
        </w:rPr>
        <w:t xml:space="preserve">For the first time, a person’s full criminal record will be able to be considered. The new </w:t>
      </w:r>
      <w:r w:rsidR="00097279" w:rsidRPr="00DC1B19">
        <w:rPr>
          <w:rStyle w:val="StyleBodyCalibri12pt"/>
        </w:rPr>
        <w:t>c</w:t>
      </w:r>
      <w:r w:rsidRPr="00DC1B19">
        <w:rPr>
          <w:rStyle w:val="StyleBodyCalibri12pt"/>
        </w:rPr>
        <w:t xml:space="preserve">heck will also allow for continuous monitoring of new NSW criminal and disciplinary records. </w:t>
      </w:r>
    </w:p>
    <w:p w:rsidR="00DC2B11" w:rsidRPr="00D42E46" w:rsidRDefault="00DC2B11" w:rsidP="00D92BEA">
      <w:pPr>
        <w:pStyle w:val="Heading4"/>
      </w:pPr>
      <w:r w:rsidRPr="00D42E46">
        <w:t xml:space="preserve">Northern Territory </w:t>
      </w:r>
    </w:p>
    <w:p w:rsidR="0057232C" w:rsidRDefault="002E1C82" w:rsidP="00AE7DB5">
      <w:pPr>
        <w:rPr>
          <w:rFonts w:ascii="Calibri" w:hAnsi="Calibri"/>
          <w:sz w:val="24"/>
          <w:szCs w:val="24"/>
          <w:lang w:eastAsia="en-AU"/>
        </w:rPr>
      </w:pPr>
      <w:r w:rsidRPr="0057232C">
        <w:rPr>
          <w:rFonts w:ascii="Calibri" w:hAnsi="Calibri"/>
          <w:sz w:val="24"/>
          <w:szCs w:val="24"/>
          <w:lang w:eastAsia="en-AU"/>
        </w:rPr>
        <w:t xml:space="preserve">The Northern Territory (NT) Government has implemented a remote community services program known as Community </w:t>
      </w:r>
      <w:r w:rsidR="006A494D">
        <w:rPr>
          <w:rFonts w:ascii="Calibri" w:hAnsi="Calibri"/>
          <w:sz w:val="24"/>
          <w:szCs w:val="24"/>
          <w:lang w:eastAsia="en-AU"/>
        </w:rPr>
        <w:t xml:space="preserve">Child </w:t>
      </w:r>
      <w:r w:rsidRPr="0057232C">
        <w:rPr>
          <w:rFonts w:ascii="Calibri" w:hAnsi="Calibri"/>
          <w:sz w:val="24"/>
          <w:szCs w:val="24"/>
          <w:lang w:eastAsia="en-AU"/>
        </w:rPr>
        <w:t>Safety and Wellbeing Teams (CCSWT).</w:t>
      </w:r>
      <w:r w:rsidR="00A43557">
        <w:rPr>
          <w:rFonts w:ascii="Calibri" w:hAnsi="Calibri"/>
          <w:sz w:val="24"/>
          <w:szCs w:val="24"/>
          <w:lang w:eastAsia="en-AU"/>
        </w:rPr>
        <w:t xml:space="preserve"> </w:t>
      </w:r>
      <w:r w:rsidRPr="0057232C">
        <w:rPr>
          <w:rFonts w:ascii="Calibri" w:hAnsi="Calibri"/>
          <w:sz w:val="24"/>
          <w:szCs w:val="24"/>
          <w:lang w:eastAsia="en-AU"/>
        </w:rPr>
        <w:t xml:space="preserve">Senior practitioners, located in a small number of communities across the NT, develop a comprehensive understanding of the service provider networks in their communities and forge productive relationships across government and the </w:t>
      </w:r>
      <w:r w:rsidR="005E67E8">
        <w:rPr>
          <w:rFonts w:ascii="Calibri" w:hAnsi="Calibri"/>
          <w:sz w:val="24"/>
          <w:szCs w:val="24"/>
          <w:lang w:eastAsia="en-AU"/>
        </w:rPr>
        <w:t>community</w:t>
      </w:r>
      <w:r w:rsidRPr="0057232C">
        <w:rPr>
          <w:rFonts w:ascii="Calibri" w:hAnsi="Calibri"/>
          <w:sz w:val="24"/>
          <w:szCs w:val="24"/>
          <w:lang w:eastAsia="en-AU"/>
        </w:rPr>
        <w:t xml:space="preserve"> sector.</w:t>
      </w:r>
      <w:r w:rsidR="00A43557">
        <w:rPr>
          <w:rFonts w:ascii="Calibri" w:hAnsi="Calibri"/>
          <w:sz w:val="24"/>
          <w:szCs w:val="24"/>
          <w:lang w:eastAsia="en-AU"/>
        </w:rPr>
        <w:t xml:space="preserve"> </w:t>
      </w:r>
    </w:p>
    <w:p w:rsidR="0057232C" w:rsidRDefault="0057232C" w:rsidP="00AE7DB5">
      <w:pPr>
        <w:rPr>
          <w:rFonts w:ascii="Calibri" w:hAnsi="Calibri"/>
          <w:sz w:val="24"/>
          <w:szCs w:val="24"/>
          <w:lang w:eastAsia="en-AU"/>
        </w:rPr>
      </w:pPr>
    </w:p>
    <w:p w:rsidR="002E1C82" w:rsidRPr="0057232C" w:rsidRDefault="002E1C82" w:rsidP="00AE7DB5">
      <w:pPr>
        <w:rPr>
          <w:rFonts w:ascii="Calibri" w:hAnsi="Calibri"/>
          <w:sz w:val="24"/>
          <w:szCs w:val="24"/>
          <w:lang w:eastAsia="en-AU"/>
        </w:rPr>
      </w:pPr>
      <w:r w:rsidRPr="0057232C">
        <w:rPr>
          <w:rFonts w:ascii="Calibri" w:hAnsi="Calibri"/>
          <w:sz w:val="24"/>
          <w:szCs w:val="24"/>
          <w:lang w:eastAsia="en-AU"/>
        </w:rPr>
        <w:t xml:space="preserve">To strengthen and develop the NT’s regional and remote Indigenous workforce, </w:t>
      </w:r>
      <w:r w:rsidR="006A494D">
        <w:rPr>
          <w:rFonts w:ascii="Calibri" w:hAnsi="Calibri"/>
          <w:sz w:val="24"/>
          <w:szCs w:val="24"/>
          <w:lang w:eastAsia="en-AU"/>
        </w:rPr>
        <w:t>the D</w:t>
      </w:r>
      <w:r w:rsidR="006A494D" w:rsidRPr="006A494D">
        <w:rPr>
          <w:rFonts w:ascii="Calibri" w:hAnsi="Calibri"/>
          <w:sz w:val="24"/>
          <w:szCs w:val="24"/>
          <w:lang w:eastAsia="en-AU"/>
        </w:rPr>
        <w:t xml:space="preserve">epartment </w:t>
      </w:r>
      <w:r w:rsidR="006A494D">
        <w:rPr>
          <w:rFonts w:ascii="Calibri" w:hAnsi="Calibri"/>
          <w:sz w:val="24"/>
          <w:szCs w:val="24"/>
          <w:lang w:eastAsia="en-AU"/>
        </w:rPr>
        <w:t>of C</w:t>
      </w:r>
      <w:r w:rsidR="006A494D" w:rsidRPr="006A494D">
        <w:rPr>
          <w:rFonts w:ascii="Calibri" w:hAnsi="Calibri"/>
          <w:sz w:val="24"/>
          <w:szCs w:val="24"/>
          <w:lang w:eastAsia="en-AU"/>
        </w:rPr>
        <w:t xml:space="preserve">hildren and </w:t>
      </w:r>
      <w:r w:rsidR="006A494D">
        <w:rPr>
          <w:rFonts w:ascii="Calibri" w:hAnsi="Calibri"/>
          <w:sz w:val="24"/>
          <w:szCs w:val="24"/>
          <w:lang w:eastAsia="en-AU"/>
        </w:rPr>
        <w:t>F</w:t>
      </w:r>
      <w:r w:rsidR="006A494D" w:rsidRPr="006A494D">
        <w:rPr>
          <w:rFonts w:ascii="Calibri" w:hAnsi="Calibri"/>
          <w:sz w:val="24"/>
          <w:szCs w:val="24"/>
          <w:lang w:eastAsia="en-AU"/>
        </w:rPr>
        <w:t>amilies</w:t>
      </w:r>
      <w:r w:rsidR="006A494D">
        <w:rPr>
          <w:rFonts w:ascii="Calibri" w:hAnsi="Calibri"/>
          <w:sz w:val="24"/>
          <w:szCs w:val="24"/>
          <w:lang w:eastAsia="en-AU"/>
        </w:rPr>
        <w:t xml:space="preserve"> (DCF)</w:t>
      </w:r>
      <w:r w:rsidRPr="0057232C">
        <w:rPr>
          <w:rFonts w:ascii="Calibri" w:hAnsi="Calibri"/>
          <w:sz w:val="24"/>
          <w:szCs w:val="24"/>
          <w:lang w:eastAsia="en-AU"/>
        </w:rPr>
        <w:t xml:space="preserve"> has developed an integrated framework of Vocational Education and Training (VET) and Higher Education (HE) qualification pathways, n</w:t>
      </w:r>
      <w:r w:rsidR="0057232C">
        <w:rPr>
          <w:rFonts w:ascii="Calibri" w:hAnsi="Calibri"/>
          <w:sz w:val="24"/>
          <w:szCs w:val="24"/>
          <w:lang w:eastAsia="en-AU"/>
        </w:rPr>
        <w:t>on-accredited courses and skill</w:t>
      </w:r>
      <w:r w:rsidRPr="0057232C">
        <w:rPr>
          <w:rFonts w:ascii="Calibri" w:hAnsi="Calibri"/>
          <w:sz w:val="24"/>
          <w:szCs w:val="24"/>
          <w:lang w:eastAsia="en-AU"/>
        </w:rPr>
        <w:t xml:space="preserve"> sets designed to grow the capacity of the professional and </w:t>
      </w:r>
      <w:proofErr w:type="spellStart"/>
      <w:r w:rsidRPr="0057232C">
        <w:rPr>
          <w:rFonts w:ascii="Calibri" w:hAnsi="Calibri"/>
          <w:sz w:val="24"/>
          <w:szCs w:val="24"/>
          <w:lang w:eastAsia="en-AU"/>
        </w:rPr>
        <w:t>para</w:t>
      </w:r>
      <w:proofErr w:type="spellEnd"/>
      <w:r w:rsidRPr="0057232C">
        <w:rPr>
          <w:rFonts w:ascii="Calibri" w:hAnsi="Calibri"/>
          <w:sz w:val="24"/>
          <w:szCs w:val="24"/>
          <w:lang w:eastAsia="en-AU"/>
        </w:rPr>
        <w:t>-professional child protection workforce within the Northern Territory.</w:t>
      </w:r>
      <w:r w:rsidR="00A43557">
        <w:rPr>
          <w:rFonts w:ascii="Calibri" w:hAnsi="Calibri"/>
          <w:sz w:val="24"/>
          <w:szCs w:val="24"/>
          <w:lang w:eastAsia="en-AU"/>
        </w:rPr>
        <w:t xml:space="preserve"> </w:t>
      </w:r>
      <w:r w:rsidRPr="0057232C">
        <w:rPr>
          <w:rFonts w:ascii="Calibri" w:hAnsi="Calibri"/>
          <w:sz w:val="24"/>
          <w:szCs w:val="24"/>
          <w:lang w:eastAsia="en-AU"/>
        </w:rPr>
        <w:t>In 2012</w:t>
      </w:r>
      <w:r w:rsidR="0057232C">
        <w:rPr>
          <w:rFonts w:ascii="Calibri" w:hAnsi="Calibri"/>
          <w:sz w:val="24"/>
          <w:szCs w:val="24"/>
          <w:lang w:eastAsia="en-AU"/>
        </w:rPr>
        <w:t>–</w:t>
      </w:r>
      <w:r w:rsidRPr="0057232C">
        <w:rPr>
          <w:rFonts w:ascii="Calibri" w:hAnsi="Calibri"/>
          <w:sz w:val="24"/>
          <w:szCs w:val="24"/>
          <w:lang w:eastAsia="en-AU"/>
        </w:rPr>
        <w:t>13, DCF sponsored 24 places in the Certificate III in Community Services Work. This qualification is contextualised to the NT to grow the capability of the child protection workforce and develop staff skills to deliver statutory child protection through a casework model within a community services risk management framework.</w:t>
      </w:r>
    </w:p>
    <w:p w:rsidR="00DC2B11" w:rsidRPr="00D42E46" w:rsidRDefault="00DC2B11" w:rsidP="00D92BEA">
      <w:pPr>
        <w:pStyle w:val="Heading4"/>
      </w:pPr>
      <w:r w:rsidRPr="00D42E46">
        <w:t xml:space="preserve">Queensland </w:t>
      </w:r>
    </w:p>
    <w:p w:rsidR="009204A5" w:rsidRPr="00DC1B19" w:rsidRDefault="00AF4636" w:rsidP="006A71B0">
      <w:pPr>
        <w:rPr>
          <w:rStyle w:val="StyleBodyCalibri12pt"/>
        </w:rPr>
      </w:pPr>
      <w:r w:rsidRPr="00DC1B19">
        <w:rPr>
          <w:rStyle w:val="StyleBodyCalibri12pt"/>
        </w:rPr>
        <w:t>On 1 July 2012</w:t>
      </w:r>
      <w:r w:rsidR="006A71B0" w:rsidRPr="00DC1B19">
        <w:rPr>
          <w:rStyle w:val="StyleBodyCalibri12pt"/>
        </w:rPr>
        <w:t>,</w:t>
      </w:r>
      <w:r w:rsidR="006E2A94" w:rsidRPr="00DC1B19">
        <w:rPr>
          <w:rStyle w:val="StyleBodyCalibri12pt"/>
        </w:rPr>
        <w:t xml:space="preserve"> the Queensland Government established the Queensland Child Protection Commission of Inquiry to comprehensively investigate the child protection system in Queensland and to make recommendations that are affordable</w:t>
      </w:r>
      <w:r w:rsidR="00BE6770" w:rsidRPr="00DC1B19">
        <w:rPr>
          <w:rStyle w:val="StyleBodyCalibri12pt"/>
        </w:rPr>
        <w:t xml:space="preserve"> and</w:t>
      </w:r>
      <w:r w:rsidR="006E2A94" w:rsidRPr="00DC1B19">
        <w:rPr>
          <w:rStyle w:val="StyleBodyCalibri12pt"/>
        </w:rPr>
        <w:t xml:space="preserve"> deliverable and provide effective and efficient outcomes</w:t>
      </w:r>
      <w:r w:rsidR="00DF24F0" w:rsidRPr="00DC1B19">
        <w:rPr>
          <w:rStyle w:val="StyleBodyCalibri12pt"/>
        </w:rPr>
        <w:t xml:space="preserve">. </w:t>
      </w:r>
      <w:r w:rsidR="009C5EA6" w:rsidRPr="00DC1B19">
        <w:rPr>
          <w:rStyle w:val="StyleBodyCalibri12pt"/>
        </w:rPr>
        <w:t xml:space="preserve">Reforms </w:t>
      </w:r>
      <w:r w:rsidR="00D05097" w:rsidRPr="00DC1B19">
        <w:rPr>
          <w:rStyle w:val="StyleBodyCalibri12pt"/>
        </w:rPr>
        <w:t>include</w:t>
      </w:r>
      <w:r w:rsidR="00CB27ED" w:rsidRPr="00DC1B19">
        <w:rPr>
          <w:rStyle w:val="StyleBodyCalibri12pt"/>
        </w:rPr>
        <w:t xml:space="preserve"> ensur</w:t>
      </w:r>
      <w:r w:rsidR="00D05097" w:rsidRPr="00DC1B19">
        <w:rPr>
          <w:rStyle w:val="StyleBodyCalibri12pt"/>
        </w:rPr>
        <w:t>ing</w:t>
      </w:r>
      <w:r w:rsidR="00CB27ED" w:rsidRPr="00DC1B19">
        <w:rPr>
          <w:rStyle w:val="StyleBodyCalibri12pt"/>
        </w:rPr>
        <w:t xml:space="preserve"> that Queensland’s child protection system achieves the best possible outcomes for children and </w:t>
      </w:r>
      <w:r w:rsidR="009C5EA6" w:rsidRPr="00DC1B19">
        <w:rPr>
          <w:rStyle w:val="StyleBodyCalibri12pt"/>
        </w:rPr>
        <w:t>families;</w:t>
      </w:r>
      <w:r w:rsidR="00CB27ED" w:rsidRPr="00DC1B19">
        <w:rPr>
          <w:rStyle w:val="StyleBodyCalibri12pt"/>
        </w:rPr>
        <w:t xml:space="preserve"> strategies to reduce the over-representation of Aboriginal and Torres Strait Islander children at all stages of the child protection system; legislative reforms; and </w:t>
      </w:r>
      <w:r w:rsidR="009C5EA6" w:rsidRPr="00DC1B19">
        <w:rPr>
          <w:rStyle w:val="StyleBodyCalibri12pt"/>
        </w:rPr>
        <w:t>improvements to</w:t>
      </w:r>
      <w:r w:rsidR="00CB27ED" w:rsidRPr="00DC1B19">
        <w:rPr>
          <w:rStyle w:val="StyleBodyCalibri12pt"/>
        </w:rPr>
        <w:t xml:space="preserve"> oversight, monitoring and complaints mechanisms of the child protection system will be considered.</w:t>
      </w:r>
    </w:p>
    <w:p w:rsidR="009204A5" w:rsidRPr="00DC1B19" w:rsidRDefault="009204A5" w:rsidP="006A71B0">
      <w:pPr>
        <w:rPr>
          <w:rStyle w:val="StyleBodyCalibri12pt"/>
        </w:rPr>
      </w:pPr>
    </w:p>
    <w:p w:rsidR="00196EAF" w:rsidRPr="006A71B0" w:rsidRDefault="006E2A94" w:rsidP="00196EAF">
      <w:pPr>
        <w:rPr>
          <w:rFonts w:asciiTheme="minorHAnsi" w:hAnsiTheme="minorHAnsi"/>
        </w:rPr>
      </w:pPr>
      <w:r w:rsidRPr="00DC1B19">
        <w:rPr>
          <w:rStyle w:val="StyleBodyCalibri12pt"/>
        </w:rPr>
        <w:t>The Commission of Inquiry provided its final report to Government on 1 July 2013</w:t>
      </w:r>
      <w:proofErr w:type="gramStart"/>
      <w:r w:rsidR="006A71B0" w:rsidRPr="00DC1B19">
        <w:rPr>
          <w:rStyle w:val="StyleBodyCalibri12pt"/>
        </w:rPr>
        <w:t>,</w:t>
      </w:r>
      <w:r w:rsidRPr="00DC1B19">
        <w:rPr>
          <w:rStyle w:val="StyleBodyCalibri12pt"/>
        </w:rPr>
        <w:t>.</w:t>
      </w:r>
      <w:proofErr w:type="gramEnd"/>
      <w:r w:rsidR="00196EAF" w:rsidRPr="00DC1B19">
        <w:rPr>
          <w:rStyle w:val="StyleBodyCalibri12pt"/>
        </w:rPr>
        <w:t xml:space="preserve"> On 16 December 2013, the Queensland Government accepted all the recommendations, with six recommendations accepted in-principle. </w:t>
      </w:r>
      <w:proofErr w:type="gramStart"/>
      <w:r w:rsidR="00196EAF" w:rsidRPr="00DC1B19">
        <w:rPr>
          <w:rStyle w:val="StyleBodyCalibri12pt"/>
        </w:rPr>
        <w:t>Implementation of reforms have</w:t>
      </w:r>
      <w:proofErr w:type="gramEnd"/>
      <w:r w:rsidR="00196EAF" w:rsidRPr="00DC1B19">
        <w:rPr>
          <w:rStyle w:val="StyleBodyCalibri12pt"/>
        </w:rPr>
        <w:t xml:space="preserve"> now commenced.</w:t>
      </w:r>
    </w:p>
    <w:p w:rsidR="00DC2B11" w:rsidRPr="00D42E46" w:rsidRDefault="00DC2B11" w:rsidP="00D92BEA">
      <w:pPr>
        <w:pStyle w:val="Heading4"/>
      </w:pPr>
      <w:r w:rsidRPr="00D42E46">
        <w:t xml:space="preserve">South Australia </w:t>
      </w:r>
    </w:p>
    <w:p w:rsidR="001C5108" w:rsidRPr="00DC1B19" w:rsidRDefault="001C5108" w:rsidP="001C5108">
      <w:pPr>
        <w:rPr>
          <w:rStyle w:val="StyleBodyCalibri12pt"/>
        </w:rPr>
      </w:pPr>
      <w:r w:rsidRPr="00DC1B19">
        <w:rPr>
          <w:rStyle w:val="StyleBodyCalibri12pt"/>
        </w:rPr>
        <w:t>In South Australia</w:t>
      </w:r>
      <w:r w:rsidR="00BE6770" w:rsidRPr="00DC1B19">
        <w:rPr>
          <w:rStyle w:val="StyleBodyCalibri12pt"/>
        </w:rPr>
        <w:t xml:space="preserve"> (SA)</w:t>
      </w:r>
      <w:r w:rsidR="001F524F" w:rsidRPr="00DC1B19">
        <w:rPr>
          <w:rStyle w:val="StyleBodyCalibri12pt"/>
        </w:rPr>
        <w:t>,</w:t>
      </w:r>
      <w:r w:rsidRPr="00DC1B19">
        <w:rPr>
          <w:rStyle w:val="StyleBodyCalibri12pt"/>
        </w:rPr>
        <w:t xml:space="preserve"> a number of reforms have been advanced under the government’s Every Chance for Every Child strategic priority area. </w:t>
      </w:r>
      <w:proofErr w:type="spellStart"/>
      <w:r w:rsidRPr="00DC1B19">
        <w:rPr>
          <w:rStyle w:val="StyleBodyCalibri12pt"/>
        </w:rPr>
        <w:t>Statewide</w:t>
      </w:r>
      <w:proofErr w:type="spellEnd"/>
      <w:r w:rsidRPr="00DC1B19">
        <w:rPr>
          <w:rStyle w:val="StyleBodyCalibri12pt"/>
        </w:rPr>
        <w:t xml:space="preserve"> community consultations have informed the proposed Child Development and Wellbeing legislative reform.</w:t>
      </w:r>
      <w:r w:rsidR="00A973E8" w:rsidRPr="00DC1B19">
        <w:rPr>
          <w:rStyle w:val="StyleBodyCalibri12pt"/>
        </w:rPr>
        <w:t xml:space="preserve"> </w:t>
      </w:r>
      <w:r w:rsidRPr="00DC1B19">
        <w:rPr>
          <w:rStyle w:val="StyleBodyCalibri12pt"/>
        </w:rPr>
        <w:t xml:space="preserve">This will support the creation of a more effective and connected approach to supporting children’s care and development across local, state and </w:t>
      </w:r>
      <w:r w:rsidR="00313D79" w:rsidRPr="00DC1B19">
        <w:rPr>
          <w:rStyle w:val="StyleBodyCalibri12pt"/>
        </w:rPr>
        <w:t>community</w:t>
      </w:r>
      <w:r w:rsidRPr="00DC1B19">
        <w:rPr>
          <w:rStyle w:val="StyleBodyCalibri12pt"/>
        </w:rPr>
        <w:t xml:space="preserve"> organisations. </w:t>
      </w:r>
    </w:p>
    <w:p w:rsidR="001C5108" w:rsidRPr="00DC1B19" w:rsidRDefault="001C5108" w:rsidP="001C5108">
      <w:pPr>
        <w:rPr>
          <w:rStyle w:val="StyleBodyCalibri12pt"/>
        </w:rPr>
      </w:pPr>
    </w:p>
    <w:p w:rsidR="001C5108" w:rsidRPr="00DC1B19" w:rsidRDefault="001C5108" w:rsidP="001C5108">
      <w:pPr>
        <w:rPr>
          <w:rStyle w:val="StyleBodyCalibri12pt"/>
        </w:rPr>
      </w:pPr>
      <w:r w:rsidRPr="00DC1B19">
        <w:rPr>
          <w:rStyle w:val="StyleBodyCalibri12pt"/>
        </w:rPr>
        <w:t xml:space="preserve">The Department for Education and Child Development </w:t>
      </w:r>
      <w:r w:rsidR="00C41EA6" w:rsidRPr="00DC1B19">
        <w:rPr>
          <w:rStyle w:val="StyleBodyCalibri12pt"/>
        </w:rPr>
        <w:t xml:space="preserve">(DECD) </w:t>
      </w:r>
      <w:r w:rsidRPr="00DC1B19">
        <w:rPr>
          <w:rStyle w:val="StyleBodyCalibri12pt"/>
        </w:rPr>
        <w:t>reform agenda, Brighter Futures</w:t>
      </w:r>
      <w:r w:rsidR="00C41EA6" w:rsidRPr="00DC1B19">
        <w:rPr>
          <w:rStyle w:val="StyleBodyCalibri12pt"/>
        </w:rPr>
        <w:t>, includes</w:t>
      </w:r>
      <w:r w:rsidRPr="00DC1B19">
        <w:rPr>
          <w:rStyle w:val="StyleBodyCalibri12pt"/>
        </w:rPr>
        <w:t xml:space="preserve"> </w:t>
      </w:r>
      <w:r w:rsidR="00C41EA6" w:rsidRPr="00DC1B19">
        <w:rPr>
          <w:rStyle w:val="StyleBodyCalibri12pt"/>
        </w:rPr>
        <w:t>a focus</w:t>
      </w:r>
      <w:r w:rsidRPr="00DC1B19">
        <w:rPr>
          <w:rStyle w:val="StyleBodyCalibri12pt"/>
        </w:rPr>
        <w:t xml:space="preserve"> </w:t>
      </w:r>
      <w:r w:rsidR="00C41EA6" w:rsidRPr="00DC1B19">
        <w:rPr>
          <w:rStyle w:val="StyleBodyCalibri12pt"/>
        </w:rPr>
        <w:t>on providing</w:t>
      </w:r>
      <w:r w:rsidRPr="00DC1B19">
        <w:rPr>
          <w:rStyle w:val="StyleBodyCalibri12pt"/>
        </w:rPr>
        <w:t xml:space="preserve"> services where they are most needed and </w:t>
      </w:r>
      <w:r w:rsidR="001F524F" w:rsidRPr="00DC1B19">
        <w:rPr>
          <w:rStyle w:val="StyleBodyCalibri12pt"/>
        </w:rPr>
        <w:t xml:space="preserve">on </w:t>
      </w:r>
      <w:r w:rsidR="00C41EA6" w:rsidRPr="00DC1B19">
        <w:rPr>
          <w:rStyle w:val="StyleBodyCalibri12pt"/>
        </w:rPr>
        <w:t>strengthening supports</w:t>
      </w:r>
      <w:r w:rsidRPr="00DC1B19">
        <w:rPr>
          <w:rStyle w:val="StyleBodyCalibri12pt"/>
        </w:rPr>
        <w:t xml:space="preserve"> for children and their families.</w:t>
      </w:r>
      <w:r w:rsidR="00A973E8" w:rsidRPr="00DC1B19">
        <w:rPr>
          <w:rStyle w:val="StyleBodyCalibri12pt"/>
        </w:rPr>
        <w:t xml:space="preserve"> </w:t>
      </w:r>
      <w:r w:rsidRPr="00DC1B19">
        <w:rPr>
          <w:rStyle w:val="StyleBodyCalibri12pt"/>
        </w:rPr>
        <w:t xml:space="preserve">A new Office for Child Safety has been created to lead child safety policy, practice and standards across government. </w:t>
      </w:r>
    </w:p>
    <w:p w:rsidR="001C5108" w:rsidRPr="00DC1B19" w:rsidRDefault="001C5108" w:rsidP="001F524F">
      <w:pPr>
        <w:rPr>
          <w:rStyle w:val="StyleBodyCalibri12pt"/>
        </w:rPr>
      </w:pPr>
    </w:p>
    <w:p w:rsidR="001C5108" w:rsidRPr="001F524F" w:rsidRDefault="001C5108" w:rsidP="001F524F">
      <w:pPr>
        <w:rPr>
          <w:rFonts w:asciiTheme="minorHAnsi" w:hAnsiTheme="minorHAnsi"/>
        </w:rPr>
      </w:pPr>
      <w:r w:rsidRPr="00DC1B19">
        <w:rPr>
          <w:rStyle w:val="StyleBodyCalibri12pt"/>
        </w:rPr>
        <w:t>During 2012</w:t>
      </w:r>
      <w:r w:rsidR="001F524F" w:rsidRPr="00DC1B19">
        <w:rPr>
          <w:rStyle w:val="StyleBodyCalibri12pt"/>
        </w:rPr>
        <w:t>–</w:t>
      </w:r>
      <w:r w:rsidRPr="00DC1B19">
        <w:rPr>
          <w:rStyle w:val="StyleBodyCalibri12pt"/>
        </w:rPr>
        <w:t>13</w:t>
      </w:r>
      <w:r w:rsidR="001F524F" w:rsidRPr="00DC1B19">
        <w:rPr>
          <w:rStyle w:val="StyleBodyCalibri12pt"/>
        </w:rPr>
        <w:t>,</w:t>
      </w:r>
      <w:r w:rsidRPr="00DC1B19">
        <w:rPr>
          <w:rStyle w:val="StyleBodyCalibri12pt"/>
        </w:rPr>
        <w:t xml:space="preserve"> Families SA commenced Redesign of its child protection services, including the implementation of a new practice model across all its business. Redesign will guide the development of practice focused on strengthening families and supporting them to develop their skills and capacity to provide safe and nurturing environments for their children.</w:t>
      </w:r>
      <w:r w:rsidR="00A973E8" w:rsidRPr="00DC1B19">
        <w:rPr>
          <w:rStyle w:val="StyleBodyCalibri12pt"/>
        </w:rPr>
        <w:t xml:space="preserve"> </w:t>
      </w:r>
    </w:p>
    <w:p w:rsidR="00DC2B11" w:rsidRPr="00D42E46" w:rsidRDefault="00DC2B11" w:rsidP="00D92BEA">
      <w:pPr>
        <w:pStyle w:val="Heading4"/>
      </w:pPr>
      <w:r w:rsidRPr="00D42E46">
        <w:t>Tasmania</w:t>
      </w:r>
    </w:p>
    <w:p w:rsidR="0057087E" w:rsidRPr="00DC1B19" w:rsidRDefault="0057087E" w:rsidP="0057087E">
      <w:pPr>
        <w:rPr>
          <w:rStyle w:val="StyleBodyCalibri12pt"/>
        </w:rPr>
      </w:pPr>
      <w:r w:rsidRPr="00DC1B19">
        <w:rPr>
          <w:rStyle w:val="StyleBodyCalibri12pt"/>
        </w:rPr>
        <w:t xml:space="preserve">Children and Youth Services </w:t>
      </w:r>
      <w:r w:rsidR="00352B6E" w:rsidRPr="00DC1B19">
        <w:rPr>
          <w:rStyle w:val="StyleBodyCalibri12pt"/>
        </w:rPr>
        <w:t xml:space="preserve">(CYS) </w:t>
      </w:r>
      <w:r w:rsidRPr="00DC1B19">
        <w:rPr>
          <w:rStyle w:val="StyleBodyCalibri12pt"/>
        </w:rPr>
        <w:t xml:space="preserve">in Tasmania </w:t>
      </w:r>
      <w:r w:rsidR="00E71C4F" w:rsidRPr="00DC1B19">
        <w:rPr>
          <w:rStyle w:val="StyleBodyCalibri12pt"/>
        </w:rPr>
        <w:t>has</w:t>
      </w:r>
      <w:r w:rsidRPr="00DC1B19">
        <w:rPr>
          <w:rStyle w:val="StyleBodyCalibri12pt"/>
        </w:rPr>
        <w:t xml:space="preserve"> implemented new Models of Care across their key service areas of Child Health and Parenting, Child Protection, Family Violence Counselling and Support, </w:t>
      </w:r>
      <w:r w:rsidR="00565916" w:rsidRPr="00DC1B19">
        <w:rPr>
          <w:rStyle w:val="StyleBodyCalibri12pt"/>
        </w:rPr>
        <w:t>Out-of-</w:t>
      </w:r>
      <w:r w:rsidRPr="00DC1B19">
        <w:rPr>
          <w:rStyle w:val="StyleBodyCalibri12pt"/>
        </w:rPr>
        <w:t>Home Care and Youth Justice. The new reforms provide an integrated and holistic model of operation for services, support improved outcomes and ensure connections between the various elements of the children and youth service system.</w:t>
      </w:r>
      <w:r w:rsidR="00A43557" w:rsidRPr="00DC1B19">
        <w:rPr>
          <w:rStyle w:val="StyleBodyCalibri12pt"/>
        </w:rPr>
        <w:t xml:space="preserve"> </w:t>
      </w:r>
      <w:r w:rsidRPr="00DC1B19">
        <w:rPr>
          <w:rStyle w:val="StyleBodyCalibri12pt"/>
        </w:rPr>
        <w:t>The Models are child and youth centred and family focused</w:t>
      </w:r>
      <w:r w:rsidR="00E71C4F" w:rsidRPr="00DC1B19">
        <w:rPr>
          <w:rStyle w:val="StyleBodyCalibri12pt"/>
        </w:rPr>
        <w:t>,</w:t>
      </w:r>
      <w:r w:rsidRPr="00DC1B19">
        <w:rPr>
          <w:rStyle w:val="StyleBodyCalibri12pt"/>
        </w:rPr>
        <w:t xml:space="preserve"> with key reforms in early intervention and prevention, enhanced support and access to services for vulnerable families and improved collaborative practices to better address the needs of vulnerable clients.</w:t>
      </w:r>
    </w:p>
    <w:p w:rsidR="00DC2B11" w:rsidRPr="00D42E46" w:rsidRDefault="00DC2B11" w:rsidP="00D92BEA">
      <w:pPr>
        <w:pStyle w:val="Heading4"/>
      </w:pPr>
      <w:r w:rsidRPr="00D42E46">
        <w:t>Victoria</w:t>
      </w:r>
    </w:p>
    <w:p w:rsidR="00061606" w:rsidRPr="00061606" w:rsidRDefault="00061606" w:rsidP="00A32072">
      <w:pPr>
        <w:rPr>
          <w:rFonts w:ascii="Calibri" w:hAnsi="Calibri"/>
          <w:sz w:val="24"/>
          <w:szCs w:val="24"/>
          <w:lang w:eastAsia="en-AU"/>
        </w:rPr>
      </w:pPr>
      <w:r w:rsidRPr="00061606">
        <w:rPr>
          <w:rFonts w:ascii="Calibri" w:hAnsi="Calibri"/>
          <w:sz w:val="24"/>
          <w:szCs w:val="24"/>
          <w:lang w:eastAsia="en-AU"/>
        </w:rPr>
        <w:t>Victoria has been undertaking a number of key reforms to improve outcomes for vulnerable children.</w:t>
      </w:r>
      <w:r w:rsidR="00A973E8">
        <w:rPr>
          <w:rFonts w:ascii="Calibri" w:hAnsi="Calibri"/>
          <w:sz w:val="24"/>
          <w:szCs w:val="24"/>
          <w:lang w:eastAsia="en-AU"/>
        </w:rPr>
        <w:t xml:space="preserve"> </w:t>
      </w:r>
      <w:r w:rsidRPr="00061606">
        <w:rPr>
          <w:rFonts w:ascii="Calibri" w:hAnsi="Calibri"/>
          <w:sz w:val="24"/>
          <w:szCs w:val="24"/>
          <w:lang w:eastAsia="en-AU"/>
        </w:rPr>
        <w:t>Services Connect is a new</w:t>
      </w:r>
      <w:r w:rsidR="00EE491D">
        <w:rPr>
          <w:rFonts w:ascii="Calibri" w:hAnsi="Calibri"/>
          <w:sz w:val="24"/>
          <w:szCs w:val="24"/>
          <w:lang w:eastAsia="en-AU"/>
        </w:rPr>
        <w:t>,</w:t>
      </w:r>
      <w:r w:rsidRPr="00061606">
        <w:rPr>
          <w:rFonts w:ascii="Calibri" w:hAnsi="Calibri"/>
          <w:sz w:val="24"/>
          <w:szCs w:val="24"/>
          <w:lang w:eastAsia="en-AU"/>
        </w:rPr>
        <w:t xml:space="preserve"> integrated model for human services</w:t>
      </w:r>
      <w:r w:rsidR="00DA385A">
        <w:rPr>
          <w:rFonts w:ascii="Calibri" w:hAnsi="Calibri"/>
          <w:sz w:val="24"/>
          <w:szCs w:val="24"/>
          <w:lang w:eastAsia="en-AU"/>
        </w:rPr>
        <w:t>,</w:t>
      </w:r>
      <w:r w:rsidRPr="00061606">
        <w:rPr>
          <w:rFonts w:ascii="Calibri" w:hAnsi="Calibri"/>
          <w:sz w:val="24"/>
          <w:szCs w:val="24"/>
          <w:lang w:eastAsia="en-AU"/>
        </w:rPr>
        <w:t xml:space="preserve"> designed to connect people with the right support, </w:t>
      </w:r>
      <w:r w:rsidR="00DA385A">
        <w:rPr>
          <w:rFonts w:ascii="Calibri" w:hAnsi="Calibri"/>
          <w:sz w:val="24"/>
          <w:szCs w:val="24"/>
          <w:lang w:eastAsia="en-AU"/>
        </w:rPr>
        <w:t xml:space="preserve">to </w:t>
      </w:r>
      <w:r w:rsidRPr="00061606">
        <w:rPr>
          <w:rFonts w:ascii="Calibri" w:hAnsi="Calibri"/>
          <w:sz w:val="24"/>
          <w:szCs w:val="24"/>
          <w:lang w:eastAsia="en-AU"/>
        </w:rPr>
        <w:t xml:space="preserve">address the whole range of a person’s or family’s needs and </w:t>
      </w:r>
      <w:r w:rsidR="00DA385A">
        <w:rPr>
          <w:rFonts w:ascii="Calibri" w:hAnsi="Calibri"/>
          <w:sz w:val="24"/>
          <w:szCs w:val="24"/>
          <w:lang w:eastAsia="en-AU"/>
        </w:rPr>
        <w:t xml:space="preserve">to </w:t>
      </w:r>
      <w:r w:rsidRPr="00061606">
        <w:rPr>
          <w:rFonts w:ascii="Calibri" w:hAnsi="Calibri"/>
          <w:sz w:val="24"/>
          <w:szCs w:val="24"/>
          <w:lang w:eastAsia="en-AU"/>
        </w:rPr>
        <w:t xml:space="preserve">help people build their capabilities to improve their lives. </w:t>
      </w:r>
    </w:p>
    <w:p w:rsidR="00061606" w:rsidRPr="00061606" w:rsidRDefault="00061606" w:rsidP="00061606">
      <w:pPr>
        <w:autoSpaceDE w:val="0"/>
        <w:autoSpaceDN w:val="0"/>
        <w:adjustRightInd w:val="0"/>
        <w:rPr>
          <w:rFonts w:ascii="Calibri" w:hAnsi="Calibri"/>
          <w:sz w:val="24"/>
          <w:szCs w:val="24"/>
          <w:lang w:eastAsia="en-AU"/>
        </w:rPr>
      </w:pPr>
    </w:p>
    <w:p w:rsidR="00061606" w:rsidRPr="00061606" w:rsidRDefault="00061606" w:rsidP="00A32072">
      <w:pPr>
        <w:rPr>
          <w:rFonts w:ascii="Calibri" w:hAnsi="Calibri"/>
          <w:sz w:val="24"/>
          <w:szCs w:val="24"/>
          <w:lang w:eastAsia="en-AU"/>
        </w:rPr>
      </w:pPr>
      <w:r w:rsidRPr="00061606">
        <w:rPr>
          <w:rFonts w:ascii="Calibri" w:hAnsi="Calibri"/>
          <w:i/>
          <w:sz w:val="24"/>
          <w:szCs w:val="24"/>
          <w:lang w:eastAsia="en-AU"/>
        </w:rPr>
        <w:t>Victoria’s vulnerable children: our shared responsibility</w:t>
      </w:r>
      <w:r w:rsidRPr="00061606">
        <w:rPr>
          <w:rFonts w:ascii="Calibri" w:hAnsi="Calibri"/>
          <w:sz w:val="24"/>
          <w:szCs w:val="24"/>
          <w:lang w:eastAsia="en-AU"/>
        </w:rPr>
        <w:t xml:space="preserve"> </w:t>
      </w:r>
      <w:r w:rsidRPr="00061606">
        <w:rPr>
          <w:rFonts w:ascii="Calibri" w:hAnsi="Calibri"/>
          <w:i/>
          <w:sz w:val="24"/>
          <w:szCs w:val="24"/>
          <w:lang w:eastAsia="en-AU"/>
        </w:rPr>
        <w:t>strategy</w:t>
      </w:r>
      <w:r w:rsidRPr="00061606">
        <w:rPr>
          <w:rFonts w:ascii="Calibri" w:hAnsi="Calibri"/>
          <w:sz w:val="24"/>
          <w:szCs w:val="24"/>
          <w:lang w:eastAsia="en-AU"/>
        </w:rPr>
        <w:t xml:space="preserve"> was released in May 2013 and is a 10-year whole-of</w:t>
      </w:r>
      <w:r w:rsidR="00DA385A">
        <w:rPr>
          <w:rFonts w:ascii="Calibri" w:hAnsi="Calibri"/>
          <w:sz w:val="24"/>
          <w:szCs w:val="24"/>
          <w:lang w:eastAsia="en-AU"/>
        </w:rPr>
        <w:t>-</w:t>
      </w:r>
      <w:r w:rsidRPr="00061606">
        <w:rPr>
          <w:rFonts w:ascii="Calibri" w:hAnsi="Calibri"/>
          <w:sz w:val="24"/>
          <w:szCs w:val="24"/>
          <w:lang w:eastAsia="en-AU"/>
        </w:rPr>
        <w:t>government plan for preventing abuse and neglect, acting earlier when children are vulnerable and improving outcomes for children in state care.</w:t>
      </w:r>
    </w:p>
    <w:p w:rsidR="00DA385A" w:rsidRDefault="00DA385A" w:rsidP="00DA385A">
      <w:pPr>
        <w:rPr>
          <w:rFonts w:ascii="Calibri" w:hAnsi="Calibri"/>
          <w:sz w:val="24"/>
          <w:szCs w:val="24"/>
          <w:lang w:eastAsia="en-AU"/>
        </w:rPr>
      </w:pPr>
    </w:p>
    <w:p w:rsidR="00061606" w:rsidRDefault="00061606" w:rsidP="00DA385A">
      <w:pPr>
        <w:rPr>
          <w:rFonts w:ascii="Calibri" w:hAnsi="Calibri"/>
          <w:sz w:val="24"/>
          <w:szCs w:val="24"/>
          <w:lang w:eastAsia="en-AU"/>
        </w:rPr>
      </w:pPr>
      <w:r w:rsidRPr="00061606">
        <w:rPr>
          <w:rFonts w:ascii="Calibri" w:hAnsi="Calibri"/>
          <w:sz w:val="24"/>
          <w:szCs w:val="24"/>
          <w:lang w:eastAsia="en-AU"/>
        </w:rPr>
        <w:t xml:space="preserve">In November 2012, the Minister for Community Services launched </w:t>
      </w:r>
      <w:r w:rsidRPr="00061606">
        <w:rPr>
          <w:rFonts w:ascii="Calibri" w:hAnsi="Calibri"/>
          <w:i/>
          <w:sz w:val="24"/>
          <w:szCs w:val="24"/>
          <w:lang w:eastAsia="en-AU"/>
        </w:rPr>
        <w:t>Protecting children, changing lives: a new way of working</w:t>
      </w:r>
      <w:r w:rsidRPr="00061606">
        <w:rPr>
          <w:rFonts w:ascii="Calibri" w:hAnsi="Calibri"/>
          <w:sz w:val="24"/>
          <w:szCs w:val="24"/>
          <w:lang w:eastAsia="en-AU"/>
        </w:rPr>
        <w:t>, which provides a child protection operating model to improve staff retention, professionalise the workforce and achieve better outcomes for vulnerable children, young people and families.</w:t>
      </w:r>
    </w:p>
    <w:p w:rsidR="00DA385A" w:rsidRPr="00061606" w:rsidRDefault="00DA385A" w:rsidP="00DA385A">
      <w:pPr>
        <w:rPr>
          <w:rFonts w:ascii="Calibri" w:hAnsi="Calibri"/>
          <w:sz w:val="24"/>
          <w:szCs w:val="24"/>
          <w:lang w:eastAsia="en-AU"/>
        </w:rPr>
      </w:pPr>
    </w:p>
    <w:p w:rsidR="00061606" w:rsidRPr="009D3E9C" w:rsidRDefault="00061606" w:rsidP="009D3E9C">
      <w:pPr>
        <w:rPr>
          <w:rFonts w:ascii="Calibri" w:hAnsi="Calibri"/>
          <w:sz w:val="24"/>
        </w:rPr>
      </w:pPr>
      <w:proofErr w:type="gramStart"/>
      <w:r w:rsidRPr="009D3E9C">
        <w:rPr>
          <w:rFonts w:ascii="Calibri" w:hAnsi="Calibri"/>
          <w:sz w:val="24"/>
        </w:rPr>
        <w:t>The 2011</w:t>
      </w:r>
      <w:r w:rsidR="00DA385A" w:rsidRPr="009D3E9C">
        <w:rPr>
          <w:rFonts w:ascii="Calibri" w:hAnsi="Calibri"/>
          <w:sz w:val="24"/>
        </w:rPr>
        <w:t>–</w:t>
      </w:r>
      <w:r w:rsidRPr="009D3E9C">
        <w:rPr>
          <w:rFonts w:ascii="Calibri" w:hAnsi="Calibri"/>
          <w:sz w:val="24"/>
        </w:rPr>
        <w:t>12</w:t>
      </w:r>
      <w:r w:rsidR="00DA385A" w:rsidRPr="009D3E9C">
        <w:rPr>
          <w:rFonts w:ascii="Calibri" w:hAnsi="Calibri"/>
          <w:sz w:val="24"/>
        </w:rPr>
        <w:t xml:space="preserve"> </w:t>
      </w:r>
      <w:r w:rsidRPr="009D3E9C">
        <w:rPr>
          <w:rFonts w:ascii="Calibri" w:hAnsi="Calibri"/>
          <w:sz w:val="24"/>
        </w:rPr>
        <w:t>Victorian State Budget</w:t>
      </w:r>
      <w:proofErr w:type="gramEnd"/>
      <w:r w:rsidRPr="009D3E9C">
        <w:rPr>
          <w:rFonts w:ascii="Calibri" w:hAnsi="Calibri"/>
          <w:sz w:val="24"/>
        </w:rPr>
        <w:t xml:space="preserve"> provided funding of $12.8 million over four years for the Health and Education Assessments Initiative for children in out-of-home care. This initiative, co-led by Victoria, provides additional resources to enhance and facilitate more effective implementation of health and education assessments for children in out-of-home care.</w:t>
      </w:r>
    </w:p>
    <w:p w:rsidR="00061606" w:rsidRPr="009D3E9C" w:rsidRDefault="00061606" w:rsidP="009D3E9C">
      <w:pPr>
        <w:rPr>
          <w:rFonts w:ascii="Calibri" w:hAnsi="Calibri"/>
          <w:sz w:val="24"/>
        </w:rPr>
      </w:pPr>
      <w:r w:rsidRPr="009D3E9C">
        <w:rPr>
          <w:rFonts w:ascii="Calibri" w:hAnsi="Calibri"/>
          <w:sz w:val="24"/>
        </w:rPr>
        <w:t>Victoria is also supporting further research to compare mandatory reporting schemes across Australia and has recently contracted the University of Queensland to undertake analysis of mandatory reporting laws across Australia as a means of strengthening the evidence base underpinning the practices of mandatory reporting.</w:t>
      </w:r>
      <w:r w:rsidR="00A973E8" w:rsidRPr="009D3E9C">
        <w:rPr>
          <w:rFonts w:ascii="Calibri" w:hAnsi="Calibri"/>
          <w:sz w:val="24"/>
        </w:rPr>
        <w:t xml:space="preserve"> </w:t>
      </w:r>
    </w:p>
    <w:p w:rsidR="00DC2B11" w:rsidRPr="00D42E46" w:rsidRDefault="00DC2B11" w:rsidP="00D92BEA">
      <w:pPr>
        <w:pStyle w:val="Heading4"/>
      </w:pPr>
      <w:r w:rsidRPr="00D42E46">
        <w:t>Western Australia</w:t>
      </w:r>
    </w:p>
    <w:p w:rsidR="007E6FE5" w:rsidRPr="00DC1B19" w:rsidRDefault="007E2C50" w:rsidP="007E2C50">
      <w:pPr>
        <w:rPr>
          <w:rStyle w:val="StyleBodyCalibri12pt"/>
        </w:rPr>
      </w:pPr>
      <w:r w:rsidRPr="00DC1B19">
        <w:rPr>
          <w:rStyle w:val="StyleBodyCalibri12pt"/>
        </w:rPr>
        <w:t>T</w:t>
      </w:r>
      <w:r w:rsidR="007E6FE5" w:rsidRPr="00DC1B19">
        <w:rPr>
          <w:rStyle w:val="StyleBodyCalibri12pt"/>
        </w:rPr>
        <w:t>he Department for Child Protection and Family Support (</w:t>
      </w:r>
      <w:r w:rsidRPr="00DC1B19">
        <w:rPr>
          <w:rStyle w:val="StyleBodyCalibri12pt"/>
        </w:rPr>
        <w:t>CPFS</w:t>
      </w:r>
      <w:r w:rsidR="007E6FE5" w:rsidRPr="00DC1B19">
        <w:rPr>
          <w:rStyle w:val="StyleBodyCalibri12pt"/>
        </w:rPr>
        <w:t xml:space="preserve">) has fully implemented Signs of Safety as its child protection framework. This is an approach that emphasises putting families in the centre of assessment, planning and responsibility for the safety of their children, </w:t>
      </w:r>
      <w:r w:rsidR="00EE491D" w:rsidRPr="00DC1B19">
        <w:rPr>
          <w:rStyle w:val="StyleBodyCalibri12pt"/>
        </w:rPr>
        <w:t>as well as</w:t>
      </w:r>
      <w:r w:rsidR="007E6FE5" w:rsidRPr="00DC1B19">
        <w:rPr>
          <w:rStyle w:val="StyleBodyCalibri12pt"/>
        </w:rPr>
        <w:t xml:space="preserve"> working collaboratively with families even if children have to be removed.</w:t>
      </w:r>
    </w:p>
    <w:p w:rsidR="0014149D" w:rsidRPr="00DC1B19" w:rsidRDefault="0014149D" w:rsidP="007E6FE5">
      <w:pPr>
        <w:rPr>
          <w:rStyle w:val="StyleBodyCalibri12pt"/>
        </w:rPr>
      </w:pPr>
    </w:p>
    <w:p w:rsidR="007E6FE5" w:rsidRPr="00DC1B19" w:rsidRDefault="007E6FE5" w:rsidP="007E6FE5">
      <w:pPr>
        <w:rPr>
          <w:rStyle w:val="StyleBodyCalibri12pt"/>
        </w:rPr>
      </w:pPr>
      <w:r w:rsidRPr="00DC1B19">
        <w:rPr>
          <w:rStyle w:val="StyleBodyCalibri12pt"/>
        </w:rPr>
        <w:t xml:space="preserve">Western Australia </w:t>
      </w:r>
      <w:r w:rsidR="00B927F3" w:rsidRPr="00DC1B19">
        <w:rPr>
          <w:rStyle w:val="StyleBodyCalibri12pt"/>
        </w:rPr>
        <w:t xml:space="preserve">(WA) </w:t>
      </w:r>
      <w:r w:rsidRPr="00DC1B19">
        <w:rPr>
          <w:rStyle w:val="StyleBodyCalibri12pt"/>
        </w:rPr>
        <w:t xml:space="preserve">held its second international conference, the Signs of Safety Gathering, in November 2012, hosting visitors from around Australia and presenters from The Netherlands, Japan, New Zealand and Canada, </w:t>
      </w:r>
      <w:r w:rsidR="00B927F3" w:rsidRPr="00DC1B19">
        <w:rPr>
          <w:rStyle w:val="StyleBodyCalibri12pt"/>
        </w:rPr>
        <w:t>18</w:t>
      </w:r>
      <w:r w:rsidRPr="00DC1B19">
        <w:rPr>
          <w:rStyle w:val="StyleBodyCalibri12pt"/>
        </w:rPr>
        <w:t xml:space="preserve"> months after </w:t>
      </w:r>
      <w:r w:rsidR="00B927F3" w:rsidRPr="00DC1B19">
        <w:rPr>
          <w:rStyle w:val="StyleBodyCalibri12pt"/>
        </w:rPr>
        <w:t>their</w:t>
      </w:r>
      <w:r w:rsidRPr="00DC1B19">
        <w:rPr>
          <w:rStyle w:val="StyleBodyCalibri12pt"/>
        </w:rPr>
        <w:t xml:space="preserve"> first Gathering. </w:t>
      </w:r>
    </w:p>
    <w:p w:rsidR="0014149D" w:rsidRPr="00DC1B19" w:rsidRDefault="0014149D" w:rsidP="007E6FE5">
      <w:pPr>
        <w:rPr>
          <w:rStyle w:val="StyleBodyCalibri12pt"/>
        </w:rPr>
      </w:pPr>
    </w:p>
    <w:p w:rsidR="00F82C30" w:rsidRPr="00DC1B19" w:rsidRDefault="00463933" w:rsidP="007E6FE5">
      <w:pPr>
        <w:rPr>
          <w:rStyle w:val="StyleBodyCalibri12pt"/>
        </w:rPr>
      </w:pPr>
      <w:r w:rsidRPr="00DC1B19">
        <w:rPr>
          <w:rStyle w:val="StyleBodyCalibri12pt"/>
        </w:rPr>
        <w:t>WA’s outcome measures confirm the story of improving child protection practice. Over the last five years, child protection notifications have doubled</w:t>
      </w:r>
      <w:r w:rsidR="00EC6FDC" w:rsidRPr="00DC1B19">
        <w:rPr>
          <w:rStyle w:val="StyleBodyCalibri12pt"/>
        </w:rPr>
        <w:t>,</w:t>
      </w:r>
      <w:r w:rsidRPr="00DC1B19">
        <w:rPr>
          <w:rStyle w:val="StyleBodyCalibri12pt"/>
        </w:rPr>
        <w:t xml:space="preserve"> and the </w:t>
      </w:r>
      <w:r w:rsidR="00EC6FDC" w:rsidRPr="00DC1B19">
        <w:rPr>
          <w:rStyle w:val="StyleBodyCalibri12pt"/>
        </w:rPr>
        <w:t>number of investigations has</w:t>
      </w:r>
      <w:r w:rsidRPr="00DC1B19">
        <w:rPr>
          <w:rStyle w:val="StyleBodyCalibri12pt"/>
        </w:rPr>
        <w:t xml:space="preserve"> tripled</w:t>
      </w:r>
      <w:r w:rsidR="00EC6FDC" w:rsidRPr="00DC1B19">
        <w:rPr>
          <w:rStyle w:val="StyleBodyCalibri12pt"/>
        </w:rPr>
        <w:t>,</w:t>
      </w:r>
      <w:r w:rsidRPr="00DC1B19">
        <w:rPr>
          <w:rStyle w:val="StyleBodyCalibri12pt"/>
        </w:rPr>
        <w:t xml:space="preserve"> as a </w:t>
      </w:r>
      <w:r w:rsidR="00EC6FDC" w:rsidRPr="00DC1B19">
        <w:rPr>
          <w:rStyle w:val="StyleBodyCalibri12pt"/>
        </w:rPr>
        <w:t>rigorous</w:t>
      </w:r>
      <w:r w:rsidRPr="00DC1B19">
        <w:rPr>
          <w:rStyle w:val="StyleBodyCalibri12pt"/>
        </w:rPr>
        <w:t xml:space="preserve"> focus on risk has been maintained. Despite this, the rate of growth in bringing children into care has reduced to </w:t>
      </w:r>
      <w:r w:rsidR="00EC6FDC" w:rsidRPr="00DC1B19">
        <w:rPr>
          <w:rStyle w:val="StyleBodyCalibri12pt"/>
        </w:rPr>
        <w:t>5</w:t>
      </w:r>
      <w:r w:rsidRPr="00DC1B19">
        <w:rPr>
          <w:rStyle w:val="StyleBodyCalibri12pt"/>
        </w:rPr>
        <w:t xml:space="preserve"> per cent, substantially less than half the rate five years previously. These results have been achieved using Signs of Safety</w:t>
      </w:r>
      <w:r w:rsidR="00EC6FDC" w:rsidRPr="00DC1B19">
        <w:rPr>
          <w:rStyle w:val="StyleBodyCalibri12pt"/>
        </w:rPr>
        <w:t>,</w:t>
      </w:r>
      <w:r w:rsidRPr="00DC1B19">
        <w:rPr>
          <w:rStyle w:val="StyleBodyCalibri12pt"/>
        </w:rPr>
        <w:t xml:space="preserve"> which sets out a clear framework for working intensively with families to keep children safe at home, with the active support of extended family and community networks, as well as professional services.</w:t>
      </w:r>
    </w:p>
    <w:p w:rsidR="00EC6FDC" w:rsidRPr="00DC1B19" w:rsidRDefault="00EC6FDC" w:rsidP="007E6FE5">
      <w:pPr>
        <w:rPr>
          <w:rStyle w:val="StyleBodyCalibri12pt"/>
        </w:rPr>
      </w:pPr>
    </w:p>
    <w:p w:rsidR="007E2C50" w:rsidRPr="00DC1B19" w:rsidRDefault="00F82C30" w:rsidP="007E6FE5">
      <w:pPr>
        <w:rPr>
          <w:rStyle w:val="StyleBodyCalibri12pt"/>
        </w:rPr>
      </w:pPr>
      <w:r w:rsidRPr="00DC1B19">
        <w:rPr>
          <w:rStyle w:val="StyleBodyCalibri12pt"/>
        </w:rPr>
        <w:t xml:space="preserve">The Signs of Safety approach to child protection will continue to be informed through a three-year research program between CPFS and the Australian Centre for Child Protection </w:t>
      </w:r>
      <w:r w:rsidR="00FD530D" w:rsidRPr="00DC1B19">
        <w:rPr>
          <w:rStyle w:val="StyleBodyCalibri12pt"/>
        </w:rPr>
        <w:t xml:space="preserve">(ACCP) </w:t>
      </w:r>
      <w:r w:rsidRPr="00DC1B19">
        <w:rPr>
          <w:rStyle w:val="StyleBodyCalibri12pt"/>
        </w:rPr>
        <w:t>based at the University of South Australia.</w:t>
      </w:r>
    </w:p>
    <w:p w:rsidR="00B927F3" w:rsidRPr="008016CD" w:rsidRDefault="00C8305C" w:rsidP="000E1C34">
      <w:pPr>
        <w:pStyle w:val="Heading3"/>
        <w:rPr>
          <w:iCs/>
        </w:rPr>
      </w:pPr>
      <w:bookmarkStart w:id="28" w:name="_Toc400007677"/>
      <w:r>
        <w:t xml:space="preserve">Community </w:t>
      </w:r>
      <w:r w:rsidR="007477FC">
        <w:t>S</w:t>
      </w:r>
      <w:r>
        <w:t>ector</w:t>
      </w:r>
      <w:r w:rsidR="00B927F3">
        <w:t xml:space="preserve"> </w:t>
      </w:r>
      <w:r w:rsidR="007477FC">
        <w:t>O</w:t>
      </w:r>
      <w:r w:rsidR="00B927F3">
        <w:t>rganisations</w:t>
      </w:r>
      <w:r>
        <w:t xml:space="preserve"> and </w:t>
      </w:r>
      <w:r w:rsidR="007477FC">
        <w:t>O</w:t>
      </w:r>
      <w:r>
        <w:t>thers</w:t>
      </w:r>
      <w:bookmarkEnd w:id="28"/>
    </w:p>
    <w:p w:rsidR="00DC2B11" w:rsidRPr="00D92BEA" w:rsidRDefault="00C43FEB" w:rsidP="00D92BEA">
      <w:pPr>
        <w:pStyle w:val="Heading4"/>
        <w:rPr>
          <w:lang w:val="en-AU"/>
        </w:rPr>
      </w:pPr>
      <w:r w:rsidRPr="00D42E46">
        <w:t xml:space="preserve">The </w:t>
      </w:r>
      <w:r w:rsidR="00D92BEA">
        <w:t>Coalition</w:t>
      </w:r>
    </w:p>
    <w:p w:rsidR="00A83E11" w:rsidRPr="00DC1B19" w:rsidRDefault="00A83E11" w:rsidP="00A83E11">
      <w:pPr>
        <w:rPr>
          <w:rStyle w:val="StyleBodyCalibri12pt"/>
        </w:rPr>
      </w:pPr>
      <w:r w:rsidRPr="00DC1B19">
        <w:rPr>
          <w:rStyle w:val="StyleBodyCalibri12pt"/>
        </w:rPr>
        <w:t>The Coalition has made a strong contribution to the implementation of the Second Action Plan and is leading a number of actions to strengthen the engagement of the broader community and business sector in protecting children.</w:t>
      </w:r>
      <w:r w:rsidR="007764A2" w:rsidRPr="00DC1B19">
        <w:rPr>
          <w:rStyle w:val="StyleBodyCalibri12pt"/>
        </w:rPr>
        <w:t xml:space="preserve"> </w:t>
      </w:r>
      <w:r w:rsidRPr="00DC1B19">
        <w:rPr>
          <w:rStyle w:val="StyleBodyCalibri12pt"/>
        </w:rPr>
        <w:t xml:space="preserve">The Coalition </w:t>
      </w:r>
      <w:r w:rsidR="007F3571" w:rsidRPr="00DC1B19">
        <w:rPr>
          <w:rStyle w:val="StyleBodyCalibri12pt"/>
        </w:rPr>
        <w:t>is a network of over 120 organisations and academic institutions</w:t>
      </w:r>
      <w:r w:rsidR="00841EFD" w:rsidRPr="00DC1B19">
        <w:rPr>
          <w:rStyle w:val="StyleBodyCalibri12pt"/>
        </w:rPr>
        <w:t xml:space="preserve">—organisations </w:t>
      </w:r>
      <w:r w:rsidR="007F3571" w:rsidRPr="00DC1B19">
        <w:rPr>
          <w:rStyle w:val="StyleBodyCalibri12pt"/>
        </w:rPr>
        <w:t>provid</w:t>
      </w:r>
      <w:r w:rsidR="00841EFD" w:rsidRPr="00DC1B19">
        <w:rPr>
          <w:rStyle w:val="StyleBodyCalibri12pt"/>
        </w:rPr>
        <w:t>ing</w:t>
      </w:r>
      <w:r w:rsidR="007F3571" w:rsidRPr="00DC1B19">
        <w:rPr>
          <w:rStyle w:val="StyleBodyCalibri12pt"/>
        </w:rPr>
        <w:t xml:space="preserve"> services to children, young people and families on the ground across Australia, </w:t>
      </w:r>
      <w:r w:rsidR="00841EFD" w:rsidRPr="00DC1B19">
        <w:rPr>
          <w:rStyle w:val="StyleBodyCalibri12pt"/>
        </w:rPr>
        <w:t>and</w:t>
      </w:r>
      <w:r w:rsidR="007F3571" w:rsidRPr="00DC1B19">
        <w:rPr>
          <w:rStyle w:val="StyleBodyCalibri12pt"/>
        </w:rPr>
        <w:t xml:space="preserve"> many key advocates and researchers in the areas of child protection and children’s wellbeing. The Coalition </w:t>
      </w:r>
      <w:r w:rsidRPr="00DC1B19">
        <w:rPr>
          <w:rStyle w:val="StyleBodyCalibri12pt"/>
        </w:rPr>
        <w:t xml:space="preserve">is working with </w:t>
      </w:r>
      <w:r w:rsidR="00B927F3" w:rsidRPr="00DC1B19">
        <w:rPr>
          <w:rStyle w:val="StyleBodyCalibri12pt"/>
        </w:rPr>
        <w:t xml:space="preserve">its members and with </w:t>
      </w:r>
      <w:r w:rsidRPr="00DC1B19">
        <w:rPr>
          <w:rStyle w:val="StyleBodyCalibri12pt"/>
        </w:rPr>
        <w:t xml:space="preserve">the </w:t>
      </w:r>
      <w:r w:rsidR="00F444C3" w:rsidRPr="00DC1B19">
        <w:rPr>
          <w:rStyle w:val="StyleBodyCalibri12pt"/>
        </w:rPr>
        <w:t>Australian</w:t>
      </w:r>
      <w:r w:rsidRPr="00DC1B19">
        <w:rPr>
          <w:rStyle w:val="StyleBodyCalibri12pt"/>
        </w:rPr>
        <w:t>, state and territory governments to embed a child</w:t>
      </w:r>
      <w:r w:rsidR="00E66069" w:rsidRPr="00DC1B19">
        <w:rPr>
          <w:rStyle w:val="StyleBodyCalibri12pt"/>
        </w:rPr>
        <w:t>-</w:t>
      </w:r>
      <w:r w:rsidRPr="00DC1B19">
        <w:rPr>
          <w:rStyle w:val="StyleBodyCalibri12pt"/>
        </w:rPr>
        <w:t xml:space="preserve">aware approach </w:t>
      </w:r>
      <w:r w:rsidR="00E66069" w:rsidRPr="00DC1B19">
        <w:rPr>
          <w:rStyle w:val="StyleBodyCalibri12pt"/>
        </w:rPr>
        <w:t xml:space="preserve">in local communities and </w:t>
      </w:r>
      <w:r w:rsidRPr="00DC1B19">
        <w:rPr>
          <w:rStyle w:val="StyleBodyCalibri12pt"/>
        </w:rPr>
        <w:t xml:space="preserve">across </w:t>
      </w:r>
      <w:r w:rsidR="00C8305C" w:rsidRPr="00DC1B19">
        <w:rPr>
          <w:rStyle w:val="StyleBodyCalibri12pt"/>
        </w:rPr>
        <w:t>community</w:t>
      </w:r>
      <w:r w:rsidRPr="00DC1B19">
        <w:rPr>
          <w:rStyle w:val="StyleBodyCalibri12pt"/>
        </w:rPr>
        <w:t xml:space="preserve"> </w:t>
      </w:r>
      <w:r w:rsidR="00C8305C" w:rsidRPr="00DC1B19">
        <w:rPr>
          <w:rStyle w:val="StyleBodyCalibri12pt"/>
        </w:rPr>
        <w:t xml:space="preserve">sector </w:t>
      </w:r>
      <w:r w:rsidRPr="00DC1B19">
        <w:rPr>
          <w:rStyle w:val="StyleBodyCalibri12pt"/>
        </w:rPr>
        <w:t>organisations and services supporting children and their families</w:t>
      </w:r>
      <w:r w:rsidR="007F3571" w:rsidRPr="007F3571">
        <w:t xml:space="preserve"> </w:t>
      </w:r>
      <w:r w:rsidR="007F3571" w:rsidRPr="00DC1B19">
        <w:rPr>
          <w:rStyle w:val="StyleBodyCalibri12pt"/>
        </w:rPr>
        <w:t>who are experiencing vulnerability</w:t>
      </w:r>
      <w:r w:rsidR="007E5840" w:rsidRPr="00DC1B19">
        <w:rPr>
          <w:rStyle w:val="StyleBodyCalibri12pt"/>
        </w:rPr>
        <w:t>,</w:t>
      </w:r>
      <w:r w:rsidR="007F3571" w:rsidRPr="00DC1B19">
        <w:rPr>
          <w:rStyle w:val="StyleBodyCalibri12pt"/>
        </w:rPr>
        <w:t xml:space="preserve"> by providing support and innovative solutions</w:t>
      </w:r>
      <w:r w:rsidRPr="00DC1B19">
        <w:rPr>
          <w:rStyle w:val="StyleBodyCalibri12pt"/>
        </w:rPr>
        <w:t>.</w:t>
      </w:r>
    </w:p>
    <w:p w:rsidR="00A83E11" w:rsidRPr="00DC1B19" w:rsidRDefault="00A83E11" w:rsidP="00A83E11">
      <w:pPr>
        <w:rPr>
          <w:rStyle w:val="StyleBodyCalibri12pt"/>
        </w:rPr>
      </w:pPr>
    </w:p>
    <w:p w:rsidR="00A83E11" w:rsidRPr="00DC1B19" w:rsidRDefault="00A83E11" w:rsidP="00A83E11">
      <w:pPr>
        <w:rPr>
          <w:rStyle w:val="StyleBodyCalibri12pt"/>
        </w:rPr>
      </w:pPr>
      <w:r w:rsidRPr="00DC1B19">
        <w:rPr>
          <w:rStyle w:val="StyleBodyCalibri12pt"/>
        </w:rPr>
        <w:t xml:space="preserve">Following the momentum of the Child Aware Approaches grant round in early 2012, </w:t>
      </w:r>
      <w:r w:rsidR="007F3571" w:rsidRPr="00DC1B19">
        <w:rPr>
          <w:rStyle w:val="StyleBodyCalibri12pt"/>
        </w:rPr>
        <w:t>Families Australia</w:t>
      </w:r>
      <w:r w:rsidRPr="00DC1B19">
        <w:rPr>
          <w:rStyle w:val="StyleBodyCalibri12pt"/>
        </w:rPr>
        <w:t xml:space="preserve"> hosted a highly successful Child Aware Approaches </w:t>
      </w:r>
      <w:r w:rsidR="00B927F3" w:rsidRPr="00DC1B19">
        <w:rPr>
          <w:rStyle w:val="StyleBodyCalibri12pt"/>
        </w:rPr>
        <w:t>C</w:t>
      </w:r>
      <w:r w:rsidRPr="00DC1B19">
        <w:rPr>
          <w:rStyle w:val="StyleBodyCalibri12pt"/>
        </w:rPr>
        <w:t>onference in Melbourne in April 2013.</w:t>
      </w:r>
      <w:r w:rsidR="007764A2" w:rsidRPr="00DC1B19">
        <w:rPr>
          <w:rStyle w:val="StyleBodyCalibri12pt"/>
        </w:rPr>
        <w:t xml:space="preserve"> </w:t>
      </w:r>
      <w:r w:rsidRPr="00DC1B19">
        <w:rPr>
          <w:rStyle w:val="StyleBodyCalibri12pt"/>
        </w:rPr>
        <w:t xml:space="preserve">The conference was sponsored by the Australian Government and brought together over 300 participants from </w:t>
      </w:r>
      <w:r w:rsidR="00932624" w:rsidRPr="00DC1B19">
        <w:rPr>
          <w:rStyle w:val="StyleBodyCalibri12pt"/>
        </w:rPr>
        <w:t xml:space="preserve">the </w:t>
      </w:r>
      <w:r w:rsidR="00C8305C" w:rsidRPr="00DC1B19">
        <w:rPr>
          <w:rStyle w:val="StyleBodyCalibri12pt"/>
        </w:rPr>
        <w:t>community</w:t>
      </w:r>
      <w:r w:rsidRPr="00DC1B19">
        <w:rPr>
          <w:rStyle w:val="StyleBodyCalibri12pt"/>
        </w:rPr>
        <w:t>, government and research sectors.</w:t>
      </w:r>
      <w:r w:rsidR="007764A2" w:rsidRPr="00DC1B19">
        <w:rPr>
          <w:rStyle w:val="StyleBodyCalibri12pt"/>
        </w:rPr>
        <w:t xml:space="preserve"> </w:t>
      </w:r>
      <w:r w:rsidRPr="00DC1B19">
        <w:rPr>
          <w:rStyle w:val="StyleBodyCalibri12pt"/>
        </w:rPr>
        <w:t>The Australian Government is supporting Families Australia, as Secretariat for the Coalition, to host additional national Child Aware Approaches Conferences in 2014 and 2015.</w:t>
      </w:r>
    </w:p>
    <w:p w:rsidR="00A83E11" w:rsidRPr="00DC1B19" w:rsidRDefault="00A83E11" w:rsidP="00A83E11">
      <w:pPr>
        <w:rPr>
          <w:rStyle w:val="StyleBodyCalibri12pt"/>
        </w:rPr>
      </w:pPr>
    </w:p>
    <w:p w:rsidR="00A83E11" w:rsidRPr="00DC1B19" w:rsidRDefault="004B230B" w:rsidP="00A83E11">
      <w:pPr>
        <w:rPr>
          <w:rStyle w:val="StyleBodyCalibri12pt"/>
        </w:rPr>
      </w:pPr>
      <w:r w:rsidRPr="00DC1B19">
        <w:rPr>
          <w:rStyle w:val="StyleBodyCalibri12pt"/>
        </w:rPr>
        <w:t>The Coalition</w:t>
      </w:r>
      <w:r w:rsidR="007F3571" w:rsidRPr="00DC1B19">
        <w:rPr>
          <w:rStyle w:val="StyleBodyCalibri12pt"/>
        </w:rPr>
        <w:t>, including SNAIC</w:t>
      </w:r>
      <w:r w:rsidR="00BC2528" w:rsidRPr="00DC1B19">
        <w:rPr>
          <w:rStyle w:val="StyleBodyCalibri12pt"/>
        </w:rPr>
        <w:t>C and with support from the Healing Foundation,</w:t>
      </w:r>
      <w:r w:rsidRPr="00DC1B19">
        <w:rPr>
          <w:rStyle w:val="StyleBodyCalibri12pt"/>
        </w:rPr>
        <w:t xml:space="preserve"> also</w:t>
      </w:r>
      <w:r w:rsidR="00A83E11" w:rsidRPr="00DC1B19">
        <w:rPr>
          <w:rStyle w:val="StyleBodyCalibri12pt"/>
        </w:rPr>
        <w:t xml:space="preserve"> convened the </w:t>
      </w:r>
      <w:r w:rsidRPr="00DC1B19">
        <w:rPr>
          <w:rStyle w:val="StyleBodyCalibri12pt"/>
        </w:rPr>
        <w:t>‘</w:t>
      </w:r>
      <w:r w:rsidR="00A83E11" w:rsidRPr="00DC1B19">
        <w:rPr>
          <w:rStyle w:val="StyleBodyCalibri12pt"/>
        </w:rPr>
        <w:t>Knowledge Circle: Wellbeing and Safety of Children and Young People in Aboriginal and Torres Strait Islander Communities</w:t>
      </w:r>
      <w:r w:rsidRPr="00DC1B19">
        <w:rPr>
          <w:rStyle w:val="StyleBodyCalibri12pt"/>
        </w:rPr>
        <w:t>’</w:t>
      </w:r>
      <w:r w:rsidR="00A83E11" w:rsidRPr="00DC1B19">
        <w:rPr>
          <w:rStyle w:val="StyleBodyCalibri12pt"/>
        </w:rPr>
        <w:t xml:space="preserve"> in Cairns on 7 June 2013</w:t>
      </w:r>
      <w:r w:rsidR="005F047F" w:rsidRPr="00DC1B19">
        <w:rPr>
          <w:rStyle w:val="StyleBodyCalibri12pt"/>
        </w:rPr>
        <w:t>. The purpose of this event was</w:t>
      </w:r>
      <w:r w:rsidR="00A83E11" w:rsidRPr="00DC1B19">
        <w:rPr>
          <w:rStyle w:val="StyleBodyCalibri12pt"/>
        </w:rPr>
        <w:t xml:space="preserve"> to engage leaders in Indigenous communities on </w:t>
      </w:r>
      <w:r w:rsidRPr="00DC1B19">
        <w:rPr>
          <w:rStyle w:val="StyleBodyCalibri12pt"/>
        </w:rPr>
        <w:t>ways</w:t>
      </w:r>
      <w:r w:rsidR="00A83E11" w:rsidRPr="00DC1B19">
        <w:rPr>
          <w:rStyle w:val="StyleBodyCalibri12pt"/>
        </w:rPr>
        <w:t xml:space="preserve"> to improve the safety and wellbeing of children. The opening of a national dialogue with Aboriginal and Torres Strait Islander community leaders has helped to foster the conditions </w:t>
      </w:r>
      <w:r w:rsidRPr="00DC1B19">
        <w:rPr>
          <w:rStyle w:val="StyleBodyCalibri12pt"/>
        </w:rPr>
        <w:t>necessary for</w:t>
      </w:r>
      <w:r w:rsidR="00A83E11" w:rsidRPr="00DC1B19">
        <w:rPr>
          <w:rStyle w:val="StyleBodyCalibri12pt"/>
        </w:rPr>
        <w:t xml:space="preserve"> the </w:t>
      </w:r>
      <w:r w:rsidR="009A5060" w:rsidRPr="00DC1B19">
        <w:rPr>
          <w:rStyle w:val="StyleBodyCalibri12pt"/>
        </w:rPr>
        <w:t xml:space="preserve">Australian </w:t>
      </w:r>
      <w:r w:rsidR="00A83E11" w:rsidRPr="00DC1B19">
        <w:rPr>
          <w:rStyle w:val="StyleBodyCalibri12pt"/>
        </w:rPr>
        <w:t xml:space="preserve">and state and territory governments </w:t>
      </w:r>
      <w:r w:rsidRPr="00DC1B19">
        <w:rPr>
          <w:rStyle w:val="StyleBodyCalibri12pt"/>
        </w:rPr>
        <w:t>to</w:t>
      </w:r>
      <w:r w:rsidR="00A83E11" w:rsidRPr="00DC1B19">
        <w:rPr>
          <w:rStyle w:val="StyleBodyCalibri12pt"/>
        </w:rPr>
        <w:t xml:space="preserve"> better assist Aboriginal and Torres Strait Islander communities to drive their own development</w:t>
      </w:r>
      <w:r w:rsidRPr="00DC1B19">
        <w:rPr>
          <w:rStyle w:val="StyleBodyCalibri12pt"/>
        </w:rPr>
        <w:t>,</w:t>
      </w:r>
      <w:r w:rsidR="00A83E11" w:rsidRPr="00DC1B19">
        <w:rPr>
          <w:rStyle w:val="StyleBodyCalibri12pt"/>
        </w:rPr>
        <w:t xml:space="preserve"> with a particular focus on the wellbeing of Aboriginal and Torres Strait Islander children.</w:t>
      </w:r>
    </w:p>
    <w:p w:rsidR="00A83E11" w:rsidRPr="00DC1B19" w:rsidRDefault="00A83E11" w:rsidP="00A83E11">
      <w:pPr>
        <w:rPr>
          <w:rStyle w:val="StyleBodyCalibri12pt"/>
        </w:rPr>
      </w:pPr>
    </w:p>
    <w:p w:rsidR="007A3DE4" w:rsidRDefault="007F3571">
      <w:pPr>
        <w:rPr>
          <w:rFonts w:ascii="Calibri" w:hAnsi="Calibri"/>
          <w:b/>
          <w:bCs/>
          <w:i/>
          <w:iCs/>
          <w:sz w:val="24"/>
        </w:rPr>
      </w:pPr>
      <w:r w:rsidRPr="00356B6E">
        <w:rPr>
          <w:rFonts w:ascii="Calibri" w:hAnsi="Calibri"/>
          <w:sz w:val="24"/>
        </w:rPr>
        <w:t>Families Australia</w:t>
      </w:r>
      <w:r w:rsidR="00A83E11" w:rsidRPr="00356B6E">
        <w:rPr>
          <w:rFonts w:ascii="Calibri" w:hAnsi="Calibri"/>
          <w:sz w:val="24"/>
        </w:rPr>
        <w:t xml:space="preserve"> has also provided invaluable secretariat support services to </w:t>
      </w:r>
      <w:r w:rsidRPr="00356B6E">
        <w:rPr>
          <w:rFonts w:ascii="Calibri" w:hAnsi="Calibri"/>
          <w:sz w:val="24"/>
        </w:rPr>
        <w:t xml:space="preserve">the Coalition </w:t>
      </w:r>
      <w:r w:rsidR="00A83E11" w:rsidRPr="00356B6E">
        <w:rPr>
          <w:rFonts w:ascii="Calibri" w:hAnsi="Calibri"/>
          <w:sz w:val="24"/>
        </w:rPr>
        <w:t>membership</w:t>
      </w:r>
      <w:r w:rsidR="00EE491D" w:rsidRPr="00356B6E">
        <w:rPr>
          <w:rFonts w:ascii="Calibri" w:hAnsi="Calibri"/>
          <w:sz w:val="24"/>
        </w:rPr>
        <w:t>,</w:t>
      </w:r>
      <w:r w:rsidR="00217DDB" w:rsidRPr="00356B6E">
        <w:rPr>
          <w:rFonts w:ascii="Calibri" w:hAnsi="Calibri"/>
          <w:sz w:val="24"/>
        </w:rPr>
        <w:t xml:space="preserve"> </w:t>
      </w:r>
      <w:r w:rsidR="00A83E11" w:rsidRPr="00356B6E">
        <w:rPr>
          <w:rFonts w:ascii="Calibri" w:hAnsi="Calibri"/>
          <w:sz w:val="24"/>
        </w:rPr>
        <w:t xml:space="preserve">and </w:t>
      </w:r>
      <w:r w:rsidRPr="00356B6E">
        <w:rPr>
          <w:rFonts w:ascii="Calibri" w:hAnsi="Calibri"/>
          <w:sz w:val="24"/>
        </w:rPr>
        <w:t xml:space="preserve">a number of leading members have </w:t>
      </w:r>
      <w:r w:rsidR="00A83E11" w:rsidRPr="00356B6E">
        <w:rPr>
          <w:rFonts w:ascii="Calibri" w:hAnsi="Calibri"/>
          <w:sz w:val="24"/>
        </w:rPr>
        <w:t>undertaken active advisory role</w:t>
      </w:r>
      <w:r w:rsidRPr="00356B6E">
        <w:rPr>
          <w:rFonts w:ascii="Calibri" w:hAnsi="Calibri"/>
          <w:sz w:val="24"/>
        </w:rPr>
        <w:t>s</w:t>
      </w:r>
      <w:r w:rsidR="00A83E11" w:rsidRPr="00356B6E">
        <w:rPr>
          <w:rFonts w:ascii="Calibri" w:hAnsi="Calibri"/>
          <w:sz w:val="24"/>
        </w:rPr>
        <w:t xml:space="preserve"> in a wide range of areas</w:t>
      </w:r>
      <w:r w:rsidRPr="00356B6E">
        <w:rPr>
          <w:rFonts w:ascii="Calibri" w:hAnsi="Calibri"/>
          <w:sz w:val="24"/>
        </w:rPr>
        <w:t xml:space="preserve"> and working groups</w:t>
      </w:r>
      <w:r w:rsidR="00A83E11" w:rsidRPr="00356B6E">
        <w:rPr>
          <w:rFonts w:ascii="Calibri" w:hAnsi="Calibri"/>
          <w:sz w:val="24"/>
        </w:rPr>
        <w:t xml:space="preserve">, including the development of an </w:t>
      </w:r>
      <w:r w:rsidR="00097279" w:rsidRPr="00356B6E">
        <w:rPr>
          <w:rFonts w:ascii="Calibri" w:hAnsi="Calibri"/>
          <w:sz w:val="24"/>
        </w:rPr>
        <w:t>Evaluation Plan</w:t>
      </w:r>
      <w:r w:rsidR="00A83E11" w:rsidRPr="00356B6E">
        <w:rPr>
          <w:rFonts w:ascii="Calibri" w:hAnsi="Calibri"/>
          <w:sz w:val="24"/>
        </w:rPr>
        <w:t xml:space="preserve"> for the National Framework, reviewing key performance indicators for the Second Action Plan and</w:t>
      </w:r>
      <w:r w:rsidR="00F30B50" w:rsidRPr="00356B6E">
        <w:rPr>
          <w:rFonts w:ascii="Calibri" w:hAnsi="Calibri"/>
          <w:sz w:val="24"/>
        </w:rPr>
        <w:t xml:space="preserve"> supporting</w:t>
      </w:r>
      <w:r w:rsidR="00A83E11" w:rsidRPr="00356B6E">
        <w:rPr>
          <w:rFonts w:ascii="Calibri" w:hAnsi="Calibri"/>
          <w:sz w:val="24"/>
        </w:rPr>
        <w:t xml:space="preserve"> the establishment of the first National Children’s Commissioner.</w:t>
      </w:r>
      <w:r w:rsidR="00475E9E" w:rsidRPr="00356B6E">
        <w:rPr>
          <w:rFonts w:ascii="Calibri" w:hAnsi="Calibri"/>
          <w:sz w:val="24"/>
        </w:rPr>
        <w:t xml:space="preserve"> </w:t>
      </w:r>
      <w:r w:rsidR="007A3DE4">
        <w:rPr>
          <w:rFonts w:ascii="Calibri" w:hAnsi="Calibri"/>
          <w:b/>
          <w:bCs/>
          <w:i/>
          <w:iCs/>
          <w:sz w:val="24"/>
        </w:rPr>
        <w:br w:type="page"/>
      </w:r>
    </w:p>
    <w:p w:rsidR="00DC2B11" w:rsidRPr="00F632B6" w:rsidRDefault="00DC2B11" w:rsidP="00D92BEA">
      <w:pPr>
        <w:pStyle w:val="Heading4"/>
      </w:pPr>
      <w:r w:rsidRPr="00F632B6">
        <w:t>Case studies</w:t>
      </w:r>
    </w:p>
    <w:p w:rsidR="00DC2B11" w:rsidRPr="00DC1B19" w:rsidRDefault="00DC2B11" w:rsidP="008264DE">
      <w:pPr>
        <w:rPr>
          <w:rStyle w:val="StyleBodyCalibri12pt"/>
        </w:rPr>
      </w:pPr>
      <w:r w:rsidRPr="00DC1B19">
        <w:rPr>
          <w:rStyle w:val="StyleBodyCalibri12pt"/>
        </w:rPr>
        <w:t xml:space="preserve">Case studies have been included throughout this report, to illustrate the practical, local actions and solutions that are delivering real change to children and families needing more intensive support. </w:t>
      </w:r>
      <w:r w:rsidR="000252D4" w:rsidRPr="00DC1B19">
        <w:rPr>
          <w:rStyle w:val="StyleBodyCalibri12pt"/>
        </w:rPr>
        <w:t>T</w:t>
      </w:r>
      <w:r w:rsidRPr="00DC1B19">
        <w:rPr>
          <w:rStyle w:val="StyleBodyCalibri12pt"/>
        </w:rPr>
        <w:t xml:space="preserve">hese case studies highlight early intervention and prevention initiatives </w:t>
      </w:r>
      <w:r w:rsidR="000252D4" w:rsidRPr="00DC1B19">
        <w:rPr>
          <w:rStyle w:val="StyleBodyCalibri12pt"/>
        </w:rPr>
        <w:t xml:space="preserve">and </w:t>
      </w:r>
      <w:r w:rsidR="008264DE" w:rsidRPr="00DC1B19">
        <w:rPr>
          <w:rStyle w:val="StyleBodyCalibri12pt"/>
        </w:rPr>
        <w:t>strategies for ensuring a well-functioning and responsive workforce. They</w:t>
      </w:r>
      <w:r w:rsidRPr="00DC1B19">
        <w:rPr>
          <w:rStyle w:val="StyleBodyCalibri12pt"/>
        </w:rPr>
        <w:t xml:space="preserve"> </w:t>
      </w:r>
      <w:r w:rsidR="00F30B50" w:rsidRPr="00DC1B19">
        <w:rPr>
          <w:rStyle w:val="StyleBodyCalibri12pt"/>
        </w:rPr>
        <w:t xml:space="preserve">also </w:t>
      </w:r>
      <w:r w:rsidRPr="00DC1B19">
        <w:rPr>
          <w:rStyle w:val="StyleBodyCalibri12pt"/>
        </w:rPr>
        <w:t xml:space="preserve">showcase the good work </w:t>
      </w:r>
      <w:r w:rsidR="008264DE" w:rsidRPr="00DC1B19">
        <w:rPr>
          <w:rStyle w:val="StyleBodyCalibri12pt"/>
        </w:rPr>
        <w:t xml:space="preserve">and the collaboration </w:t>
      </w:r>
      <w:r w:rsidRPr="00DC1B19">
        <w:rPr>
          <w:rStyle w:val="StyleBodyCalibri12pt"/>
        </w:rPr>
        <w:t>that is happening on the ground.</w:t>
      </w:r>
    </w:p>
    <w:p w:rsidR="00C238F5" w:rsidRPr="00F632B6" w:rsidRDefault="00C238F5" w:rsidP="00D92BEA">
      <w:pPr>
        <w:pStyle w:val="Heading4"/>
      </w:pPr>
      <w:r w:rsidRPr="00F632B6">
        <w:t>List of shortened forms</w:t>
      </w:r>
    </w:p>
    <w:p w:rsidR="00C238F5" w:rsidRPr="009D3E9C" w:rsidRDefault="00C238F5" w:rsidP="009D3E9C">
      <w:pPr>
        <w:rPr>
          <w:rFonts w:ascii="Calibri" w:hAnsi="Calibri"/>
          <w:sz w:val="24"/>
        </w:rPr>
      </w:pPr>
      <w:r w:rsidRPr="009D3E9C">
        <w:rPr>
          <w:rFonts w:ascii="Calibri" w:hAnsi="Calibri"/>
          <w:sz w:val="24"/>
        </w:rPr>
        <w:t xml:space="preserve">Acronyms have been spelled out when they first appear. </w:t>
      </w:r>
      <w:r w:rsidR="00B14200" w:rsidRPr="009D3E9C">
        <w:rPr>
          <w:rFonts w:ascii="Calibri" w:hAnsi="Calibri"/>
          <w:sz w:val="24"/>
        </w:rPr>
        <w:t xml:space="preserve">Exceptions have been made for </w:t>
      </w:r>
      <w:r w:rsidR="00AD31AA" w:rsidRPr="009D3E9C">
        <w:rPr>
          <w:rFonts w:ascii="Calibri" w:hAnsi="Calibri"/>
          <w:sz w:val="24"/>
        </w:rPr>
        <w:t xml:space="preserve">titles and for </w:t>
      </w:r>
      <w:r w:rsidR="00B14200" w:rsidRPr="009D3E9C">
        <w:rPr>
          <w:rFonts w:ascii="Calibri" w:hAnsi="Calibri"/>
          <w:sz w:val="24"/>
        </w:rPr>
        <w:t xml:space="preserve">states and territories which choose to use the state or territory name in full from time to time. </w:t>
      </w:r>
      <w:r w:rsidRPr="009D3E9C">
        <w:rPr>
          <w:rFonts w:ascii="Calibri" w:hAnsi="Calibri"/>
          <w:sz w:val="24"/>
        </w:rPr>
        <w:t xml:space="preserve">A </w:t>
      </w:r>
      <w:r w:rsidR="00AC2D71" w:rsidRPr="009D3E9C">
        <w:rPr>
          <w:rFonts w:ascii="Calibri" w:hAnsi="Calibri"/>
          <w:sz w:val="24"/>
        </w:rPr>
        <w:t>Lis</w:t>
      </w:r>
      <w:r w:rsidRPr="009D3E9C">
        <w:rPr>
          <w:rFonts w:ascii="Calibri" w:hAnsi="Calibri"/>
          <w:sz w:val="24"/>
        </w:rPr>
        <w:t xml:space="preserve">t of </w:t>
      </w:r>
      <w:r w:rsidR="00AC2D71" w:rsidRPr="009D3E9C">
        <w:rPr>
          <w:rFonts w:ascii="Calibri" w:hAnsi="Calibri"/>
          <w:sz w:val="24"/>
        </w:rPr>
        <w:t>Shortened Forms</w:t>
      </w:r>
      <w:r w:rsidRPr="009D3E9C">
        <w:rPr>
          <w:rFonts w:ascii="Calibri" w:hAnsi="Calibri"/>
          <w:sz w:val="24"/>
        </w:rPr>
        <w:t xml:space="preserve"> appears </w:t>
      </w:r>
      <w:r w:rsidR="00AC2D71" w:rsidRPr="009D3E9C">
        <w:rPr>
          <w:rFonts w:ascii="Calibri" w:hAnsi="Calibri"/>
          <w:sz w:val="24"/>
        </w:rPr>
        <w:t>towards the end</w:t>
      </w:r>
      <w:r w:rsidRPr="009D3E9C">
        <w:rPr>
          <w:rFonts w:ascii="Calibri" w:hAnsi="Calibri"/>
          <w:sz w:val="24"/>
        </w:rPr>
        <w:t xml:space="preserve"> of this Annual Report.</w:t>
      </w:r>
    </w:p>
    <w:p w:rsidR="00DC2B11" w:rsidRPr="009D3E9C" w:rsidRDefault="00DC2B11" w:rsidP="009D3E9C">
      <w:pPr>
        <w:rPr>
          <w:rFonts w:ascii="Calibri" w:hAnsi="Calibri"/>
          <w:sz w:val="24"/>
        </w:rPr>
      </w:pPr>
    </w:p>
    <w:p w:rsidR="00A53BB8" w:rsidRPr="00DC1B19" w:rsidRDefault="00A53BB8">
      <w:pPr>
        <w:rPr>
          <w:rStyle w:val="StyleBodyCalibri12pt"/>
        </w:rPr>
      </w:pPr>
      <w:r w:rsidRPr="00DC1B19">
        <w:rPr>
          <w:rStyle w:val="StyleBodyCalibri12pt"/>
        </w:rPr>
        <w:br w:type="page"/>
      </w:r>
    </w:p>
    <w:p w:rsidR="00356B6E" w:rsidRPr="00356B6E" w:rsidRDefault="00356B6E" w:rsidP="00B940CF">
      <w:pPr>
        <w:pStyle w:val="Heading1"/>
      </w:pPr>
      <w:bookmarkStart w:id="29" w:name="_Toc229125945"/>
      <w:bookmarkStart w:id="30" w:name="_Toc400007678"/>
      <w:bookmarkStart w:id="31" w:name="_Toc400711461"/>
      <w:r>
        <w:t>Chapter one</w:t>
      </w:r>
      <w:proofErr w:type="gramStart"/>
      <w:r>
        <w:t>:</w:t>
      </w:r>
      <w:proofErr w:type="gramEnd"/>
      <w:r>
        <w:br/>
        <w:t>T</w:t>
      </w:r>
      <w:r w:rsidRPr="00356B6E">
        <w:t xml:space="preserve">he </w:t>
      </w:r>
      <w:r w:rsidRPr="00B940CF">
        <w:t>National</w:t>
      </w:r>
      <w:r w:rsidRPr="00356B6E">
        <w:t xml:space="preserve"> Framework</w:t>
      </w:r>
      <w:bookmarkEnd w:id="29"/>
      <w:bookmarkEnd w:id="30"/>
      <w:bookmarkEnd w:id="31"/>
    </w:p>
    <w:p w:rsidR="008A60C0" w:rsidRPr="00821556" w:rsidRDefault="008A60C0" w:rsidP="008A4800">
      <w:pPr>
        <w:ind w:left="-1134" w:right="1895"/>
        <w:rPr>
          <w:rFonts w:ascii="Arial" w:hAnsi="Arial" w:cs="Arial"/>
          <w:sz w:val="18"/>
          <w:szCs w:val="18"/>
        </w:rPr>
      </w:pPr>
    </w:p>
    <w:p w:rsidR="008A60C0" w:rsidRPr="00821556" w:rsidRDefault="008A60C0" w:rsidP="008A4800">
      <w:pPr>
        <w:ind w:left="-1134" w:right="1895"/>
        <w:rPr>
          <w:rFonts w:ascii="Calibri" w:hAnsi="Calibri" w:cs="Calibri"/>
          <w:sz w:val="18"/>
          <w:szCs w:val="18"/>
        </w:rPr>
      </w:pPr>
    </w:p>
    <w:p w:rsidR="00652FCC" w:rsidRPr="0021605F" w:rsidRDefault="00652FCC" w:rsidP="0021605F">
      <w:pPr>
        <w:pStyle w:val="Heading2"/>
      </w:pPr>
      <w:bookmarkStart w:id="32" w:name="_Toc369184138"/>
      <w:bookmarkStart w:id="33" w:name="_Toc400007679"/>
      <w:bookmarkStart w:id="34" w:name="_Toc400711462"/>
      <w:r w:rsidRPr="00821556">
        <w:t>What is the National Framework for Protecting Australia’s Children?</w:t>
      </w:r>
      <w:bookmarkEnd w:id="32"/>
      <w:bookmarkEnd w:id="33"/>
      <w:bookmarkEnd w:id="34"/>
      <w:r>
        <w:t xml:space="preserve"> </w:t>
      </w:r>
    </w:p>
    <w:p w:rsidR="00652FCC" w:rsidRPr="00EC54E3" w:rsidRDefault="00652FCC" w:rsidP="00652FCC">
      <w:pPr>
        <w:rPr>
          <w:rFonts w:ascii="Calibri" w:hAnsi="Calibri" w:cs="Calibri"/>
          <w:sz w:val="24"/>
          <w:szCs w:val="24"/>
        </w:rPr>
      </w:pPr>
      <w:r w:rsidRPr="00EC54E3">
        <w:rPr>
          <w:rFonts w:ascii="Calibri" w:hAnsi="Calibri" w:cs="Calibri"/>
          <w:i/>
          <w:sz w:val="24"/>
          <w:szCs w:val="24"/>
        </w:rPr>
        <w:t>Protecting Children is Everyone’s Business: National Framework for Protecting Australia’s Children 2009–2020</w:t>
      </w:r>
      <w:r w:rsidRPr="00EC54E3">
        <w:rPr>
          <w:rFonts w:ascii="Calibri" w:hAnsi="Calibri" w:cs="Calibri"/>
          <w:sz w:val="24"/>
          <w:szCs w:val="24"/>
        </w:rPr>
        <w:t xml:space="preserve"> (the National Framework) is Australia’s first long-term plan to promote and enhance the safety and wellbeing of Australia’s children.</w:t>
      </w:r>
    </w:p>
    <w:p w:rsidR="00652FCC" w:rsidRPr="00EC54E3" w:rsidRDefault="00652FCC" w:rsidP="00652FCC">
      <w:pPr>
        <w:rPr>
          <w:rFonts w:ascii="Calibri" w:hAnsi="Calibri" w:cs="Calibri"/>
          <w:sz w:val="24"/>
          <w:szCs w:val="24"/>
        </w:rPr>
      </w:pPr>
    </w:p>
    <w:p w:rsidR="00652FCC" w:rsidRPr="00EC54E3" w:rsidRDefault="00652FCC" w:rsidP="00652FCC">
      <w:pPr>
        <w:rPr>
          <w:rFonts w:ascii="Calibri" w:hAnsi="Calibri" w:cs="Calibri"/>
          <w:sz w:val="24"/>
          <w:szCs w:val="24"/>
        </w:rPr>
      </w:pPr>
      <w:r w:rsidRPr="00EC54E3">
        <w:rPr>
          <w:rFonts w:ascii="Calibri" w:hAnsi="Calibri" w:cs="Calibri"/>
          <w:sz w:val="24"/>
          <w:szCs w:val="24"/>
        </w:rPr>
        <w:t xml:space="preserve">When COAG endorsed the National Framework in April 2009, its members committed to an ambitious new approach to protecting Australia’s children, working collaboratively with the </w:t>
      </w:r>
      <w:r w:rsidR="00C8305C">
        <w:rPr>
          <w:rFonts w:ascii="Calibri" w:hAnsi="Calibri" w:cs="Calibri"/>
          <w:sz w:val="24"/>
          <w:szCs w:val="24"/>
        </w:rPr>
        <w:t>community</w:t>
      </w:r>
      <w:r w:rsidRPr="00EC54E3">
        <w:rPr>
          <w:rFonts w:ascii="Calibri" w:hAnsi="Calibri" w:cs="Calibri"/>
          <w:sz w:val="24"/>
          <w:szCs w:val="24"/>
        </w:rPr>
        <w:t xml:space="preserve"> sector.</w:t>
      </w:r>
    </w:p>
    <w:p w:rsidR="00652FCC" w:rsidRPr="00EC54E3" w:rsidRDefault="00652FCC" w:rsidP="00652FCC">
      <w:pPr>
        <w:rPr>
          <w:rFonts w:ascii="Calibri" w:hAnsi="Calibri" w:cs="Calibri"/>
          <w:sz w:val="24"/>
          <w:szCs w:val="24"/>
        </w:rPr>
      </w:pPr>
    </w:p>
    <w:p w:rsidR="00652FCC" w:rsidRPr="00EC54E3" w:rsidRDefault="00652FCC" w:rsidP="00652FCC">
      <w:pPr>
        <w:rPr>
          <w:rFonts w:ascii="Calibri" w:hAnsi="Calibri" w:cs="Calibri"/>
          <w:sz w:val="24"/>
          <w:szCs w:val="24"/>
        </w:rPr>
      </w:pPr>
      <w:r w:rsidRPr="00EC54E3">
        <w:rPr>
          <w:rFonts w:ascii="Calibri" w:hAnsi="Calibri" w:cs="Calibri"/>
          <w:sz w:val="24"/>
          <w:szCs w:val="24"/>
        </w:rPr>
        <w:t xml:space="preserve">The National Framework acknowledges through its key message that protecting children requires everyone to work together: </w:t>
      </w:r>
      <w:r w:rsidRPr="00EC54E3">
        <w:rPr>
          <w:rFonts w:ascii="Calibri" w:hAnsi="Calibri" w:cs="Calibri"/>
          <w:b/>
          <w:i/>
          <w:sz w:val="24"/>
          <w:szCs w:val="24"/>
        </w:rPr>
        <w:t>Protecting Children is Everyone’s Business</w:t>
      </w:r>
      <w:r w:rsidRPr="00EC54E3">
        <w:rPr>
          <w:rFonts w:ascii="Calibri" w:hAnsi="Calibri" w:cs="Calibri"/>
          <w:sz w:val="24"/>
          <w:szCs w:val="24"/>
        </w:rPr>
        <w:t>.</w:t>
      </w:r>
    </w:p>
    <w:p w:rsidR="00652FCC" w:rsidRPr="00EC54E3" w:rsidRDefault="00652FCC" w:rsidP="00652FCC">
      <w:pPr>
        <w:rPr>
          <w:rFonts w:ascii="Calibri" w:hAnsi="Calibri" w:cs="Calibri"/>
          <w:sz w:val="24"/>
          <w:szCs w:val="24"/>
        </w:rPr>
      </w:pPr>
    </w:p>
    <w:p w:rsidR="00652FCC" w:rsidRPr="00EC54E3" w:rsidRDefault="00652FCC" w:rsidP="00652FCC">
      <w:pPr>
        <w:rPr>
          <w:rFonts w:ascii="Calibri" w:hAnsi="Calibri" w:cs="Calibri"/>
          <w:sz w:val="24"/>
          <w:szCs w:val="24"/>
        </w:rPr>
      </w:pPr>
      <w:r w:rsidRPr="00EC54E3">
        <w:rPr>
          <w:rFonts w:ascii="Calibri" w:hAnsi="Calibri" w:cs="Calibri"/>
          <w:sz w:val="24"/>
          <w:szCs w:val="24"/>
        </w:rPr>
        <w:t>The National Framework also acknowledges that the reasons children may need protecting are not simple. To address the complex causes of risks to children and young people, the National Framework uses a model from public health to guide the development of linkages that can deliver the joined-up services that work most effectively to support children, young people and families.</w:t>
      </w:r>
    </w:p>
    <w:p w:rsidR="00652FCC" w:rsidRDefault="00652FCC" w:rsidP="00652FCC"/>
    <w:p w:rsidR="00652FCC" w:rsidRPr="00821556" w:rsidRDefault="00652FCC" w:rsidP="00FF0B09">
      <w:pPr>
        <w:pStyle w:val="Figure"/>
      </w:pPr>
      <w:bookmarkStart w:id="35" w:name="_Toc343804509"/>
      <w:bookmarkStart w:id="36" w:name="_Toc400615859"/>
      <w:r w:rsidRPr="00821556">
        <w:t xml:space="preserve">Figure </w:t>
      </w:r>
      <w:fldSimple w:instr=" SEQ Figure \* ARABIC ">
        <w:r w:rsidR="00BF1EC9">
          <w:rPr>
            <w:noProof/>
          </w:rPr>
          <w:t>1</w:t>
        </w:r>
      </w:fldSimple>
      <w:r w:rsidRPr="00821556">
        <w:t>: A system for protecting children</w:t>
      </w:r>
      <w:bookmarkEnd w:id="35"/>
      <w:bookmarkEnd w:id="36"/>
    </w:p>
    <w:p w:rsidR="00652FCC" w:rsidRPr="00821556" w:rsidRDefault="0037350F" w:rsidP="0037350F">
      <w:pPr>
        <w:jc w:val="center"/>
        <w:rPr>
          <w:rFonts w:ascii="Calibri" w:hAnsi="Calibri" w:cs="Calibri"/>
          <w:sz w:val="22"/>
          <w:szCs w:val="22"/>
        </w:rPr>
      </w:pPr>
      <w:r>
        <w:rPr>
          <w:rFonts w:ascii="Calibri" w:hAnsi="Calibri" w:cs="Calibri"/>
          <w:noProof/>
          <w:sz w:val="22"/>
          <w:szCs w:val="22"/>
          <w:lang w:eastAsia="en-AU"/>
        </w:rPr>
        <w:drawing>
          <wp:inline distT="0" distB="0" distL="0" distR="0" wp14:anchorId="683980E7" wp14:editId="011305C6">
            <wp:extent cx="3533775" cy="3330583"/>
            <wp:effectExtent l="0" t="0" r="0" b="3175"/>
            <wp:docPr id="3" name="Picture 3" descr="This model has at its base the importance of having national (or universal) support systems available to all families. Health and education are particularly important universal support systems in identifying, preventing and tackling abuse and neglect.&#10;More intensive services are available as an early intervention for those vulnerable families where risk factors have been identified that can lead to abuse and neglect. &#10;Where early intervention and targeted services have not been able to address the issues, the statutory child protection services are a last resort and the least desirable option for both families and governme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JPG"/>
                    <pic:cNvPicPr/>
                  </pic:nvPicPr>
                  <pic:blipFill>
                    <a:blip r:embed="rId19">
                      <a:extLst>
                        <a:ext uri="{28A0092B-C50C-407E-A947-70E740481C1C}">
                          <a14:useLocalDpi xmlns:a14="http://schemas.microsoft.com/office/drawing/2010/main" val="0"/>
                        </a:ext>
                      </a:extLst>
                    </a:blip>
                    <a:stretch>
                      <a:fillRect/>
                    </a:stretch>
                  </pic:blipFill>
                  <pic:spPr>
                    <a:xfrm>
                      <a:off x="0" y="0"/>
                      <a:ext cx="3535114" cy="3331845"/>
                    </a:xfrm>
                    <a:prstGeom prst="rect">
                      <a:avLst/>
                    </a:prstGeom>
                  </pic:spPr>
                </pic:pic>
              </a:graphicData>
            </a:graphic>
          </wp:inline>
        </w:drawing>
      </w:r>
    </w:p>
    <w:p w:rsidR="00652FCC" w:rsidRPr="00821556" w:rsidRDefault="00652FCC" w:rsidP="00652FCC">
      <w:pPr>
        <w:rPr>
          <w:rFonts w:ascii="Calibri" w:hAnsi="Calibri" w:cs="Calibri"/>
          <w:sz w:val="24"/>
          <w:szCs w:val="24"/>
        </w:rPr>
      </w:pPr>
      <w:r w:rsidRPr="00821556">
        <w:rPr>
          <w:rFonts w:ascii="Calibri" w:hAnsi="Calibri" w:cs="Calibri"/>
          <w:sz w:val="24"/>
          <w:szCs w:val="24"/>
        </w:rPr>
        <w:t>This model has at its base the importance of having national (or universal) support systems available to all families</w:t>
      </w:r>
      <w:r w:rsidR="00314AAC">
        <w:rPr>
          <w:rFonts w:ascii="Calibri" w:hAnsi="Calibri" w:cs="Calibri"/>
          <w:sz w:val="24"/>
          <w:szCs w:val="24"/>
        </w:rPr>
        <w:t xml:space="preserve"> as prevention and early intervention responses to keep children safe and well</w:t>
      </w:r>
      <w:r w:rsidRPr="00821556">
        <w:rPr>
          <w:rFonts w:ascii="Calibri" w:hAnsi="Calibri" w:cs="Calibri"/>
          <w:sz w:val="24"/>
          <w:szCs w:val="24"/>
        </w:rPr>
        <w:t>.</w:t>
      </w:r>
      <w:r>
        <w:rPr>
          <w:rFonts w:ascii="Calibri" w:hAnsi="Calibri" w:cs="Calibri"/>
          <w:sz w:val="24"/>
          <w:szCs w:val="24"/>
        </w:rPr>
        <w:t xml:space="preserve"> </w:t>
      </w:r>
      <w:r w:rsidRPr="00821556">
        <w:rPr>
          <w:rFonts w:ascii="Calibri" w:hAnsi="Calibri" w:cs="Calibri"/>
          <w:sz w:val="24"/>
          <w:szCs w:val="24"/>
        </w:rPr>
        <w:t>Health and education are particularly important universal support systems in identifying, preventing and tackling abuse and neglect.</w:t>
      </w:r>
    </w:p>
    <w:p w:rsidR="00652FCC" w:rsidRPr="00821556" w:rsidRDefault="00652FCC" w:rsidP="00652FCC">
      <w:pPr>
        <w:rPr>
          <w:rFonts w:ascii="Calibri" w:hAnsi="Calibri" w:cs="Calibri"/>
          <w:sz w:val="24"/>
          <w:szCs w:val="24"/>
        </w:rPr>
      </w:pPr>
    </w:p>
    <w:p w:rsidR="00652FCC" w:rsidRPr="00821556" w:rsidRDefault="00652FCC" w:rsidP="00652FCC">
      <w:pPr>
        <w:rPr>
          <w:rFonts w:ascii="Calibri" w:hAnsi="Calibri"/>
          <w:sz w:val="24"/>
          <w:szCs w:val="24"/>
        </w:rPr>
      </w:pPr>
      <w:r w:rsidRPr="00821556">
        <w:rPr>
          <w:rFonts w:ascii="Calibri" w:hAnsi="Calibri"/>
          <w:sz w:val="24"/>
          <w:szCs w:val="24"/>
        </w:rPr>
        <w:t xml:space="preserve">More intensive services are available as an early intervention for those families where risk factors have been identified that can lead to abuse and neglect. </w:t>
      </w:r>
    </w:p>
    <w:p w:rsidR="00652FCC" w:rsidRPr="00821556" w:rsidRDefault="00652FCC" w:rsidP="00652FCC">
      <w:pPr>
        <w:rPr>
          <w:rFonts w:ascii="Calibri" w:hAnsi="Calibri" w:cs="Calibri"/>
          <w:sz w:val="24"/>
          <w:szCs w:val="24"/>
        </w:rPr>
      </w:pPr>
    </w:p>
    <w:p w:rsidR="00652FCC" w:rsidRDefault="00652FCC" w:rsidP="00652FCC">
      <w:pPr>
        <w:rPr>
          <w:rFonts w:ascii="Calibri" w:hAnsi="Calibri" w:cs="Calibri"/>
          <w:sz w:val="24"/>
          <w:szCs w:val="24"/>
        </w:rPr>
      </w:pPr>
      <w:r w:rsidRPr="00821556">
        <w:rPr>
          <w:rFonts w:ascii="Calibri" w:hAnsi="Calibri" w:cs="Calibri"/>
          <w:sz w:val="24"/>
          <w:szCs w:val="24"/>
        </w:rPr>
        <w:t xml:space="preserve">Where early intervention and targeted services have not been able to address the issues, the statutory child protection services </w:t>
      </w:r>
      <w:r w:rsidR="00314AAC">
        <w:rPr>
          <w:rFonts w:ascii="Calibri" w:hAnsi="Calibri" w:cs="Calibri"/>
          <w:sz w:val="24"/>
          <w:szCs w:val="24"/>
        </w:rPr>
        <w:t>intervene to protect children. They</w:t>
      </w:r>
      <w:r w:rsidR="00EF728B">
        <w:rPr>
          <w:rFonts w:ascii="Calibri" w:hAnsi="Calibri" w:cs="Calibri"/>
          <w:sz w:val="24"/>
          <w:szCs w:val="24"/>
        </w:rPr>
        <w:t xml:space="preserve"> </w:t>
      </w:r>
      <w:r w:rsidRPr="00821556">
        <w:rPr>
          <w:rFonts w:ascii="Calibri" w:hAnsi="Calibri" w:cs="Calibri"/>
          <w:sz w:val="24"/>
          <w:szCs w:val="24"/>
        </w:rPr>
        <w:t>are a last resort and the least desirable option for both families and governments.</w:t>
      </w:r>
    </w:p>
    <w:p w:rsidR="00652FCC" w:rsidRDefault="00652FCC" w:rsidP="00652FCC">
      <w:pPr>
        <w:rPr>
          <w:rFonts w:ascii="Calibri" w:hAnsi="Calibri" w:cs="Calibri"/>
          <w:sz w:val="24"/>
          <w:szCs w:val="24"/>
        </w:rPr>
      </w:pPr>
    </w:p>
    <w:p w:rsidR="00652FCC" w:rsidRDefault="00652FCC" w:rsidP="00652FCC">
      <w:pPr>
        <w:rPr>
          <w:rFonts w:ascii="Arial" w:eastAsia="Arial" w:hAnsi="Arial" w:cs="Arial"/>
          <w:sz w:val="18"/>
          <w:szCs w:val="18"/>
        </w:rPr>
      </w:pPr>
      <w:r>
        <w:rPr>
          <w:rFonts w:ascii="Calibri" w:hAnsi="Calibri" w:cs="Calibri"/>
          <w:sz w:val="24"/>
          <w:szCs w:val="24"/>
        </w:rPr>
        <w:t xml:space="preserve">Australia is a signatory to </w:t>
      </w:r>
      <w:r w:rsidRPr="00DC1B19">
        <w:rPr>
          <w:rStyle w:val="StyleBodyCalibri12pt"/>
          <w:rFonts w:eastAsia="Arial"/>
        </w:rPr>
        <w:t xml:space="preserve">the United Nations’ </w:t>
      </w:r>
      <w:r w:rsidRPr="000433CA">
        <w:rPr>
          <w:rStyle w:val="StyleBodyCalibri12ptItalic"/>
          <w:rFonts w:eastAsia="Arial"/>
        </w:rPr>
        <w:t>Convention on the Rights of the Child</w:t>
      </w:r>
      <w:r w:rsidRPr="00DC1B19">
        <w:rPr>
          <w:rStyle w:val="StyleBodyCalibri12pt"/>
          <w:rFonts w:eastAsia="Arial"/>
        </w:rPr>
        <w:t>. The National Framework is therefore underpinned by the following principles:</w:t>
      </w:r>
    </w:p>
    <w:p w:rsidR="00652FCC" w:rsidRPr="00F741F7" w:rsidRDefault="00652FCC" w:rsidP="00652FCC">
      <w:pPr>
        <w:pStyle w:val="ListBullet"/>
        <w:rPr>
          <w:rFonts w:eastAsia="Arial"/>
        </w:rPr>
      </w:pPr>
      <w:r w:rsidRPr="000F7A47">
        <w:rPr>
          <w:rFonts w:eastAsia="Arial"/>
        </w:rPr>
        <w:t>Al</w:t>
      </w:r>
      <w:r w:rsidRPr="00F741F7">
        <w:rPr>
          <w:rFonts w:eastAsia="Arial"/>
        </w:rPr>
        <w:t xml:space="preserve">l </w:t>
      </w:r>
      <w:r w:rsidRPr="000F7A47">
        <w:rPr>
          <w:rFonts w:eastAsia="Arial"/>
        </w:rPr>
        <w:t>child</w:t>
      </w:r>
      <w:r w:rsidRPr="00F741F7">
        <w:rPr>
          <w:rFonts w:eastAsia="Arial"/>
        </w:rPr>
        <w:t>r</w:t>
      </w:r>
      <w:r w:rsidRPr="000F7A47">
        <w:rPr>
          <w:rFonts w:eastAsia="Arial"/>
        </w:rPr>
        <w:t>e</w:t>
      </w:r>
      <w:r w:rsidRPr="00F741F7">
        <w:rPr>
          <w:rFonts w:eastAsia="Arial"/>
        </w:rPr>
        <w:t xml:space="preserve">n have a right </w:t>
      </w:r>
      <w:r w:rsidRPr="000F7A47">
        <w:rPr>
          <w:rFonts w:eastAsia="Arial"/>
        </w:rPr>
        <w:t>t</w:t>
      </w:r>
      <w:r w:rsidRPr="00F741F7">
        <w:rPr>
          <w:rFonts w:eastAsia="Arial"/>
        </w:rPr>
        <w:t>o</w:t>
      </w:r>
      <w:r w:rsidRPr="000F7A47">
        <w:rPr>
          <w:rFonts w:eastAsia="Arial"/>
        </w:rPr>
        <w:t xml:space="preserve"> g</w:t>
      </w:r>
      <w:r w:rsidRPr="00F741F7">
        <w:rPr>
          <w:rFonts w:eastAsia="Arial"/>
        </w:rPr>
        <w:t>r</w:t>
      </w:r>
      <w:r w:rsidRPr="000F7A47">
        <w:rPr>
          <w:rFonts w:eastAsia="Arial"/>
        </w:rPr>
        <w:t>o</w:t>
      </w:r>
      <w:r w:rsidRPr="00F741F7">
        <w:rPr>
          <w:rFonts w:eastAsia="Arial"/>
        </w:rPr>
        <w:t xml:space="preserve">w </w:t>
      </w:r>
      <w:r w:rsidRPr="000F7A47">
        <w:rPr>
          <w:rFonts w:eastAsia="Arial"/>
        </w:rPr>
        <w:t>u</w:t>
      </w:r>
      <w:r w:rsidRPr="00F741F7">
        <w:rPr>
          <w:rFonts w:eastAsia="Arial"/>
        </w:rPr>
        <w:t xml:space="preserve">p </w:t>
      </w:r>
      <w:r w:rsidRPr="000F7A47">
        <w:rPr>
          <w:rFonts w:eastAsia="Arial"/>
        </w:rPr>
        <w:t>i</w:t>
      </w:r>
      <w:r w:rsidRPr="00F741F7">
        <w:rPr>
          <w:rFonts w:eastAsia="Arial"/>
        </w:rPr>
        <w:t xml:space="preserve">n </w:t>
      </w:r>
      <w:r w:rsidRPr="000F7A47">
        <w:rPr>
          <w:rFonts w:eastAsia="Arial"/>
        </w:rPr>
        <w:t>a</w:t>
      </w:r>
      <w:r w:rsidRPr="00F741F7">
        <w:rPr>
          <w:rFonts w:eastAsia="Arial"/>
        </w:rPr>
        <w:t xml:space="preserve">n environment </w:t>
      </w:r>
      <w:r w:rsidRPr="000F7A47">
        <w:rPr>
          <w:rFonts w:eastAsia="Arial"/>
        </w:rPr>
        <w:t>f</w:t>
      </w:r>
      <w:r w:rsidRPr="00F741F7">
        <w:rPr>
          <w:rFonts w:eastAsia="Arial"/>
        </w:rPr>
        <w:t>r</w:t>
      </w:r>
      <w:r w:rsidRPr="000F7A47">
        <w:rPr>
          <w:rFonts w:eastAsia="Arial"/>
        </w:rPr>
        <w:t>e</w:t>
      </w:r>
      <w:r w:rsidRPr="00F741F7">
        <w:rPr>
          <w:rFonts w:eastAsia="Arial"/>
        </w:rPr>
        <w:t xml:space="preserve">e </w:t>
      </w:r>
      <w:r w:rsidRPr="000F7A47">
        <w:rPr>
          <w:rFonts w:eastAsia="Arial"/>
        </w:rPr>
        <w:t>f</w:t>
      </w:r>
      <w:r w:rsidRPr="00F741F7">
        <w:rPr>
          <w:rFonts w:eastAsia="Arial"/>
        </w:rPr>
        <w:t>r</w:t>
      </w:r>
      <w:r w:rsidRPr="000F7A47">
        <w:rPr>
          <w:rFonts w:eastAsia="Arial"/>
        </w:rPr>
        <w:t>o</w:t>
      </w:r>
      <w:r w:rsidRPr="00F741F7">
        <w:rPr>
          <w:rFonts w:eastAsia="Arial"/>
        </w:rPr>
        <w:t xml:space="preserve">m neglect </w:t>
      </w:r>
      <w:r w:rsidRPr="000F7A47">
        <w:rPr>
          <w:rFonts w:eastAsia="Arial"/>
        </w:rPr>
        <w:t>an</w:t>
      </w:r>
      <w:r w:rsidRPr="00F741F7">
        <w:rPr>
          <w:rFonts w:eastAsia="Arial"/>
        </w:rPr>
        <w:t xml:space="preserve">d abuse. Their </w:t>
      </w:r>
      <w:r w:rsidRPr="000F7A47">
        <w:rPr>
          <w:rFonts w:eastAsia="Arial"/>
        </w:rPr>
        <w:t>bes</w:t>
      </w:r>
      <w:r w:rsidRPr="00F741F7">
        <w:rPr>
          <w:rFonts w:eastAsia="Arial"/>
        </w:rPr>
        <w:t xml:space="preserve">t </w:t>
      </w:r>
      <w:r w:rsidRPr="000F7A47">
        <w:rPr>
          <w:rFonts w:eastAsia="Arial"/>
        </w:rPr>
        <w:t>i</w:t>
      </w:r>
      <w:r w:rsidRPr="00F741F7">
        <w:rPr>
          <w:rFonts w:eastAsia="Arial"/>
        </w:rPr>
        <w:t>n</w:t>
      </w:r>
      <w:r w:rsidRPr="000F7A47">
        <w:rPr>
          <w:rFonts w:eastAsia="Arial"/>
        </w:rPr>
        <w:t>te</w:t>
      </w:r>
      <w:r w:rsidRPr="00F741F7">
        <w:rPr>
          <w:rFonts w:eastAsia="Arial"/>
        </w:rPr>
        <w:t>r</w:t>
      </w:r>
      <w:r w:rsidRPr="000F7A47">
        <w:rPr>
          <w:rFonts w:eastAsia="Arial"/>
        </w:rPr>
        <w:t>est</w:t>
      </w:r>
      <w:r w:rsidRPr="00F741F7">
        <w:rPr>
          <w:rFonts w:eastAsia="Arial"/>
        </w:rPr>
        <w:t xml:space="preserve">s are paramount </w:t>
      </w:r>
      <w:r w:rsidRPr="000F7A47">
        <w:rPr>
          <w:rFonts w:eastAsia="Arial"/>
        </w:rPr>
        <w:t>i</w:t>
      </w:r>
      <w:r w:rsidRPr="00F741F7">
        <w:rPr>
          <w:rFonts w:eastAsia="Arial"/>
        </w:rPr>
        <w:t xml:space="preserve">n </w:t>
      </w:r>
      <w:r w:rsidRPr="000F7A47">
        <w:rPr>
          <w:rFonts w:eastAsia="Arial"/>
        </w:rPr>
        <w:t>al</w:t>
      </w:r>
      <w:r w:rsidRPr="00F741F7">
        <w:rPr>
          <w:rFonts w:eastAsia="Arial"/>
        </w:rPr>
        <w:t xml:space="preserve">l decisions </w:t>
      </w:r>
      <w:r w:rsidRPr="000F7A47">
        <w:rPr>
          <w:rFonts w:eastAsia="Arial"/>
        </w:rPr>
        <w:t>a</w:t>
      </w:r>
      <w:r w:rsidRPr="00F741F7">
        <w:rPr>
          <w:rFonts w:eastAsia="Arial"/>
        </w:rPr>
        <w:t>ff</w:t>
      </w:r>
      <w:r w:rsidRPr="000F7A47">
        <w:rPr>
          <w:rFonts w:eastAsia="Arial"/>
        </w:rPr>
        <w:t>e</w:t>
      </w:r>
      <w:r w:rsidRPr="00F741F7">
        <w:rPr>
          <w:rFonts w:eastAsia="Arial"/>
        </w:rPr>
        <w:t>c</w:t>
      </w:r>
      <w:r w:rsidRPr="000F7A47">
        <w:rPr>
          <w:rFonts w:eastAsia="Arial"/>
        </w:rPr>
        <w:t>tin</w:t>
      </w:r>
      <w:r w:rsidRPr="00F741F7">
        <w:rPr>
          <w:rFonts w:eastAsia="Arial"/>
        </w:rPr>
        <w:t>g them</w:t>
      </w:r>
      <w:r>
        <w:rPr>
          <w:rFonts w:eastAsia="Arial"/>
        </w:rPr>
        <w:t>.</w:t>
      </w:r>
    </w:p>
    <w:p w:rsidR="00652FCC" w:rsidRPr="00F741F7" w:rsidRDefault="00652FCC" w:rsidP="00652FCC">
      <w:pPr>
        <w:pStyle w:val="ListBullet"/>
        <w:rPr>
          <w:rFonts w:eastAsia="Arial"/>
        </w:rPr>
      </w:pPr>
      <w:r w:rsidRPr="00F741F7">
        <w:rPr>
          <w:rFonts w:eastAsia="Arial"/>
        </w:rPr>
        <w:t xml:space="preserve">Children </w:t>
      </w:r>
      <w:r w:rsidRPr="000F7A47">
        <w:rPr>
          <w:rFonts w:eastAsia="Arial"/>
        </w:rPr>
        <w:t>an</w:t>
      </w:r>
      <w:r w:rsidRPr="00F741F7">
        <w:rPr>
          <w:rFonts w:eastAsia="Arial"/>
        </w:rPr>
        <w:t xml:space="preserve">d </w:t>
      </w:r>
      <w:r w:rsidRPr="000F7A47">
        <w:rPr>
          <w:rFonts w:eastAsia="Arial"/>
        </w:rPr>
        <w:t>thei</w:t>
      </w:r>
      <w:r w:rsidRPr="00F741F7">
        <w:rPr>
          <w:rFonts w:eastAsia="Arial"/>
        </w:rPr>
        <w:t>r f</w:t>
      </w:r>
      <w:r w:rsidRPr="000F7A47">
        <w:rPr>
          <w:rFonts w:eastAsia="Arial"/>
        </w:rPr>
        <w:t>amilie</w:t>
      </w:r>
      <w:r w:rsidRPr="00F741F7">
        <w:rPr>
          <w:rFonts w:eastAsia="Arial"/>
        </w:rPr>
        <w:t xml:space="preserve">s have a right </w:t>
      </w:r>
      <w:r w:rsidRPr="000F7A47">
        <w:rPr>
          <w:rFonts w:eastAsia="Arial"/>
        </w:rPr>
        <w:t>t</w:t>
      </w:r>
      <w:r w:rsidRPr="00F741F7">
        <w:rPr>
          <w:rFonts w:eastAsia="Arial"/>
        </w:rPr>
        <w:t>o</w:t>
      </w:r>
      <w:r w:rsidRPr="000F7A47">
        <w:rPr>
          <w:rFonts w:eastAsia="Arial"/>
        </w:rPr>
        <w:t xml:space="preserve"> pa</w:t>
      </w:r>
      <w:r w:rsidRPr="00F741F7">
        <w:rPr>
          <w:rFonts w:eastAsia="Arial"/>
        </w:rPr>
        <w:t>r</w:t>
      </w:r>
      <w:r w:rsidRPr="000F7A47">
        <w:rPr>
          <w:rFonts w:eastAsia="Arial"/>
        </w:rPr>
        <w:t>ticip</w:t>
      </w:r>
      <w:r w:rsidRPr="00F741F7">
        <w:rPr>
          <w:rFonts w:eastAsia="Arial"/>
        </w:rPr>
        <w:t>a</w:t>
      </w:r>
      <w:r w:rsidRPr="000F7A47">
        <w:rPr>
          <w:rFonts w:eastAsia="Arial"/>
        </w:rPr>
        <w:t>t</w:t>
      </w:r>
      <w:r w:rsidRPr="00F741F7">
        <w:rPr>
          <w:rFonts w:eastAsia="Arial"/>
        </w:rPr>
        <w:t>e</w:t>
      </w:r>
      <w:r w:rsidRPr="000F7A47">
        <w:rPr>
          <w:rFonts w:eastAsia="Arial"/>
        </w:rPr>
        <w:t xml:space="preserve"> i</w:t>
      </w:r>
      <w:r w:rsidRPr="00F741F7">
        <w:rPr>
          <w:rFonts w:eastAsia="Arial"/>
        </w:rPr>
        <w:t xml:space="preserve">n decisions </w:t>
      </w:r>
      <w:r w:rsidRPr="000F7A47">
        <w:rPr>
          <w:rFonts w:eastAsia="Arial"/>
        </w:rPr>
        <w:t>a</w:t>
      </w:r>
      <w:r w:rsidRPr="00F741F7">
        <w:rPr>
          <w:rFonts w:eastAsia="Arial"/>
        </w:rPr>
        <w:t>ff</w:t>
      </w:r>
      <w:r w:rsidRPr="000F7A47">
        <w:rPr>
          <w:rFonts w:eastAsia="Arial"/>
        </w:rPr>
        <w:t>e</w:t>
      </w:r>
      <w:r w:rsidRPr="00F741F7">
        <w:rPr>
          <w:rFonts w:eastAsia="Arial"/>
        </w:rPr>
        <w:t>c</w:t>
      </w:r>
      <w:r w:rsidRPr="000F7A47">
        <w:rPr>
          <w:rFonts w:eastAsia="Arial"/>
        </w:rPr>
        <w:t>tin</w:t>
      </w:r>
      <w:r w:rsidRPr="00F741F7">
        <w:rPr>
          <w:rFonts w:eastAsia="Arial"/>
        </w:rPr>
        <w:t>g them</w:t>
      </w:r>
      <w:r>
        <w:rPr>
          <w:rFonts w:eastAsia="Arial"/>
        </w:rPr>
        <w:t>.</w:t>
      </w:r>
    </w:p>
    <w:p w:rsidR="00652FCC" w:rsidRPr="00F741F7" w:rsidRDefault="00652FCC" w:rsidP="00652FCC">
      <w:pPr>
        <w:pStyle w:val="ListBullet"/>
        <w:rPr>
          <w:rFonts w:eastAsia="Arial"/>
        </w:rPr>
      </w:pPr>
      <w:r w:rsidRPr="000F7A47">
        <w:rPr>
          <w:rFonts w:eastAsia="Arial"/>
        </w:rPr>
        <w:t>Imp</w:t>
      </w:r>
      <w:r w:rsidRPr="00F741F7">
        <w:rPr>
          <w:rFonts w:eastAsia="Arial"/>
        </w:rPr>
        <w:t>ro</w:t>
      </w:r>
      <w:r w:rsidRPr="000F7A47">
        <w:rPr>
          <w:rFonts w:eastAsia="Arial"/>
        </w:rPr>
        <w:t>vin</w:t>
      </w:r>
      <w:r w:rsidRPr="00F741F7">
        <w:rPr>
          <w:rFonts w:eastAsia="Arial"/>
        </w:rPr>
        <w:t xml:space="preserve">g </w:t>
      </w:r>
      <w:r w:rsidRPr="000F7A47">
        <w:rPr>
          <w:rFonts w:eastAsia="Arial"/>
        </w:rPr>
        <w:t>th</w:t>
      </w:r>
      <w:r w:rsidRPr="00F741F7">
        <w:rPr>
          <w:rFonts w:eastAsia="Arial"/>
        </w:rPr>
        <w:t xml:space="preserve">e safety </w:t>
      </w:r>
      <w:r w:rsidRPr="000F7A47">
        <w:rPr>
          <w:rFonts w:eastAsia="Arial"/>
        </w:rPr>
        <w:t>an</w:t>
      </w:r>
      <w:r w:rsidRPr="00F741F7">
        <w:rPr>
          <w:rFonts w:eastAsia="Arial"/>
        </w:rPr>
        <w:t xml:space="preserve">d </w:t>
      </w:r>
      <w:r w:rsidRPr="000F7A47">
        <w:rPr>
          <w:rFonts w:eastAsia="Arial"/>
        </w:rPr>
        <w:t>wellbein</w:t>
      </w:r>
      <w:r w:rsidRPr="00F741F7">
        <w:rPr>
          <w:rFonts w:eastAsia="Arial"/>
        </w:rPr>
        <w:t xml:space="preserve">g </w:t>
      </w:r>
      <w:r w:rsidRPr="000F7A47">
        <w:rPr>
          <w:rFonts w:eastAsia="Arial"/>
        </w:rPr>
        <w:t>o</w:t>
      </w:r>
      <w:r w:rsidRPr="00F741F7">
        <w:rPr>
          <w:rFonts w:eastAsia="Arial"/>
        </w:rPr>
        <w:t xml:space="preserve">f </w:t>
      </w:r>
      <w:r w:rsidRPr="000F7A47">
        <w:rPr>
          <w:rFonts w:eastAsia="Arial"/>
        </w:rPr>
        <w:t>child</w:t>
      </w:r>
      <w:r w:rsidRPr="00F741F7">
        <w:rPr>
          <w:rFonts w:eastAsia="Arial"/>
        </w:rPr>
        <w:t>r</w:t>
      </w:r>
      <w:r w:rsidRPr="000F7A47">
        <w:rPr>
          <w:rFonts w:eastAsia="Arial"/>
        </w:rPr>
        <w:t>e</w:t>
      </w:r>
      <w:r w:rsidRPr="00F741F7">
        <w:rPr>
          <w:rFonts w:eastAsia="Arial"/>
        </w:rPr>
        <w:t xml:space="preserve">n is a </w:t>
      </w:r>
      <w:r w:rsidRPr="000F7A47">
        <w:rPr>
          <w:rFonts w:eastAsia="Arial"/>
        </w:rPr>
        <w:t>n</w:t>
      </w:r>
      <w:r w:rsidRPr="00F741F7">
        <w:rPr>
          <w:rFonts w:eastAsia="Arial"/>
        </w:rPr>
        <w:t>a</w:t>
      </w:r>
      <w:r w:rsidRPr="000F7A47">
        <w:rPr>
          <w:rFonts w:eastAsia="Arial"/>
        </w:rPr>
        <w:t>tiona</w:t>
      </w:r>
      <w:r w:rsidRPr="00F741F7">
        <w:rPr>
          <w:rFonts w:eastAsia="Arial"/>
        </w:rPr>
        <w:t>l priority</w:t>
      </w:r>
      <w:r>
        <w:rPr>
          <w:rFonts w:eastAsia="Arial"/>
        </w:rPr>
        <w:t>.</w:t>
      </w:r>
    </w:p>
    <w:p w:rsidR="00652FCC" w:rsidRPr="00F741F7" w:rsidRDefault="00652FCC" w:rsidP="00652FCC">
      <w:pPr>
        <w:pStyle w:val="ListBullet"/>
        <w:rPr>
          <w:rFonts w:eastAsia="Arial"/>
        </w:rPr>
      </w:pPr>
      <w:r w:rsidRPr="00F741F7">
        <w:rPr>
          <w:rFonts w:eastAsia="Arial"/>
        </w:rPr>
        <w:t xml:space="preserve">The safety </w:t>
      </w:r>
      <w:r w:rsidRPr="000F7A47">
        <w:rPr>
          <w:rFonts w:eastAsia="Arial"/>
        </w:rPr>
        <w:t>an</w:t>
      </w:r>
      <w:r w:rsidRPr="00F741F7">
        <w:rPr>
          <w:rFonts w:eastAsia="Arial"/>
        </w:rPr>
        <w:t xml:space="preserve">d </w:t>
      </w:r>
      <w:r w:rsidRPr="000F7A47">
        <w:rPr>
          <w:rFonts w:eastAsia="Arial"/>
        </w:rPr>
        <w:t>wellbein</w:t>
      </w:r>
      <w:r w:rsidRPr="00F741F7">
        <w:rPr>
          <w:rFonts w:eastAsia="Arial"/>
        </w:rPr>
        <w:t xml:space="preserve">g </w:t>
      </w:r>
      <w:r w:rsidRPr="000F7A47">
        <w:rPr>
          <w:rFonts w:eastAsia="Arial"/>
        </w:rPr>
        <w:t>o</w:t>
      </w:r>
      <w:r w:rsidRPr="00F741F7">
        <w:rPr>
          <w:rFonts w:eastAsia="Arial"/>
        </w:rPr>
        <w:t xml:space="preserve">f </w:t>
      </w:r>
      <w:r w:rsidRPr="000F7A47">
        <w:rPr>
          <w:rFonts w:eastAsia="Arial"/>
        </w:rPr>
        <w:t>child</w:t>
      </w:r>
      <w:r w:rsidRPr="00F741F7">
        <w:rPr>
          <w:rFonts w:eastAsia="Arial"/>
        </w:rPr>
        <w:t>r</w:t>
      </w:r>
      <w:r w:rsidRPr="000F7A47">
        <w:rPr>
          <w:rFonts w:eastAsia="Arial"/>
        </w:rPr>
        <w:t>e</w:t>
      </w:r>
      <w:r w:rsidRPr="00F741F7">
        <w:rPr>
          <w:rFonts w:eastAsia="Arial"/>
        </w:rPr>
        <w:t xml:space="preserve">n is </w:t>
      </w:r>
      <w:r w:rsidRPr="000F7A47">
        <w:rPr>
          <w:rFonts w:eastAsia="Arial"/>
        </w:rPr>
        <w:t>primaril</w:t>
      </w:r>
      <w:r w:rsidRPr="00F741F7">
        <w:rPr>
          <w:rFonts w:eastAsia="Arial"/>
        </w:rPr>
        <w:t xml:space="preserve">y </w:t>
      </w:r>
      <w:r w:rsidRPr="000F7A47">
        <w:rPr>
          <w:rFonts w:eastAsia="Arial"/>
        </w:rPr>
        <w:t>th</w:t>
      </w:r>
      <w:r w:rsidRPr="00F741F7">
        <w:rPr>
          <w:rFonts w:eastAsia="Arial"/>
        </w:rPr>
        <w:t>e r</w:t>
      </w:r>
      <w:r w:rsidRPr="000F7A47">
        <w:rPr>
          <w:rFonts w:eastAsia="Arial"/>
        </w:rPr>
        <w:t>esponsibilit</w:t>
      </w:r>
      <w:r w:rsidRPr="00F741F7">
        <w:rPr>
          <w:rFonts w:eastAsia="Arial"/>
        </w:rPr>
        <w:t xml:space="preserve">y </w:t>
      </w:r>
      <w:r w:rsidRPr="000F7A47">
        <w:rPr>
          <w:rFonts w:eastAsia="Arial"/>
        </w:rPr>
        <w:t>o</w:t>
      </w:r>
      <w:r w:rsidRPr="00F741F7">
        <w:rPr>
          <w:rFonts w:eastAsia="Arial"/>
        </w:rPr>
        <w:t xml:space="preserve">f </w:t>
      </w:r>
      <w:r w:rsidRPr="000F7A47">
        <w:rPr>
          <w:rFonts w:eastAsia="Arial"/>
        </w:rPr>
        <w:t>thei</w:t>
      </w:r>
      <w:r w:rsidRPr="00F741F7">
        <w:rPr>
          <w:rFonts w:eastAsia="Arial"/>
        </w:rPr>
        <w:t xml:space="preserve">r families, </w:t>
      </w:r>
      <w:r w:rsidRPr="000F7A47">
        <w:rPr>
          <w:rFonts w:eastAsia="Arial"/>
        </w:rPr>
        <w:t>wh</w:t>
      </w:r>
      <w:r w:rsidRPr="00F741F7">
        <w:rPr>
          <w:rFonts w:eastAsia="Arial"/>
        </w:rPr>
        <w:t xml:space="preserve">o </w:t>
      </w:r>
      <w:r w:rsidRPr="000F7A47">
        <w:rPr>
          <w:rFonts w:eastAsia="Arial"/>
        </w:rPr>
        <w:t>shoul</w:t>
      </w:r>
      <w:r w:rsidRPr="00F741F7">
        <w:rPr>
          <w:rFonts w:eastAsia="Arial"/>
        </w:rPr>
        <w:t xml:space="preserve">d be </w:t>
      </w:r>
      <w:r w:rsidRPr="000F7A47">
        <w:rPr>
          <w:rFonts w:eastAsia="Arial"/>
        </w:rPr>
        <w:t>suppo</w:t>
      </w:r>
      <w:r w:rsidRPr="00F741F7">
        <w:rPr>
          <w:rFonts w:eastAsia="Arial"/>
        </w:rPr>
        <w:t>r</w:t>
      </w:r>
      <w:r w:rsidRPr="000F7A47">
        <w:rPr>
          <w:rFonts w:eastAsia="Arial"/>
        </w:rPr>
        <w:t>te</w:t>
      </w:r>
      <w:r w:rsidRPr="00F741F7">
        <w:rPr>
          <w:rFonts w:eastAsia="Arial"/>
        </w:rPr>
        <w:t xml:space="preserve">d by </w:t>
      </w:r>
      <w:r w:rsidRPr="000F7A47">
        <w:rPr>
          <w:rFonts w:eastAsia="Arial"/>
        </w:rPr>
        <w:t>thei</w:t>
      </w:r>
      <w:r w:rsidRPr="00F741F7">
        <w:rPr>
          <w:rFonts w:eastAsia="Arial"/>
        </w:rPr>
        <w:t>r c</w:t>
      </w:r>
      <w:r w:rsidRPr="000F7A47">
        <w:rPr>
          <w:rFonts w:eastAsia="Arial"/>
        </w:rPr>
        <w:t>ommunitie</w:t>
      </w:r>
      <w:r w:rsidRPr="00F741F7">
        <w:rPr>
          <w:rFonts w:eastAsia="Arial"/>
        </w:rPr>
        <w:t xml:space="preserve">s </w:t>
      </w:r>
      <w:r w:rsidRPr="000F7A47">
        <w:rPr>
          <w:rFonts w:eastAsia="Arial"/>
        </w:rPr>
        <w:t>an</w:t>
      </w:r>
      <w:r w:rsidRPr="00F741F7">
        <w:rPr>
          <w:rFonts w:eastAsia="Arial"/>
        </w:rPr>
        <w:t xml:space="preserve">d </w:t>
      </w:r>
      <w:r w:rsidRPr="000F7A47">
        <w:rPr>
          <w:rFonts w:eastAsia="Arial"/>
        </w:rPr>
        <w:t>g</w:t>
      </w:r>
      <w:r w:rsidRPr="00F741F7">
        <w:rPr>
          <w:rFonts w:eastAsia="Arial"/>
        </w:rPr>
        <w:t>ov</w:t>
      </w:r>
      <w:r w:rsidRPr="000F7A47">
        <w:rPr>
          <w:rFonts w:eastAsia="Arial"/>
        </w:rPr>
        <w:t>ernme</w:t>
      </w:r>
      <w:r w:rsidRPr="00F741F7">
        <w:rPr>
          <w:rFonts w:eastAsia="Arial"/>
        </w:rPr>
        <w:t>n</w:t>
      </w:r>
      <w:r w:rsidRPr="000F7A47">
        <w:rPr>
          <w:rFonts w:eastAsia="Arial"/>
        </w:rPr>
        <w:t>ts</w:t>
      </w:r>
      <w:r>
        <w:rPr>
          <w:rFonts w:eastAsia="Arial"/>
        </w:rPr>
        <w:t>.</w:t>
      </w:r>
    </w:p>
    <w:p w:rsidR="00652FCC" w:rsidRPr="00F741F7" w:rsidRDefault="00652FCC" w:rsidP="00652FCC">
      <w:pPr>
        <w:pStyle w:val="ListBullet"/>
        <w:rPr>
          <w:rFonts w:eastAsia="Arial"/>
        </w:rPr>
      </w:pPr>
      <w:r w:rsidRPr="00F741F7">
        <w:rPr>
          <w:rFonts w:eastAsia="Arial"/>
        </w:rPr>
        <w:t>A</w:t>
      </w:r>
      <w:r w:rsidRPr="000F7A47">
        <w:rPr>
          <w:rFonts w:eastAsia="Arial"/>
        </w:rPr>
        <w:t>ust</w:t>
      </w:r>
      <w:r w:rsidRPr="00F741F7">
        <w:rPr>
          <w:rFonts w:eastAsia="Arial"/>
        </w:rPr>
        <w:t>r</w:t>
      </w:r>
      <w:r w:rsidRPr="000F7A47">
        <w:rPr>
          <w:rFonts w:eastAsia="Arial"/>
        </w:rPr>
        <w:t>alia</w:t>
      </w:r>
      <w:r w:rsidRPr="00F741F7">
        <w:rPr>
          <w:rFonts w:eastAsia="Arial"/>
        </w:rPr>
        <w:t xml:space="preserve">n society values, supports </w:t>
      </w:r>
      <w:r w:rsidRPr="000F7A47">
        <w:rPr>
          <w:rFonts w:eastAsia="Arial"/>
        </w:rPr>
        <w:t>an</w:t>
      </w:r>
      <w:r w:rsidRPr="00F741F7">
        <w:rPr>
          <w:rFonts w:eastAsia="Arial"/>
        </w:rPr>
        <w:t xml:space="preserve">d </w:t>
      </w:r>
      <w:r w:rsidRPr="000F7A47">
        <w:rPr>
          <w:rFonts w:eastAsia="Arial"/>
        </w:rPr>
        <w:t>wor</w:t>
      </w:r>
      <w:r w:rsidRPr="00F741F7">
        <w:rPr>
          <w:rFonts w:eastAsia="Arial"/>
        </w:rPr>
        <w:t xml:space="preserve">ks </w:t>
      </w:r>
      <w:r w:rsidRPr="000F7A47">
        <w:rPr>
          <w:rFonts w:eastAsia="Arial"/>
        </w:rPr>
        <w:t>i</w:t>
      </w:r>
      <w:r w:rsidRPr="00F741F7">
        <w:rPr>
          <w:rFonts w:eastAsia="Arial"/>
        </w:rPr>
        <w:t xml:space="preserve">n </w:t>
      </w:r>
      <w:r w:rsidRPr="000F7A47">
        <w:rPr>
          <w:rFonts w:eastAsia="Arial"/>
        </w:rPr>
        <w:t>pa</w:t>
      </w:r>
      <w:r w:rsidRPr="00F741F7">
        <w:rPr>
          <w:rFonts w:eastAsia="Arial"/>
        </w:rPr>
        <w:t>r</w:t>
      </w:r>
      <w:r w:rsidRPr="000F7A47">
        <w:rPr>
          <w:rFonts w:eastAsia="Arial"/>
        </w:rPr>
        <w:t>tnershi</w:t>
      </w:r>
      <w:r w:rsidRPr="00F741F7">
        <w:rPr>
          <w:rFonts w:eastAsia="Arial"/>
        </w:rPr>
        <w:t xml:space="preserve">p </w:t>
      </w:r>
      <w:r w:rsidRPr="000F7A47">
        <w:rPr>
          <w:rFonts w:eastAsia="Arial"/>
        </w:rPr>
        <w:t>wit</w:t>
      </w:r>
      <w:r w:rsidRPr="00F741F7">
        <w:rPr>
          <w:rFonts w:eastAsia="Arial"/>
        </w:rPr>
        <w:t xml:space="preserve">h parents, families </w:t>
      </w:r>
      <w:r w:rsidRPr="000F7A47">
        <w:rPr>
          <w:rFonts w:eastAsia="Arial"/>
        </w:rPr>
        <w:t>an</w:t>
      </w:r>
      <w:r w:rsidRPr="00F741F7">
        <w:rPr>
          <w:rFonts w:eastAsia="Arial"/>
        </w:rPr>
        <w:t xml:space="preserve">d </w:t>
      </w:r>
      <w:r w:rsidRPr="000F7A47">
        <w:rPr>
          <w:rFonts w:eastAsia="Arial"/>
        </w:rPr>
        <w:t>other</w:t>
      </w:r>
      <w:r w:rsidRPr="00F741F7">
        <w:rPr>
          <w:rFonts w:eastAsia="Arial"/>
        </w:rPr>
        <w:t xml:space="preserve">s </w:t>
      </w:r>
      <w:r w:rsidRPr="000F7A47">
        <w:rPr>
          <w:rFonts w:eastAsia="Arial"/>
        </w:rPr>
        <w:t>i</w:t>
      </w:r>
      <w:r w:rsidRPr="00F741F7">
        <w:rPr>
          <w:rFonts w:eastAsia="Arial"/>
        </w:rPr>
        <w:t xml:space="preserve">n </w:t>
      </w:r>
      <w:r w:rsidRPr="000F7A47">
        <w:rPr>
          <w:rFonts w:eastAsia="Arial"/>
        </w:rPr>
        <w:t>fulfillin</w:t>
      </w:r>
      <w:r w:rsidRPr="00F741F7">
        <w:rPr>
          <w:rFonts w:eastAsia="Arial"/>
        </w:rPr>
        <w:t xml:space="preserve">g </w:t>
      </w:r>
      <w:r w:rsidRPr="000F7A47">
        <w:rPr>
          <w:rFonts w:eastAsia="Arial"/>
        </w:rPr>
        <w:t>thei</w:t>
      </w:r>
      <w:r w:rsidRPr="00F741F7">
        <w:rPr>
          <w:rFonts w:eastAsia="Arial"/>
        </w:rPr>
        <w:t>r caring responsibilities f</w:t>
      </w:r>
      <w:r w:rsidRPr="000F7A47">
        <w:rPr>
          <w:rFonts w:eastAsia="Arial"/>
        </w:rPr>
        <w:t>o</w:t>
      </w:r>
      <w:r w:rsidRPr="00F741F7">
        <w:rPr>
          <w:rFonts w:eastAsia="Arial"/>
        </w:rPr>
        <w:t>r</w:t>
      </w:r>
      <w:r w:rsidRPr="000F7A47">
        <w:rPr>
          <w:rFonts w:eastAsia="Arial"/>
        </w:rPr>
        <w:t xml:space="preserve"> </w:t>
      </w:r>
      <w:r w:rsidRPr="00F741F7">
        <w:rPr>
          <w:rFonts w:eastAsia="Arial"/>
        </w:rPr>
        <w:t>children</w:t>
      </w:r>
      <w:r>
        <w:rPr>
          <w:rFonts w:eastAsia="Arial"/>
        </w:rPr>
        <w:t>.</w:t>
      </w:r>
    </w:p>
    <w:p w:rsidR="00652FCC" w:rsidRPr="00F741F7" w:rsidRDefault="00652FCC" w:rsidP="00652FCC">
      <w:pPr>
        <w:pStyle w:val="ListBullet"/>
        <w:rPr>
          <w:rFonts w:eastAsia="Arial"/>
        </w:rPr>
      </w:pPr>
      <w:r w:rsidRPr="00F741F7">
        <w:rPr>
          <w:rFonts w:eastAsia="Arial"/>
        </w:rPr>
        <w:t xml:space="preserve">Children’s </w:t>
      </w:r>
      <w:r w:rsidRPr="000F7A47">
        <w:rPr>
          <w:rFonts w:eastAsia="Arial"/>
        </w:rPr>
        <w:t>rig</w:t>
      </w:r>
      <w:r w:rsidRPr="00F741F7">
        <w:rPr>
          <w:rFonts w:eastAsia="Arial"/>
        </w:rPr>
        <w:t>h</w:t>
      </w:r>
      <w:r w:rsidRPr="000F7A47">
        <w:rPr>
          <w:rFonts w:eastAsia="Arial"/>
        </w:rPr>
        <w:t>t</w:t>
      </w:r>
      <w:r w:rsidRPr="00F741F7">
        <w:rPr>
          <w:rFonts w:eastAsia="Arial"/>
        </w:rPr>
        <w:t>s</w:t>
      </w:r>
      <w:r w:rsidRPr="000F7A47">
        <w:rPr>
          <w:rFonts w:eastAsia="Arial"/>
        </w:rPr>
        <w:t xml:space="preserve"> </w:t>
      </w:r>
      <w:r w:rsidRPr="00F741F7">
        <w:rPr>
          <w:rFonts w:eastAsia="Arial"/>
        </w:rPr>
        <w:t xml:space="preserve">are </w:t>
      </w:r>
      <w:r w:rsidRPr="000F7A47">
        <w:rPr>
          <w:rFonts w:eastAsia="Arial"/>
        </w:rPr>
        <w:t>uphel</w:t>
      </w:r>
      <w:r w:rsidRPr="00F741F7">
        <w:rPr>
          <w:rFonts w:eastAsia="Arial"/>
        </w:rPr>
        <w:t xml:space="preserve">d by systems </w:t>
      </w:r>
      <w:r w:rsidRPr="000F7A47">
        <w:rPr>
          <w:rFonts w:eastAsia="Arial"/>
        </w:rPr>
        <w:t>an</w:t>
      </w:r>
      <w:r w:rsidRPr="00F741F7">
        <w:rPr>
          <w:rFonts w:eastAsia="Arial"/>
        </w:rPr>
        <w:t>d institutions</w:t>
      </w:r>
      <w:r>
        <w:rPr>
          <w:rFonts w:eastAsia="Arial"/>
        </w:rPr>
        <w:t>.</w:t>
      </w:r>
    </w:p>
    <w:p w:rsidR="00652FCC" w:rsidRPr="00F741F7" w:rsidRDefault="00652FCC" w:rsidP="00652FCC">
      <w:pPr>
        <w:pStyle w:val="ListBullet"/>
        <w:rPr>
          <w:rFonts w:eastAsia="Arial"/>
        </w:rPr>
      </w:pPr>
      <w:r w:rsidRPr="00F741F7">
        <w:rPr>
          <w:rFonts w:eastAsia="Arial"/>
        </w:rPr>
        <w:t xml:space="preserve">Policies </w:t>
      </w:r>
      <w:r w:rsidRPr="000F7A47">
        <w:rPr>
          <w:rFonts w:eastAsia="Arial"/>
        </w:rPr>
        <w:t>an</w:t>
      </w:r>
      <w:r w:rsidRPr="00F741F7">
        <w:rPr>
          <w:rFonts w:eastAsia="Arial"/>
        </w:rPr>
        <w:t xml:space="preserve">d </w:t>
      </w:r>
      <w:r w:rsidRPr="000F7A47">
        <w:rPr>
          <w:rFonts w:eastAsia="Arial"/>
        </w:rPr>
        <w:t>i</w:t>
      </w:r>
      <w:r w:rsidRPr="00F741F7">
        <w:rPr>
          <w:rFonts w:eastAsia="Arial"/>
        </w:rPr>
        <w:t>n</w:t>
      </w:r>
      <w:r w:rsidRPr="000F7A47">
        <w:rPr>
          <w:rFonts w:eastAsia="Arial"/>
        </w:rPr>
        <w:t>te</w:t>
      </w:r>
      <w:r w:rsidRPr="00F741F7">
        <w:rPr>
          <w:rFonts w:eastAsia="Arial"/>
        </w:rPr>
        <w:t>rv</w:t>
      </w:r>
      <w:r w:rsidRPr="000F7A47">
        <w:rPr>
          <w:rFonts w:eastAsia="Arial"/>
        </w:rPr>
        <w:t>e</w:t>
      </w:r>
      <w:r w:rsidRPr="00F741F7">
        <w:rPr>
          <w:rFonts w:eastAsia="Arial"/>
        </w:rPr>
        <w:t>n</w:t>
      </w:r>
      <w:r w:rsidRPr="000F7A47">
        <w:rPr>
          <w:rFonts w:eastAsia="Arial"/>
        </w:rPr>
        <w:t>tion</w:t>
      </w:r>
      <w:r w:rsidRPr="00F741F7">
        <w:rPr>
          <w:rFonts w:eastAsia="Arial"/>
        </w:rPr>
        <w:t xml:space="preserve">s are evidence </w:t>
      </w:r>
      <w:r w:rsidRPr="000F7A47">
        <w:rPr>
          <w:rFonts w:eastAsia="Arial"/>
        </w:rPr>
        <w:t>based.</w:t>
      </w:r>
    </w:p>
    <w:p w:rsidR="00652FCC" w:rsidRPr="0021605F" w:rsidRDefault="00652FCC" w:rsidP="0021605F">
      <w:pPr>
        <w:pStyle w:val="Heading2"/>
      </w:pPr>
      <w:bookmarkStart w:id="37" w:name="_Toc369184139"/>
      <w:bookmarkStart w:id="38" w:name="_Toc400007680"/>
      <w:bookmarkStart w:id="39" w:name="_Toc400711463"/>
      <w:r w:rsidRPr="00821556">
        <w:t>Why was the National Framework needed?</w:t>
      </w:r>
      <w:bookmarkEnd w:id="37"/>
      <w:bookmarkEnd w:id="38"/>
      <w:bookmarkEnd w:id="39"/>
      <w:r>
        <w:t xml:space="preserve"> </w:t>
      </w:r>
    </w:p>
    <w:p w:rsidR="00652FCC" w:rsidRPr="00821556" w:rsidRDefault="00652FCC" w:rsidP="00652FCC">
      <w:pPr>
        <w:rPr>
          <w:rFonts w:ascii="Calibri" w:hAnsi="Calibri" w:cs="Calibri"/>
          <w:sz w:val="24"/>
          <w:szCs w:val="24"/>
        </w:rPr>
      </w:pPr>
      <w:r>
        <w:rPr>
          <w:rFonts w:ascii="Calibri" w:hAnsi="Calibri" w:cs="Calibri"/>
          <w:sz w:val="24"/>
          <w:szCs w:val="24"/>
        </w:rPr>
        <w:t>A number of factors, including the following, influenced the decision to establish the National Framework</w:t>
      </w:r>
      <w:r w:rsidRPr="00821556">
        <w:rPr>
          <w:rFonts w:ascii="Calibri" w:hAnsi="Calibri" w:cs="Calibri"/>
          <w:sz w:val="24"/>
          <w:szCs w:val="24"/>
        </w:rPr>
        <w:t xml:space="preserve">: </w:t>
      </w:r>
    </w:p>
    <w:p w:rsidR="00652FCC" w:rsidRPr="00821556" w:rsidRDefault="00652FCC" w:rsidP="00652FCC">
      <w:pPr>
        <w:pStyle w:val="ListBullet"/>
      </w:pPr>
      <w:r w:rsidRPr="00821556">
        <w:t xml:space="preserve">increasing national concern </w:t>
      </w:r>
      <w:r>
        <w:t>about</w:t>
      </w:r>
      <w:r w:rsidRPr="00821556">
        <w:t xml:space="preserve"> the growing number of children suffering abuse and entering out-of-home care</w:t>
      </w:r>
    </w:p>
    <w:p w:rsidR="00652FCC" w:rsidRPr="00821556" w:rsidRDefault="00652FCC" w:rsidP="00652FCC">
      <w:pPr>
        <w:pStyle w:val="ListBullet"/>
      </w:pPr>
      <w:r w:rsidRPr="00821556">
        <w:t>a recognition</w:t>
      </w:r>
      <w:r>
        <w:t>,</w:t>
      </w:r>
      <w:r w:rsidRPr="00821556">
        <w:t xml:space="preserve"> in 2008–09</w:t>
      </w:r>
      <w:r>
        <w:t>,</w:t>
      </w:r>
      <w:r w:rsidRPr="00821556">
        <w:t xml:space="preserve"> that all governments were engaged in a range of initiatives to review and improve child protection services</w:t>
      </w:r>
      <w:r>
        <w:t>, and that collaboration would enhance their effectiveness</w:t>
      </w:r>
      <w:r w:rsidRPr="00821556">
        <w:t xml:space="preserve"> </w:t>
      </w:r>
    </w:p>
    <w:p w:rsidR="00652FCC" w:rsidRDefault="00652FCC" w:rsidP="00652FCC">
      <w:pPr>
        <w:pStyle w:val="ListBullet"/>
      </w:pPr>
      <w:r>
        <w:t>a recognition that strengthening families and communities is the best approach to preventing child abuse and neglect</w:t>
      </w:r>
    </w:p>
    <w:p w:rsidR="00652FCC" w:rsidRPr="00821556" w:rsidRDefault="00652FCC" w:rsidP="00652FCC">
      <w:pPr>
        <w:pStyle w:val="ListBullet"/>
      </w:pPr>
      <w:r>
        <w:t>agreement</w:t>
      </w:r>
      <w:r w:rsidRPr="00821556">
        <w:t xml:space="preserve"> that services </w:t>
      </w:r>
      <w:r>
        <w:t xml:space="preserve">for families and children </w:t>
      </w:r>
      <w:r w:rsidRPr="00821556">
        <w:t xml:space="preserve">would be most effective if a </w:t>
      </w:r>
      <w:r>
        <w:t>unified</w:t>
      </w:r>
      <w:r w:rsidRPr="00821556">
        <w:t xml:space="preserve"> national approach</w:t>
      </w:r>
      <w:r>
        <w:t xml:space="preserve">, involving the </w:t>
      </w:r>
      <w:r w:rsidR="00C8305C">
        <w:t>community</w:t>
      </w:r>
      <w:r>
        <w:t xml:space="preserve"> sector as well as all jurisdictions,</w:t>
      </w:r>
      <w:r w:rsidRPr="00821556">
        <w:t xml:space="preserve"> was taken </w:t>
      </w:r>
    </w:p>
    <w:p w:rsidR="00652FCC" w:rsidRPr="00821556" w:rsidRDefault="00652FCC" w:rsidP="00652FCC">
      <w:pPr>
        <w:pStyle w:val="ListBullet"/>
      </w:pPr>
      <w:proofErr w:type="gramStart"/>
      <w:r w:rsidRPr="00821556">
        <w:t>a</w:t>
      </w:r>
      <w:proofErr w:type="gramEnd"/>
      <w:r w:rsidRPr="00821556">
        <w:t xml:space="preserve"> recognition that </w:t>
      </w:r>
      <w:r>
        <w:t xml:space="preserve">state and territory early intervention programs would be more effective if they were coordinated with </w:t>
      </w:r>
      <w:r w:rsidRPr="00821556">
        <w:t xml:space="preserve">the wide range of </w:t>
      </w:r>
      <w:r>
        <w:t>Australian Government</w:t>
      </w:r>
      <w:r w:rsidRPr="00821556">
        <w:t xml:space="preserve"> programs</w:t>
      </w:r>
      <w:r>
        <w:t>, policies</w:t>
      </w:r>
      <w:r w:rsidRPr="00821556">
        <w:t xml:space="preserve"> and payments for families.</w:t>
      </w:r>
      <w:r>
        <w:t xml:space="preserve"> </w:t>
      </w:r>
    </w:p>
    <w:p w:rsidR="00652FCC" w:rsidRPr="00AD7117" w:rsidRDefault="00652FCC" w:rsidP="0021605F">
      <w:pPr>
        <w:pStyle w:val="Heading2"/>
      </w:pPr>
      <w:bookmarkStart w:id="40" w:name="_Toc369184140"/>
      <w:bookmarkStart w:id="41" w:name="_Toc400007681"/>
      <w:bookmarkStart w:id="42" w:name="_Toc400711464"/>
      <w:r w:rsidRPr="00AD7117">
        <w:t xml:space="preserve">Working </w:t>
      </w:r>
      <w:r w:rsidR="007477FC">
        <w:t>t</w:t>
      </w:r>
      <w:r w:rsidRPr="00AD7117">
        <w:t>ogether</w:t>
      </w:r>
      <w:bookmarkEnd w:id="40"/>
      <w:bookmarkEnd w:id="41"/>
      <w:bookmarkEnd w:id="42"/>
    </w:p>
    <w:p w:rsidR="00652FCC" w:rsidRDefault="00652FCC" w:rsidP="00652FCC">
      <w:pPr>
        <w:rPr>
          <w:rFonts w:ascii="Calibri" w:hAnsi="Calibri" w:cs="Calibri"/>
          <w:sz w:val="24"/>
          <w:szCs w:val="24"/>
        </w:rPr>
      </w:pPr>
      <w:r w:rsidRPr="00821556">
        <w:rPr>
          <w:rFonts w:ascii="Calibri" w:hAnsi="Calibri" w:cs="Calibri"/>
          <w:sz w:val="24"/>
          <w:szCs w:val="24"/>
        </w:rPr>
        <w:t xml:space="preserve">COAG </w:t>
      </w:r>
      <w:r>
        <w:rPr>
          <w:rFonts w:ascii="Calibri" w:hAnsi="Calibri" w:cs="Calibri"/>
          <w:sz w:val="24"/>
          <w:szCs w:val="24"/>
        </w:rPr>
        <w:t xml:space="preserve">recognised </w:t>
      </w:r>
      <w:r w:rsidRPr="00821556">
        <w:rPr>
          <w:rFonts w:ascii="Calibri" w:hAnsi="Calibri" w:cs="Calibri"/>
          <w:sz w:val="24"/>
          <w:szCs w:val="24"/>
        </w:rPr>
        <w:t xml:space="preserve">that the most effective </w:t>
      </w:r>
      <w:r>
        <w:rPr>
          <w:rFonts w:ascii="Calibri" w:hAnsi="Calibri" w:cs="Calibri"/>
          <w:sz w:val="24"/>
          <w:szCs w:val="24"/>
        </w:rPr>
        <w:t>approach</w:t>
      </w:r>
      <w:r w:rsidRPr="00821556">
        <w:rPr>
          <w:rFonts w:ascii="Calibri" w:hAnsi="Calibri" w:cs="Calibri"/>
          <w:sz w:val="24"/>
          <w:szCs w:val="24"/>
        </w:rPr>
        <w:t xml:space="preserve"> to addressing neglect and abuse of children and young people throughout Australia would be to develop a nationally consistent </w:t>
      </w:r>
      <w:r>
        <w:rPr>
          <w:rFonts w:ascii="Calibri" w:hAnsi="Calibri" w:cs="Calibri"/>
          <w:sz w:val="24"/>
          <w:szCs w:val="24"/>
        </w:rPr>
        <w:t>strategy</w:t>
      </w:r>
      <w:r w:rsidRPr="00821556">
        <w:rPr>
          <w:rFonts w:ascii="Calibri" w:hAnsi="Calibri" w:cs="Calibri"/>
          <w:sz w:val="24"/>
          <w:szCs w:val="24"/>
        </w:rPr>
        <w:t xml:space="preserve"> that harnessed the effort of the three key sectors—the Australian Government, state and territory governments and the </w:t>
      </w:r>
      <w:r w:rsidR="005E67E8">
        <w:rPr>
          <w:rFonts w:ascii="Calibri" w:hAnsi="Calibri" w:cs="Calibri"/>
          <w:sz w:val="24"/>
          <w:szCs w:val="24"/>
        </w:rPr>
        <w:t>community</w:t>
      </w:r>
      <w:r w:rsidRPr="00821556">
        <w:rPr>
          <w:rFonts w:ascii="Calibri" w:hAnsi="Calibri" w:cs="Calibri"/>
          <w:sz w:val="24"/>
          <w:szCs w:val="24"/>
        </w:rPr>
        <w:t xml:space="preserve"> sector—working together.</w:t>
      </w:r>
    </w:p>
    <w:p w:rsidR="00652FCC" w:rsidRPr="00821556" w:rsidRDefault="00652FCC" w:rsidP="00652FCC">
      <w:pPr>
        <w:rPr>
          <w:rFonts w:ascii="Calibri" w:hAnsi="Calibri" w:cs="Calibri"/>
          <w:sz w:val="24"/>
          <w:szCs w:val="24"/>
        </w:rPr>
      </w:pPr>
    </w:p>
    <w:p w:rsidR="00652FCC" w:rsidRDefault="00652FCC" w:rsidP="00652FCC">
      <w:pPr>
        <w:rPr>
          <w:rFonts w:ascii="Calibri" w:hAnsi="Calibri" w:cs="Calibri"/>
          <w:sz w:val="24"/>
          <w:szCs w:val="24"/>
        </w:rPr>
      </w:pPr>
      <w:r w:rsidRPr="00AD7117">
        <w:rPr>
          <w:rFonts w:ascii="Calibri" w:hAnsi="Calibri" w:cs="Calibri"/>
          <w:sz w:val="24"/>
          <w:szCs w:val="24"/>
        </w:rPr>
        <w:t>The Australian Government is working in partnership with state and territory governments and</w:t>
      </w:r>
      <w:r>
        <w:rPr>
          <w:rFonts w:ascii="Calibri" w:hAnsi="Calibri" w:cs="Calibri"/>
          <w:sz w:val="24"/>
          <w:szCs w:val="24"/>
        </w:rPr>
        <w:t xml:space="preserve"> with</w:t>
      </w:r>
      <w:r w:rsidRPr="00AD7117">
        <w:rPr>
          <w:rFonts w:ascii="Calibri" w:hAnsi="Calibri" w:cs="Calibri"/>
          <w:sz w:val="24"/>
          <w:szCs w:val="24"/>
        </w:rPr>
        <w:t xml:space="preserve"> the </w:t>
      </w:r>
      <w:r w:rsidR="00C8305C">
        <w:rPr>
          <w:rFonts w:ascii="Calibri" w:hAnsi="Calibri" w:cs="Calibri"/>
          <w:sz w:val="24"/>
          <w:szCs w:val="24"/>
        </w:rPr>
        <w:t>community</w:t>
      </w:r>
      <w:r w:rsidRPr="00AD7117">
        <w:rPr>
          <w:rFonts w:ascii="Calibri" w:hAnsi="Calibri" w:cs="Calibri"/>
          <w:sz w:val="24"/>
          <w:szCs w:val="24"/>
        </w:rPr>
        <w:t xml:space="preserve"> sector, through the Coalition, to implement the National Framework through a series of three-year </w:t>
      </w:r>
      <w:r>
        <w:rPr>
          <w:rFonts w:ascii="Calibri" w:hAnsi="Calibri" w:cs="Calibri"/>
          <w:sz w:val="24"/>
          <w:szCs w:val="24"/>
        </w:rPr>
        <w:t>action plans</w:t>
      </w:r>
      <w:r w:rsidRPr="00AD7117">
        <w:rPr>
          <w:rFonts w:ascii="Calibri" w:hAnsi="Calibri" w:cs="Calibri"/>
          <w:sz w:val="24"/>
          <w:szCs w:val="24"/>
        </w:rPr>
        <w:t xml:space="preserve">. </w:t>
      </w:r>
      <w:r>
        <w:rPr>
          <w:rFonts w:ascii="Calibri" w:hAnsi="Calibri" w:cs="Calibri"/>
          <w:sz w:val="24"/>
          <w:szCs w:val="24"/>
        </w:rPr>
        <w:t>This partnership has become central to the development and implementation activities within the National Framework and involves senior officials from all the jurisdictions working alongside executive members of the Coalition on the implementation</w:t>
      </w:r>
      <w:r w:rsidRPr="00AD7117">
        <w:rPr>
          <w:rFonts w:ascii="Calibri" w:hAnsi="Calibri" w:cs="Calibri"/>
          <w:sz w:val="24"/>
          <w:szCs w:val="24"/>
        </w:rPr>
        <w:t xml:space="preserve"> </w:t>
      </w:r>
      <w:r>
        <w:rPr>
          <w:rFonts w:ascii="Calibri" w:hAnsi="Calibri" w:cs="Calibri"/>
          <w:sz w:val="24"/>
          <w:szCs w:val="24"/>
        </w:rPr>
        <w:t xml:space="preserve">of the action plans. </w:t>
      </w:r>
      <w:r w:rsidRPr="00821556">
        <w:rPr>
          <w:rFonts w:ascii="Calibri" w:hAnsi="Calibri" w:cs="Calibri"/>
          <w:sz w:val="24"/>
          <w:szCs w:val="24"/>
        </w:rPr>
        <w:t xml:space="preserve">The </w:t>
      </w:r>
      <w:r>
        <w:rPr>
          <w:rFonts w:ascii="Calibri" w:hAnsi="Calibri" w:cs="Calibri"/>
          <w:sz w:val="24"/>
          <w:szCs w:val="24"/>
        </w:rPr>
        <w:t>action plans</w:t>
      </w:r>
      <w:r w:rsidRPr="00821556">
        <w:rPr>
          <w:rFonts w:ascii="Calibri" w:hAnsi="Calibri" w:cs="Calibri"/>
          <w:sz w:val="24"/>
          <w:szCs w:val="24"/>
        </w:rPr>
        <w:t xml:space="preserve"> link together </w:t>
      </w:r>
      <w:r>
        <w:rPr>
          <w:rFonts w:ascii="Calibri" w:hAnsi="Calibri" w:cs="Calibri"/>
          <w:sz w:val="24"/>
          <w:szCs w:val="24"/>
        </w:rPr>
        <w:t>activities</w:t>
      </w:r>
      <w:r w:rsidRPr="00821556">
        <w:rPr>
          <w:rFonts w:ascii="Calibri" w:hAnsi="Calibri" w:cs="Calibri"/>
          <w:sz w:val="24"/>
          <w:szCs w:val="24"/>
        </w:rPr>
        <w:t xml:space="preserve"> </w:t>
      </w:r>
      <w:r>
        <w:rPr>
          <w:rFonts w:ascii="Calibri" w:hAnsi="Calibri" w:cs="Calibri"/>
          <w:sz w:val="24"/>
          <w:szCs w:val="24"/>
        </w:rPr>
        <w:t>under</w:t>
      </w:r>
      <w:r w:rsidRPr="00821556">
        <w:rPr>
          <w:rFonts w:ascii="Calibri" w:hAnsi="Calibri" w:cs="Calibri"/>
          <w:sz w:val="24"/>
          <w:szCs w:val="24"/>
        </w:rPr>
        <w:t xml:space="preserve">taken by all three sectors and </w:t>
      </w:r>
      <w:r>
        <w:rPr>
          <w:rFonts w:ascii="Calibri" w:hAnsi="Calibri" w:cs="Calibri"/>
          <w:sz w:val="24"/>
          <w:szCs w:val="24"/>
        </w:rPr>
        <w:t>monitor outcomes according to agreed</w:t>
      </w:r>
      <w:r w:rsidRPr="00821556">
        <w:rPr>
          <w:rFonts w:ascii="Calibri" w:hAnsi="Calibri" w:cs="Calibri"/>
          <w:sz w:val="24"/>
          <w:szCs w:val="24"/>
        </w:rPr>
        <w:t xml:space="preserve"> indicators </w:t>
      </w:r>
      <w:r>
        <w:rPr>
          <w:rFonts w:ascii="Calibri" w:hAnsi="Calibri" w:cs="Calibri"/>
          <w:sz w:val="24"/>
          <w:szCs w:val="24"/>
        </w:rPr>
        <w:t xml:space="preserve">of </w:t>
      </w:r>
      <w:r w:rsidRPr="00821556">
        <w:rPr>
          <w:rFonts w:ascii="Calibri" w:hAnsi="Calibri" w:cs="Calibri"/>
          <w:sz w:val="24"/>
          <w:szCs w:val="24"/>
        </w:rPr>
        <w:t>progress.</w:t>
      </w:r>
    </w:p>
    <w:p w:rsidR="00652FCC" w:rsidRPr="00AD7117" w:rsidRDefault="00652FCC" w:rsidP="00652FCC">
      <w:pPr>
        <w:rPr>
          <w:rFonts w:ascii="Calibri" w:hAnsi="Calibri" w:cs="Calibri"/>
          <w:sz w:val="24"/>
          <w:szCs w:val="24"/>
        </w:rPr>
      </w:pPr>
    </w:p>
    <w:p w:rsidR="00652FCC" w:rsidRPr="00821556" w:rsidRDefault="00652FCC" w:rsidP="00652FCC">
      <w:pPr>
        <w:rPr>
          <w:rFonts w:ascii="Calibri" w:hAnsi="Calibri" w:cs="Calibri"/>
          <w:sz w:val="24"/>
          <w:szCs w:val="24"/>
        </w:rPr>
      </w:pPr>
      <w:r w:rsidRPr="00821556">
        <w:rPr>
          <w:rFonts w:ascii="Calibri" w:hAnsi="Calibri" w:cs="Calibri"/>
          <w:sz w:val="24"/>
          <w:szCs w:val="24"/>
        </w:rPr>
        <w:t>Child protection services are managed by state and territory governments.</w:t>
      </w:r>
      <w:r>
        <w:rPr>
          <w:rFonts w:ascii="Calibri" w:hAnsi="Calibri" w:cs="Calibri"/>
          <w:sz w:val="24"/>
          <w:szCs w:val="24"/>
        </w:rPr>
        <w:t xml:space="preserve"> </w:t>
      </w:r>
      <w:r w:rsidRPr="00821556">
        <w:rPr>
          <w:rFonts w:ascii="Calibri" w:hAnsi="Calibri" w:cs="Calibri"/>
          <w:sz w:val="24"/>
          <w:szCs w:val="24"/>
        </w:rPr>
        <w:t>However, many of the programs supporting children in out-of-home care</w:t>
      </w:r>
      <w:r>
        <w:rPr>
          <w:rFonts w:ascii="Calibri" w:hAnsi="Calibri" w:cs="Calibri"/>
          <w:sz w:val="24"/>
          <w:szCs w:val="24"/>
        </w:rPr>
        <w:t>,</w:t>
      </w:r>
      <w:r w:rsidRPr="00821556">
        <w:rPr>
          <w:rFonts w:ascii="Calibri" w:hAnsi="Calibri" w:cs="Calibri"/>
          <w:sz w:val="24"/>
          <w:szCs w:val="24"/>
        </w:rPr>
        <w:t xml:space="preserve"> and children and families identified as being at risk of abuse or neglect</w:t>
      </w:r>
      <w:r>
        <w:rPr>
          <w:rFonts w:ascii="Calibri" w:hAnsi="Calibri" w:cs="Calibri"/>
          <w:sz w:val="24"/>
          <w:szCs w:val="24"/>
        </w:rPr>
        <w:t>,</w:t>
      </w:r>
      <w:r w:rsidRPr="00821556">
        <w:rPr>
          <w:rFonts w:ascii="Calibri" w:hAnsi="Calibri" w:cs="Calibri"/>
          <w:sz w:val="24"/>
          <w:szCs w:val="24"/>
        </w:rPr>
        <w:t xml:space="preserve"> are delivered in communities through the </w:t>
      </w:r>
      <w:r w:rsidR="00C8305C">
        <w:rPr>
          <w:rFonts w:ascii="Calibri" w:hAnsi="Calibri" w:cs="Calibri"/>
          <w:sz w:val="24"/>
          <w:szCs w:val="24"/>
        </w:rPr>
        <w:t>community</w:t>
      </w:r>
      <w:r w:rsidR="00061441" w:rsidRPr="00821556">
        <w:rPr>
          <w:rFonts w:ascii="Calibri" w:hAnsi="Calibri" w:cs="Calibri"/>
          <w:sz w:val="24"/>
          <w:szCs w:val="24"/>
        </w:rPr>
        <w:t xml:space="preserve"> </w:t>
      </w:r>
      <w:r w:rsidRPr="00821556">
        <w:rPr>
          <w:rFonts w:ascii="Calibri" w:hAnsi="Calibri" w:cs="Calibri"/>
          <w:sz w:val="24"/>
          <w:szCs w:val="24"/>
        </w:rPr>
        <w:t>sector.</w:t>
      </w:r>
      <w:r>
        <w:rPr>
          <w:rFonts w:ascii="Calibri" w:hAnsi="Calibri" w:cs="Calibri"/>
          <w:sz w:val="24"/>
          <w:szCs w:val="24"/>
        </w:rPr>
        <w:t xml:space="preserve"> </w:t>
      </w:r>
    </w:p>
    <w:p w:rsidR="00652FCC" w:rsidRDefault="00652FCC" w:rsidP="00652FCC">
      <w:pPr>
        <w:rPr>
          <w:rFonts w:ascii="Calibri" w:hAnsi="Calibri" w:cs="Calibri"/>
          <w:sz w:val="24"/>
          <w:szCs w:val="24"/>
        </w:rPr>
      </w:pPr>
    </w:p>
    <w:p w:rsidR="00652FCC" w:rsidRPr="00821556" w:rsidRDefault="00652FCC" w:rsidP="00652FCC">
      <w:r w:rsidRPr="00821556">
        <w:rPr>
          <w:rFonts w:ascii="Calibri" w:hAnsi="Calibri" w:cs="Calibri"/>
          <w:sz w:val="24"/>
          <w:szCs w:val="24"/>
        </w:rPr>
        <w:t>The First Action Plan 2009–2012 (First Action Plan) was endorsed by the Community and Disability Services Ministers’ Conference</w:t>
      </w:r>
      <w:r>
        <w:rPr>
          <w:rFonts w:ascii="Calibri" w:hAnsi="Calibri" w:cs="Calibri"/>
          <w:sz w:val="24"/>
          <w:szCs w:val="24"/>
        </w:rPr>
        <w:t xml:space="preserve"> (CDSMC)—</w:t>
      </w:r>
      <w:r w:rsidRPr="00821556">
        <w:rPr>
          <w:rFonts w:ascii="Calibri" w:hAnsi="Calibri" w:cs="Calibri"/>
          <w:sz w:val="24"/>
          <w:szCs w:val="24"/>
        </w:rPr>
        <w:t xml:space="preserve">now known as </w:t>
      </w:r>
      <w:r w:rsidR="0075472C" w:rsidRPr="00DC1B19">
        <w:rPr>
          <w:rStyle w:val="StyleBodyCalibri12pt"/>
        </w:rPr>
        <w:t>SCCDS</w:t>
      </w:r>
      <w:r>
        <w:rPr>
          <w:rFonts w:ascii="Calibri" w:hAnsi="Calibri" w:cs="Calibri"/>
          <w:sz w:val="24"/>
          <w:szCs w:val="24"/>
        </w:rPr>
        <w:t>—</w:t>
      </w:r>
      <w:r w:rsidRPr="00821556">
        <w:rPr>
          <w:rFonts w:ascii="Calibri" w:hAnsi="Calibri" w:cs="Calibri"/>
          <w:sz w:val="24"/>
          <w:szCs w:val="24"/>
        </w:rPr>
        <w:t>on 11 September 2009.</w:t>
      </w:r>
      <w:r>
        <w:rPr>
          <w:rFonts w:ascii="Calibri" w:hAnsi="Calibri" w:cs="Calibri"/>
          <w:sz w:val="24"/>
          <w:szCs w:val="24"/>
        </w:rPr>
        <w:t xml:space="preserve"> </w:t>
      </w:r>
    </w:p>
    <w:p w:rsidR="00652FCC" w:rsidRPr="0021605F" w:rsidRDefault="00652FCC" w:rsidP="0021605F">
      <w:pPr>
        <w:pStyle w:val="Heading2"/>
      </w:pPr>
      <w:bookmarkStart w:id="43" w:name="_Toc369184145"/>
      <w:bookmarkStart w:id="44" w:name="_Toc400007682"/>
      <w:bookmarkStart w:id="45" w:name="_Toc400711465"/>
      <w:r w:rsidRPr="00821556">
        <w:t>Who oversees the National Framework?</w:t>
      </w:r>
      <w:bookmarkEnd w:id="43"/>
      <w:bookmarkEnd w:id="44"/>
      <w:bookmarkEnd w:id="45"/>
    </w:p>
    <w:p w:rsidR="00652FCC" w:rsidRDefault="00061441" w:rsidP="00652FCC">
      <w:pPr>
        <w:rPr>
          <w:rFonts w:ascii="Calibri" w:hAnsi="Calibri" w:cs="Calibri"/>
          <w:sz w:val="24"/>
          <w:szCs w:val="24"/>
        </w:rPr>
      </w:pPr>
      <w:r w:rsidRPr="00061441">
        <w:rPr>
          <w:rFonts w:ascii="Calibri" w:hAnsi="Calibri" w:cs="Calibri"/>
          <w:sz w:val="24"/>
          <w:szCs w:val="24"/>
        </w:rPr>
        <w:t xml:space="preserve">As a joint effort between all jurisdictions, the </w:t>
      </w:r>
      <w:r w:rsidR="00C8305C">
        <w:rPr>
          <w:rFonts w:ascii="Calibri" w:hAnsi="Calibri" w:cs="Calibri"/>
          <w:sz w:val="24"/>
          <w:szCs w:val="24"/>
        </w:rPr>
        <w:t>community</w:t>
      </w:r>
      <w:r w:rsidRPr="00061441">
        <w:rPr>
          <w:rFonts w:ascii="Calibri" w:hAnsi="Calibri" w:cs="Calibri"/>
          <w:sz w:val="24"/>
          <w:szCs w:val="24"/>
        </w:rPr>
        <w:t xml:space="preserve"> sector and the community, </w:t>
      </w:r>
      <w:r w:rsidR="00882A50">
        <w:rPr>
          <w:rFonts w:ascii="Calibri" w:hAnsi="Calibri" w:cs="Calibri"/>
          <w:sz w:val="24"/>
          <w:szCs w:val="24"/>
        </w:rPr>
        <w:t xml:space="preserve">the National Framework is </w:t>
      </w:r>
      <w:r w:rsidR="001A6F37">
        <w:rPr>
          <w:rFonts w:ascii="Calibri" w:hAnsi="Calibri" w:cs="Calibri"/>
          <w:sz w:val="24"/>
          <w:szCs w:val="24"/>
        </w:rPr>
        <w:t xml:space="preserve">appropriately being </w:t>
      </w:r>
      <w:r w:rsidR="00882A50">
        <w:rPr>
          <w:rFonts w:ascii="Calibri" w:hAnsi="Calibri" w:cs="Calibri"/>
          <w:sz w:val="24"/>
          <w:szCs w:val="24"/>
        </w:rPr>
        <w:t xml:space="preserve">implemented not only through the normal Commonwealth-state committees but also through </w:t>
      </w:r>
      <w:r w:rsidR="008C2324">
        <w:rPr>
          <w:rFonts w:ascii="Calibri" w:hAnsi="Calibri" w:cs="Calibri"/>
          <w:sz w:val="24"/>
          <w:szCs w:val="24"/>
        </w:rPr>
        <w:t xml:space="preserve">linked </w:t>
      </w:r>
      <w:r w:rsidR="00882A50">
        <w:rPr>
          <w:rFonts w:ascii="Calibri" w:hAnsi="Calibri" w:cs="Calibri"/>
          <w:sz w:val="24"/>
          <w:szCs w:val="24"/>
        </w:rPr>
        <w:t xml:space="preserve">government and </w:t>
      </w:r>
      <w:r w:rsidR="00C8305C">
        <w:rPr>
          <w:rFonts w:ascii="Calibri" w:hAnsi="Calibri" w:cs="Calibri"/>
          <w:sz w:val="24"/>
          <w:szCs w:val="24"/>
        </w:rPr>
        <w:t>community</w:t>
      </w:r>
      <w:r w:rsidR="00882A50">
        <w:rPr>
          <w:rFonts w:ascii="Calibri" w:hAnsi="Calibri" w:cs="Calibri"/>
          <w:sz w:val="24"/>
          <w:szCs w:val="24"/>
        </w:rPr>
        <w:t xml:space="preserve"> </w:t>
      </w:r>
      <w:r w:rsidR="00C8305C">
        <w:rPr>
          <w:rFonts w:ascii="Calibri" w:hAnsi="Calibri" w:cs="Calibri"/>
          <w:sz w:val="24"/>
          <w:szCs w:val="24"/>
        </w:rPr>
        <w:t xml:space="preserve">sector </w:t>
      </w:r>
      <w:r w:rsidR="00882A50">
        <w:rPr>
          <w:rFonts w:ascii="Calibri" w:hAnsi="Calibri" w:cs="Calibri"/>
          <w:sz w:val="24"/>
          <w:szCs w:val="24"/>
        </w:rPr>
        <w:t xml:space="preserve">coordination processes. This allows for direct input by the </w:t>
      </w:r>
      <w:r w:rsidR="00C8305C">
        <w:rPr>
          <w:rFonts w:ascii="Calibri" w:hAnsi="Calibri" w:cs="Calibri"/>
          <w:sz w:val="24"/>
          <w:szCs w:val="24"/>
        </w:rPr>
        <w:t>community</w:t>
      </w:r>
      <w:r w:rsidR="00882A50">
        <w:rPr>
          <w:rFonts w:ascii="Calibri" w:hAnsi="Calibri" w:cs="Calibri"/>
          <w:sz w:val="24"/>
          <w:szCs w:val="24"/>
        </w:rPr>
        <w:t xml:space="preserve"> sector into the design and implementation of this </w:t>
      </w:r>
      <w:r w:rsidR="001A6F37">
        <w:rPr>
          <w:rFonts w:ascii="Calibri" w:hAnsi="Calibri" w:cs="Calibri"/>
          <w:sz w:val="24"/>
          <w:szCs w:val="24"/>
        </w:rPr>
        <w:t>ambitious strategy.</w:t>
      </w:r>
    </w:p>
    <w:p w:rsidR="00652FCC" w:rsidRPr="00821556" w:rsidRDefault="00652FCC" w:rsidP="00652FCC">
      <w:pPr>
        <w:rPr>
          <w:rFonts w:ascii="Calibri" w:hAnsi="Calibri" w:cs="Calibri"/>
          <w:sz w:val="24"/>
          <w:szCs w:val="24"/>
        </w:rPr>
      </w:pPr>
    </w:p>
    <w:p w:rsidR="00652FCC" w:rsidRPr="00821556" w:rsidRDefault="00652FCC" w:rsidP="00652FCC">
      <w:pPr>
        <w:rPr>
          <w:rFonts w:ascii="Calibri" w:hAnsi="Calibri" w:cs="Calibri"/>
          <w:sz w:val="24"/>
          <w:szCs w:val="24"/>
        </w:rPr>
      </w:pPr>
      <w:r w:rsidRPr="00821556">
        <w:rPr>
          <w:rFonts w:ascii="Calibri" w:hAnsi="Calibri" w:cs="Calibri"/>
          <w:sz w:val="24"/>
          <w:szCs w:val="24"/>
        </w:rPr>
        <w:t>As the body that endorsed the National Framework, COAG is the most senior committee charged with overseeing the National Framework.</w:t>
      </w:r>
      <w:r>
        <w:rPr>
          <w:rFonts w:ascii="Calibri" w:hAnsi="Calibri" w:cs="Calibri"/>
          <w:sz w:val="24"/>
          <w:szCs w:val="24"/>
        </w:rPr>
        <w:t xml:space="preserve"> </w:t>
      </w:r>
      <w:r w:rsidRPr="00821556">
        <w:rPr>
          <w:rFonts w:ascii="Calibri" w:hAnsi="Calibri" w:cs="Calibri"/>
          <w:sz w:val="24"/>
          <w:szCs w:val="24"/>
        </w:rPr>
        <w:t xml:space="preserve">It is supported </w:t>
      </w:r>
      <w:r w:rsidR="001A6F37">
        <w:rPr>
          <w:rFonts w:ascii="Calibri" w:hAnsi="Calibri" w:cs="Calibri"/>
          <w:sz w:val="24"/>
          <w:szCs w:val="24"/>
        </w:rPr>
        <w:t xml:space="preserve">primarily </w:t>
      </w:r>
      <w:r w:rsidRPr="00821556">
        <w:rPr>
          <w:rFonts w:ascii="Calibri" w:hAnsi="Calibri" w:cs="Calibri"/>
          <w:sz w:val="24"/>
          <w:szCs w:val="24"/>
        </w:rPr>
        <w:t xml:space="preserve">by SCCDS, which is made up of Community and Disability Services Ministers from the </w:t>
      </w:r>
      <w:r>
        <w:rPr>
          <w:rFonts w:ascii="Calibri" w:hAnsi="Calibri" w:cs="Calibri"/>
          <w:sz w:val="24"/>
          <w:szCs w:val="24"/>
        </w:rPr>
        <w:t>Australian</w:t>
      </w:r>
      <w:r w:rsidRPr="00821556">
        <w:rPr>
          <w:rFonts w:ascii="Calibri" w:hAnsi="Calibri" w:cs="Calibri"/>
          <w:sz w:val="24"/>
          <w:szCs w:val="24"/>
        </w:rPr>
        <w:t xml:space="preserve">, state and territory </w:t>
      </w:r>
      <w:r>
        <w:rPr>
          <w:rFonts w:ascii="Calibri" w:hAnsi="Calibri" w:cs="Calibri"/>
          <w:sz w:val="24"/>
          <w:szCs w:val="24"/>
        </w:rPr>
        <w:t>g</w:t>
      </w:r>
      <w:r w:rsidRPr="00821556">
        <w:rPr>
          <w:rFonts w:ascii="Calibri" w:hAnsi="Calibri" w:cs="Calibri"/>
          <w:sz w:val="24"/>
          <w:szCs w:val="24"/>
        </w:rPr>
        <w:t>overnments.</w:t>
      </w:r>
    </w:p>
    <w:p w:rsidR="00652FCC" w:rsidRPr="00821556" w:rsidRDefault="00652FCC" w:rsidP="00652FCC">
      <w:pPr>
        <w:rPr>
          <w:rFonts w:ascii="Calibri" w:hAnsi="Calibri" w:cs="Calibri"/>
          <w:sz w:val="24"/>
          <w:szCs w:val="24"/>
        </w:rPr>
      </w:pPr>
    </w:p>
    <w:p w:rsidR="00652FCC" w:rsidRPr="00821556" w:rsidRDefault="00652FCC" w:rsidP="00652FCC">
      <w:pPr>
        <w:rPr>
          <w:rFonts w:ascii="Calibri" w:hAnsi="Calibri" w:cs="Calibri"/>
          <w:sz w:val="24"/>
          <w:szCs w:val="24"/>
        </w:rPr>
      </w:pPr>
      <w:r w:rsidRPr="00821556">
        <w:rPr>
          <w:rFonts w:ascii="Calibri" w:hAnsi="Calibri" w:cs="Calibri"/>
          <w:sz w:val="24"/>
          <w:szCs w:val="24"/>
        </w:rPr>
        <w:t>SCCDS in turn is supported by:</w:t>
      </w:r>
    </w:p>
    <w:p w:rsidR="00652FCC" w:rsidRPr="00821556" w:rsidRDefault="00652FCC" w:rsidP="00652FCC">
      <w:pPr>
        <w:pStyle w:val="ListBullet"/>
      </w:pPr>
      <w:r w:rsidRPr="00821556">
        <w:t xml:space="preserve">the </w:t>
      </w:r>
      <w:r w:rsidR="0075472C" w:rsidRPr="00BD0A6A">
        <w:rPr>
          <w:rFonts w:asciiTheme="minorHAnsi" w:hAnsiTheme="minorHAnsi"/>
          <w:szCs w:val="24"/>
        </w:rPr>
        <w:t>SCCDS</w:t>
      </w:r>
      <w:r w:rsidRPr="00821556">
        <w:t xml:space="preserve"> Advisory Committee (SCCDSAC), which is composed of Chief Executive Officers</w:t>
      </w:r>
      <w:r w:rsidR="00533153">
        <w:t xml:space="preserve"> (CEO)</w:t>
      </w:r>
      <w:r w:rsidRPr="00821556">
        <w:t xml:space="preserve"> from the </w:t>
      </w:r>
      <w:r>
        <w:t>Australian</w:t>
      </w:r>
      <w:r w:rsidRPr="00821556">
        <w:t xml:space="preserve"> and state and</w:t>
      </w:r>
      <w:r>
        <w:t xml:space="preserve"> </w:t>
      </w:r>
      <w:r w:rsidRPr="00821556">
        <w:t>territory</w:t>
      </w:r>
      <w:r>
        <w:t xml:space="preserve"> </w:t>
      </w:r>
      <w:r w:rsidRPr="00821556">
        <w:t>Community and Disability Services Departments</w:t>
      </w:r>
    </w:p>
    <w:p w:rsidR="00652FCC" w:rsidRDefault="00652FCC" w:rsidP="00652FCC">
      <w:pPr>
        <w:pStyle w:val="ListBullet"/>
      </w:pPr>
      <w:proofErr w:type="gramStart"/>
      <w:r w:rsidRPr="00821556">
        <w:t>the</w:t>
      </w:r>
      <w:proofErr w:type="gramEnd"/>
      <w:r w:rsidRPr="00821556">
        <w:t xml:space="preserve"> Children, Youth, Community Services, </w:t>
      </w:r>
      <w:r>
        <w:t>Policy</w:t>
      </w:r>
      <w:r w:rsidRPr="00821556">
        <w:t xml:space="preserve"> and </w:t>
      </w:r>
      <w:r>
        <w:t>Research</w:t>
      </w:r>
      <w:r w:rsidRPr="00821556">
        <w:t xml:space="preserve"> Working Group (CYCSPRWG), a sub-committee of SCCDSAC, which is made up of the </w:t>
      </w:r>
      <w:r>
        <w:t>s</w:t>
      </w:r>
      <w:r w:rsidRPr="00821556">
        <w:t xml:space="preserve">enior </w:t>
      </w:r>
      <w:r>
        <w:t>Australian</w:t>
      </w:r>
      <w:r w:rsidRPr="00821556">
        <w:t xml:space="preserve">, state and territory </w:t>
      </w:r>
      <w:r>
        <w:t>g</w:t>
      </w:r>
      <w:r w:rsidRPr="00821556">
        <w:t xml:space="preserve">overnment </w:t>
      </w:r>
      <w:r w:rsidR="00392A4F">
        <w:t>o</w:t>
      </w:r>
      <w:r w:rsidRPr="00821556">
        <w:t>fficials with direct responsibility for implementing government services and programs</w:t>
      </w:r>
      <w:r w:rsidR="001A6F37">
        <w:t>.</w:t>
      </w:r>
    </w:p>
    <w:p w:rsidR="0030121F" w:rsidRDefault="0030121F" w:rsidP="0030121F">
      <w:pPr>
        <w:pStyle w:val="ListBullet"/>
        <w:numPr>
          <w:ilvl w:val="0"/>
          <w:numId w:val="0"/>
        </w:numPr>
      </w:pPr>
    </w:p>
    <w:p w:rsidR="005D475B" w:rsidRPr="00821556" w:rsidRDefault="005D475B" w:rsidP="005D475B">
      <w:pPr>
        <w:pStyle w:val="ListBullet"/>
        <w:numPr>
          <w:ilvl w:val="0"/>
          <w:numId w:val="0"/>
        </w:numPr>
      </w:pPr>
      <w:r>
        <w:t>T</w:t>
      </w:r>
      <w:r w:rsidRPr="00821556">
        <w:t xml:space="preserve">he National Framework Implementation Working Group (NFIWG) is the tripartite committee involving senior </w:t>
      </w:r>
      <w:r>
        <w:t>Australian</w:t>
      </w:r>
      <w:r w:rsidRPr="00821556">
        <w:t xml:space="preserve">, state and territory </w:t>
      </w:r>
      <w:r>
        <w:t>g</w:t>
      </w:r>
      <w:r w:rsidRPr="00821556">
        <w:t xml:space="preserve">overnment officers, together with </w:t>
      </w:r>
      <w:r>
        <w:t xml:space="preserve">leading </w:t>
      </w:r>
      <w:r w:rsidRPr="00821556">
        <w:t xml:space="preserve">members of the Coalition. </w:t>
      </w:r>
    </w:p>
    <w:p w:rsidR="005D475B" w:rsidRDefault="005D475B" w:rsidP="0030121F">
      <w:pPr>
        <w:pStyle w:val="ListBullet"/>
        <w:numPr>
          <w:ilvl w:val="0"/>
          <w:numId w:val="0"/>
        </w:numPr>
      </w:pPr>
    </w:p>
    <w:p w:rsidR="00162624" w:rsidRPr="00821556" w:rsidRDefault="00162624" w:rsidP="00FF0B09">
      <w:pPr>
        <w:pStyle w:val="Figure"/>
      </w:pPr>
      <w:bookmarkStart w:id="46" w:name="_Toc343804510"/>
      <w:bookmarkStart w:id="47" w:name="_Toc400615860"/>
      <w:r w:rsidRPr="00821556">
        <w:t xml:space="preserve">Figure </w:t>
      </w:r>
      <w:fldSimple w:instr=" SEQ Figure \* ARABIC ">
        <w:r w:rsidR="00BF1EC9">
          <w:rPr>
            <w:noProof/>
          </w:rPr>
          <w:t>2</w:t>
        </w:r>
      </w:fldSimple>
      <w:r w:rsidRPr="00821556">
        <w:t>: Partnership arrangement</w:t>
      </w:r>
      <w:bookmarkEnd w:id="46"/>
      <w:bookmarkEnd w:id="47"/>
    </w:p>
    <w:tbl>
      <w:tblPr>
        <w:tblW w:w="103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Description w:val="Figure 2 - Partnership arrangement for the National Framework for Protecting Australia's Children."/>
      </w:tblPr>
      <w:tblGrid>
        <w:gridCol w:w="2090"/>
        <w:gridCol w:w="1416"/>
        <w:gridCol w:w="1705"/>
        <w:gridCol w:w="1560"/>
        <w:gridCol w:w="1844"/>
        <w:gridCol w:w="1700"/>
      </w:tblGrid>
      <w:tr w:rsidR="00F45542" w:rsidRPr="00771F39" w:rsidTr="00031767">
        <w:trPr>
          <w:trHeight w:val="1576"/>
          <w:tblHeader/>
        </w:trPr>
        <w:tc>
          <w:tcPr>
            <w:tcW w:w="2090" w:type="dxa"/>
            <w:shd w:val="clear" w:color="auto" w:fill="00B0F0"/>
            <w:tcMar>
              <w:top w:w="0" w:type="dxa"/>
              <w:left w:w="108" w:type="dxa"/>
              <w:bottom w:w="0" w:type="dxa"/>
              <w:right w:w="108" w:type="dxa"/>
            </w:tcMar>
            <w:vAlign w:val="center"/>
            <w:hideMark/>
          </w:tcPr>
          <w:p w:rsidR="0030121F" w:rsidRPr="009322D4" w:rsidRDefault="0030121F" w:rsidP="009322D4">
            <w:pPr>
              <w:jc w:val="center"/>
              <w:rPr>
                <w:rFonts w:asciiTheme="minorHAnsi" w:eastAsia="Calibri" w:hAnsiTheme="minorHAnsi" w:cs="Arial"/>
                <w:bCs/>
                <w:lang w:eastAsia="en-US"/>
              </w:rPr>
            </w:pPr>
            <w:r w:rsidRPr="009322D4">
              <w:rPr>
                <w:rFonts w:asciiTheme="minorHAnsi" w:eastAsia="Calibri" w:hAnsiTheme="minorHAnsi" w:cs="Calibri"/>
                <w:bCs/>
                <w:lang w:eastAsia="en-US"/>
              </w:rPr>
              <w:t>A</w:t>
            </w:r>
            <w:r w:rsidR="00771F39" w:rsidRPr="009322D4">
              <w:rPr>
                <w:rFonts w:asciiTheme="minorHAnsi" w:eastAsia="Calibri" w:hAnsiTheme="minorHAnsi" w:cs="Calibri"/>
                <w:bCs/>
                <w:lang w:eastAsia="en-US"/>
              </w:rPr>
              <w:t>ustralian Children and Families</w:t>
            </w:r>
          </w:p>
        </w:tc>
        <w:tc>
          <w:tcPr>
            <w:tcW w:w="6525" w:type="dxa"/>
            <w:gridSpan w:val="4"/>
            <w:shd w:val="clear" w:color="auto" w:fill="00B0F0"/>
            <w:tcMar>
              <w:top w:w="0" w:type="dxa"/>
              <w:left w:w="108" w:type="dxa"/>
              <w:bottom w:w="0" w:type="dxa"/>
              <w:right w:w="108" w:type="dxa"/>
            </w:tcMar>
            <w:vAlign w:val="center"/>
            <w:hideMark/>
          </w:tcPr>
          <w:p w:rsidR="0030121F" w:rsidRPr="009322D4" w:rsidRDefault="00771F39" w:rsidP="009322D4">
            <w:pPr>
              <w:jc w:val="center"/>
              <w:rPr>
                <w:rFonts w:asciiTheme="minorHAnsi" w:eastAsia="Calibri" w:hAnsiTheme="minorHAnsi" w:cs="Arial"/>
                <w:bCs/>
                <w:lang w:eastAsia="en-US"/>
              </w:rPr>
            </w:pPr>
            <w:r w:rsidRPr="009322D4">
              <w:rPr>
                <w:rFonts w:asciiTheme="minorHAnsi" w:eastAsia="Calibri" w:hAnsiTheme="minorHAnsi" w:cs="Calibri"/>
                <w:bCs/>
                <w:lang w:eastAsia="en-US"/>
              </w:rPr>
              <w:t xml:space="preserve">Families have the primary responsibility for raising their children, </w:t>
            </w:r>
            <w:r w:rsidRPr="009322D4">
              <w:rPr>
                <w:rFonts w:asciiTheme="minorHAnsi" w:eastAsia="Calibri" w:hAnsiTheme="minorHAnsi" w:cs="Calibri"/>
                <w:bCs/>
                <w:lang w:eastAsia="en-US"/>
              </w:rPr>
              <w:br/>
              <w:t>giving them loving care and ensuring they access services</w:t>
            </w:r>
            <w:r w:rsidRPr="009322D4">
              <w:rPr>
                <w:rFonts w:asciiTheme="minorHAnsi" w:eastAsia="Calibri" w:hAnsiTheme="minorHAnsi" w:cs="Calibri"/>
                <w:bCs/>
                <w:lang w:eastAsia="en-US"/>
              </w:rPr>
              <w:br/>
              <w:t>they need to succeed in life</w:t>
            </w:r>
          </w:p>
        </w:tc>
        <w:tc>
          <w:tcPr>
            <w:tcW w:w="1700" w:type="dxa"/>
            <w:vMerge w:val="restart"/>
            <w:shd w:val="clear" w:color="auto" w:fill="FFC000"/>
            <w:tcMar>
              <w:top w:w="0" w:type="dxa"/>
              <w:left w:w="108" w:type="dxa"/>
              <w:bottom w:w="0" w:type="dxa"/>
              <w:right w:w="108" w:type="dxa"/>
            </w:tcMar>
            <w:vAlign w:val="center"/>
            <w:hideMark/>
          </w:tcPr>
          <w:p w:rsidR="00771F39" w:rsidRPr="00771F39" w:rsidRDefault="00771F39" w:rsidP="0030121F">
            <w:pPr>
              <w:spacing w:before="120"/>
              <w:jc w:val="center"/>
              <w:rPr>
                <w:rFonts w:ascii="Arial" w:eastAsia="Calibri" w:hAnsi="Arial" w:cs="Arial"/>
                <w:b/>
                <w:bCs/>
                <w:caps/>
                <w:spacing w:val="5"/>
                <w:sz w:val="22"/>
                <w:szCs w:val="22"/>
                <w:lang w:eastAsia="en-US"/>
              </w:rPr>
            </w:pPr>
            <w:r>
              <w:rPr>
                <w:rFonts w:ascii="Calibri" w:eastAsia="Calibri" w:hAnsi="Calibri" w:cs="Calibri"/>
                <w:b/>
                <w:bCs/>
                <w:spacing w:val="5"/>
                <w:sz w:val="22"/>
                <w:szCs w:val="22"/>
                <w:lang w:eastAsia="en-US"/>
              </w:rPr>
              <w:t>Working together to improve the safety and wellbeing of Australia’s children</w:t>
            </w:r>
          </w:p>
        </w:tc>
      </w:tr>
      <w:tr w:rsidR="00F45542" w:rsidRPr="00771F39" w:rsidTr="00031767">
        <w:trPr>
          <w:trHeight w:val="1808"/>
          <w:tblHeader/>
        </w:trPr>
        <w:tc>
          <w:tcPr>
            <w:tcW w:w="2090" w:type="dxa"/>
            <w:shd w:val="clear" w:color="auto" w:fill="00B050"/>
            <w:tcMar>
              <w:top w:w="0" w:type="dxa"/>
              <w:left w:w="108" w:type="dxa"/>
              <w:bottom w:w="0" w:type="dxa"/>
              <w:right w:w="108" w:type="dxa"/>
            </w:tcMar>
            <w:vAlign w:val="center"/>
            <w:hideMark/>
          </w:tcPr>
          <w:p w:rsidR="0030121F" w:rsidRPr="009322D4" w:rsidRDefault="00771F39" w:rsidP="009322D4">
            <w:pPr>
              <w:jc w:val="center"/>
              <w:rPr>
                <w:rFonts w:asciiTheme="minorHAnsi" w:eastAsia="Calibri" w:hAnsiTheme="minorHAnsi" w:cs="Calibri"/>
                <w:bCs/>
                <w:caps/>
                <w:lang w:eastAsia="en-US"/>
              </w:rPr>
            </w:pPr>
            <w:r w:rsidRPr="009322D4">
              <w:rPr>
                <w:rFonts w:asciiTheme="minorHAnsi" w:eastAsia="Calibri" w:hAnsiTheme="minorHAnsi" w:cs="Calibri"/>
                <w:bCs/>
                <w:lang w:eastAsia="en-US"/>
              </w:rPr>
              <w:t>Ministerial Involvement</w:t>
            </w:r>
          </w:p>
        </w:tc>
        <w:tc>
          <w:tcPr>
            <w:tcW w:w="3121" w:type="dxa"/>
            <w:gridSpan w:val="2"/>
            <w:shd w:val="clear" w:color="auto" w:fill="00B050"/>
            <w:tcMar>
              <w:top w:w="0" w:type="dxa"/>
              <w:left w:w="108" w:type="dxa"/>
              <w:bottom w:w="0" w:type="dxa"/>
              <w:right w:w="108" w:type="dxa"/>
            </w:tcMar>
            <w:vAlign w:val="center"/>
            <w:hideMark/>
          </w:tcPr>
          <w:p w:rsidR="0030121F" w:rsidRPr="009322D4" w:rsidRDefault="0030121F" w:rsidP="009322D4">
            <w:pPr>
              <w:jc w:val="center"/>
              <w:rPr>
                <w:rFonts w:asciiTheme="minorHAnsi" w:eastAsia="Calibri" w:hAnsiTheme="minorHAnsi" w:cs="Arial"/>
                <w:bCs/>
                <w:caps/>
                <w:lang w:eastAsia="en-US"/>
              </w:rPr>
            </w:pPr>
            <w:r w:rsidRPr="009322D4">
              <w:rPr>
                <w:rFonts w:asciiTheme="minorHAnsi" w:eastAsia="Calibri" w:hAnsiTheme="minorHAnsi" w:cs="Calibri"/>
                <w:bCs/>
                <w:lang w:eastAsia="en-US"/>
              </w:rPr>
              <w:t>COAG</w:t>
            </w:r>
          </w:p>
          <w:p w:rsidR="0030121F" w:rsidRPr="009322D4" w:rsidRDefault="0030121F" w:rsidP="009322D4">
            <w:pPr>
              <w:jc w:val="center"/>
              <w:rPr>
                <w:rFonts w:asciiTheme="minorHAnsi" w:eastAsia="Calibri" w:hAnsiTheme="minorHAnsi" w:cs="Calibri"/>
                <w:bCs/>
                <w:lang w:eastAsia="en-US"/>
              </w:rPr>
            </w:pPr>
            <w:r w:rsidRPr="009322D4">
              <w:rPr>
                <w:rFonts w:asciiTheme="minorHAnsi" w:eastAsia="Calibri" w:hAnsiTheme="minorHAnsi" w:cs="Calibri"/>
                <w:bCs/>
                <w:lang w:eastAsia="en-US"/>
              </w:rPr>
              <w:t>R</w:t>
            </w:r>
            <w:r w:rsidR="00771F39" w:rsidRPr="009322D4">
              <w:rPr>
                <w:rFonts w:asciiTheme="minorHAnsi" w:eastAsia="Calibri" w:hAnsiTheme="minorHAnsi" w:cs="Calibri"/>
                <w:bCs/>
                <w:lang w:eastAsia="en-US"/>
              </w:rPr>
              <w:t>elevant Ministerial Councils</w:t>
            </w:r>
          </w:p>
        </w:tc>
        <w:tc>
          <w:tcPr>
            <w:tcW w:w="3404" w:type="dxa"/>
            <w:gridSpan w:val="2"/>
            <w:shd w:val="clear" w:color="auto" w:fill="00B050"/>
            <w:tcMar>
              <w:top w:w="0" w:type="dxa"/>
              <w:left w:w="108" w:type="dxa"/>
              <w:bottom w:w="0" w:type="dxa"/>
              <w:right w:w="108" w:type="dxa"/>
            </w:tcMar>
            <w:vAlign w:val="center"/>
            <w:hideMark/>
          </w:tcPr>
          <w:p w:rsidR="0030121F" w:rsidRPr="009322D4" w:rsidRDefault="0030121F" w:rsidP="009322D4">
            <w:pPr>
              <w:jc w:val="center"/>
              <w:rPr>
                <w:rFonts w:asciiTheme="minorHAnsi" w:eastAsia="Calibri" w:hAnsiTheme="minorHAnsi" w:cs="Arial"/>
                <w:bCs/>
                <w:caps/>
                <w:lang w:eastAsia="en-US"/>
              </w:rPr>
            </w:pPr>
            <w:r w:rsidRPr="009322D4">
              <w:rPr>
                <w:rFonts w:asciiTheme="minorHAnsi" w:eastAsia="Calibri" w:hAnsiTheme="minorHAnsi" w:cs="Calibri"/>
                <w:bCs/>
                <w:lang w:eastAsia="en-US"/>
              </w:rPr>
              <w:t>SCCDS</w:t>
            </w:r>
          </w:p>
          <w:p w:rsidR="0030121F" w:rsidRPr="009322D4" w:rsidRDefault="0030121F" w:rsidP="009322D4">
            <w:pPr>
              <w:jc w:val="center"/>
              <w:rPr>
                <w:rFonts w:asciiTheme="minorHAnsi" w:eastAsia="Calibri" w:hAnsiTheme="minorHAnsi" w:cs="Calibri"/>
                <w:bCs/>
                <w:caps/>
                <w:lang w:eastAsia="en-US"/>
              </w:rPr>
            </w:pPr>
            <w:r w:rsidRPr="009322D4">
              <w:rPr>
                <w:rFonts w:asciiTheme="minorHAnsi" w:eastAsia="Calibri" w:hAnsiTheme="minorHAnsi" w:cs="Calibri"/>
                <w:bCs/>
                <w:lang w:eastAsia="en-US"/>
              </w:rPr>
              <w:t>M</w:t>
            </w:r>
            <w:r w:rsidR="00771F39" w:rsidRPr="009322D4">
              <w:rPr>
                <w:rFonts w:asciiTheme="minorHAnsi" w:eastAsia="Calibri" w:hAnsiTheme="minorHAnsi" w:cs="Calibri"/>
                <w:bCs/>
                <w:lang w:eastAsia="en-US"/>
              </w:rPr>
              <w:t>inisterial Forum</w:t>
            </w:r>
          </w:p>
        </w:tc>
        <w:tc>
          <w:tcPr>
            <w:tcW w:w="1700" w:type="dxa"/>
            <w:vMerge/>
            <w:vAlign w:val="center"/>
            <w:hideMark/>
          </w:tcPr>
          <w:p w:rsidR="0030121F" w:rsidRPr="00771F39" w:rsidRDefault="0030121F" w:rsidP="0030121F">
            <w:pPr>
              <w:rPr>
                <w:rFonts w:ascii="Arial" w:eastAsia="Calibri" w:hAnsi="Arial" w:cs="Arial"/>
                <w:b/>
                <w:bCs/>
                <w:caps/>
                <w:spacing w:val="5"/>
                <w:sz w:val="22"/>
                <w:szCs w:val="22"/>
                <w:lang w:eastAsia="en-US"/>
              </w:rPr>
            </w:pPr>
          </w:p>
        </w:tc>
      </w:tr>
      <w:tr w:rsidR="00F45542" w:rsidRPr="00771F39" w:rsidTr="00031767">
        <w:trPr>
          <w:trHeight w:val="1713"/>
          <w:tblHeader/>
        </w:trPr>
        <w:tc>
          <w:tcPr>
            <w:tcW w:w="2090" w:type="dxa"/>
            <w:shd w:val="clear" w:color="auto" w:fill="92D050"/>
            <w:tcMar>
              <w:top w:w="0" w:type="dxa"/>
              <w:left w:w="108" w:type="dxa"/>
              <w:bottom w:w="0" w:type="dxa"/>
              <w:right w:w="108" w:type="dxa"/>
            </w:tcMar>
            <w:vAlign w:val="center"/>
            <w:hideMark/>
          </w:tcPr>
          <w:p w:rsidR="00771F39" w:rsidRPr="009322D4" w:rsidRDefault="00771F39" w:rsidP="009322D4">
            <w:pPr>
              <w:jc w:val="center"/>
              <w:rPr>
                <w:rFonts w:asciiTheme="minorHAnsi" w:eastAsia="Calibri" w:hAnsiTheme="minorHAnsi" w:cs="Calibri"/>
                <w:bCs/>
                <w:lang w:eastAsia="en-US"/>
              </w:rPr>
            </w:pPr>
            <w:r w:rsidRPr="009322D4">
              <w:rPr>
                <w:rFonts w:asciiTheme="minorHAnsi" w:eastAsia="Calibri" w:hAnsiTheme="minorHAnsi" w:cs="Calibri"/>
                <w:bCs/>
                <w:lang w:eastAsia="en-US"/>
              </w:rPr>
              <w:t>National Framework Oversight</w:t>
            </w:r>
          </w:p>
          <w:p w:rsidR="00771F39" w:rsidRPr="009322D4" w:rsidRDefault="00771F39" w:rsidP="009322D4">
            <w:pPr>
              <w:jc w:val="center"/>
              <w:rPr>
                <w:rFonts w:asciiTheme="minorHAnsi" w:eastAsia="Calibri" w:hAnsiTheme="minorHAnsi" w:cs="Calibri"/>
                <w:bCs/>
                <w:caps/>
                <w:lang w:eastAsia="en-US"/>
              </w:rPr>
            </w:pPr>
          </w:p>
        </w:tc>
        <w:tc>
          <w:tcPr>
            <w:tcW w:w="1416" w:type="dxa"/>
            <w:shd w:val="clear" w:color="auto" w:fill="92D050"/>
          </w:tcPr>
          <w:p w:rsidR="0030121F" w:rsidRPr="009322D4" w:rsidRDefault="0030121F" w:rsidP="009322D4">
            <w:pPr>
              <w:jc w:val="center"/>
              <w:rPr>
                <w:rFonts w:asciiTheme="minorHAnsi" w:eastAsia="Calibri" w:hAnsiTheme="minorHAnsi" w:cs="Calibri"/>
                <w:bCs/>
                <w:lang w:eastAsia="en-US"/>
              </w:rPr>
            </w:pPr>
            <w:r w:rsidRPr="009322D4">
              <w:rPr>
                <w:rFonts w:asciiTheme="minorHAnsi" w:eastAsia="Calibri" w:hAnsiTheme="minorHAnsi" w:cs="Calibri"/>
                <w:bCs/>
                <w:lang w:eastAsia="en-US"/>
              </w:rPr>
              <w:t>SCCDSAC</w:t>
            </w:r>
            <w:r w:rsidRPr="009322D4">
              <w:rPr>
                <w:rFonts w:asciiTheme="minorHAnsi" w:hAnsiTheme="minorHAnsi" w:cs="Arial"/>
                <w:bCs/>
                <w:shd w:val="clear" w:color="auto" w:fill="FFFFFF"/>
              </w:rPr>
              <w:t xml:space="preserve"> </w:t>
            </w:r>
            <w:r w:rsidRPr="009322D4">
              <w:rPr>
                <w:rFonts w:asciiTheme="minorHAnsi" w:hAnsiTheme="minorHAnsi" w:cs="Arial"/>
                <w:bCs/>
                <w:shd w:val="clear" w:color="auto" w:fill="92D050"/>
              </w:rPr>
              <w:t>Standing Council on Community and Disability Services Advisory Council</w:t>
            </w:r>
          </w:p>
        </w:tc>
        <w:tc>
          <w:tcPr>
            <w:tcW w:w="1705" w:type="dxa"/>
            <w:shd w:val="clear" w:color="auto" w:fill="92D050"/>
            <w:tcMar>
              <w:top w:w="0" w:type="dxa"/>
              <w:left w:w="108" w:type="dxa"/>
              <w:bottom w:w="0" w:type="dxa"/>
              <w:right w:w="108" w:type="dxa"/>
            </w:tcMar>
            <w:vAlign w:val="center"/>
            <w:hideMark/>
          </w:tcPr>
          <w:p w:rsidR="0030121F" w:rsidRPr="009322D4" w:rsidRDefault="0030121F" w:rsidP="009322D4">
            <w:pPr>
              <w:rPr>
                <w:rFonts w:asciiTheme="minorHAnsi" w:eastAsia="Calibri" w:hAnsiTheme="minorHAnsi" w:cs="Calibri"/>
                <w:lang w:eastAsia="en-US"/>
              </w:rPr>
            </w:pPr>
            <w:r w:rsidRPr="009322D4">
              <w:rPr>
                <w:rFonts w:asciiTheme="minorHAnsi" w:eastAsia="Calibri" w:hAnsiTheme="minorHAnsi" w:cs="Calibri"/>
                <w:lang w:eastAsia="en-US"/>
              </w:rPr>
              <w:t>CYCSPRWG</w:t>
            </w:r>
          </w:p>
          <w:p w:rsidR="0030121F" w:rsidRPr="009322D4" w:rsidRDefault="0030121F" w:rsidP="009322D4">
            <w:pPr>
              <w:jc w:val="center"/>
              <w:rPr>
                <w:rFonts w:asciiTheme="minorHAnsi" w:eastAsia="Calibri" w:hAnsiTheme="minorHAnsi" w:cs="Calibri"/>
                <w:bCs/>
                <w:caps/>
                <w:lang w:eastAsia="en-US"/>
              </w:rPr>
            </w:pPr>
            <w:r w:rsidRPr="009322D4">
              <w:rPr>
                <w:rFonts w:asciiTheme="minorHAnsi" w:hAnsiTheme="minorHAnsi" w:cs="Arial"/>
                <w:bCs/>
                <w:shd w:val="clear" w:color="auto" w:fill="92D050"/>
              </w:rPr>
              <w:t>Children, Youth, Community Services, Policy and Research Working Group</w:t>
            </w:r>
            <w:r w:rsidRPr="009322D4">
              <w:rPr>
                <w:rFonts w:asciiTheme="minorHAnsi" w:eastAsia="Calibri" w:hAnsiTheme="minorHAnsi" w:cs="Calibri"/>
                <w:bCs/>
                <w:caps/>
                <w:lang w:eastAsia="en-US"/>
              </w:rPr>
              <w:t xml:space="preserve"> </w:t>
            </w:r>
          </w:p>
        </w:tc>
        <w:tc>
          <w:tcPr>
            <w:tcW w:w="1560" w:type="dxa"/>
            <w:shd w:val="clear" w:color="auto" w:fill="92D050"/>
            <w:tcMar>
              <w:top w:w="0" w:type="dxa"/>
              <w:left w:w="108" w:type="dxa"/>
              <w:bottom w:w="0" w:type="dxa"/>
              <w:right w:w="108" w:type="dxa"/>
            </w:tcMar>
            <w:vAlign w:val="center"/>
            <w:hideMark/>
          </w:tcPr>
          <w:p w:rsidR="00771F39" w:rsidRPr="009322D4" w:rsidRDefault="00771F39" w:rsidP="009322D4">
            <w:pPr>
              <w:jc w:val="center"/>
              <w:rPr>
                <w:rFonts w:asciiTheme="minorHAnsi" w:eastAsia="Calibri" w:hAnsiTheme="minorHAnsi" w:cs="Calibri"/>
                <w:lang w:eastAsia="en-US"/>
              </w:rPr>
            </w:pPr>
            <w:r w:rsidRPr="009322D4">
              <w:rPr>
                <w:rFonts w:asciiTheme="minorHAnsi" w:eastAsia="Calibri" w:hAnsiTheme="minorHAnsi" w:cs="Calibri"/>
                <w:lang w:eastAsia="en-US"/>
              </w:rPr>
              <w:t xml:space="preserve">National </w:t>
            </w:r>
            <w:proofErr w:type="spellStart"/>
            <w:r w:rsidRPr="009322D4">
              <w:rPr>
                <w:rFonts w:asciiTheme="minorHAnsi" w:eastAsia="Calibri" w:hAnsiTheme="minorHAnsi" w:cs="Calibri"/>
                <w:lang w:eastAsia="en-US"/>
              </w:rPr>
              <w:t>Farmework</w:t>
            </w:r>
            <w:proofErr w:type="spellEnd"/>
            <w:r w:rsidRPr="009322D4">
              <w:rPr>
                <w:rFonts w:asciiTheme="minorHAnsi" w:eastAsia="Calibri" w:hAnsiTheme="minorHAnsi" w:cs="Calibri"/>
                <w:lang w:eastAsia="en-US"/>
              </w:rPr>
              <w:t xml:space="preserve"> Implementation Working Group</w:t>
            </w:r>
          </w:p>
          <w:p w:rsidR="00771F39" w:rsidRPr="009322D4" w:rsidRDefault="00771F39" w:rsidP="009322D4">
            <w:pPr>
              <w:jc w:val="center"/>
              <w:rPr>
                <w:rFonts w:asciiTheme="minorHAnsi" w:eastAsia="Calibri" w:hAnsiTheme="minorHAnsi" w:cs="Calibri"/>
                <w:bCs/>
                <w:caps/>
                <w:lang w:eastAsia="en-US"/>
              </w:rPr>
            </w:pPr>
          </w:p>
        </w:tc>
        <w:tc>
          <w:tcPr>
            <w:tcW w:w="1844" w:type="dxa"/>
            <w:shd w:val="clear" w:color="auto" w:fill="92D050"/>
            <w:tcMar>
              <w:top w:w="0" w:type="dxa"/>
              <w:left w:w="108" w:type="dxa"/>
              <w:bottom w:w="0" w:type="dxa"/>
              <w:right w:w="108" w:type="dxa"/>
            </w:tcMar>
            <w:vAlign w:val="center"/>
            <w:hideMark/>
          </w:tcPr>
          <w:p w:rsidR="0030121F" w:rsidRPr="009322D4" w:rsidRDefault="0030121F" w:rsidP="009322D4">
            <w:pPr>
              <w:jc w:val="center"/>
              <w:rPr>
                <w:rFonts w:asciiTheme="minorHAnsi" w:eastAsia="Calibri" w:hAnsiTheme="minorHAnsi" w:cs="Calibri"/>
                <w:bCs/>
                <w:caps/>
                <w:lang w:eastAsia="en-US"/>
              </w:rPr>
            </w:pPr>
            <w:r w:rsidRPr="009322D4">
              <w:rPr>
                <w:rFonts w:asciiTheme="minorHAnsi" w:eastAsia="Calibri" w:hAnsiTheme="minorHAnsi" w:cs="Calibri"/>
                <w:bCs/>
                <w:lang w:eastAsia="en-US"/>
              </w:rPr>
              <w:t>O</w:t>
            </w:r>
            <w:r w:rsidR="0057285C">
              <w:rPr>
                <w:rFonts w:asciiTheme="minorHAnsi" w:eastAsia="Calibri" w:hAnsiTheme="minorHAnsi" w:cs="Calibri"/>
                <w:bCs/>
                <w:lang w:eastAsia="en-US"/>
              </w:rPr>
              <w:t>ther Working Groups</w:t>
            </w:r>
          </w:p>
        </w:tc>
        <w:tc>
          <w:tcPr>
            <w:tcW w:w="1700" w:type="dxa"/>
            <w:vMerge/>
            <w:shd w:val="clear" w:color="auto" w:fill="92D050"/>
          </w:tcPr>
          <w:p w:rsidR="0030121F" w:rsidRPr="00771F39" w:rsidRDefault="0030121F" w:rsidP="0030121F">
            <w:pPr>
              <w:spacing w:before="120"/>
              <w:jc w:val="center"/>
              <w:rPr>
                <w:rFonts w:ascii="Calibri" w:eastAsia="Calibri" w:hAnsi="Calibri" w:cs="Calibri"/>
                <w:b/>
                <w:bCs/>
                <w:spacing w:val="5"/>
                <w:sz w:val="22"/>
                <w:szCs w:val="22"/>
                <w:lang w:eastAsia="en-US"/>
              </w:rPr>
            </w:pPr>
          </w:p>
        </w:tc>
      </w:tr>
      <w:tr w:rsidR="00F45542" w:rsidRPr="009322D4" w:rsidTr="00031767">
        <w:trPr>
          <w:trHeight w:val="787"/>
          <w:tblHeader/>
        </w:trPr>
        <w:tc>
          <w:tcPr>
            <w:tcW w:w="2090" w:type="dxa"/>
            <w:vMerge w:val="restart"/>
            <w:shd w:val="clear" w:color="auto" w:fill="FF6600"/>
            <w:tcMar>
              <w:top w:w="0" w:type="dxa"/>
              <w:left w:w="108" w:type="dxa"/>
              <w:bottom w:w="0" w:type="dxa"/>
              <w:right w:w="108" w:type="dxa"/>
            </w:tcMar>
            <w:vAlign w:val="center"/>
            <w:hideMark/>
          </w:tcPr>
          <w:p w:rsidR="009322D4" w:rsidRPr="009322D4" w:rsidRDefault="009322D4" w:rsidP="0030121F">
            <w:pPr>
              <w:spacing w:before="120"/>
              <w:jc w:val="center"/>
              <w:rPr>
                <w:rFonts w:ascii="Arial Rounded MT Bold" w:eastAsia="Calibri" w:hAnsi="Arial Rounded MT Bold" w:cs="Calibri"/>
                <w:bCs/>
                <w:caps/>
                <w:lang w:eastAsia="en-US"/>
              </w:rPr>
            </w:pPr>
            <w:r>
              <w:rPr>
                <w:rFonts w:ascii="Calibri" w:eastAsia="Calibri" w:hAnsi="Calibri" w:cs="Calibri"/>
                <w:bCs/>
                <w:lang w:eastAsia="en-US"/>
              </w:rPr>
              <w:t>Community Engagement</w:t>
            </w:r>
          </w:p>
        </w:tc>
        <w:tc>
          <w:tcPr>
            <w:tcW w:w="1416" w:type="dxa"/>
            <w:shd w:val="clear" w:color="auto" w:fill="FF6600"/>
            <w:tcMar>
              <w:top w:w="0" w:type="dxa"/>
              <w:left w:w="108" w:type="dxa"/>
              <w:bottom w:w="0" w:type="dxa"/>
              <w:right w:w="108" w:type="dxa"/>
            </w:tcMar>
            <w:vAlign w:val="center"/>
            <w:hideMark/>
          </w:tcPr>
          <w:p w:rsidR="0030121F" w:rsidRPr="009322D4" w:rsidRDefault="0030121F" w:rsidP="0030121F">
            <w:pPr>
              <w:spacing w:before="120"/>
              <w:jc w:val="center"/>
              <w:rPr>
                <w:rFonts w:ascii="Arial" w:eastAsia="Calibri" w:hAnsi="Arial" w:cs="Arial"/>
                <w:bCs/>
                <w:caps/>
                <w:lang w:eastAsia="en-US"/>
              </w:rPr>
            </w:pPr>
            <w:r w:rsidRPr="009322D4">
              <w:rPr>
                <w:rFonts w:ascii="Calibri" w:eastAsia="Calibri" w:hAnsi="Calibri" w:cs="Calibri"/>
                <w:bCs/>
                <w:lang w:eastAsia="en-US"/>
              </w:rPr>
              <w:t>N</w:t>
            </w:r>
            <w:r w:rsidR="009322D4">
              <w:rPr>
                <w:rFonts w:ascii="Calibri" w:eastAsia="Calibri" w:hAnsi="Calibri" w:cs="Calibri"/>
                <w:bCs/>
                <w:lang w:eastAsia="en-US"/>
              </w:rPr>
              <w:t>ational Priorities</w:t>
            </w:r>
          </w:p>
        </w:tc>
        <w:tc>
          <w:tcPr>
            <w:tcW w:w="1705" w:type="dxa"/>
            <w:shd w:val="clear" w:color="auto" w:fill="FF6600"/>
            <w:tcMar>
              <w:top w:w="0" w:type="dxa"/>
              <w:left w:w="108" w:type="dxa"/>
              <w:bottom w:w="0" w:type="dxa"/>
              <w:right w:w="108" w:type="dxa"/>
            </w:tcMar>
            <w:vAlign w:val="center"/>
            <w:hideMark/>
          </w:tcPr>
          <w:p w:rsidR="0030121F" w:rsidRPr="009322D4" w:rsidRDefault="009322D4" w:rsidP="0030121F">
            <w:pPr>
              <w:spacing w:before="120"/>
              <w:jc w:val="center"/>
              <w:rPr>
                <w:rFonts w:ascii="Arial" w:eastAsia="Calibri" w:hAnsi="Arial" w:cs="Arial"/>
                <w:bCs/>
                <w:caps/>
                <w:lang w:eastAsia="en-US"/>
              </w:rPr>
            </w:pPr>
            <w:r>
              <w:rPr>
                <w:rFonts w:ascii="Calibri" w:eastAsia="Calibri" w:hAnsi="Calibri" w:cs="Calibri"/>
                <w:bCs/>
                <w:lang w:eastAsia="en-US"/>
              </w:rPr>
              <w:t>Major Reviews</w:t>
            </w:r>
          </w:p>
        </w:tc>
        <w:tc>
          <w:tcPr>
            <w:tcW w:w="1560" w:type="dxa"/>
            <w:shd w:val="clear" w:color="auto" w:fill="FF6600"/>
            <w:tcMar>
              <w:top w:w="0" w:type="dxa"/>
              <w:left w:w="108" w:type="dxa"/>
              <w:bottom w:w="0" w:type="dxa"/>
              <w:right w:w="108" w:type="dxa"/>
            </w:tcMar>
            <w:vAlign w:val="center"/>
            <w:hideMark/>
          </w:tcPr>
          <w:p w:rsidR="0030121F" w:rsidRPr="009322D4" w:rsidRDefault="009322D4" w:rsidP="0030121F">
            <w:pPr>
              <w:spacing w:before="120"/>
              <w:jc w:val="center"/>
              <w:rPr>
                <w:rFonts w:ascii="Arial" w:eastAsia="Calibri" w:hAnsi="Arial" w:cs="Arial"/>
                <w:bCs/>
                <w:caps/>
                <w:lang w:eastAsia="en-US"/>
              </w:rPr>
            </w:pPr>
            <w:r>
              <w:rPr>
                <w:rFonts w:ascii="Calibri" w:eastAsia="Calibri" w:hAnsi="Calibri" w:cs="Calibri"/>
                <w:bCs/>
                <w:lang w:eastAsia="en-US"/>
              </w:rPr>
              <w:t>Ongoing Initiatives for Children and Families</w:t>
            </w:r>
          </w:p>
        </w:tc>
        <w:tc>
          <w:tcPr>
            <w:tcW w:w="1844" w:type="dxa"/>
            <w:shd w:val="clear" w:color="auto" w:fill="FF6600"/>
            <w:tcMar>
              <w:top w:w="0" w:type="dxa"/>
              <w:left w:w="108" w:type="dxa"/>
              <w:bottom w:w="0" w:type="dxa"/>
              <w:right w:w="108" w:type="dxa"/>
            </w:tcMar>
            <w:vAlign w:val="center"/>
            <w:hideMark/>
          </w:tcPr>
          <w:p w:rsidR="0030121F" w:rsidRPr="009322D4" w:rsidRDefault="009322D4" w:rsidP="0030121F">
            <w:pPr>
              <w:spacing w:before="120"/>
              <w:jc w:val="center"/>
              <w:rPr>
                <w:rFonts w:ascii="Arial" w:eastAsia="Calibri" w:hAnsi="Arial" w:cs="Arial"/>
                <w:bCs/>
                <w:caps/>
                <w:lang w:eastAsia="en-US"/>
              </w:rPr>
            </w:pPr>
            <w:r>
              <w:rPr>
                <w:rFonts w:ascii="Calibri" w:eastAsia="Calibri" w:hAnsi="Calibri" w:cs="Calibri"/>
                <w:bCs/>
                <w:lang w:eastAsia="en-US"/>
              </w:rPr>
              <w:t>Community Initiatives</w:t>
            </w:r>
          </w:p>
        </w:tc>
        <w:tc>
          <w:tcPr>
            <w:tcW w:w="1700" w:type="dxa"/>
            <w:vMerge/>
            <w:shd w:val="clear" w:color="auto" w:fill="FF6600"/>
          </w:tcPr>
          <w:p w:rsidR="0030121F" w:rsidRPr="009322D4" w:rsidRDefault="0030121F" w:rsidP="0030121F">
            <w:pPr>
              <w:spacing w:before="120"/>
              <w:jc w:val="center"/>
              <w:rPr>
                <w:rFonts w:ascii="Calibri" w:eastAsia="Calibri" w:hAnsi="Calibri" w:cs="Calibri"/>
                <w:bCs/>
                <w:lang w:eastAsia="en-US"/>
              </w:rPr>
            </w:pPr>
          </w:p>
        </w:tc>
      </w:tr>
      <w:tr w:rsidR="00F45542" w:rsidRPr="009322D4" w:rsidTr="00031767">
        <w:trPr>
          <w:trHeight w:val="787"/>
          <w:tblHeader/>
        </w:trPr>
        <w:tc>
          <w:tcPr>
            <w:tcW w:w="2090" w:type="dxa"/>
            <w:vMerge/>
            <w:vAlign w:val="center"/>
            <w:hideMark/>
          </w:tcPr>
          <w:p w:rsidR="0030121F" w:rsidRPr="009322D4" w:rsidRDefault="0030121F" w:rsidP="0030121F">
            <w:pPr>
              <w:rPr>
                <w:rFonts w:ascii="Arial Rounded MT Bold" w:eastAsia="Calibri" w:hAnsi="Arial Rounded MT Bold" w:cs="Calibri"/>
                <w:bCs/>
                <w:caps/>
                <w:lang w:eastAsia="en-US"/>
              </w:rPr>
            </w:pPr>
          </w:p>
        </w:tc>
        <w:tc>
          <w:tcPr>
            <w:tcW w:w="6525" w:type="dxa"/>
            <w:gridSpan w:val="4"/>
            <w:shd w:val="clear" w:color="auto" w:fill="FF6600"/>
            <w:tcMar>
              <w:top w:w="0" w:type="dxa"/>
              <w:left w:w="108" w:type="dxa"/>
              <w:bottom w:w="0" w:type="dxa"/>
              <w:right w:w="108" w:type="dxa"/>
            </w:tcMar>
            <w:vAlign w:val="center"/>
            <w:hideMark/>
          </w:tcPr>
          <w:p w:rsidR="0030121F" w:rsidRPr="009322D4" w:rsidRDefault="0030121F" w:rsidP="009322D4">
            <w:pPr>
              <w:spacing w:before="120" w:after="240" w:line="180" w:lineRule="atLeast"/>
              <w:jc w:val="center"/>
              <w:rPr>
                <w:rFonts w:ascii="Arial" w:eastAsia="Calibri" w:hAnsi="Arial" w:cs="Arial"/>
                <w:bCs/>
                <w:lang w:eastAsia="en-US"/>
              </w:rPr>
            </w:pPr>
            <w:r w:rsidRPr="009322D4">
              <w:rPr>
                <w:rFonts w:ascii="Calibri" w:eastAsia="Calibri" w:hAnsi="Calibri" w:cs="Calibri"/>
                <w:bCs/>
                <w:lang w:eastAsia="en-US"/>
              </w:rPr>
              <w:t>Including</w:t>
            </w:r>
            <w:r w:rsidR="009322D4">
              <w:rPr>
                <w:rFonts w:ascii="Calibri" w:eastAsia="Calibri" w:hAnsi="Calibri" w:cs="Calibri"/>
                <w:bCs/>
                <w:lang w:eastAsia="en-US"/>
              </w:rPr>
              <w:t xml:space="preserve"> </w:t>
            </w:r>
            <w:r w:rsidRPr="009322D4">
              <w:rPr>
                <w:rFonts w:ascii="Calibri" w:eastAsia="Calibri" w:hAnsi="Calibri" w:cs="Calibri"/>
                <w:bCs/>
                <w:lang w:eastAsia="en-US"/>
              </w:rPr>
              <w:t>specific</w:t>
            </w:r>
            <w:r w:rsidR="009322D4">
              <w:rPr>
                <w:rFonts w:ascii="Calibri" w:eastAsia="Calibri" w:hAnsi="Calibri" w:cs="Calibri"/>
                <w:bCs/>
                <w:lang w:eastAsia="en-US"/>
              </w:rPr>
              <w:t xml:space="preserve"> </w:t>
            </w:r>
            <w:r w:rsidRPr="009322D4">
              <w:rPr>
                <w:rFonts w:ascii="Calibri" w:eastAsia="Calibri" w:hAnsi="Calibri" w:cs="Calibri"/>
                <w:bCs/>
                <w:lang w:eastAsia="en-US"/>
              </w:rPr>
              <w:t>workshops,</w:t>
            </w:r>
            <w:r w:rsidR="009322D4">
              <w:rPr>
                <w:rFonts w:ascii="Calibri" w:eastAsia="Calibri" w:hAnsi="Calibri" w:cs="Calibri"/>
                <w:bCs/>
                <w:lang w:eastAsia="en-US"/>
              </w:rPr>
              <w:t xml:space="preserve"> structured</w:t>
            </w:r>
            <w:r w:rsidR="009322D4">
              <w:rPr>
                <w:rFonts w:ascii="Calibri" w:eastAsia="Calibri" w:hAnsi="Calibri" w:cs="Calibri"/>
                <w:bCs/>
                <w:lang w:eastAsia="en-US"/>
              </w:rPr>
              <w:br/>
            </w:r>
            <w:r w:rsidRPr="009322D4">
              <w:rPr>
                <w:rFonts w:ascii="Calibri" w:eastAsia="Calibri" w:hAnsi="Calibri" w:cs="Calibri"/>
                <w:bCs/>
                <w:lang w:eastAsia="en-US"/>
              </w:rPr>
              <w:t>consultative</w:t>
            </w:r>
            <w:r w:rsidR="009322D4">
              <w:rPr>
                <w:rFonts w:ascii="Calibri" w:eastAsia="Calibri" w:hAnsi="Calibri" w:cs="Calibri"/>
                <w:bCs/>
                <w:lang w:eastAsia="en-US"/>
              </w:rPr>
              <w:t xml:space="preserve"> </w:t>
            </w:r>
            <w:r w:rsidRPr="009322D4">
              <w:rPr>
                <w:rFonts w:ascii="Calibri" w:eastAsia="Calibri" w:hAnsi="Calibri" w:cs="Calibri"/>
                <w:bCs/>
                <w:lang w:eastAsia="en-US"/>
              </w:rPr>
              <w:t>forums</w:t>
            </w:r>
            <w:r w:rsidR="009322D4">
              <w:rPr>
                <w:rFonts w:ascii="Calibri" w:eastAsia="Calibri" w:hAnsi="Calibri" w:cs="Calibri"/>
                <w:bCs/>
                <w:lang w:eastAsia="en-US"/>
              </w:rPr>
              <w:t xml:space="preserve"> and </w:t>
            </w:r>
            <w:r w:rsidRPr="009322D4">
              <w:rPr>
                <w:rFonts w:ascii="Calibri" w:eastAsia="Calibri" w:hAnsi="Calibri" w:cs="Calibri"/>
                <w:bCs/>
                <w:lang w:eastAsia="en-US"/>
              </w:rPr>
              <w:t>issues</w:t>
            </w:r>
            <w:r w:rsidRPr="009322D4">
              <w:rPr>
                <w:rFonts w:ascii="Calibri" w:eastAsia="Calibri" w:hAnsi="Calibri" w:cs="Calibri"/>
                <w:bCs/>
                <w:lang w:eastAsia="en-US"/>
              </w:rPr>
              <w:noBreakHyphen/>
              <w:t>based</w:t>
            </w:r>
            <w:r w:rsidR="009322D4">
              <w:rPr>
                <w:rFonts w:ascii="Calibri" w:eastAsia="Calibri" w:hAnsi="Calibri" w:cs="Calibri"/>
                <w:bCs/>
                <w:lang w:eastAsia="en-US"/>
              </w:rPr>
              <w:t xml:space="preserve"> </w:t>
            </w:r>
            <w:r w:rsidRPr="009322D4">
              <w:rPr>
                <w:rFonts w:ascii="Calibri" w:eastAsia="Calibri" w:hAnsi="Calibri" w:cs="Calibri"/>
                <w:bCs/>
                <w:lang w:eastAsia="en-US"/>
              </w:rPr>
              <w:t>forums</w:t>
            </w:r>
          </w:p>
        </w:tc>
        <w:tc>
          <w:tcPr>
            <w:tcW w:w="1700" w:type="dxa"/>
            <w:vMerge/>
            <w:shd w:val="clear" w:color="auto" w:fill="FF6600"/>
          </w:tcPr>
          <w:p w:rsidR="0030121F" w:rsidRPr="009322D4" w:rsidRDefault="0030121F" w:rsidP="0030121F">
            <w:pPr>
              <w:spacing w:before="120" w:after="240" w:line="180" w:lineRule="atLeast"/>
              <w:jc w:val="center"/>
              <w:rPr>
                <w:rFonts w:ascii="Calibri" w:eastAsia="Calibri" w:hAnsi="Calibri" w:cs="Calibri"/>
                <w:bCs/>
                <w:lang w:eastAsia="en-US"/>
              </w:rPr>
            </w:pPr>
          </w:p>
        </w:tc>
      </w:tr>
    </w:tbl>
    <w:p w:rsidR="00652FCC" w:rsidRPr="00821556" w:rsidRDefault="00652FCC" w:rsidP="00652FCC">
      <w:pPr>
        <w:rPr>
          <w:rFonts w:ascii="Calibri" w:hAnsi="Calibri" w:cs="Calibri"/>
          <w:sz w:val="24"/>
          <w:szCs w:val="24"/>
        </w:rPr>
      </w:pPr>
    </w:p>
    <w:p w:rsidR="00652FCC" w:rsidRPr="0021605F" w:rsidRDefault="00652FCC" w:rsidP="0021605F">
      <w:pPr>
        <w:pStyle w:val="Heading2"/>
      </w:pPr>
      <w:bookmarkStart w:id="48" w:name="_Toc369184146"/>
      <w:bookmarkStart w:id="49" w:name="_Toc400007683"/>
      <w:bookmarkStart w:id="50" w:name="_Toc400711466"/>
      <w:r>
        <w:t>Purpose of this report</w:t>
      </w:r>
      <w:bookmarkEnd w:id="48"/>
      <w:bookmarkEnd w:id="49"/>
      <w:bookmarkEnd w:id="50"/>
    </w:p>
    <w:p w:rsidR="00652FCC" w:rsidRPr="00821556" w:rsidRDefault="00652FCC" w:rsidP="00652FCC">
      <w:pPr>
        <w:rPr>
          <w:rFonts w:ascii="Calibri" w:hAnsi="Calibri" w:cs="Calibri"/>
          <w:sz w:val="24"/>
          <w:szCs w:val="24"/>
        </w:rPr>
      </w:pPr>
      <w:r w:rsidRPr="00821556">
        <w:rPr>
          <w:rFonts w:ascii="Calibri" w:hAnsi="Calibri" w:cs="Calibri"/>
          <w:sz w:val="24"/>
          <w:szCs w:val="24"/>
        </w:rPr>
        <w:t>Following implementation of the National Framework, the Chair of SCCDS is required to report annually to COAG, describing progress against the National Framework.</w:t>
      </w:r>
    </w:p>
    <w:p w:rsidR="00652FCC" w:rsidRDefault="00652FCC" w:rsidP="00652FCC">
      <w:pPr>
        <w:rPr>
          <w:rFonts w:ascii="Calibri" w:hAnsi="Calibri" w:cs="Calibri"/>
          <w:sz w:val="24"/>
          <w:szCs w:val="24"/>
        </w:rPr>
      </w:pPr>
    </w:p>
    <w:p w:rsidR="00652FCC" w:rsidRPr="00821556" w:rsidRDefault="00652FCC" w:rsidP="00652FCC">
      <w:pPr>
        <w:rPr>
          <w:rFonts w:ascii="Calibri" w:hAnsi="Calibri" w:cs="Calibri"/>
          <w:sz w:val="24"/>
          <w:szCs w:val="24"/>
        </w:rPr>
      </w:pPr>
      <w:r>
        <w:rPr>
          <w:rFonts w:ascii="Calibri" w:hAnsi="Calibri" w:cs="Calibri"/>
          <w:sz w:val="24"/>
          <w:szCs w:val="24"/>
        </w:rPr>
        <w:t>This Report of 2012–13 will focus on reporting activities and achievements in the first year of the Second Action Plan and developments on priorities that are to be progressed in the remaining two years of the Second Action Plan.</w:t>
      </w:r>
    </w:p>
    <w:p w:rsidR="00652FCC" w:rsidRDefault="00652FCC" w:rsidP="0021605F">
      <w:pPr>
        <w:pStyle w:val="Heading2"/>
      </w:pPr>
      <w:bookmarkStart w:id="51" w:name="_Toc400007684"/>
      <w:bookmarkStart w:id="52" w:name="_Toc400711467"/>
      <w:r>
        <w:t>The Second Action Plan</w:t>
      </w:r>
      <w:bookmarkEnd w:id="51"/>
      <w:bookmarkEnd w:id="52"/>
    </w:p>
    <w:p w:rsidR="00652FCC" w:rsidRDefault="00652FCC" w:rsidP="00652FCC">
      <w:pPr>
        <w:rPr>
          <w:rFonts w:ascii="Calibri" w:hAnsi="Calibri" w:cs="Calibri"/>
          <w:sz w:val="24"/>
          <w:szCs w:val="24"/>
        </w:rPr>
      </w:pPr>
      <w:r>
        <w:rPr>
          <w:rFonts w:ascii="Calibri" w:hAnsi="Calibri" w:cs="Calibri"/>
          <w:sz w:val="24"/>
          <w:szCs w:val="24"/>
        </w:rPr>
        <w:t xml:space="preserve">Implementation of the First Action Plan has been completed, and SCCDS endorsed the Second Action Plan 2012–2015 (Second Action Plan) on 17 August 2012. The Second Action Plan will build on the firm foundation established by the First Action Plan and will focus on working together with other areas of government and the community sector to implement the 20 priorities. </w:t>
      </w:r>
    </w:p>
    <w:p w:rsidR="00652FCC" w:rsidRDefault="00652FCC" w:rsidP="00652FCC">
      <w:pPr>
        <w:rPr>
          <w:rFonts w:ascii="Calibri" w:hAnsi="Calibri" w:cs="Calibri"/>
          <w:sz w:val="24"/>
          <w:szCs w:val="24"/>
        </w:rPr>
      </w:pPr>
    </w:p>
    <w:p w:rsidR="00652FCC" w:rsidRPr="00625F13" w:rsidRDefault="00061441" w:rsidP="00652FCC">
      <w:pPr>
        <w:rPr>
          <w:rFonts w:ascii="Calibri" w:hAnsi="Calibri" w:cs="Calibri"/>
          <w:sz w:val="24"/>
          <w:szCs w:val="24"/>
        </w:rPr>
      </w:pPr>
      <w:r>
        <w:rPr>
          <w:rFonts w:ascii="Calibri" w:hAnsi="Calibri" w:cs="Calibri"/>
          <w:sz w:val="24"/>
          <w:szCs w:val="24"/>
        </w:rPr>
        <w:t>These p</w:t>
      </w:r>
      <w:r w:rsidR="00652FCC" w:rsidRPr="00625F13">
        <w:rPr>
          <w:rFonts w:ascii="Calibri" w:hAnsi="Calibri" w:cs="Calibri"/>
          <w:sz w:val="24"/>
          <w:szCs w:val="24"/>
        </w:rPr>
        <w:t xml:space="preserve">riorities build on the First Action Plan, embedding the </w:t>
      </w:r>
      <w:r w:rsidR="00652FCC">
        <w:rPr>
          <w:rFonts w:ascii="Calibri" w:hAnsi="Calibri" w:cs="Calibri"/>
          <w:sz w:val="24"/>
          <w:szCs w:val="24"/>
        </w:rPr>
        <w:t>National Priorities</w:t>
      </w:r>
      <w:r>
        <w:rPr>
          <w:rFonts w:ascii="Calibri" w:hAnsi="Calibri" w:cs="Calibri"/>
          <w:sz w:val="24"/>
          <w:szCs w:val="24"/>
        </w:rPr>
        <w:t xml:space="preserve"> that were the focus between 2009 and 2012</w:t>
      </w:r>
      <w:r w:rsidR="00652FCC" w:rsidRPr="00625F13">
        <w:rPr>
          <w:rFonts w:ascii="Calibri" w:hAnsi="Calibri" w:cs="Calibri"/>
          <w:sz w:val="24"/>
          <w:szCs w:val="24"/>
        </w:rPr>
        <w:t xml:space="preserve"> and continuing to deliver on them, as well as exploring new priorities that will extend through the Second Action Plan and beyond. </w:t>
      </w:r>
    </w:p>
    <w:p w:rsidR="00652FCC" w:rsidRPr="00625F13" w:rsidRDefault="00652FCC" w:rsidP="00652FCC">
      <w:pPr>
        <w:rPr>
          <w:rFonts w:ascii="Calibri" w:hAnsi="Calibri" w:cs="Calibri"/>
          <w:sz w:val="24"/>
          <w:szCs w:val="24"/>
        </w:rPr>
      </w:pPr>
    </w:p>
    <w:p w:rsidR="00652FCC" w:rsidRPr="00625F13" w:rsidRDefault="00652FCC" w:rsidP="00652FCC">
      <w:pPr>
        <w:rPr>
          <w:rFonts w:ascii="Calibri" w:hAnsi="Calibri" w:cs="Calibri"/>
          <w:sz w:val="24"/>
          <w:szCs w:val="24"/>
        </w:rPr>
      </w:pPr>
      <w:r w:rsidRPr="00625F13">
        <w:rPr>
          <w:rFonts w:ascii="Calibri" w:hAnsi="Calibri" w:cs="Calibri"/>
          <w:sz w:val="24"/>
          <w:szCs w:val="24"/>
        </w:rPr>
        <w:t xml:space="preserve">There is a strong emphasis on the need for local partnerships to deliver local solutions, recognising that a ‘one size fits all’ approach does not work across Australia’s diverse communities and that Australia’s Aboriginal and Torres Strait Islander and culturally and linguistically diverse </w:t>
      </w:r>
      <w:r w:rsidR="002C3200">
        <w:rPr>
          <w:rFonts w:ascii="Calibri" w:hAnsi="Calibri" w:cs="Calibri"/>
          <w:sz w:val="24"/>
          <w:szCs w:val="24"/>
        </w:rPr>
        <w:t xml:space="preserve">(CALD) </w:t>
      </w:r>
      <w:r w:rsidRPr="00625F13">
        <w:rPr>
          <w:rFonts w:ascii="Calibri" w:hAnsi="Calibri" w:cs="Calibri"/>
          <w:sz w:val="24"/>
          <w:szCs w:val="24"/>
        </w:rPr>
        <w:t>families and communities need strategies that are sensitive to their needs and circumstances. The needs of these groups will be considered across all action areas.</w:t>
      </w:r>
    </w:p>
    <w:p w:rsidR="00652FCC" w:rsidRPr="00625F13" w:rsidRDefault="00652FCC" w:rsidP="00652FCC">
      <w:pPr>
        <w:rPr>
          <w:rFonts w:ascii="Calibri" w:hAnsi="Calibri" w:cs="Calibri"/>
          <w:sz w:val="24"/>
          <w:szCs w:val="24"/>
        </w:rPr>
      </w:pPr>
    </w:p>
    <w:p w:rsidR="00652FCC" w:rsidRPr="00625F13" w:rsidRDefault="00652FCC" w:rsidP="00652FCC">
      <w:pPr>
        <w:rPr>
          <w:rFonts w:ascii="Calibri" w:hAnsi="Calibri" w:cs="Calibri"/>
          <w:sz w:val="24"/>
          <w:szCs w:val="24"/>
        </w:rPr>
      </w:pPr>
      <w:r w:rsidRPr="00625F13">
        <w:rPr>
          <w:rFonts w:ascii="Calibri" w:hAnsi="Calibri" w:cs="Calibri"/>
          <w:sz w:val="24"/>
          <w:szCs w:val="24"/>
        </w:rPr>
        <w:t>There are three key areas of focus within the Second Action Plan:</w:t>
      </w:r>
    </w:p>
    <w:p w:rsidR="00652FCC" w:rsidRPr="00625F13" w:rsidRDefault="00652FCC" w:rsidP="00652FCC">
      <w:pPr>
        <w:pStyle w:val="ListBullet"/>
        <w:numPr>
          <w:ilvl w:val="0"/>
          <w:numId w:val="5"/>
        </w:numPr>
      </w:pPr>
      <w:r w:rsidRPr="00625F13">
        <w:t xml:space="preserve">Embedding </w:t>
      </w:r>
      <w:r>
        <w:t>National Priorities</w:t>
      </w:r>
      <w:r w:rsidRPr="00625F13">
        <w:t xml:space="preserve"> from the First Action Plan. The Second Action Plan embed</w:t>
      </w:r>
      <w:r>
        <w:t>s</w:t>
      </w:r>
      <w:r w:rsidRPr="00625F13">
        <w:t xml:space="preserve"> and build</w:t>
      </w:r>
      <w:r>
        <w:t>s</w:t>
      </w:r>
      <w:r w:rsidRPr="00625F13">
        <w:t xml:space="preserve"> on achievements from the First Action Plan, for example, by supporting the establishment of the National Children’s Commissioner, further improving the evidence base and undertaking research in priority areas</w:t>
      </w:r>
      <w:r w:rsidR="00392A4F">
        <w:t>.</w:t>
      </w:r>
      <w:r w:rsidRPr="00625F13">
        <w:t xml:space="preserve"> </w:t>
      </w:r>
    </w:p>
    <w:p w:rsidR="00652FCC" w:rsidRPr="00625F13" w:rsidRDefault="00652FCC" w:rsidP="00652FCC">
      <w:pPr>
        <w:pStyle w:val="ListBullet"/>
        <w:numPr>
          <w:ilvl w:val="0"/>
          <w:numId w:val="5"/>
        </w:numPr>
      </w:pPr>
      <w:r w:rsidRPr="00625F13">
        <w:t xml:space="preserve">Delivering on </w:t>
      </w:r>
      <w:r>
        <w:t>National Priorities</w:t>
      </w:r>
      <w:r w:rsidRPr="00625F13">
        <w:t xml:space="preserve"> in the Second Action Plan. The Second Action Plan will build on</w:t>
      </w:r>
      <w:r w:rsidR="00392A4F">
        <w:t>,</w:t>
      </w:r>
      <w:r w:rsidRPr="00625F13">
        <w:t xml:space="preserve"> and strengthen delivery of</w:t>
      </w:r>
      <w:r w:rsidR="00392A4F">
        <w:t>,</w:t>
      </w:r>
      <w:r w:rsidRPr="00625F13">
        <w:t xml:space="preserve"> six significant </w:t>
      </w:r>
      <w:r>
        <w:t>National Priorities</w:t>
      </w:r>
      <w:r w:rsidRPr="00625F13">
        <w:t xml:space="preserve"> from the First Action Plan, including Closing the Gap, National Standards for Out-of-Home Care, Joined-up Service Delivery and Responding to Sexual Abuse</w:t>
      </w:r>
      <w:r w:rsidR="00392A4F">
        <w:t>.</w:t>
      </w:r>
    </w:p>
    <w:p w:rsidR="00652FCC" w:rsidRPr="00625F13" w:rsidRDefault="00652FCC" w:rsidP="00652FCC">
      <w:pPr>
        <w:pStyle w:val="ListBullet"/>
        <w:numPr>
          <w:ilvl w:val="0"/>
          <w:numId w:val="5"/>
        </w:numPr>
      </w:pPr>
      <w:r w:rsidRPr="00625F13">
        <w:t>Exploring new priorities for the Second Action Plan and beyond. The Second Action Plan will explore opportunities for joint work in new areas (including early childhood, disability, health and mental health). There will be further opportunities to integrate the National Framework with a number of significant national social reform agenda</w:t>
      </w:r>
      <w:r w:rsidR="006A71B0">
        <w:t xml:space="preserve">, </w:t>
      </w:r>
      <w:r w:rsidRPr="00625F13">
        <w:t>and this will broaden and strengthen the focus on child safety and wellbeing.</w:t>
      </w:r>
    </w:p>
    <w:p w:rsidR="00652FCC" w:rsidRDefault="00652FCC" w:rsidP="00652FCC">
      <w:pPr>
        <w:rPr>
          <w:rFonts w:ascii="Calibri" w:hAnsi="Calibri" w:cs="Calibri"/>
          <w:b/>
          <w:sz w:val="24"/>
          <w:szCs w:val="24"/>
        </w:rPr>
      </w:pPr>
    </w:p>
    <w:p w:rsidR="00652FCC" w:rsidRDefault="00652FCC" w:rsidP="00652FCC">
      <w:pPr>
        <w:rPr>
          <w:rFonts w:ascii="Calibri" w:hAnsi="Calibri" w:cs="Calibri"/>
          <w:sz w:val="24"/>
          <w:szCs w:val="24"/>
        </w:rPr>
      </w:pPr>
      <w:r>
        <w:rPr>
          <w:rFonts w:ascii="Calibri" w:hAnsi="Calibri" w:cs="Calibri"/>
          <w:sz w:val="24"/>
          <w:szCs w:val="24"/>
        </w:rPr>
        <w:t xml:space="preserve">The theme of the Second Action Plan is ‘working together to improve the safety and wellbeing of Australia’s children through strengthening families, early intervention, prevention and collaboration through joining up service delivery with mental health, domestic and family violence, drug and alcohol, education, health and other services’. This work will be progressed within the child protection system as well as across other sectors, including those that are not traditionally thought of as child centred. </w:t>
      </w:r>
    </w:p>
    <w:p w:rsidR="00652FCC" w:rsidRDefault="00652FCC" w:rsidP="00652FCC">
      <w:pPr>
        <w:rPr>
          <w:rFonts w:ascii="Calibri" w:hAnsi="Calibri" w:cs="Calibri"/>
          <w:sz w:val="24"/>
          <w:szCs w:val="24"/>
        </w:rPr>
      </w:pPr>
    </w:p>
    <w:p w:rsidR="00652FCC" w:rsidRDefault="00652FCC" w:rsidP="00652FCC">
      <w:pPr>
        <w:rPr>
          <w:rFonts w:ascii="Calibri" w:hAnsi="Calibri" w:cs="Calibri"/>
          <w:sz w:val="24"/>
          <w:szCs w:val="24"/>
        </w:rPr>
      </w:pPr>
      <w:r>
        <w:rPr>
          <w:rFonts w:ascii="Calibri" w:hAnsi="Calibri" w:cs="Calibri"/>
          <w:sz w:val="24"/>
          <w:szCs w:val="24"/>
        </w:rPr>
        <w:t xml:space="preserve">The following table maps these priorities against the six </w:t>
      </w:r>
      <w:r w:rsidR="00504DB7">
        <w:rPr>
          <w:rFonts w:ascii="Calibri" w:hAnsi="Calibri" w:cs="Calibri"/>
          <w:sz w:val="24"/>
          <w:szCs w:val="24"/>
        </w:rPr>
        <w:t>Supporting Outcomes</w:t>
      </w:r>
      <w:r>
        <w:rPr>
          <w:rFonts w:ascii="Calibri" w:hAnsi="Calibri" w:cs="Calibri"/>
          <w:sz w:val="24"/>
          <w:szCs w:val="24"/>
        </w:rPr>
        <w:t xml:space="preserve"> that have been developed to help focus efforts and actions under the National Framework in order to reach its high-level outcome that ‘</w:t>
      </w:r>
      <w:r w:rsidRPr="0005544C">
        <w:rPr>
          <w:rFonts w:ascii="Calibri" w:hAnsi="Calibri" w:cs="Calibri"/>
          <w:i/>
          <w:sz w:val="24"/>
          <w:szCs w:val="24"/>
        </w:rPr>
        <w:t>Australia’s children and young people are safe and well</w:t>
      </w:r>
      <w:r>
        <w:rPr>
          <w:rFonts w:ascii="Calibri" w:hAnsi="Calibri" w:cs="Calibri"/>
          <w:sz w:val="24"/>
          <w:szCs w:val="24"/>
        </w:rPr>
        <w:t>’.</w:t>
      </w:r>
    </w:p>
    <w:p w:rsidR="00652FCC" w:rsidRDefault="00652FCC" w:rsidP="00652FCC">
      <w:pPr>
        <w:rPr>
          <w:rFonts w:ascii="Calibri" w:hAnsi="Calibri" w:cs="Calibri"/>
          <w:sz w:val="24"/>
          <w:szCs w:val="24"/>
        </w:rPr>
      </w:pPr>
    </w:p>
    <w:p w:rsidR="007924EA" w:rsidRDefault="007924EA">
      <w:pPr>
        <w:rPr>
          <w:rFonts w:ascii="Arial" w:hAnsi="Arial"/>
          <w:b/>
        </w:rPr>
      </w:pPr>
      <w:r>
        <w:br w:type="page"/>
      </w:r>
    </w:p>
    <w:p w:rsidR="00652FCC" w:rsidRPr="0014149D" w:rsidRDefault="00652FCC" w:rsidP="00FF0B09">
      <w:pPr>
        <w:pStyle w:val="Figure"/>
        <w:rPr>
          <w:rFonts w:ascii="Calibri" w:hAnsi="Calibri" w:cs="Calibri"/>
          <w:sz w:val="24"/>
          <w:szCs w:val="24"/>
        </w:rPr>
      </w:pPr>
      <w:bookmarkStart w:id="53" w:name="_Toc400010287"/>
      <w:r>
        <w:t xml:space="preserve">Table </w:t>
      </w:r>
      <w:fldSimple w:instr=" SEQ Table \* ARABIC ">
        <w:r w:rsidR="00BF1EC9">
          <w:rPr>
            <w:noProof/>
          </w:rPr>
          <w:t>1</w:t>
        </w:r>
      </w:fldSimple>
      <w:r w:rsidR="00504DB7">
        <w:t>: Supporting O</w:t>
      </w:r>
      <w:r>
        <w:t>utcomes and corresponding National Priorities</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 - Supporting outcomes and corresponding national prioroties."/>
      </w:tblPr>
      <w:tblGrid>
        <w:gridCol w:w="4644"/>
        <w:gridCol w:w="6037"/>
      </w:tblGrid>
      <w:tr w:rsidR="00652FCC" w:rsidRPr="00466AA7" w:rsidTr="007924EA">
        <w:tc>
          <w:tcPr>
            <w:tcW w:w="2174" w:type="pct"/>
            <w:shd w:val="clear" w:color="auto" w:fill="auto"/>
          </w:tcPr>
          <w:p w:rsidR="00652FCC" w:rsidRPr="00466AA7" w:rsidRDefault="00652FCC" w:rsidP="007924EA">
            <w:pPr>
              <w:tabs>
                <w:tab w:val="left" w:pos="288"/>
              </w:tabs>
              <w:ind w:left="284" w:hanging="284"/>
              <w:rPr>
                <w:rFonts w:ascii="Calibri" w:hAnsi="Calibri" w:cs="Calibri"/>
                <w:b/>
                <w:sz w:val="22"/>
                <w:szCs w:val="22"/>
              </w:rPr>
            </w:pPr>
            <w:r w:rsidRPr="00466AA7">
              <w:rPr>
                <w:rFonts w:ascii="Calibri" w:hAnsi="Calibri" w:cs="Calibri"/>
                <w:sz w:val="22"/>
                <w:szCs w:val="22"/>
              </w:rPr>
              <w:br w:type="page"/>
            </w:r>
            <w:r w:rsidRPr="00466AA7">
              <w:rPr>
                <w:rFonts w:ascii="Calibri" w:hAnsi="Calibri" w:cs="Calibri"/>
                <w:b/>
                <w:sz w:val="22"/>
                <w:szCs w:val="22"/>
              </w:rPr>
              <w:t>Outcome</w:t>
            </w:r>
          </w:p>
        </w:tc>
        <w:tc>
          <w:tcPr>
            <w:tcW w:w="2826" w:type="pct"/>
            <w:shd w:val="clear" w:color="auto" w:fill="auto"/>
          </w:tcPr>
          <w:p w:rsidR="00652FCC" w:rsidRPr="00466AA7" w:rsidRDefault="00652FCC" w:rsidP="004A1E57">
            <w:pPr>
              <w:rPr>
                <w:rFonts w:ascii="Calibri" w:hAnsi="Calibri" w:cs="Calibri"/>
                <w:b/>
                <w:sz w:val="22"/>
                <w:szCs w:val="22"/>
              </w:rPr>
            </w:pPr>
            <w:r w:rsidRPr="00466AA7">
              <w:rPr>
                <w:rFonts w:ascii="Calibri" w:hAnsi="Calibri" w:cs="Calibri"/>
                <w:b/>
                <w:sz w:val="22"/>
                <w:szCs w:val="22"/>
              </w:rPr>
              <w:t>National Priorities</w:t>
            </w:r>
          </w:p>
        </w:tc>
      </w:tr>
      <w:tr w:rsidR="00652FCC" w:rsidRPr="00466AA7" w:rsidTr="007924EA">
        <w:tc>
          <w:tcPr>
            <w:tcW w:w="2174" w:type="pct"/>
            <w:shd w:val="clear" w:color="auto" w:fill="auto"/>
          </w:tcPr>
          <w:p w:rsidR="00652FCC" w:rsidRPr="00466AA7" w:rsidRDefault="00652FCC" w:rsidP="007924EA">
            <w:pPr>
              <w:numPr>
                <w:ilvl w:val="0"/>
                <w:numId w:val="1"/>
              </w:numPr>
              <w:tabs>
                <w:tab w:val="left" w:pos="288"/>
              </w:tabs>
              <w:ind w:left="284" w:hanging="284"/>
              <w:rPr>
                <w:rFonts w:ascii="Calibri" w:hAnsi="Calibri" w:cs="Calibri"/>
                <w:sz w:val="22"/>
                <w:szCs w:val="22"/>
              </w:rPr>
            </w:pPr>
            <w:r w:rsidRPr="00466AA7">
              <w:rPr>
                <w:rFonts w:ascii="Calibri" w:hAnsi="Calibri" w:cs="Calibri"/>
                <w:sz w:val="22"/>
                <w:szCs w:val="22"/>
              </w:rPr>
              <w:t>Children live in safe and supportive families and communities</w:t>
            </w:r>
          </w:p>
        </w:tc>
        <w:tc>
          <w:tcPr>
            <w:tcW w:w="2826" w:type="pct"/>
            <w:shd w:val="clear" w:color="auto" w:fill="auto"/>
          </w:tcPr>
          <w:p w:rsidR="00652FCC" w:rsidRPr="00466AA7" w:rsidRDefault="00652FCC" w:rsidP="004A1E57">
            <w:pPr>
              <w:ind w:left="247" w:hanging="247"/>
              <w:rPr>
                <w:rFonts w:ascii="Calibri" w:hAnsi="Calibri" w:cs="Calibri"/>
                <w:b/>
                <w:bCs/>
                <w:color w:val="365F91"/>
                <w:sz w:val="22"/>
                <w:szCs w:val="22"/>
                <w:lang w:val="en-US"/>
              </w:rPr>
            </w:pPr>
            <w:r w:rsidRPr="00466AA7">
              <w:rPr>
                <w:rFonts w:ascii="Calibri" w:hAnsi="Calibri" w:cs="Calibri"/>
                <w:sz w:val="22"/>
                <w:szCs w:val="22"/>
              </w:rPr>
              <w:t>Advocating nationally for children and young people</w:t>
            </w:r>
          </w:p>
          <w:p w:rsidR="00652FCC" w:rsidRPr="00466AA7" w:rsidRDefault="00652FCC" w:rsidP="004A1E57">
            <w:pPr>
              <w:rPr>
                <w:rFonts w:ascii="Calibri" w:hAnsi="Calibri" w:cs="Calibri"/>
                <w:sz w:val="22"/>
                <w:szCs w:val="22"/>
              </w:rPr>
            </w:pPr>
            <w:r w:rsidRPr="00466AA7">
              <w:rPr>
                <w:rFonts w:ascii="Calibri" w:hAnsi="Calibri" w:cs="Calibri"/>
                <w:sz w:val="22"/>
                <w:szCs w:val="22"/>
              </w:rPr>
              <w:t>Early Childhood</w:t>
            </w:r>
          </w:p>
          <w:p w:rsidR="00652FCC" w:rsidRPr="00466AA7" w:rsidRDefault="00652FCC" w:rsidP="004A1E57">
            <w:pPr>
              <w:rPr>
                <w:rFonts w:ascii="Calibri" w:hAnsi="Calibri" w:cs="Calibri"/>
                <w:sz w:val="22"/>
                <w:szCs w:val="22"/>
              </w:rPr>
            </w:pPr>
            <w:r w:rsidRPr="00466AA7">
              <w:rPr>
                <w:rFonts w:ascii="Calibri" w:hAnsi="Calibri" w:cs="Calibri"/>
                <w:sz w:val="22"/>
                <w:szCs w:val="22"/>
              </w:rPr>
              <w:t>Education</w:t>
            </w:r>
          </w:p>
          <w:p w:rsidR="00652FCC" w:rsidRPr="00466AA7" w:rsidRDefault="00652FCC" w:rsidP="004A1E57">
            <w:pPr>
              <w:rPr>
                <w:rFonts w:ascii="Calibri" w:hAnsi="Calibri" w:cs="Calibri"/>
                <w:sz w:val="22"/>
                <w:szCs w:val="22"/>
              </w:rPr>
            </w:pPr>
            <w:r w:rsidRPr="00466AA7">
              <w:rPr>
                <w:rFonts w:ascii="Calibri" w:hAnsi="Calibri" w:cs="Calibri"/>
                <w:sz w:val="22"/>
                <w:szCs w:val="22"/>
              </w:rPr>
              <w:t>Community and Business</w:t>
            </w:r>
          </w:p>
        </w:tc>
      </w:tr>
      <w:tr w:rsidR="00652FCC" w:rsidRPr="00466AA7" w:rsidTr="007924EA">
        <w:tc>
          <w:tcPr>
            <w:tcW w:w="2174" w:type="pct"/>
            <w:shd w:val="clear" w:color="auto" w:fill="auto"/>
          </w:tcPr>
          <w:p w:rsidR="00652FCC" w:rsidRPr="00466AA7" w:rsidRDefault="00652FCC" w:rsidP="007924EA">
            <w:pPr>
              <w:numPr>
                <w:ilvl w:val="0"/>
                <w:numId w:val="1"/>
              </w:numPr>
              <w:tabs>
                <w:tab w:val="left" w:pos="288"/>
              </w:tabs>
              <w:ind w:left="284" w:hanging="284"/>
              <w:rPr>
                <w:rFonts w:ascii="Calibri" w:hAnsi="Calibri" w:cs="Calibri"/>
                <w:sz w:val="22"/>
                <w:szCs w:val="22"/>
              </w:rPr>
            </w:pPr>
            <w:r w:rsidRPr="00466AA7">
              <w:rPr>
                <w:rFonts w:ascii="Calibri" w:hAnsi="Calibri" w:cs="Calibri"/>
                <w:sz w:val="22"/>
                <w:szCs w:val="22"/>
              </w:rPr>
              <w:t>Children and families access adequate support to promote safety and intervene early</w:t>
            </w:r>
          </w:p>
        </w:tc>
        <w:tc>
          <w:tcPr>
            <w:tcW w:w="2826" w:type="pct"/>
            <w:shd w:val="clear" w:color="auto" w:fill="auto"/>
          </w:tcPr>
          <w:p w:rsidR="00652FCC" w:rsidRPr="00466AA7" w:rsidRDefault="00652FCC" w:rsidP="004A1E57">
            <w:pPr>
              <w:rPr>
                <w:rFonts w:ascii="Calibri" w:hAnsi="Calibri" w:cs="Calibri"/>
                <w:sz w:val="22"/>
                <w:szCs w:val="22"/>
              </w:rPr>
            </w:pPr>
            <w:r w:rsidRPr="00466AA7">
              <w:rPr>
                <w:rFonts w:ascii="Calibri" w:hAnsi="Calibri" w:cs="Calibri"/>
                <w:sz w:val="22"/>
                <w:szCs w:val="22"/>
              </w:rPr>
              <w:t>Sharing Information</w:t>
            </w:r>
          </w:p>
          <w:p w:rsidR="00652FCC" w:rsidRPr="00466AA7" w:rsidRDefault="00652FCC" w:rsidP="004A1E57">
            <w:pPr>
              <w:ind w:left="247" w:hanging="247"/>
              <w:rPr>
                <w:rFonts w:ascii="Calibri" w:hAnsi="Calibri" w:cs="Calibri"/>
                <w:b/>
                <w:bCs/>
                <w:color w:val="365F91"/>
                <w:sz w:val="22"/>
                <w:szCs w:val="22"/>
                <w:lang w:val="en-US"/>
              </w:rPr>
            </w:pPr>
            <w:r w:rsidRPr="00466AA7">
              <w:rPr>
                <w:rFonts w:ascii="Calibri" w:hAnsi="Calibri" w:cs="Calibri"/>
                <w:sz w:val="22"/>
                <w:szCs w:val="22"/>
              </w:rPr>
              <w:t>Seeing Early Warning Signs and Taking Early Action</w:t>
            </w:r>
          </w:p>
          <w:p w:rsidR="00652FCC" w:rsidRPr="00466AA7" w:rsidRDefault="00652FCC" w:rsidP="004A1E57">
            <w:pPr>
              <w:rPr>
                <w:rFonts w:ascii="Calibri" w:hAnsi="Calibri" w:cs="Calibri"/>
                <w:sz w:val="22"/>
                <w:szCs w:val="22"/>
              </w:rPr>
            </w:pPr>
            <w:r w:rsidRPr="00466AA7">
              <w:rPr>
                <w:rFonts w:ascii="Calibri" w:hAnsi="Calibri" w:cs="Calibri"/>
                <w:sz w:val="22"/>
                <w:szCs w:val="22"/>
              </w:rPr>
              <w:t>Joining Up Service Delivery</w:t>
            </w:r>
          </w:p>
        </w:tc>
      </w:tr>
      <w:tr w:rsidR="00652FCC" w:rsidRPr="00466AA7" w:rsidTr="007924EA">
        <w:tc>
          <w:tcPr>
            <w:tcW w:w="2174" w:type="pct"/>
            <w:shd w:val="clear" w:color="auto" w:fill="auto"/>
          </w:tcPr>
          <w:p w:rsidR="00652FCC" w:rsidRPr="00466AA7" w:rsidRDefault="00652FCC" w:rsidP="007924EA">
            <w:pPr>
              <w:numPr>
                <w:ilvl w:val="0"/>
                <w:numId w:val="1"/>
              </w:numPr>
              <w:tabs>
                <w:tab w:val="left" w:pos="288"/>
              </w:tabs>
              <w:ind w:left="284" w:hanging="284"/>
              <w:rPr>
                <w:rFonts w:ascii="Calibri" w:hAnsi="Calibri" w:cs="Calibri"/>
                <w:sz w:val="22"/>
                <w:szCs w:val="22"/>
              </w:rPr>
            </w:pPr>
            <w:r w:rsidRPr="00466AA7">
              <w:rPr>
                <w:rFonts w:ascii="Calibri" w:hAnsi="Calibri" w:cs="Calibri"/>
                <w:sz w:val="22"/>
                <w:szCs w:val="22"/>
              </w:rPr>
              <w:t>Risk factors for child abuse and neglect are addressed</w:t>
            </w:r>
          </w:p>
        </w:tc>
        <w:tc>
          <w:tcPr>
            <w:tcW w:w="2826" w:type="pct"/>
            <w:shd w:val="clear" w:color="auto" w:fill="auto"/>
          </w:tcPr>
          <w:p w:rsidR="00652FCC" w:rsidRPr="00466AA7" w:rsidRDefault="00652FCC" w:rsidP="004A1E57">
            <w:pPr>
              <w:rPr>
                <w:rFonts w:ascii="Calibri" w:hAnsi="Calibri" w:cs="Calibri"/>
                <w:sz w:val="22"/>
                <w:szCs w:val="22"/>
              </w:rPr>
            </w:pPr>
            <w:r w:rsidRPr="00466AA7">
              <w:rPr>
                <w:rFonts w:ascii="Calibri" w:hAnsi="Calibri" w:cs="Calibri"/>
                <w:sz w:val="22"/>
                <w:szCs w:val="22"/>
              </w:rPr>
              <w:t>Building Workforce Capacity and Expertise</w:t>
            </w:r>
          </w:p>
          <w:p w:rsidR="00652FCC" w:rsidRPr="00466AA7" w:rsidRDefault="00652FCC" w:rsidP="004A1E57">
            <w:pPr>
              <w:rPr>
                <w:rFonts w:ascii="Calibri" w:hAnsi="Calibri" w:cs="Calibri"/>
                <w:sz w:val="22"/>
                <w:szCs w:val="22"/>
              </w:rPr>
            </w:pPr>
            <w:r w:rsidRPr="00466AA7">
              <w:rPr>
                <w:rFonts w:ascii="Calibri" w:hAnsi="Calibri" w:cs="Calibri"/>
                <w:sz w:val="22"/>
                <w:szCs w:val="22"/>
              </w:rPr>
              <w:t>Domestic and Family Violence</w:t>
            </w:r>
          </w:p>
          <w:p w:rsidR="00652FCC" w:rsidRPr="00466AA7" w:rsidRDefault="00652FCC" w:rsidP="004A1E57">
            <w:pPr>
              <w:rPr>
                <w:rFonts w:ascii="Calibri" w:hAnsi="Calibri" w:cs="Calibri"/>
                <w:sz w:val="22"/>
                <w:szCs w:val="22"/>
              </w:rPr>
            </w:pPr>
            <w:r w:rsidRPr="00466AA7">
              <w:rPr>
                <w:rFonts w:ascii="Calibri" w:hAnsi="Calibri" w:cs="Calibri"/>
                <w:sz w:val="22"/>
                <w:szCs w:val="22"/>
              </w:rPr>
              <w:t>Health and Mental Health</w:t>
            </w:r>
          </w:p>
          <w:p w:rsidR="00652FCC" w:rsidRPr="00466AA7" w:rsidRDefault="00652FCC" w:rsidP="004A1E57">
            <w:pPr>
              <w:rPr>
                <w:rFonts w:ascii="Calibri" w:hAnsi="Calibri" w:cs="Calibri"/>
                <w:sz w:val="22"/>
                <w:szCs w:val="22"/>
              </w:rPr>
            </w:pPr>
            <w:r w:rsidRPr="00466AA7">
              <w:rPr>
                <w:rFonts w:ascii="Calibri" w:hAnsi="Calibri" w:cs="Calibri"/>
                <w:sz w:val="22"/>
                <w:szCs w:val="22"/>
              </w:rPr>
              <w:t>Disability</w:t>
            </w:r>
          </w:p>
        </w:tc>
      </w:tr>
      <w:tr w:rsidR="00652FCC" w:rsidRPr="00466AA7" w:rsidTr="007924EA">
        <w:tc>
          <w:tcPr>
            <w:tcW w:w="2174" w:type="pct"/>
            <w:shd w:val="clear" w:color="auto" w:fill="auto"/>
          </w:tcPr>
          <w:p w:rsidR="00652FCC" w:rsidRPr="00466AA7" w:rsidRDefault="00652FCC" w:rsidP="007924EA">
            <w:pPr>
              <w:numPr>
                <w:ilvl w:val="0"/>
                <w:numId w:val="1"/>
              </w:numPr>
              <w:tabs>
                <w:tab w:val="left" w:pos="288"/>
              </w:tabs>
              <w:ind w:left="284" w:hanging="284"/>
              <w:rPr>
                <w:rFonts w:ascii="Calibri" w:hAnsi="Calibri" w:cs="Calibri"/>
                <w:sz w:val="22"/>
                <w:szCs w:val="22"/>
              </w:rPr>
            </w:pPr>
            <w:r w:rsidRPr="00466AA7">
              <w:rPr>
                <w:rFonts w:ascii="Calibri" w:hAnsi="Calibri" w:cs="Calibri"/>
                <w:sz w:val="22"/>
                <w:szCs w:val="22"/>
              </w:rPr>
              <w:t>Children who have been abused or neglected receive the support and care they need for their safety and wellbeing</w:t>
            </w:r>
          </w:p>
        </w:tc>
        <w:tc>
          <w:tcPr>
            <w:tcW w:w="2826" w:type="pct"/>
            <w:shd w:val="clear" w:color="auto" w:fill="auto"/>
          </w:tcPr>
          <w:p w:rsidR="00652FCC" w:rsidRPr="00466AA7" w:rsidRDefault="00652FCC" w:rsidP="004A1E57">
            <w:pPr>
              <w:rPr>
                <w:rFonts w:ascii="Calibri" w:hAnsi="Calibri" w:cs="Calibri"/>
                <w:sz w:val="22"/>
                <w:szCs w:val="22"/>
              </w:rPr>
            </w:pPr>
            <w:r w:rsidRPr="00466AA7">
              <w:rPr>
                <w:rFonts w:ascii="Calibri" w:hAnsi="Calibri" w:cs="Calibri"/>
                <w:sz w:val="22"/>
                <w:szCs w:val="22"/>
              </w:rPr>
              <w:t>Enhancing the Evidence Base</w:t>
            </w:r>
          </w:p>
          <w:p w:rsidR="00652FCC" w:rsidRPr="00466AA7" w:rsidRDefault="00652FCC" w:rsidP="004A1E57">
            <w:pPr>
              <w:rPr>
                <w:rFonts w:ascii="Calibri" w:hAnsi="Calibri" w:cs="Calibri"/>
                <w:sz w:val="22"/>
                <w:szCs w:val="22"/>
              </w:rPr>
            </w:pPr>
            <w:r w:rsidRPr="00466AA7">
              <w:rPr>
                <w:rFonts w:ascii="Calibri" w:hAnsi="Calibri" w:cs="Calibri"/>
                <w:sz w:val="22"/>
                <w:szCs w:val="22"/>
              </w:rPr>
              <w:t>Filling Research Gaps</w:t>
            </w:r>
          </w:p>
          <w:p w:rsidR="00652FCC" w:rsidRPr="00466AA7" w:rsidRDefault="00652FCC" w:rsidP="004A1E57">
            <w:pPr>
              <w:rPr>
                <w:rFonts w:ascii="Calibri" w:hAnsi="Calibri" w:cs="Calibri"/>
                <w:sz w:val="22"/>
                <w:szCs w:val="22"/>
              </w:rPr>
            </w:pPr>
            <w:r w:rsidRPr="00466AA7">
              <w:rPr>
                <w:rFonts w:ascii="Calibri" w:hAnsi="Calibri" w:cs="Calibri"/>
                <w:sz w:val="22"/>
                <w:szCs w:val="22"/>
              </w:rPr>
              <w:t>National Standards for Out-of-Home Care</w:t>
            </w:r>
          </w:p>
          <w:p w:rsidR="00652FCC" w:rsidRPr="00466AA7" w:rsidRDefault="00652FCC" w:rsidP="004A1E57">
            <w:pPr>
              <w:rPr>
                <w:rFonts w:ascii="Calibri" w:hAnsi="Calibri" w:cs="Calibri"/>
                <w:sz w:val="22"/>
                <w:szCs w:val="22"/>
              </w:rPr>
            </w:pPr>
            <w:r w:rsidRPr="00466AA7">
              <w:rPr>
                <w:rFonts w:ascii="Calibri" w:hAnsi="Calibri" w:cs="Calibri"/>
                <w:sz w:val="22"/>
                <w:szCs w:val="22"/>
              </w:rPr>
              <w:t>Transitioning to Independence</w:t>
            </w:r>
          </w:p>
          <w:p w:rsidR="00652FCC" w:rsidRPr="00466AA7" w:rsidRDefault="00652FCC" w:rsidP="004A1E57">
            <w:pPr>
              <w:rPr>
                <w:rFonts w:ascii="Calibri" w:hAnsi="Calibri" w:cs="Calibri"/>
                <w:sz w:val="22"/>
                <w:szCs w:val="22"/>
              </w:rPr>
            </w:pPr>
            <w:r w:rsidRPr="00466AA7">
              <w:rPr>
                <w:rFonts w:ascii="Calibri" w:hAnsi="Calibri" w:cs="Calibri"/>
                <w:sz w:val="22"/>
                <w:szCs w:val="22"/>
              </w:rPr>
              <w:t xml:space="preserve">Improving </w:t>
            </w:r>
            <w:r w:rsidR="007B79E6" w:rsidRPr="00466AA7">
              <w:rPr>
                <w:rFonts w:ascii="Calibri" w:hAnsi="Calibri" w:cs="Calibri"/>
                <w:sz w:val="22"/>
                <w:szCs w:val="22"/>
              </w:rPr>
              <w:t>S</w:t>
            </w:r>
            <w:r w:rsidRPr="00466AA7">
              <w:rPr>
                <w:rFonts w:ascii="Calibri" w:hAnsi="Calibri" w:cs="Calibri"/>
                <w:sz w:val="22"/>
                <w:szCs w:val="22"/>
              </w:rPr>
              <w:t>upport for Carers</w:t>
            </w:r>
          </w:p>
          <w:p w:rsidR="007B79E6" w:rsidRPr="00466AA7" w:rsidRDefault="007B79E6" w:rsidP="004A1E57">
            <w:pPr>
              <w:rPr>
                <w:rFonts w:ascii="Calibri" w:hAnsi="Calibri" w:cs="Calibri"/>
                <w:sz w:val="22"/>
                <w:szCs w:val="22"/>
              </w:rPr>
            </w:pPr>
            <w:r w:rsidRPr="00466AA7">
              <w:rPr>
                <w:rFonts w:ascii="Calibri" w:hAnsi="Calibri" w:cs="Calibri"/>
                <w:sz w:val="22"/>
                <w:szCs w:val="22"/>
              </w:rPr>
              <w:t>Sector Development</w:t>
            </w:r>
          </w:p>
        </w:tc>
      </w:tr>
      <w:tr w:rsidR="00652FCC" w:rsidRPr="00466AA7" w:rsidTr="007924EA">
        <w:tc>
          <w:tcPr>
            <w:tcW w:w="2174" w:type="pct"/>
            <w:shd w:val="clear" w:color="auto" w:fill="auto"/>
          </w:tcPr>
          <w:p w:rsidR="00652FCC" w:rsidRPr="00466AA7" w:rsidRDefault="00652FCC" w:rsidP="007924EA">
            <w:pPr>
              <w:numPr>
                <w:ilvl w:val="0"/>
                <w:numId w:val="1"/>
              </w:numPr>
              <w:tabs>
                <w:tab w:val="left" w:pos="288"/>
              </w:tabs>
              <w:ind w:left="284" w:hanging="284"/>
              <w:rPr>
                <w:rFonts w:ascii="Calibri" w:hAnsi="Calibri" w:cs="Calibri"/>
                <w:sz w:val="22"/>
                <w:szCs w:val="22"/>
              </w:rPr>
            </w:pPr>
            <w:r w:rsidRPr="00466AA7">
              <w:rPr>
                <w:rFonts w:ascii="Calibri" w:hAnsi="Calibri" w:cs="Calibri"/>
                <w:sz w:val="22"/>
                <w:szCs w:val="22"/>
              </w:rPr>
              <w:t>Indigenous children are supported and safe in their families and communities</w:t>
            </w:r>
          </w:p>
        </w:tc>
        <w:tc>
          <w:tcPr>
            <w:tcW w:w="2826" w:type="pct"/>
            <w:shd w:val="clear" w:color="auto" w:fill="auto"/>
          </w:tcPr>
          <w:p w:rsidR="00652FCC" w:rsidRPr="00466AA7" w:rsidRDefault="00652FCC" w:rsidP="004A1E57">
            <w:pPr>
              <w:rPr>
                <w:rFonts w:ascii="Calibri" w:hAnsi="Calibri" w:cs="Calibri"/>
                <w:sz w:val="22"/>
                <w:szCs w:val="22"/>
              </w:rPr>
            </w:pPr>
            <w:r w:rsidRPr="00466AA7">
              <w:rPr>
                <w:rFonts w:ascii="Calibri" w:hAnsi="Calibri" w:cs="Calibri"/>
                <w:sz w:val="22"/>
                <w:szCs w:val="22"/>
              </w:rPr>
              <w:t>Closing the Gap</w:t>
            </w:r>
          </w:p>
          <w:p w:rsidR="00652FCC" w:rsidRPr="00466AA7" w:rsidRDefault="00652FCC" w:rsidP="004A1E57">
            <w:pPr>
              <w:rPr>
                <w:rFonts w:ascii="Calibri" w:hAnsi="Calibri" w:cs="Calibri"/>
                <w:sz w:val="22"/>
                <w:szCs w:val="22"/>
              </w:rPr>
            </w:pPr>
          </w:p>
        </w:tc>
      </w:tr>
      <w:tr w:rsidR="00652FCC" w:rsidRPr="00466AA7" w:rsidTr="007924EA">
        <w:tc>
          <w:tcPr>
            <w:tcW w:w="2174" w:type="pct"/>
            <w:shd w:val="clear" w:color="auto" w:fill="auto"/>
          </w:tcPr>
          <w:p w:rsidR="00652FCC" w:rsidRPr="00466AA7" w:rsidRDefault="00652FCC" w:rsidP="007924EA">
            <w:pPr>
              <w:numPr>
                <w:ilvl w:val="0"/>
                <w:numId w:val="1"/>
              </w:numPr>
              <w:tabs>
                <w:tab w:val="left" w:pos="288"/>
              </w:tabs>
              <w:ind w:left="284" w:hanging="284"/>
              <w:rPr>
                <w:rFonts w:ascii="Calibri" w:hAnsi="Calibri" w:cs="Calibri"/>
                <w:sz w:val="22"/>
                <w:szCs w:val="22"/>
              </w:rPr>
            </w:pPr>
            <w:r w:rsidRPr="00466AA7">
              <w:rPr>
                <w:rFonts w:ascii="Calibri" w:hAnsi="Calibri" w:cs="Calibri"/>
                <w:sz w:val="22"/>
                <w:szCs w:val="22"/>
              </w:rPr>
              <w:t>Child sexual abuse and exploitation is prevented and survivors receive adequate support</w:t>
            </w:r>
          </w:p>
        </w:tc>
        <w:tc>
          <w:tcPr>
            <w:tcW w:w="2826" w:type="pct"/>
            <w:shd w:val="clear" w:color="auto" w:fill="auto"/>
          </w:tcPr>
          <w:p w:rsidR="00652FCC" w:rsidRPr="00466AA7" w:rsidRDefault="00652FCC" w:rsidP="004A1E57">
            <w:pPr>
              <w:rPr>
                <w:rFonts w:ascii="Calibri" w:hAnsi="Calibri" w:cs="Calibri"/>
                <w:sz w:val="22"/>
                <w:szCs w:val="22"/>
              </w:rPr>
            </w:pPr>
            <w:r w:rsidRPr="00466AA7">
              <w:rPr>
                <w:rFonts w:ascii="Calibri" w:hAnsi="Calibri" w:cs="Calibri"/>
                <w:sz w:val="22"/>
                <w:szCs w:val="22"/>
              </w:rPr>
              <w:t>Working with Children Checks</w:t>
            </w:r>
          </w:p>
          <w:p w:rsidR="00652FCC" w:rsidRPr="00466AA7" w:rsidRDefault="00652FCC" w:rsidP="004A1E57">
            <w:pPr>
              <w:rPr>
                <w:rFonts w:ascii="Calibri" w:hAnsi="Calibri" w:cs="Calibri"/>
                <w:sz w:val="22"/>
                <w:szCs w:val="22"/>
              </w:rPr>
            </w:pPr>
            <w:r w:rsidRPr="00466AA7">
              <w:rPr>
                <w:rFonts w:ascii="Calibri" w:hAnsi="Calibri" w:cs="Calibri"/>
                <w:sz w:val="22"/>
                <w:szCs w:val="22"/>
              </w:rPr>
              <w:t>Responding to Sexual Abuse</w:t>
            </w:r>
          </w:p>
        </w:tc>
      </w:tr>
    </w:tbl>
    <w:p w:rsidR="00652FCC" w:rsidRPr="00821556" w:rsidRDefault="00652FCC" w:rsidP="00652FCC">
      <w:pPr>
        <w:rPr>
          <w:rFonts w:ascii="Calibri" w:hAnsi="Calibri" w:cs="Calibri"/>
          <w:sz w:val="24"/>
          <w:szCs w:val="24"/>
        </w:rPr>
      </w:pPr>
    </w:p>
    <w:p w:rsidR="00C20CC4" w:rsidRDefault="00652FCC" w:rsidP="00652FCC">
      <w:pPr>
        <w:rPr>
          <w:rFonts w:ascii="Calibri" w:hAnsi="Calibri" w:cs="Calibri"/>
          <w:sz w:val="24"/>
          <w:szCs w:val="24"/>
        </w:rPr>
      </w:pPr>
      <w:r>
        <w:rPr>
          <w:rFonts w:ascii="Calibri" w:hAnsi="Calibri" w:cs="Calibri"/>
          <w:sz w:val="24"/>
          <w:szCs w:val="24"/>
        </w:rPr>
        <w:t xml:space="preserve">Achievements against these six overarching outcomes are reported in Chapters three to eight. </w:t>
      </w:r>
      <w:r w:rsidRPr="00821556">
        <w:rPr>
          <w:rFonts w:ascii="Calibri" w:hAnsi="Calibri" w:cs="Calibri"/>
          <w:sz w:val="24"/>
          <w:szCs w:val="24"/>
        </w:rPr>
        <w:t xml:space="preserve">Each </w:t>
      </w:r>
      <w:r>
        <w:rPr>
          <w:rFonts w:ascii="Calibri" w:hAnsi="Calibri" w:cs="Calibri"/>
          <w:sz w:val="24"/>
          <w:szCs w:val="24"/>
        </w:rPr>
        <w:t>outcome</w:t>
      </w:r>
      <w:r w:rsidRPr="00821556">
        <w:rPr>
          <w:rFonts w:ascii="Calibri" w:hAnsi="Calibri" w:cs="Calibri"/>
          <w:sz w:val="24"/>
          <w:szCs w:val="24"/>
        </w:rPr>
        <w:t xml:space="preserve"> includes a number of actions and indicators developed to measure progress.</w:t>
      </w:r>
      <w:r w:rsidR="006E0358">
        <w:rPr>
          <w:rFonts w:ascii="Calibri" w:hAnsi="Calibri" w:cs="Calibri"/>
          <w:sz w:val="24"/>
          <w:szCs w:val="24"/>
        </w:rPr>
        <w:t xml:space="preserve"> </w:t>
      </w:r>
    </w:p>
    <w:p w:rsidR="004D0BDE" w:rsidRDefault="004D0BDE" w:rsidP="00652FCC">
      <w:pPr>
        <w:rPr>
          <w:rFonts w:ascii="Calibri" w:hAnsi="Calibri" w:cs="Calibri"/>
          <w:sz w:val="24"/>
          <w:szCs w:val="24"/>
        </w:rPr>
      </w:pPr>
    </w:p>
    <w:p w:rsidR="00652FCC" w:rsidRDefault="00C20CC4" w:rsidP="00652FCC">
      <w:pPr>
        <w:rPr>
          <w:rFonts w:ascii="Calibri" w:hAnsi="Calibri" w:cs="Calibri"/>
          <w:sz w:val="24"/>
          <w:szCs w:val="24"/>
        </w:rPr>
      </w:pPr>
      <w:r w:rsidRPr="00C20CC4">
        <w:rPr>
          <w:rFonts w:ascii="Calibri" w:hAnsi="Calibri" w:cs="Calibri"/>
          <w:sz w:val="24"/>
          <w:szCs w:val="24"/>
        </w:rPr>
        <w:t>There are 23 indicators to report against the six outcomes and eight indicators to report on the high-level outcome. The high-level and outcome-related indi</w:t>
      </w:r>
      <w:r>
        <w:rPr>
          <w:rFonts w:ascii="Calibri" w:hAnsi="Calibri" w:cs="Calibri"/>
          <w:sz w:val="24"/>
          <w:szCs w:val="24"/>
        </w:rPr>
        <w:t>cators are set out in Appendix B</w:t>
      </w:r>
      <w:r w:rsidRPr="00C20CC4">
        <w:rPr>
          <w:rFonts w:ascii="Calibri" w:hAnsi="Calibri" w:cs="Calibri"/>
          <w:sz w:val="24"/>
          <w:szCs w:val="24"/>
        </w:rPr>
        <w:t xml:space="preserve"> and include nine indicators which were not reportable for this Annual Report, as data are still being developed.</w:t>
      </w:r>
    </w:p>
    <w:p w:rsidR="00C20CC4" w:rsidRDefault="00C20CC4" w:rsidP="00652FCC">
      <w:pPr>
        <w:rPr>
          <w:rFonts w:ascii="Calibri" w:hAnsi="Calibri" w:cs="Calibri"/>
          <w:sz w:val="24"/>
          <w:szCs w:val="24"/>
        </w:rPr>
      </w:pPr>
    </w:p>
    <w:p w:rsidR="00EE479A" w:rsidRPr="005D475B" w:rsidRDefault="00652FCC">
      <w:r w:rsidRPr="00821556">
        <w:rPr>
          <w:rFonts w:ascii="Calibri" w:hAnsi="Calibri" w:cs="Calibri"/>
          <w:sz w:val="24"/>
          <w:szCs w:val="24"/>
        </w:rPr>
        <w:t xml:space="preserve">Appendix </w:t>
      </w:r>
      <w:r>
        <w:rPr>
          <w:rFonts w:ascii="Calibri" w:hAnsi="Calibri" w:cs="Calibri"/>
          <w:sz w:val="24"/>
          <w:szCs w:val="24"/>
        </w:rPr>
        <w:t>A</w:t>
      </w:r>
      <w:r w:rsidRPr="00821556">
        <w:rPr>
          <w:rFonts w:ascii="Calibri" w:hAnsi="Calibri" w:cs="Calibri"/>
          <w:sz w:val="24"/>
          <w:szCs w:val="24"/>
        </w:rPr>
        <w:t xml:space="preserve"> contains a detailed table showing progress against each of the National Priorities.</w:t>
      </w:r>
      <w:r>
        <w:rPr>
          <w:rFonts w:ascii="Calibri" w:hAnsi="Calibri" w:cs="Calibri"/>
          <w:sz w:val="24"/>
          <w:szCs w:val="24"/>
        </w:rPr>
        <w:t xml:space="preserve"> </w:t>
      </w:r>
      <w:r w:rsidRPr="00821556">
        <w:rPr>
          <w:rFonts w:ascii="Calibri" w:hAnsi="Calibri" w:cs="Calibri"/>
          <w:sz w:val="24"/>
          <w:szCs w:val="24"/>
        </w:rPr>
        <w:t>The range of activities across each priority varies, as does the timeline for achieving final outcomes</w:t>
      </w:r>
      <w:r w:rsidRPr="005D475B">
        <w:t>.</w:t>
      </w:r>
      <w:bookmarkStart w:id="54" w:name="_Toc369184141"/>
    </w:p>
    <w:p w:rsidR="00652FCC" w:rsidRPr="0021605F" w:rsidRDefault="00652FCC" w:rsidP="0021605F">
      <w:pPr>
        <w:pStyle w:val="Heading2"/>
      </w:pPr>
      <w:bookmarkStart w:id="55" w:name="_Toc400007685"/>
      <w:bookmarkStart w:id="56" w:name="_Toc400711468"/>
      <w:r w:rsidRPr="00AD7117">
        <w:t>Funding</w:t>
      </w:r>
      <w:bookmarkEnd w:id="54"/>
      <w:bookmarkEnd w:id="55"/>
      <w:bookmarkEnd w:id="56"/>
    </w:p>
    <w:p w:rsidR="00652FCC" w:rsidRPr="00D91771" w:rsidRDefault="00652FCC" w:rsidP="00652FCC">
      <w:pPr>
        <w:rPr>
          <w:rFonts w:ascii="Calibri" w:hAnsi="Calibri" w:cs="Calibri"/>
          <w:sz w:val="24"/>
          <w:szCs w:val="24"/>
        </w:rPr>
      </w:pPr>
      <w:r w:rsidRPr="00D91771">
        <w:rPr>
          <w:rFonts w:ascii="Calibri" w:hAnsi="Calibri" w:cs="Calibri"/>
          <w:sz w:val="24"/>
          <w:szCs w:val="24"/>
        </w:rPr>
        <w:t>The Australian Government is taking a national leadership role in the protection of Australia's children via the implementation of the National Framework.</w:t>
      </w:r>
    </w:p>
    <w:p w:rsidR="00652FCC" w:rsidRPr="00D91771" w:rsidRDefault="00652FCC" w:rsidP="00652FCC">
      <w:pPr>
        <w:rPr>
          <w:rFonts w:ascii="Calibri" w:hAnsi="Calibri" w:cs="Calibri"/>
          <w:sz w:val="24"/>
          <w:szCs w:val="24"/>
        </w:rPr>
      </w:pPr>
    </w:p>
    <w:p w:rsidR="00882A50" w:rsidRDefault="00652FCC" w:rsidP="00882A50">
      <w:pPr>
        <w:rPr>
          <w:rFonts w:ascii="Calibri" w:hAnsi="Calibri" w:cs="Calibri"/>
          <w:sz w:val="24"/>
          <w:szCs w:val="24"/>
        </w:rPr>
      </w:pPr>
      <w:r w:rsidRPr="00D91771">
        <w:rPr>
          <w:rFonts w:ascii="Calibri" w:hAnsi="Calibri" w:cs="Calibri"/>
          <w:sz w:val="24"/>
          <w:szCs w:val="24"/>
        </w:rPr>
        <w:t xml:space="preserve">The Australian Government, state and territory governments and the </w:t>
      </w:r>
      <w:r w:rsidR="00C8305C">
        <w:rPr>
          <w:rFonts w:ascii="Calibri" w:hAnsi="Calibri" w:cs="Calibri"/>
          <w:sz w:val="24"/>
          <w:szCs w:val="24"/>
        </w:rPr>
        <w:t>community</w:t>
      </w:r>
      <w:r w:rsidRPr="00D91771">
        <w:rPr>
          <w:rFonts w:ascii="Calibri" w:hAnsi="Calibri" w:cs="Calibri"/>
          <w:sz w:val="24"/>
          <w:szCs w:val="24"/>
        </w:rPr>
        <w:t xml:space="preserve"> sector, through the Coalition, are working together to implement the actions and National Priorities identified in the Second Action Plan.</w:t>
      </w:r>
    </w:p>
    <w:p w:rsidR="00882A50" w:rsidRDefault="00882A50" w:rsidP="00882A50">
      <w:pPr>
        <w:rPr>
          <w:rFonts w:ascii="Calibri" w:hAnsi="Calibri" w:cs="Calibri"/>
          <w:sz w:val="24"/>
          <w:szCs w:val="24"/>
        </w:rPr>
      </w:pPr>
    </w:p>
    <w:p w:rsidR="00652FCC" w:rsidRPr="00882A50" w:rsidRDefault="00882A50" w:rsidP="00882A50">
      <w:pPr>
        <w:rPr>
          <w:rFonts w:ascii="Calibri" w:hAnsi="Calibri" w:cs="Calibri"/>
          <w:sz w:val="24"/>
          <w:szCs w:val="24"/>
        </w:rPr>
      </w:pPr>
      <w:r w:rsidRPr="00882A50">
        <w:rPr>
          <w:rFonts w:ascii="Calibri" w:hAnsi="Calibri" w:cs="Calibri"/>
          <w:sz w:val="24"/>
          <w:szCs w:val="24"/>
        </w:rPr>
        <w:t>The initial Australian Government funding commitment to support the objectives of the National Framework was $63.0 million over four years.</w:t>
      </w:r>
      <w:r w:rsidR="00A43557">
        <w:rPr>
          <w:rFonts w:ascii="Calibri" w:hAnsi="Calibri" w:cs="Calibri"/>
          <w:sz w:val="24"/>
          <w:szCs w:val="24"/>
        </w:rPr>
        <w:t xml:space="preserve"> </w:t>
      </w:r>
      <w:r w:rsidRPr="00882A50">
        <w:rPr>
          <w:rFonts w:ascii="Calibri" w:hAnsi="Calibri" w:cs="Calibri"/>
          <w:sz w:val="24"/>
          <w:szCs w:val="24"/>
        </w:rPr>
        <w:t xml:space="preserve">In 2012, $5.7 million was committed to fund the Child Aware Approaches </w:t>
      </w:r>
      <w:r w:rsidR="00EA3677">
        <w:rPr>
          <w:rFonts w:ascii="Calibri" w:hAnsi="Calibri" w:cs="Calibri"/>
          <w:sz w:val="24"/>
          <w:szCs w:val="24"/>
        </w:rPr>
        <w:t>grant round</w:t>
      </w:r>
      <w:r w:rsidR="00EA3677" w:rsidRPr="00882A50">
        <w:rPr>
          <w:rFonts w:ascii="Calibri" w:hAnsi="Calibri" w:cs="Calibri"/>
          <w:sz w:val="24"/>
          <w:szCs w:val="24"/>
        </w:rPr>
        <w:t xml:space="preserve"> </w:t>
      </w:r>
      <w:r w:rsidRPr="00882A50">
        <w:rPr>
          <w:rFonts w:ascii="Calibri" w:hAnsi="Calibri" w:cs="Calibri"/>
          <w:sz w:val="24"/>
          <w:szCs w:val="24"/>
        </w:rPr>
        <w:t xml:space="preserve">as an early investment in the Second Action Plan. </w:t>
      </w:r>
    </w:p>
    <w:p w:rsidR="002C7CB6" w:rsidRPr="00A44315" w:rsidRDefault="002C7CB6" w:rsidP="0021605F">
      <w:pPr>
        <w:pStyle w:val="Heading2"/>
      </w:pPr>
      <w:bookmarkStart w:id="57" w:name="_Toc400007686"/>
      <w:bookmarkStart w:id="58" w:name="_Toc369184147"/>
      <w:bookmarkStart w:id="59" w:name="_Toc400711469"/>
      <w:r>
        <w:t>Conclusion</w:t>
      </w:r>
      <w:bookmarkEnd w:id="57"/>
      <w:bookmarkEnd w:id="59"/>
    </w:p>
    <w:p w:rsidR="002C7CB6" w:rsidRPr="002C7CB6" w:rsidRDefault="002C7CB6" w:rsidP="002C7CB6">
      <w:pPr>
        <w:rPr>
          <w:rFonts w:ascii="Calibri" w:hAnsi="Calibri" w:cs="Calibri"/>
          <w:sz w:val="24"/>
          <w:szCs w:val="24"/>
        </w:rPr>
      </w:pPr>
      <w:r w:rsidRPr="002C7CB6">
        <w:rPr>
          <w:rFonts w:ascii="Calibri" w:hAnsi="Calibri" w:cs="Calibri"/>
          <w:sz w:val="24"/>
          <w:szCs w:val="24"/>
        </w:rPr>
        <w:t>This report provides an ideal opportunity to take stock and consider what the key achievements have been in the first year of the Second Action Plan. These achievements, highlighted in the Executive Summary of this report, are the result of significant collaboration between the Australian, state and territory governments and the Coalition and are discussed in greater detail in Chapters three to eight.</w:t>
      </w:r>
    </w:p>
    <w:p w:rsidR="002C7CB6" w:rsidRPr="002C7CB6" w:rsidRDefault="002C7CB6" w:rsidP="002C7CB6">
      <w:pPr>
        <w:rPr>
          <w:rFonts w:ascii="Calibri" w:hAnsi="Calibri" w:cs="Calibri"/>
          <w:sz w:val="24"/>
          <w:szCs w:val="24"/>
        </w:rPr>
      </w:pPr>
    </w:p>
    <w:p w:rsidR="002C7CB6" w:rsidRPr="002C7CB6" w:rsidRDefault="002C7CB6" w:rsidP="002C7CB6">
      <w:pPr>
        <w:rPr>
          <w:rFonts w:ascii="Calibri" w:hAnsi="Calibri" w:cs="Calibri"/>
          <w:sz w:val="24"/>
          <w:szCs w:val="24"/>
        </w:rPr>
      </w:pPr>
      <w:r w:rsidRPr="002C7CB6">
        <w:rPr>
          <w:rFonts w:ascii="Calibri" w:hAnsi="Calibri" w:cs="Calibri"/>
          <w:sz w:val="24"/>
          <w:szCs w:val="24"/>
        </w:rPr>
        <w:t xml:space="preserve">An overarching Evaluation Plan, covering the full period of the National Framework—2009 to 2020—is being developed in consultation with states, territories and </w:t>
      </w:r>
      <w:r w:rsidR="005E67E8">
        <w:rPr>
          <w:rFonts w:ascii="Calibri" w:hAnsi="Calibri" w:cs="Calibri"/>
          <w:sz w:val="24"/>
          <w:szCs w:val="24"/>
        </w:rPr>
        <w:t>community sector organi</w:t>
      </w:r>
      <w:r w:rsidRPr="002C7CB6">
        <w:rPr>
          <w:rFonts w:ascii="Calibri" w:hAnsi="Calibri" w:cs="Calibri"/>
          <w:sz w:val="24"/>
          <w:szCs w:val="24"/>
        </w:rPr>
        <w:t>s</w:t>
      </w:r>
      <w:r w:rsidR="005E67E8">
        <w:rPr>
          <w:rFonts w:ascii="Calibri" w:hAnsi="Calibri" w:cs="Calibri"/>
          <w:sz w:val="24"/>
          <w:szCs w:val="24"/>
        </w:rPr>
        <w:t>ations</w:t>
      </w:r>
      <w:r w:rsidRPr="002C7CB6">
        <w:rPr>
          <w:rFonts w:ascii="Calibri" w:hAnsi="Calibri" w:cs="Calibri"/>
          <w:sz w:val="24"/>
          <w:szCs w:val="24"/>
        </w:rPr>
        <w:t xml:space="preserve">. This plan will focus on evaluating the effectiveness of the tripartite arrangements of the National Framework as well as </w:t>
      </w:r>
      <w:r>
        <w:rPr>
          <w:rFonts w:ascii="Calibri" w:hAnsi="Calibri" w:cs="Calibri"/>
          <w:sz w:val="24"/>
          <w:szCs w:val="24"/>
        </w:rPr>
        <w:t xml:space="preserve">on </w:t>
      </w:r>
      <w:r w:rsidRPr="002C7CB6">
        <w:rPr>
          <w:rFonts w:ascii="Calibri" w:hAnsi="Calibri" w:cs="Calibri"/>
          <w:sz w:val="24"/>
          <w:szCs w:val="24"/>
        </w:rPr>
        <w:t>progress towards achieving the National Framework’s high</w:t>
      </w:r>
      <w:r w:rsidR="00153660">
        <w:rPr>
          <w:rFonts w:ascii="Calibri" w:hAnsi="Calibri" w:cs="Calibri"/>
          <w:sz w:val="24"/>
          <w:szCs w:val="24"/>
        </w:rPr>
        <w:t>-</w:t>
      </w:r>
      <w:r w:rsidRPr="002C7CB6">
        <w:rPr>
          <w:rFonts w:ascii="Calibri" w:hAnsi="Calibri" w:cs="Calibri"/>
          <w:sz w:val="24"/>
          <w:szCs w:val="24"/>
        </w:rPr>
        <w:t xml:space="preserve">level </w:t>
      </w:r>
      <w:r w:rsidR="00504DB7" w:rsidRPr="002C7CB6">
        <w:rPr>
          <w:rFonts w:ascii="Calibri" w:hAnsi="Calibri" w:cs="Calibri"/>
          <w:sz w:val="24"/>
          <w:szCs w:val="24"/>
        </w:rPr>
        <w:t>Supporting Outcomes</w:t>
      </w:r>
      <w:r w:rsidRPr="002C7CB6">
        <w:rPr>
          <w:rFonts w:ascii="Calibri" w:hAnsi="Calibri" w:cs="Calibri"/>
          <w:sz w:val="24"/>
          <w:szCs w:val="24"/>
        </w:rPr>
        <w:t xml:space="preserve">. </w:t>
      </w:r>
    </w:p>
    <w:p w:rsidR="002C7CB6" w:rsidRPr="002C7CB6" w:rsidRDefault="002C7CB6" w:rsidP="002C7CB6">
      <w:pPr>
        <w:rPr>
          <w:rFonts w:ascii="Calibri" w:hAnsi="Calibri" w:cs="Calibri"/>
          <w:sz w:val="24"/>
          <w:szCs w:val="24"/>
        </w:rPr>
      </w:pPr>
    </w:p>
    <w:p w:rsidR="00652FCC" w:rsidRPr="002C7CB6" w:rsidRDefault="002C7CB6" w:rsidP="00652FCC">
      <w:pPr>
        <w:rPr>
          <w:rFonts w:ascii="Calibri" w:hAnsi="Calibri" w:cs="Calibri"/>
          <w:sz w:val="24"/>
          <w:szCs w:val="24"/>
        </w:rPr>
      </w:pPr>
      <w:r w:rsidRPr="002C7CB6">
        <w:rPr>
          <w:rFonts w:ascii="Calibri" w:hAnsi="Calibri" w:cs="Calibri"/>
          <w:sz w:val="24"/>
          <w:szCs w:val="24"/>
        </w:rPr>
        <w:t>Building on and solidifying the strong partnerships and achievements of the First Action Plan, the Second Action Plan goes on to further the goal of achieving a substantial and sustained reduction in child abuse and neglect in Australia over time.</w:t>
      </w:r>
      <w:r w:rsidRPr="00821556">
        <w:rPr>
          <w:rFonts w:ascii="Calibri" w:hAnsi="Calibri" w:cs="Calibri"/>
          <w:sz w:val="24"/>
          <w:szCs w:val="24"/>
        </w:rPr>
        <w:t xml:space="preserve"> </w:t>
      </w:r>
      <w:bookmarkEnd w:id="58"/>
    </w:p>
    <w:p w:rsidR="00425ACF" w:rsidRDefault="00425ACF">
      <w:pPr>
        <w:rPr>
          <w:rFonts w:ascii="Calibri" w:hAnsi="Calibri" w:cs="Calibri"/>
          <w:color w:val="000000"/>
          <w:sz w:val="24"/>
          <w:szCs w:val="24"/>
        </w:rPr>
      </w:pPr>
      <w:r>
        <w:rPr>
          <w:rFonts w:ascii="Calibri" w:hAnsi="Calibri" w:cs="Calibri"/>
          <w:color w:val="000000"/>
          <w:sz w:val="24"/>
          <w:szCs w:val="24"/>
        </w:rPr>
        <w:br w:type="page"/>
      </w:r>
    </w:p>
    <w:p w:rsidR="00EA32F6" w:rsidRPr="00356B6E" w:rsidRDefault="00EA32F6" w:rsidP="00B940CF">
      <w:pPr>
        <w:pStyle w:val="Heading1"/>
      </w:pPr>
      <w:bookmarkStart w:id="60" w:name="_Toc400007687"/>
      <w:bookmarkStart w:id="61" w:name="_Toc400711470"/>
      <w:r>
        <w:t>Chapter two:</w:t>
      </w:r>
      <w:r w:rsidR="00CC7472">
        <w:t xml:space="preserve"> The Second Three-Year Action Plan, 2012-2015</w:t>
      </w:r>
      <w:r w:rsidR="00CC7472">
        <w:noBreakHyphen/>
        <w:t>Measuring Progress</w:t>
      </w:r>
      <w:bookmarkEnd w:id="60"/>
      <w:bookmarkEnd w:id="61"/>
    </w:p>
    <w:p w:rsidR="007F4FED" w:rsidRDefault="007F4FED" w:rsidP="007F4FED">
      <w:pPr>
        <w:pStyle w:val="Heading2"/>
        <w:rPr>
          <w:lang w:eastAsia="en-AU"/>
        </w:rPr>
      </w:pPr>
      <w:bookmarkStart w:id="62" w:name="_Toc400007688"/>
      <w:bookmarkStart w:id="63" w:name="_Toc400711471"/>
      <w:r>
        <w:rPr>
          <w:lang w:eastAsia="en-AU"/>
        </w:rPr>
        <w:t>Measuring Progress</w:t>
      </w:r>
      <w:bookmarkEnd w:id="62"/>
      <w:bookmarkEnd w:id="63"/>
    </w:p>
    <w:p w:rsidR="006D546C" w:rsidRPr="006D546C" w:rsidRDefault="006D546C" w:rsidP="007F4FED">
      <w:pPr>
        <w:rPr>
          <w:rFonts w:ascii="Calibri" w:hAnsi="Calibri" w:cs="Calibri"/>
          <w:sz w:val="24"/>
          <w:szCs w:val="24"/>
          <w:lang w:eastAsia="en-AU"/>
        </w:rPr>
      </w:pPr>
      <w:r w:rsidRPr="006D546C">
        <w:rPr>
          <w:rFonts w:ascii="Calibri" w:hAnsi="Calibri" w:cs="Calibri"/>
          <w:sz w:val="24"/>
          <w:szCs w:val="24"/>
          <w:lang w:eastAsia="en-AU"/>
        </w:rPr>
        <w:t xml:space="preserve">Progress on the National Framework is measured through the use of indicators, some reportable and some still being developed. </w:t>
      </w:r>
    </w:p>
    <w:p w:rsidR="006D546C" w:rsidRPr="006D546C" w:rsidRDefault="006D546C" w:rsidP="006D546C">
      <w:pPr>
        <w:rPr>
          <w:rFonts w:ascii="Calibri" w:hAnsi="Calibri" w:cs="Calibri"/>
          <w:sz w:val="24"/>
          <w:szCs w:val="24"/>
          <w:lang w:eastAsia="en-AU"/>
        </w:rPr>
      </w:pPr>
    </w:p>
    <w:p w:rsidR="006D546C" w:rsidRPr="006D546C" w:rsidRDefault="006D546C" w:rsidP="006D546C">
      <w:pPr>
        <w:rPr>
          <w:rFonts w:ascii="Calibri" w:hAnsi="Calibri" w:cs="Calibri"/>
          <w:sz w:val="24"/>
          <w:szCs w:val="24"/>
          <w:lang w:eastAsia="en-AU"/>
        </w:rPr>
      </w:pPr>
      <w:r w:rsidRPr="006D546C">
        <w:rPr>
          <w:rFonts w:ascii="Calibri" w:hAnsi="Calibri" w:cs="Calibri"/>
          <w:sz w:val="24"/>
          <w:szCs w:val="24"/>
          <w:lang w:eastAsia="en-AU"/>
        </w:rPr>
        <w:t xml:space="preserve">Some of the indicators used in this report measure whether Australia’s children and young people are safe and well. Others, reported in Chapters </w:t>
      </w:r>
      <w:r w:rsidR="00F66D8A">
        <w:rPr>
          <w:rFonts w:ascii="Calibri" w:hAnsi="Calibri" w:cs="Calibri"/>
          <w:sz w:val="24"/>
          <w:szCs w:val="24"/>
          <w:lang w:eastAsia="en-AU"/>
        </w:rPr>
        <w:t>three</w:t>
      </w:r>
      <w:r w:rsidRPr="006D546C">
        <w:rPr>
          <w:rFonts w:ascii="Calibri" w:hAnsi="Calibri" w:cs="Calibri"/>
          <w:sz w:val="24"/>
          <w:szCs w:val="24"/>
          <w:lang w:eastAsia="en-AU"/>
        </w:rPr>
        <w:t xml:space="preserve"> to </w:t>
      </w:r>
      <w:r w:rsidR="00F66D8A">
        <w:rPr>
          <w:rFonts w:ascii="Calibri" w:hAnsi="Calibri" w:cs="Calibri"/>
          <w:sz w:val="24"/>
          <w:szCs w:val="24"/>
          <w:lang w:eastAsia="en-AU"/>
        </w:rPr>
        <w:t>eight</w:t>
      </w:r>
      <w:r w:rsidRPr="006D546C">
        <w:rPr>
          <w:rFonts w:ascii="Calibri" w:hAnsi="Calibri" w:cs="Calibri"/>
          <w:sz w:val="24"/>
          <w:szCs w:val="24"/>
          <w:lang w:eastAsia="en-AU"/>
        </w:rPr>
        <w:t xml:space="preserve">, measure the National Framework’s </w:t>
      </w:r>
      <w:r w:rsidR="001D3309" w:rsidRPr="006D546C">
        <w:rPr>
          <w:rFonts w:ascii="Calibri" w:hAnsi="Calibri" w:cs="Calibri"/>
          <w:sz w:val="24"/>
          <w:szCs w:val="24"/>
          <w:lang w:eastAsia="en-AU"/>
        </w:rPr>
        <w:t>Supporting Outcomes</w:t>
      </w:r>
      <w:r w:rsidRPr="006D546C">
        <w:rPr>
          <w:rFonts w:ascii="Calibri" w:hAnsi="Calibri" w:cs="Calibri"/>
          <w:sz w:val="24"/>
          <w:szCs w:val="24"/>
          <w:lang w:eastAsia="en-AU"/>
        </w:rPr>
        <w:t>. The indicators in these Chapters may appear similar, but they are intended to measure different outcomes.</w:t>
      </w:r>
      <w:r w:rsidR="005F0419">
        <w:rPr>
          <w:rFonts w:ascii="Calibri" w:hAnsi="Calibri" w:cs="Calibri"/>
          <w:sz w:val="24"/>
          <w:szCs w:val="24"/>
          <w:lang w:eastAsia="en-AU"/>
        </w:rPr>
        <w:t xml:space="preserve"> A full list of the indicators for the National Framework and </w:t>
      </w:r>
      <w:r w:rsidR="001D3309">
        <w:rPr>
          <w:rFonts w:ascii="Calibri" w:hAnsi="Calibri" w:cs="Calibri"/>
          <w:sz w:val="24"/>
          <w:szCs w:val="24"/>
          <w:lang w:eastAsia="en-AU"/>
        </w:rPr>
        <w:t>Supporting Outcomes</w:t>
      </w:r>
      <w:r w:rsidR="005F0419">
        <w:rPr>
          <w:rFonts w:ascii="Calibri" w:hAnsi="Calibri" w:cs="Calibri"/>
          <w:sz w:val="24"/>
          <w:szCs w:val="24"/>
          <w:lang w:eastAsia="en-AU"/>
        </w:rPr>
        <w:t xml:space="preserve"> is contained in Appendix </w:t>
      </w:r>
      <w:r w:rsidR="00C20CC4">
        <w:rPr>
          <w:rFonts w:ascii="Calibri" w:hAnsi="Calibri" w:cs="Calibri"/>
          <w:sz w:val="24"/>
          <w:szCs w:val="24"/>
          <w:lang w:eastAsia="en-AU"/>
        </w:rPr>
        <w:t>B</w:t>
      </w:r>
      <w:r w:rsidR="005F0419">
        <w:rPr>
          <w:rFonts w:ascii="Calibri" w:hAnsi="Calibri" w:cs="Calibri"/>
          <w:sz w:val="24"/>
          <w:szCs w:val="24"/>
          <w:lang w:eastAsia="en-AU"/>
        </w:rPr>
        <w:t>.</w:t>
      </w:r>
      <w:r w:rsidRPr="006D546C">
        <w:rPr>
          <w:rFonts w:ascii="Calibri" w:hAnsi="Calibri" w:cs="Calibri"/>
          <w:sz w:val="24"/>
          <w:szCs w:val="24"/>
          <w:lang w:eastAsia="en-AU"/>
        </w:rPr>
        <w:t xml:space="preserve"> </w:t>
      </w:r>
    </w:p>
    <w:p w:rsidR="006D546C" w:rsidRPr="006E4356" w:rsidRDefault="006D546C" w:rsidP="006E4356">
      <w:pPr>
        <w:pStyle w:val="Heading2"/>
      </w:pPr>
      <w:bookmarkStart w:id="64" w:name="_Toc400007689"/>
      <w:bookmarkStart w:id="65" w:name="_Toc400711472"/>
      <w:r w:rsidRPr="006E4356">
        <w:t>High-level outcome: are Australia’s children and young people safe and well?</w:t>
      </w:r>
      <w:bookmarkEnd w:id="64"/>
      <w:bookmarkEnd w:id="65"/>
    </w:p>
    <w:p w:rsidR="006D546C" w:rsidRDefault="006D546C" w:rsidP="006D546C">
      <w:pPr>
        <w:rPr>
          <w:rFonts w:ascii="Calibri" w:hAnsi="Calibri" w:cs="Calibri"/>
          <w:sz w:val="24"/>
          <w:szCs w:val="24"/>
          <w:lang w:eastAsia="en-AU"/>
        </w:rPr>
      </w:pPr>
      <w:r w:rsidRPr="006D546C">
        <w:rPr>
          <w:rFonts w:ascii="Calibri" w:hAnsi="Calibri" w:cs="Calibri"/>
          <w:sz w:val="24"/>
          <w:szCs w:val="24"/>
          <w:lang w:eastAsia="en-AU"/>
        </w:rPr>
        <w:t xml:space="preserve">There are </w:t>
      </w:r>
      <w:r w:rsidR="000D237F">
        <w:rPr>
          <w:rFonts w:ascii="Calibri" w:hAnsi="Calibri" w:cs="Calibri"/>
          <w:sz w:val="24"/>
          <w:szCs w:val="24"/>
          <w:lang w:eastAsia="en-AU"/>
        </w:rPr>
        <w:t>eight</w:t>
      </w:r>
      <w:r w:rsidR="000D237F" w:rsidRPr="006D546C">
        <w:rPr>
          <w:rFonts w:ascii="Calibri" w:hAnsi="Calibri" w:cs="Calibri"/>
          <w:sz w:val="24"/>
          <w:szCs w:val="24"/>
          <w:lang w:eastAsia="en-AU"/>
        </w:rPr>
        <w:t xml:space="preserve"> </w:t>
      </w:r>
      <w:r w:rsidRPr="006D546C">
        <w:rPr>
          <w:rFonts w:ascii="Calibri" w:hAnsi="Calibri" w:cs="Calibri"/>
          <w:sz w:val="24"/>
          <w:szCs w:val="24"/>
          <w:lang w:eastAsia="en-AU"/>
        </w:rPr>
        <w:t>high-level indicators to measure progress towards the National Framework’s high-level outcome.</w:t>
      </w:r>
      <w:r w:rsidR="00A43557">
        <w:rPr>
          <w:rFonts w:ascii="Calibri" w:hAnsi="Calibri" w:cs="Calibri"/>
          <w:sz w:val="24"/>
          <w:szCs w:val="24"/>
          <w:lang w:eastAsia="en-AU"/>
        </w:rPr>
        <w:t xml:space="preserve"> </w:t>
      </w:r>
      <w:r w:rsidR="00C20CC4">
        <w:rPr>
          <w:rFonts w:ascii="Calibri" w:hAnsi="Calibri" w:cs="Calibri"/>
          <w:sz w:val="24"/>
          <w:szCs w:val="24"/>
          <w:lang w:eastAsia="en-AU"/>
        </w:rPr>
        <w:t>These are:</w:t>
      </w:r>
      <w:r w:rsidRPr="006D546C">
        <w:rPr>
          <w:rFonts w:ascii="Calibri" w:hAnsi="Calibri" w:cs="Calibri"/>
          <w:sz w:val="24"/>
          <w:szCs w:val="24"/>
          <w:lang w:eastAsia="en-AU"/>
        </w:rPr>
        <w:t xml:space="preserve"> </w:t>
      </w:r>
    </w:p>
    <w:p w:rsidR="00C20CC4" w:rsidRPr="00C20CC4" w:rsidRDefault="00C20CC4" w:rsidP="004D0BDE">
      <w:pPr>
        <w:pStyle w:val="ListBullet"/>
        <w:rPr>
          <w:lang w:eastAsia="en-AU"/>
        </w:rPr>
      </w:pPr>
      <w:r w:rsidRPr="00C20CC4">
        <w:rPr>
          <w:lang w:eastAsia="en-AU"/>
        </w:rPr>
        <w:t>Substantiated child protection cases</w:t>
      </w:r>
    </w:p>
    <w:p w:rsidR="00C20CC4" w:rsidRPr="00C20CC4" w:rsidRDefault="00C20CC4" w:rsidP="004D0BDE">
      <w:pPr>
        <w:pStyle w:val="ListBullet"/>
        <w:rPr>
          <w:lang w:eastAsia="en-AU"/>
        </w:rPr>
      </w:pPr>
      <w:r w:rsidRPr="00C20CC4">
        <w:rPr>
          <w:lang w:eastAsia="en-AU"/>
        </w:rPr>
        <w:t>Children in out-of-home care</w:t>
      </w:r>
    </w:p>
    <w:p w:rsidR="00C20CC4" w:rsidRPr="00C20CC4" w:rsidRDefault="00C20CC4" w:rsidP="004D0BDE">
      <w:pPr>
        <w:pStyle w:val="ListBullet"/>
        <w:rPr>
          <w:lang w:eastAsia="en-AU"/>
        </w:rPr>
      </w:pPr>
      <w:r w:rsidRPr="00C20CC4">
        <w:rPr>
          <w:lang w:eastAsia="en-AU"/>
        </w:rPr>
        <w:t>Teenage births</w:t>
      </w:r>
    </w:p>
    <w:p w:rsidR="00C20CC4" w:rsidRPr="00C20CC4" w:rsidRDefault="00C20CC4" w:rsidP="004D0BDE">
      <w:pPr>
        <w:pStyle w:val="ListBullet"/>
        <w:rPr>
          <w:lang w:eastAsia="en-AU"/>
        </w:rPr>
      </w:pPr>
      <w:r w:rsidRPr="00C20CC4">
        <w:rPr>
          <w:lang w:eastAsia="en-AU"/>
        </w:rPr>
        <w:t>Infants born of low birth weight</w:t>
      </w:r>
    </w:p>
    <w:p w:rsidR="00C20CC4" w:rsidRPr="00C20CC4" w:rsidRDefault="00C20CC4" w:rsidP="004D0BDE">
      <w:pPr>
        <w:pStyle w:val="ListBullet"/>
        <w:rPr>
          <w:lang w:eastAsia="en-AU"/>
        </w:rPr>
      </w:pPr>
      <w:r w:rsidRPr="00C20CC4">
        <w:rPr>
          <w:lang w:eastAsia="en-AU"/>
        </w:rPr>
        <w:t>Child homicide</w:t>
      </w:r>
    </w:p>
    <w:p w:rsidR="00C20CC4" w:rsidRPr="00C20CC4" w:rsidRDefault="00C20CC4" w:rsidP="004D0BDE">
      <w:pPr>
        <w:pStyle w:val="ListBullet"/>
        <w:rPr>
          <w:lang w:eastAsia="en-AU"/>
        </w:rPr>
      </w:pPr>
      <w:r w:rsidRPr="00C20CC4">
        <w:rPr>
          <w:lang w:eastAsia="en-AU"/>
        </w:rPr>
        <w:t>Early childhood development</w:t>
      </w:r>
    </w:p>
    <w:p w:rsidR="00C20CC4" w:rsidRPr="00C20CC4" w:rsidRDefault="00C20CC4" w:rsidP="004D0BDE">
      <w:pPr>
        <w:pStyle w:val="ListBullet"/>
        <w:rPr>
          <w:lang w:eastAsia="en-AU"/>
        </w:rPr>
      </w:pPr>
      <w:r w:rsidRPr="00C20CC4">
        <w:rPr>
          <w:lang w:eastAsia="en-AU"/>
        </w:rPr>
        <w:t>Child social and emotional wellbeing</w:t>
      </w:r>
    </w:p>
    <w:p w:rsidR="00C20CC4" w:rsidRPr="006D546C" w:rsidRDefault="00C20CC4" w:rsidP="004D0BDE">
      <w:pPr>
        <w:pStyle w:val="ListBullet"/>
        <w:rPr>
          <w:lang w:eastAsia="en-AU"/>
        </w:rPr>
      </w:pPr>
      <w:r w:rsidRPr="00C20CC4">
        <w:rPr>
          <w:lang w:eastAsia="en-AU"/>
        </w:rPr>
        <w:t>Family economic situation.</w:t>
      </w:r>
    </w:p>
    <w:p w:rsidR="006D546C" w:rsidRPr="006D546C" w:rsidRDefault="006D546C" w:rsidP="006D546C">
      <w:pPr>
        <w:rPr>
          <w:rFonts w:ascii="Calibri" w:hAnsi="Calibri" w:cs="Calibri"/>
          <w:sz w:val="24"/>
          <w:szCs w:val="24"/>
          <w:lang w:eastAsia="en-AU"/>
        </w:rPr>
      </w:pPr>
    </w:p>
    <w:p w:rsidR="006D546C" w:rsidRPr="006D546C" w:rsidRDefault="006D546C" w:rsidP="006D546C">
      <w:pPr>
        <w:rPr>
          <w:rFonts w:ascii="Calibri" w:hAnsi="Calibri" w:cs="Calibri"/>
          <w:sz w:val="24"/>
          <w:szCs w:val="24"/>
          <w:lang w:eastAsia="en-AU"/>
        </w:rPr>
      </w:pPr>
      <w:r w:rsidRPr="006D546C">
        <w:rPr>
          <w:rFonts w:ascii="Calibri" w:hAnsi="Calibri" w:cs="Calibri"/>
          <w:sz w:val="24"/>
          <w:szCs w:val="24"/>
          <w:lang w:eastAsia="en-AU"/>
        </w:rPr>
        <w:t xml:space="preserve">Information in the following pages brings together these indicators to paint a picture of the safety and wellbeing of our children. Much of this information is publicly available, and existing reports are acknowledged throughout this publication. </w:t>
      </w:r>
      <w:proofErr w:type="gramStart"/>
      <w:r w:rsidRPr="006D546C">
        <w:rPr>
          <w:rFonts w:ascii="Calibri" w:hAnsi="Calibri" w:cs="Calibri"/>
          <w:sz w:val="24"/>
          <w:szCs w:val="24"/>
          <w:lang w:eastAsia="en-AU"/>
        </w:rPr>
        <w:t xml:space="preserve">This </w:t>
      </w:r>
      <w:r w:rsidRPr="00AE7DB5">
        <w:rPr>
          <w:rFonts w:ascii="Calibri" w:hAnsi="Calibri" w:cs="Calibri"/>
          <w:sz w:val="24"/>
          <w:szCs w:val="24"/>
          <w:lang w:eastAsia="en-AU"/>
        </w:rPr>
        <w:t>2012–13 Annual Report of the National Framework</w:t>
      </w:r>
      <w:proofErr w:type="gramEnd"/>
      <w:r w:rsidRPr="006D546C">
        <w:rPr>
          <w:rFonts w:ascii="Calibri" w:hAnsi="Calibri" w:cs="Calibri"/>
          <w:i/>
          <w:sz w:val="24"/>
          <w:szCs w:val="24"/>
          <w:lang w:eastAsia="en-AU"/>
        </w:rPr>
        <w:t xml:space="preserve"> </w:t>
      </w:r>
      <w:r w:rsidRPr="006D546C">
        <w:rPr>
          <w:rFonts w:ascii="Calibri" w:hAnsi="Calibri" w:cs="Calibri"/>
          <w:sz w:val="24"/>
          <w:szCs w:val="24"/>
          <w:lang w:eastAsia="en-AU"/>
        </w:rPr>
        <w:t>brings the data together for a comprehensive view of progress.</w:t>
      </w:r>
    </w:p>
    <w:p w:rsidR="006D546C" w:rsidRPr="006D546C" w:rsidRDefault="006D546C" w:rsidP="006D546C">
      <w:pPr>
        <w:rPr>
          <w:rFonts w:ascii="Calibri" w:hAnsi="Calibri" w:cs="Calibri"/>
          <w:sz w:val="24"/>
          <w:szCs w:val="24"/>
          <w:lang w:eastAsia="en-AU"/>
        </w:rPr>
      </w:pPr>
    </w:p>
    <w:p w:rsidR="006D546C" w:rsidRPr="006D546C" w:rsidRDefault="006D546C" w:rsidP="006D546C">
      <w:pPr>
        <w:rPr>
          <w:rFonts w:ascii="Calibri" w:hAnsi="Calibri" w:cs="Calibri"/>
          <w:sz w:val="24"/>
          <w:szCs w:val="24"/>
          <w:lang w:eastAsia="en-AU"/>
        </w:rPr>
      </w:pPr>
      <w:r w:rsidRPr="006D546C">
        <w:rPr>
          <w:rFonts w:ascii="Calibri" w:hAnsi="Calibri" w:cs="Calibri"/>
          <w:sz w:val="24"/>
          <w:szCs w:val="24"/>
          <w:lang w:eastAsia="en-AU"/>
        </w:rPr>
        <w:t>It is</w:t>
      </w:r>
      <w:r w:rsidR="000D237F">
        <w:rPr>
          <w:rFonts w:ascii="Calibri" w:hAnsi="Calibri" w:cs="Calibri"/>
          <w:sz w:val="24"/>
          <w:szCs w:val="24"/>
          <w:lang w:eastAsia="en-AU"/>
        </w:rPr>
        <w:t>,</w:t>
      </w:r>
      <w:r w:rsidRPr="006D546C">
        <w:rPr>
          <w:rFonts w:ascii="Calibri" w:hAnsi="Calibri" w:cs="Calibri"/>
          <w:sz w:val="24"/>
          <w:szCs w:val="24"/>
          <w:lang w:eastAsia="en-AU"/>
        </w:rPr>
        <w:t xml:space="preserve"> of course</w:t>
      </w:r>
      <w:r w:rsidR="000D237F">
        <w:rPr>
          <w:rFonts w:ascii="Calibri" w:hAnsi="Calibri" w:cs="Calibri"/>
          <w:sz w:val="24"/>
          <w:szCs w:val="24"/>
          <w:lang w:eastAsia="en-AU"/>
        </w:rPr>
        <w:t>,</w:t>
      </w:r>
      <w:r w:rsidRPr="006D546C">
        <w:rPr>
          <w:rFonts w:ascii="Calibri" w:hAnsi="Calibri" w:cs="Calibri"/>
          <w:sz w:val="24"/>
          <w:szCs w:val="24"/>
          <w:lang w:eastAsia="en-AU"/>
        </w:rPr>
        <w:t xml:space="preserve"> still early in the life of the National Framework. It is difficult to draw many conclusions about whether or not the Framework is making a difference at this time. Indeed, it may not be possible to judge the impact of the Framework for several years. Nonetheless, it is important to begin gathering data and reporting as early as possible, and to continue measuring the same aspects of children’s lives year after year, so that trends can easily be observed.</w:t>
      </w:r>
    </w:p>
    <w:p w:rsidR="00F0794D" w:rsidRPr="00F62628" w:rsidRDefault="00A93EC7" w:rsidP="00F15AD4">
      <w:pPr>
        <w:pStyle w:val="Heading3"/>
      </w:pPr>
      <w:bookmarkStart w:id="66" w:name="_Toc400007690"/>
      <w:r w:rsidRPr="00F62628">
        <w:t>Child protection substantiations</w:t>
      </w:r>
      <w:bookmarkEnd w:id="66"/>
    </w:p>
    <w:p w:rsidR="00A93EC7" w:rsidRPr="006E4356" w:rsidRDefault="00A93EC7" w:rsidP="004E56D5">
      <w:pPr>
        <w:pStyle w:val="Heading4a"/>
      </w:pPr>
      <w:r w:rsidRPr="006E4356">
        <w:t xml:space="preserve">Indicator 0.1: Rate of children aged 0–17 years who were the subject of child protection substantiation </w:t>
      </w:r>
    </w:p>
    <w:p w:rsidR="00A93EC7" w:rsidRPr="006E4356" w:rsidRDefault="00A93EC7" w:rsidP="006E4356">
      <w:pPr>
        <w:rPr>
          <w:rFonts w:ascii="Calibri" w:hAnsi="Calibri"/>
          <w:sz w:val="24"/>
        </w:rPr>
      </w:pPr>
    </w:p>
    <w:p w:rsidR="00A93EC7" w:rsidRPr="00BE4463" w:rsidRDefault="00A93EC7" w:rsidP="00A93EC7">
      <w:pPr>
        <w:rPr>
          <w:rFonts w:ascii="Calibri" w:hAnsi="Calibri" w:cs="Calibri"/>
          <w:sz w:val="24"/>
          <w:szCs w:val="24"/>
        </w:rPr>
      </w:pPr>
      <w:r w:rsidRPr="00BE4463">
        <w:rPr>
          <w:rFonts w:ascii="Calibri" w:hAnsi="Calibri" w:cs="Calibri"/>
          <w:sz w:val="24"/>
          <w:szCs w:val="24"/>
        </w:rPr>
        <w:t>Child abuse and neglect can negatively affect a child’s development, including physical, psychological, cognitive, behavioural and social aspects. It can result in attachment difficulties, trauma, physical health problems and learning difficulties (Lamont 2010). The negative effects of child abuse and neglect can be long lasting</w:t>
      </w:r>
      <w:r w:rsidR="00472571">
        <w:rPr>
          <w:rFonts w:ascii="Calibri" w:hAnsi="Calibri" w:cs="Calibri"/>
          <w:sz w:val="24"/>
          <w:szCs w:val="24"/>
        </w:rPr>
        <w:t>:</w:t>
      </w:r>
      <w:r w:rsidRPr="00BE4463">
        <w:rPr>
          <w:rFonts w:ascii="Calibri" w:hAnsi="Calibri" w:cs="Calibri"/>
          <w:sz w:val="24"/>
          <w:szCs w:val="24"/>
        </w:rPr>
        <w:t xml:space="preserve"> young people and adults who were abused or neglected during childhood commonly experience mental health problems, and there is a strong association between sexual abuse and substance abuse (Lamont 2010).</w:t>
      </w:r>
    </w:p>
    <w:p w:rsidR="00A93EC7" w:rsidRPr="00BE4463" w:rsidRDefault="00A93EC7" w:rsidP="00A93EC7">
      <w:pPr>
        <w:rPr>
          <w:rFonts w:ascii="Calibri" w:hAnsi="Calibri" w:cs="Calibri"/>
          <w:sz w:val="24"/>
          <w:szCs w:val="24"/>
        </w:rPr>
      </w:pPr>
    </w:p>
    <w:p w:rsidR="00A93EC7" w:rsidRPr="00BE4463" w:rsidRDefault="00A93EC7" w:rsidP="00A93EC7">
      <w:pPr>
        <w:rPr>
          <w:rFonts w:ascii="Calibri" w:hAnsi="Calibri" w:cs="Calibri"/>
          <w:sz w:val="24"/>
          <w:szCs w:val="24"/>
        </w:rPr>
      </w:pPr>
      <w:r>
        <w:rPr>
          <w:rFonts w:ascii="Calibri" w:hAnsi="Calibri" w:cs="Calibri"/>
          <w:sz w:val="24"/>
          <w:szCs w:val="24"/>
        </w:rPr>
        <w:t>Child protection substantiations capture cases that have been reported to the state and territory departments responsible for child protection</w:t>
      </w:r>
      <w:r w:rsidR="0034383F">
        <w:rPr>
          <w:rFonts w:ascii="Calibri" w:hAnsi="Calibri" w:cs="Calibri"/>
          <w:sz w:val="24"/>
          <w:szCs w:val="24"/>
        </w:rPr>
        <w:t xml:space="preserve"> and found to have substance</w:t>
      </w:r>
      <w:r>
        <w:rPr>
          <w:rFonts w:ascii="Calibri" w:hAnsi="Calibri" w:cs="Calibri"/>
          <w:sz w:val="24"/>
          <w:szCs w:val="24"/>
        </w:rPr>
        <w:t xml:space="preserve">. </w:t>
      </w:r>
      <w:r w:rsidRPr="00BE4463">
        <w:rPr>
          <w:rFonts w:ascii="Calibri" w:hAnsi="Calibri" w:cs="Calibri"/>
          <w:sz w:val="24"/>
          <w:szCs w:val="24"/>
        </w:rPr>
        <w:t>A substantiation of a notification is the conclusion (following an investigation) that a child has been, is being, or is likely to be, abused, neglected or otherwise harmed.</w:t>
      </w:r>
    </w:p>
    <w:p w:rsidR="00A93EC7" w:rsidRPr="00BE4463" w:rsidRDefault="00A93EC7" w:rsidP="00A93EC7">
      <w:pPr>
        <w:rPr>
          <w:rFonts w:ascii="Calibri" w:hAnsi="Calibri" w:cs="Calibri"/>
          <w:sz w:val="24"/>
          <w:szCs w:val="24"/>
        </w:rPr>
      </w:pPr>
    </w:p>
    <w:p w:rsidR="00A93EC7" w:rsidRPr="00BE4463" w:rsidRDefault="00A93EC7" w:rsidP="00A93EC7">
      <w:pPr>
        <w:rPr>
          <w:rFonts w:ascii="Calibri" w:hAnsi="Calibri" w:cs="Calibri"/>
        </w:rPr>
      </w:pPr>
      <w:r>
        <w:rPr>
          <w:rFonts w:ascii="Calibri" w:hAnsi="Calibri" w:cs="Calibri"/>
          <w:sz w:val="24"/>
          <w:szCs w:val="24"/>
        </w:rPr>
        <w:t>T</w:t>
      </w:r>
      <w:r w:rsidRPr="00BE4463">
        <w:rPr>
          <w:rFonts w:ascii="Calibri" w:hAnsi="Calibri" w:cs="Calibri"/>
          <w:sz w:val="24"/>
          <w:szCs w:val="24"/>
        </w:rPr>
        <w:t xml:space="preserve">he rate of children who were the subject of substantiations </w:t>
      </w:r>
      <w:r>
        <w:rPr>
          <w:rFonts w:ascii="Calibri" w:hAnsi="Calibri" w:cs="Calibri"/>
          <w:sz w:val="24"/>
          <w:szCs w:val="24"/>
        </w:rPr>
        <w:t xml:space="preserve">remained steady in </w:t>
      </w:r>
      <w:r w:rsidRPr="00BE4463">
        <w:rPr>
          <w:rFonts w:ascii="Calibri" w:hAnsi="Calibri" w:cs="Calibri"/>
          <w:sz w:val="24"/>
          <w:szCs w:val="24"/>
        </w:rPr>
        <w:t>200</w:t>
      </w:r>
      <w:r>
        <w:rPr>
          <w:rFonts w:ascii="Calibri" w:hAnsi="Calibri" w:cs="Calibri"/>
          <w:sz w:val="24"/>
          <w:szCs w:val="24"/>
        </w:rPr>
        <w:t>9</w:t>
      </w:r>
      <w:r w:rsidR="00CA0058">
        <w:rPr>
          <w:rFonts w:ascii="Calibri" w:hAnsi="Calibri" w:cs="Calibri"/>
          <w:sz w:val="24"/>
          <w:szCs w:val="24"/>
        </w:rPr>
        <w:t>–</w:t>
      </w:r>
      <w:r>
        <w:rPr>
          <w:rFonts w:ascii="Calibri" w:hAnsi="Calibri" w:cs="Calibri"/>
          <w:sz w:val="24"/>
          <w:szCs w:val="24"/>
        </w:rPr>
        <w:t>1</w:t>
      </w:r>
      <w:r w:rsidRPr="00BE4463">
        <w:rPr>
          <w:rFonts w:ascii="Calibri" w:hAnsi="Calibri" w:cs="Calibri"/>
          <w:sz w:val="24"/>
          <w:szCs w:val="24"/>
        </w:rPr>
        <w:t>0 and 2010–11</w:t>
      </w:r>
      <w:r>
        <w:rPr>
          <w:rFonts w:ascii="Calibri" w:hAnsi="Calibri" w:cs="Calibri"/>
          <w:sz w:val="24"/>
          <w:szCs w:val="24"/>
        </w:rPr>
        <w:t xml:space="preserve"> </w:t>
      </w:r>
      <w:r w:rsidRPr="00BE4463">
        <w:rPr>
          <w:rFonts w:ascii="Calibri" w:hAnsi="Calibri" w:cs="Calibri"/>
          <w:sz w:val="24"/>
          <w:szCs w:val="24"/>
        </w:rPr>
        <w:t>(6.1 per 1000 children). In 2011–12, 37 781 children were the subject of a substantiation of a notification, increasing the rate to 7.4 per 1000 children.</w:t>
      </w:r>
      <w:r>
        <w:rPr>
          <w:rFonts w:ascii="Calibri" w:hAnsi="Calibri" w:cs="Calibri"/>
          <w:sz w:val="24"/>
          <w:szCs w:val="24"/>
        </w:rPr>
        <w:t xml:space="preserve"> </w:t>
      </w:r>
      <w:r w:rsidRPr="00BE4463">
        <w:rPr>
          <w:rStyle w:val="BookTitle"/>
          <w:rFonts w:ascii="Calibri" w:hAnsi="Calibri" w:cs="Calibri"/>
          <w:i w:val="0"/>
          <w:iCs w:val="0"/>
          <w:smallCaps w:val="0"/>
          <w:spacing w:val="0"/>
          <w:sz w:val="24"/>
          <w:szCs w:val="24"/>
        </w:rPr>
        <w:t xml:space="preserve">Although a real change in the incidence of abuse and neglect may contribute to the observed increase, enhanced public awareness and changes to policy, practice and legislation in jurisdictions are also </w:t>
      </w:r>
      <w:r w:rsidR="00EB33AA">
        <w:rPr>
          <w:rStyle w:val="BookTitle"/>
          <w:rFonts w:ascii="Calibri" w:hAnsi="Calibri" w:cs="Calibri"/>
          <w:i w:val="0"/>
          <w:iCs w:val="0"/>
          <w:smallCaps w:val="0"/>
          <w:spacing w:val="0"/>
          <w:sz w:val="24"/>
          <w:szCs w:val="24"/>
        </w:rPr>
        <w:t xml:space="preserve">thought to be </w:t>
      </w:r>
      <w:r w:rsidRPr="00BE4463">
        <w:rPr>
          <w:rStyle w:val="BookTitle"/>
          <w:rFonts w:ascii="Calibri" w:hAnsi="Calibri" w:cs="Calibri"/>
          <w:i w:val="0"/>
          <w:iCs w:val="0"/>
          <w:smallCaps w:val="0"/>
          <w:spacing w:val="0"/>
          <w:sz w:val="24"/>
          <w:szCs w:val="24"/>
        </w:rPr>
        <w:t>contributing factors.</w:t>
      </w:r>
    </w:p>
    <w:p w:rsidR="00A93EC7" w:rsidRPr="00BE4463" w:rsidRDefault="00A93EC7" w:rsidP="00A93EC7">
      <w:pPr>
        <w:rPr>
          <w:rFonts w:ascii="Calibri" w:hAnsi="Calibri" w:cs="Calibri"/>
          <w:sz w:val="24"/>
          <w:szCs w:val="24"/>
        </w:rPr>
      </w:pPr>
    </w:p>
    <w:p w:rsidR="00A93EC7" w:rsidRPr="00BE4463" w:rsidRDefault="00A93EC7" w:rsidP="00A93EC7">
      <w:pPr>
        <w:rPr>
          <w:rFonts w:ascii="Calibri" w:hAnsi="Calibri" w:cs="Calibri"/>
          <w:sz w:val="24"/>
          <w:szCs w:val="24"/>
        </w:rPr>
      </w:pPr>
      <w:r w:rsidRPr="00BE4463">
        <w:rPr>
          <w:rFonts w:ascii="Calibri" w:hAnsi="Calibri" w:cs="Calibri"/>
          <w:sz w:val="24"/>
          <w:szCs w:val="24"/>
        </w:rPr>
        <w:t xml:space="preserve">In 2011–12, children aged under 12 months were most likely to be the subject of a substantiation (13.2 per 1000 children), and children aged 15 to 17 years were least likely (3.2 per 1000 children). This reflects a similar pattern from recent years (AIHW 2013a). </w:t>
      </w:r>
    </w:p>
    <w:p w:rsidR="00A93EC7" w:rsidRPr="00BE4463" w:rsidRDefault="00A93EC7" w:rsidP="00A93EC7">
      <w:pPr>
        <w:rPr>
          <w:rFonts w:ascii="Calibri" w:hAnsi="Calibri" w:cs="Calibri"/>
          <w:sz w:val="24"/>
          <w:szCs w:val="24"/>
        </w:rPr>
      </w:pPr>
    </w:p>
    <w:p w:rsidR="00A93EC7" w:rsidRDefault="00A93EC7" w:rsidP="00A93EC7">
      <w:pPr>
        <w:rPr>
          <w:rFonts w:ascii="Calibri" w:hAnsi="Calibri" w:cs="Calibri"/>
          <w:sz w:val="24"/>
          <w:szCs w:val="24"/>
        </w:rPr>
      </w:pPr>
      <w:r w:rsidRPr="00BE4463">
        <w:rPr>
          <w:rFonts w:ascii="Calibri" w:hAnsi="Calibri" w:cs="Calibri"/>
          <w:sz w:val="24"/>
          <w:szCs w:val="24"/>
        </w:rPr>
        <w:t>Aboriginal and Torres Strait Islander children accounted for just over one-quarter (27 per cent) of children subject to substantiations in 2011–12 and are almost eight times as likely to be subject to substantiations than non-Indigenous children (41.9 per 1000 children, compared to 5.4 per 1000 children).</w:t>
      </w:r>
    </w:p>
    <w:p w:rsidR="00EC1136" w:rsidRPr="00BE4463" w:rsidRDefault="00EC1136" w:rsidP="00A93EC7">
      <w:pPr>
        <w:rPr>
          <w:rFonts w:ascii="Calibri" w:hAnsi="Calibri" w:cs="Calibri"/>
          <w:sz w:val="24"/>
          <w:szCs w:val="24"/>
        </w:rPr>
      </w:pPr>
    </w:p>
    <w:p w:rsidR="00D425AB" w:rsidRPr="00822A3A" w:rsidRDefault="007D7AC1" w:rsidP="00C73C17">
      <w:pPr>
        <w:pStyle w:val="Figure"/>
        <w:ind w:right="2527"/>
      </w:pPr>
      <w:bookmarkStart w:id="67" w:name="_Toc400010288"/>
      <w:r>
        <w:t xml:space="preserve">Table </w:t>
      </w:r>
      <w:fldSimple w:instr=" SEQ Table \* ARABIC ">
        <w:r w:rsidR="00BF1EC9">
          <w:rPr>
            <w:noProof/>
          </w:rPr>
          <w:t>2</w:t>
        </w:r>
      </w:fldSimple>
      <w:r>
        <w:t xml:space="preserve">: </w:t>
      </w:r>
      <w:r w:rsidRPr="007D7AC1">
        <w:t>Children aged 0–17 years subject to substantiation of a notification, by Indigenous status, 2009–10 to 2011–12</w:t>
      </w:r>
      <w:bookmarkEnd w:id="67"/>
    </w:p>
    <w:tbl>
      <w:tblPr>
        <w:tblW w:w="3501" w:type="pct"/>
        <w:tblLook w:val="04A0" w:firstRow="1" w:lastRow="0" w:firstColumn="1" w:lastColumn="0" w:noHBand="0" w:noVBand="1"/>
        <w:tblDescription w:val="Table 2: Children aged 0–17 years subject to substantiation of a notification, by Indigenous status, 2009–10 to 2011–12."/>
      </w:tblPr>
      <w:tblGrid>
        <w:gridCol w:w="2377"/>
        <w:gridCol w:w="1698"/>
        <w:gridCol w:w="1702"/>
        <w:gridCol w:w="1702"/>
      </w:tblGrid>
      <w:tr w:rsidR="00E8141E" w:rsidRPr="00821556" w:rsidTr="007766F2">
        <w:trPr>
          <w:trHeight w:val="288"/>
        </w:trPr>
        <w:tc>
          <w:tcPr>
            <w:tcW w:w="1589" w:type="pct"/>
            <w:tcBorders>
              <w:top w:val="single" w:sz="4" w:space="0" w:color="auto"/>
            </w:tcBorders>
            <w:shd w:val="clear" w:color="000000" w:fill="FFFFFF"/>
            <w:noWrap/>
            <w:vAlign w:val="bottom"/>
          </w:tcPr>
          <w:p w:rsidR="00466AA7" w:rsidRPr="00821556" w:rsidRDefault="00E8141E" w:rsidP="00135409">
            <w:pPr>
              <w:pStyle w:val="TableFigText"/>
              <w:rPr>
                <w:rFonts w:eastAsia="Calibri" w:cs="Arial"/>
                <w:szCs w:val="16"/>
              </w:rPr>
            </w:pPr>
            <w:r w:rsidRPr="00821556">
              <w:rPr>
                <w:rFonts w:eastAsia="Calibri" w:cs="Arial"/>
                <w:b/>
                <w:bCs/>
                <w:szCs w:val="16"/>
              </w:rPr>
              <w:t>Indigenous status</w:t>
            </w:r>
            <w:r w:rsidRPr="00ED14F8">
              <w:rPr>
                <w:rFonts w:eastAsia="Calibri" w:cs="Arial"/>
                <w:b/>
                <w:bCs/>
                <w:szCs w:val="16"/>
                <w:vertAlign w:val="superscript"/>
              </w:rPr>
              <w:t>(a)</w:t>
            </w:r>
          </w:p>
        </w:tc>
        <w:tc>
          <w:tcPr>
            <w:tcW w:w="1135" w:type="pct"/>
            <w:tcBorders>
              <w:top w:val="single" w:sz="4" w:space="0" w:color="auto"/>
            </w:tcBorders>
            <w:shd w:val="clear" w:color="000000" w:fill="FFFFFF"/>
            <w:vAlign w:val="bottom"/>
          </w:tcPr>
          <w:p w:rsidR="00466AA7" w:rsidRPr="00821556" w:rsidRDefault="00E8141E" w:rsidP="003F4913">
            <w:pPr>
              <w:pStyle w:val="TableFigText"/>
              <w:jc w:val="right"/>
              <w:rPr>
                <w:rFonts w:eastAsia="Calibri" w:cs="Arial"/>
                <w:b/>
                <w:bCs/>
                <w:szCs w:val="16"/>
              </w:rPr>
            </w:pPr>
            <w:r>
              <w:rPr>
                <w:rFonts w:eastAsia="Calibri" w:cs="Arial"/>
                <w:b/>
                <w:bCs/>
                <w:szCs w:val="16"/>
              </w:rPr>
              <w:t>No of children</w:t>
            </w:r>
            <w:r>
              <w:rPr>
                <w:rFonts w:eastAsia="Calibri" w:cs="Arial"/>
                <w:b/>
                <w:bCs/>
                <w:szCs w:val="16"/>
              </w:rPr>
              <w:br/>
            </w:r>
            <w:r w:rsidR="00466AA7" w:rsidRPr="00821556">
              <w:rPr>
                <w:rFonts w:eastAsia="Calibri" w:cs="Arial"/>
                <w:b/>
                <w:bCs/>
                <w:szCs w:val="16"/>
              </w:rPr>
              <w:t>2009–10</w:t>
            </w:r>
          </w:p>
        </w:tc>
        <w:tc>
          <w:tcPr>
            <w:tcW w:w="1138" w:type="pct"/>
            <w:tcBorders>
              <w:top w:val="single" w:sz="4" w:space="0" w:color="auto"/>
            </w:tcBorders>
            <w:shd w:val="clear" w:color="000000" w:fill="FFFFFF"/>
            <w:vAlign w:val="bottom"/>
          </w:tcPr>
          <w:p w:rsidR="00466AA7" w:rsidRPr="00821556" w:rsidRDefault="00E8141E" w:rsidP="003F4913">
            <w:pPr>
              <w:pStyle w:val="TableFigText"/>
              <w:jc w:val="right"/>
              <w:rPr>
                <w:rFonts w:eastAsia="Calibri" w:cs="Arial"/>
                <w:b/>
                <w:bCs/>
                <w:szCs w:val="16"/>
              </w:rPr>
            </w:pPr>
            <w:r>
              <w:rPr>
                <w:rFonts w:eastAsia="Calibri" w:cs="Arial"/>
                <w:b/>
                <w:bCs/>
                <w:szCs w:val="16"/>
              </w:rPr>
              <w:t>No of children</w:t>
            </w:r>
            <w:r>
              <w:rPr>
                <w:rFonts w:eastAsia="Calibri" w:cs="Arial"/>
                <w:b/>
                <w:bCs/>
                <w:szCs w:val="16"/>
              </w:rPr>
              <w:br/>
            </w:r>
            <w:r w:rsidR="00466AA7" w:rsidRPr="00821556">
              <w:rPr>
                <w:rFonts w:eastAsia="Calibri" w:cs="Arial"/>
                <w:b/>
                <w:bCs/>
                <w:szCs w:val="16"/>
              </w:rPr>
              <w:t>2010–11</w:t>
            </w:r>
          </w:p>
        </w:tc>
        <w:tc>
          <w:tcPr>
            <w:tcW w:w="1138" w:type="pct"/>
            <w:tcBorders>
              <w:top w:val="single" w:sz="4" w:space="0" w:color="auto"/>
            </w:tcBorders>
            <w:shd w:val="clear" w:color="000000" w:fill="FFFFFF"/>
          </w:tcPr>
          <w:p w:rsidR="00466AA7" w:rsidRPr="00821556" w:rsidRDefault="00E8141E" w:rsidP="003F4913">
            <w:pPr>
              <w:pStyle w:val="TableFigText"/>
              <w:jc w:val="right"/>
              <w:rPr>
                <w:rFonts w:eastAsia="Calibri" w:cs="Arial"/>
                <w:b/>
                <w:bCs/>
                <w:szCs w:val="16"/>
              </w:rPr>
            </w:pPr>
            <w:r>
              <w:rPr>
                <w:rFonts w:eastAsia="Calibri" w:cs="Arial"/>
                <w:b/>
                <w:bCs/>
                <w:szCs w:val="16"/>
              </w:rPr>
              <w:t>No of children</w:t>
            </w:r>
            <w:r>
              <w:rPr>
                <w:rFonts w:eastAsia="Calibri" w:cs="Arial"/>
                <w:b/>
                <w:bCs/>
                <w:szCs w:val="16"/>
              </w:rPr>
              <w:br/>
            </w:r>
            <w:r w:rsidR="00466AA7" w:rsidRPr="00821556">
              <w:rPr>
                <w:rFonts w:eastAsia="Calibri" w:cs="Arial"/>
                <w:b/>
                <w:bCs/>
                <w:szCs w:val="16"/>
              </w:rPr>
              <w:t>2011–12</w:t>
            </w:r>
          </w:p>
        </w:tc>
      </w:tr>
      <w:tr w:rsidR="00E8141E" w:rsidRPr="00821556" w:rsidTr="00E8141E">
        <w:trPr>
          <w:trHeight w:val="288"/>
        </w:trPr>
        <w:tc>
          <w:tcPr>
            <w:tcW w:w="1589" w:type="pct"/>
            <w:shd w:val="clear" w:color="000000" w:fill="FFFFFF"/>
            <w:noWrap/>
            <w:vAlign w:val="bottom"/>
            <w:hideMark/>
          </w:tcPr>
          <w:p w:rsidR="00D425AB" w:rsidRPr="00821556" w:rsidRDefault="00D425AB" w:rsidP="00135409">
            <w:pPr>
              <w:pStyle w:val="TableFigText"/>
              <w:rPr>
                <w:rFonts w:eastAsia="Calibri" w:cs="Arial"/>
                <w:szCs w:val="16"/>
              </w:rPr>
            </w:pPr>
            <w:r w:rsidRPr="00821556">
              <w:rPr>
                <w:rFonts w:eastAsia="Calibri" w:cs="Arial"/>
                <w:szCs w:val="16"/>
              </w:rPr>
              <w:t>Indigenous</w:t>
            </w:r>
          </w:p>
        </w:tc>
        <w:tc>
          <w:tcPr>
            <w:tcW w:w="1135" w:type="pct"/>
            <w:shd w:val="clear" w:color="000000" w:fill="FFFFFF"/>
            <w:vAlign w:val="center"/>
            <w:hideMark/>
          </w:tcPr>
          <w:p w:rsidR="00D425AB" w:rsidRPr="00821556" w:rsidRDefault="00D425AB" w:rsidP="00E62112">
            <w:pPr>
              <w:pStyle w:val="TableFigText"/>
              <w:jc w:val="right"/>
              <w:rPr>
                <w:rFonts w:eastAsia="Calibri" w:cs="Arial"/>
                <w:szCs w:val="16"/>
              </w:rPr>
            </w:pPr>
            <w:r w:rsidRPr="00821556">
              <w:rPr>
                <w:rFonts w:eastAsia="Calibri" w:cs="Arial"/>
                <w:szCs w:val="16"/>
              </w:rPr>
              <w:t>8334</w:t>
            </w:r>
          </w:p>
        </w:tc>
        <w:tc>
          <w:tcPr>
            <w:tcW w:w="1138" w:type="pct"/>
            <w:shd w:val="clear" w:color="000000" w:fill="FFFFFF"/>
            <w:vAlign w:val="center"/>
            <w:hideMark/>
          </w:tcPr>
          <w:p w:rsidR="00D425AB" w:rsidRPr="00821556" w:rsidRDefault="00D425AB" w:rsidP="00135409">
            <w:pPr>
              <w:pStyle w:val="TableFigText"/>
              <w:jc w:val="right"/>
              <w:rPr>
                <w:rFonts w:eastAsia="Calibri" w:cs="Arial"/>
                <w:szCs w:val="16"/>
              </w:rPr>
            </w:pPr>
            <w:r w:rsidRPr="00821556">
              <w:rPr>
                <w:rFonts w:eastAsia="Calibri" w:cs="Arial"/>
                <w:szCs w:val="16"/>
              </w:rPr>
              <w:t>8</w:t>
            </w:r>
            <w:r>
              <w:rPr>
                <w:rFonts w:eastAsia="Calibri" w:cs="Arial"/>
                <w:szCs w:val="16"/>
              </w:rPr>
              <w:t> </w:t>
            </w:r>
            <w:r w:rsidRPr="00821556">
              <w:rPr>
                <w:rFonts w:eastAsia="Calibri" w:cs="Arial"/>
                <w:szCs w:val="16"/>
              </w:rPr>
              <w:t>231</w:t>
            </w:r>
          </w:p>
        </w:tc>
        <w:tc>
          <w:tcPr>
            <w:tcW w:w="1138" w:type="pct"/>
            <w:shd w:val="clear" w:color="000000" w:fill="FFFFFF"/>
          </w:tcPr>
          <w:p w:rsidR="00D425AB" w:rsidRPr="00821556" w:rsidRDefault="00D425AB" w:rsidP="00E62112">
            <w:pPr>
              <w:pStyle w:val="TableFigText"/>
              <w:jc w:val="right"/>
              <w:rPr>
                <w:rFonts w:eastAsia="Calibri" w:cs="Arial"/>
                <w:szCs w:val="16"/>
              </w:rPr>
            </w:pPr>
            <w:r w:rsidRPr="00821556">
              <w:rPr>
                <w:rFonts w:eastAsia="Calibri" w:cs="Arial"/>
                <w:szCs w:val="16"/>
              </w:rPr>
              <w:t>10</w:t>
            </w:r>
            <w:r w:rsidR="00E62112">
              <w:rPr>
                <w:rFonts w:eastAsia="Calibri" w:cs="Arial"/>
                <w:szCs w:val="16"/>
              </w:rPr>
              <w:t> </w:t>
            </w:r>
            <w:r w:rsidRPr="00821556">
              <w:rPr>
                <w:rFonts w:eastAsia="Calibri" w:cs="Arial"/>
                <w:szCs w:val="16"/>
              </w:rPr>
              <w:t>058</w:t>
            </w:r>
          </w:p>
        </w:tc>
      </w:tr>
      <w:tr w:rsidR="00E8141E" w:rsidRPr="00821556" w:rsidTr="00E8141E">
        <w:trPr>
          <w:trHeight w:val="300"/>
        </w:trPr>
        <w:tc>
          <w:tcPr>
            <w:tcW w:w="1589" w:type="pct"/>
            <w:shd w:val="clear" w:color="000000" w:fill="FFFFFF"/>
            <w:noWrap/>
            <w:vAlign w:val="bottom"/>
            <w:hideMark/>
          </w:tcPr>
          <w:p w:rsidR="00D425AB" w:rsidRPr="00821556" w:rsidRDefault="00D425AB" w:rsidP="00135409">
            <w:pPr>
              <w:pStyle w:val="TableFigText"/>
              <w:rPr>
                <w:rFonts w:eastAsia="Calibri" w:cs="Arial"/>
                <w:szCs w:val="16"/>
              </w:rPr>
            </w:pPr>
            <w:r w:rsidRPr="00821556">
              <w:rPr>
                <w:rFonts w:eastAsia="Calibri" w:cs="Arial"/>
                <w:szCs w:val="16"/>
              </w:rPr>
              <w:t>Non-Indigenous</w:t>
            </w:r>
          </w:p>
        </w:tc>
        <w:tc>
          <w:tcPr>
            <w:tcW w:w="1135" w:type="pct"/>
            <w:shd w:val="clear" w:color="000000" w:fill="FFFFFF"/>
            <w:noWrap/>
            <w:vAlign w:val="center"/>
            <w:hideMark/>
          </w:tcPr>
          <w:p w:rsidR="00D425AB" w:rsidRPr="00821556" w:rsidRDefault="00D425AB" w:rsidP="00135409">
            <w:pPr>
              <w:pStyle w:val="TableFigText"/>
              <w:jc w:val="right"/>
              <w:rPr>
                <w:rFonts w:eastAsia="Calibri" w:cs="Arial"/>
                <w:szCs w:val="16"/>
              </w:rPr>
            </w:pPr>
            <w:r w:rsidRPr="00821556">
              <w:rPr>
                <w:rFonts w:eastAsia="Calibri" w:cs="Arial"/>
                <w:szCs w:val="16"/>
              </w:rPr>
              <w:t>22</w:t>
            </w:r>
            <w:r>
              <w:rPr>
                <w:rFonts w:eastAsia="Calibri" w:cs="Arial"/>
                <w:szCs w:val="16"/>
              </w:rPr>
              <w:t> </w:t>
            </w:r>
            <w:r w:rsidRPr="00821556">
              <w:rPr>
                <w:rFonts w:eastAsia="Calibri" w:cs="Arial"/>
                <w:szCs w:val="16"/>
              </w:rPr>
              <w:t>335</w:t>
            </w:r>
          </w:p>
        </w:tc>
        <w:tc>
          <w:tcPr>
            <w:tcW w:w="1138" w:type="pct"/>
            <w:shd w:val="clear" w:color="000000" w:fill="FFFFFF"/>
            <w:noWrap/>
            <w:vAlign w:val="center"/>
            <w:hideMark/>
          </w:tcPr>
          <w:p w:rsidR="00D425AB" w:rsidRPr="00821556" w:rsidRDefault="00D425AB" w:rsidP="00135409">
            <w:pPr>
              <w:pStyle w:val="TableFigText"/>
              <w:jc w:val="right"/>
              <w:rPr>
                <w:rFonts w:eastAsia="Calibri" w:cs="Arial"/>
                <w:szCs w:val="16"/>
              </w:rPr>
            </w:pPr>
            <w:r w:rsidRPr="00821556">
              <w:rPr>
                <w:rFonts w:eastAsia="Calibri" w:cs="Arial"/>
                <w:szCs w:val="16"/>
              </w:rPr>
              <w:t>22</w:t>
            </w:r>
            <w:r>
              <w:rPr>
                <w:rFonts w:eastAsia="Calibri" w:cs="Arial"/>
                <w:szCs w:val="16"/>
              </w:rPr>
              <w:t> </w:t>
            </w:r>
            <w:r w:rsidRPr="00821556">
              <w:rPr>
                <w:rFonts w:eastAsia="Calibri" w:cs="Arial"/>
                <w:szCs w:val="16"/>
              </w:rPr>
              <w:t>144</w:t>
            </w:r>
          </w:p>
        </w:tc>
        <w:tc>
          <w:tcPr>
            <w:tcW w:w="1138" w:type="pct"/>
            <w:shd w:val="clear" w:color="000000" w:fill="FFFFFF"/>
          </w:tcPr>
          <w:p w:rsidR="00D425AB" w:rsidRPr="00821556" w:rsidRDefault="00D425AB" w:rsidP="00135409">
            <w:pPr>
              <w:pStyle w:val="TableFigText"/>
              <w:jc w:val="right"/>
              <w:rPr>
                <w:rFonts w:eastAsia="Calibri" w:cs="Arial"/>
                <w:szCs w:val="16"/>
              </w:rPr>
            </w:pPr>
            <w:r w:rsidRPr="00821556">
              <w:rPr>
                <w:rFonts w:eastAsia="Calibri" w:cs="Arial"/>
                <w:szCs w:val="16"/>
              </w:rPr>
              <w:t>26</w:t>
            </w:r>
            <w:r>
              <w:rPr>
                <w:rFonts w:eastAsia="Calibri" w:cs="Arial"/>
                <w:szCs w:val="16"/>
              </w:rPr>
              <w:t> </w:t>
            </w:r>
            <w:r w:rsidRPr="00821556">
              <w:rPr>
                <w:rFonts w:eastAsia="Calibri" w:cs="Arial"/>
                <w:szCs w:val="16"/>
              </w:rPr>
              <w:t>183</w:t>
            </w:r>
          </w:p>
        </w:tc>
      </w:tr>
      <w:tr w:rsidR="00E8141E" w:rsidRPr="00821556" w:rsidTr="00E8141E">
        <w:trPr>
          <w:trHeight w:val="300"/>
        </w:trPr>
        <w:tc>
          <w:tcPr>
            <w:tcW w:w="1589" w:type="pct"/>
            <w:shd w:val="clear" w:color="000000" w:fill="FFFFFF"/>
            <w:noWrap/>
            <w:vAlign w:val="bottom"/>
          </w:tcPr>
          <w:p w:rsidR="00D425AB" w:rsidRPr="00821556" w:rsidRDefault="00D425AB" w:rsidP="00135409">
            <w:pPr>
              <w:pStyle w:val="TableFigText"/>
              <w:rPr>
                <w:rFonts w:eastAsia="Calibri" w:cs="Arial"/>
                <w:szCs w:val="16"/>
              </w:rPr>
            </w:pPr>
            <w:r>
              <w:rPr>
                <w:rFonts w:eastAsia="Calibri" w:cs="Arial"/>
                <w:szCs w:val="16"/>
              </w:rPr>
              <w:t>All children</w:t>
            </w:r>
          </w:p>
        </w:tc>
        <w:tc>
          <w:tcPr>
            <w:tcW w:w="1135" w:type="pct"/>
            <w:shd w:val="clear" w:color="000000" w:fill="FFFFFF"/>
            <w:noWrap/>
            <w:vAlign w:val="center"/>
          </w:tcPr>
          <w:p w:rsidR="00D425AB" w:rsidRPr="00821556" w:rsidRDefault="00D425AB" w:rsidP="00E62112">
            <w:pPr>
              <w:pStyle w:val="TableFigText"/>
              <w:jc w:val="right"/>
              <w:rPr>
                <w:rFonts w:eastAsia="Calibri" w:cs="Arial"/>
                <w:szCs w:val="16"/>
              </w:rPr>
            </w:pPr>
            <w:r>
              <w:rPr>
                <w:rFonts w:eastAsia="Calibri" w:cs="Arial"/>
                <w:szCs w:val="16"/>
              </w:rPr>
              <w:t>31</w:t>
            </w:r>
            <w:r w:rsidR="00E62112">
              <w:rPr>
                <w:rFonts w:eastAsia="Calibri" w:cs="Arial"/>
                <w:szCs w:val="16"/>
              </w:rPr>
              <w:t> </w:t>
            </w:r>
            <w:r>
              <w:rPr>
                <w:rFonts w:eastAsia="Calibri" w:cs="Arial"/>
                <w:szCs w:val="16"/>
              </w:rPr>
              <w:t>295</w:t>
            </w:r>
          </w:p>
        </w:tc>
        <w:tc>
          <w:tcPr>
            <w:tcW w:w="1138" w:type="pct"/>
            <w:shd w:val="clear" w:color="000000" w:fill="FFFFFF"/>
            <w:noWrap/>
            <w:vAlign w:val="center"/>
          </w:tcPr>
          <w:p w:rsidR="00D425AB" w:rsidRPr="00821556" w:rsidRDefault="00D425AB" w:rsidP="00E62112">
            <w:pPr>
              <w:pStyle w:val="TableFigText"/>
              <w:jc w:val="right"/>
              <w:rPr>
                <w:rFonts w:eastAsia="Calibri" w:cs="Arial"/>
                <w:szCs w:val="16"/>
              </w:rPr>
            </w:pPr>
            <w:r>
              <w:rPr>
                <w:rFonts w:eastAsia="Calibri" w:cs="Arial"/>
                <w:szCs w:val="16"/>
              </w:rPr>
              <w:t>31</w:t>
            </w:r>
            <w:r w:rsidR="00E62112">
              <w:rPr>
                <w:rFonts w:eastAsia="Calibri" w:cs="Arial"/>
                <w:szCs w:val="16"/>
              </w:rPr>
              <w:t> </w:t>
            </w:r>
            <w:r>
              <w:rPr>
                <w:rFonts w:eastAsia="Calibri" w:cs="Arial"/>
                <w:szCs w:val="16"/>
              </w:rPr>
              <w:t>527</w:t>
            </w:r>
          </w:p>
        </w:tc>
        <w:tc>
          <w:tcPr>
            <w:tcW w:w="1138" w:type="pct"/>
            <w:shd w:val="clear" w:color="000000" w:fill="FFFFFF"/>
          </w:tcPr>
          <w:p w:rsidR="00D425AB" w:rsidRPr="00821556" w:rsidRDefault="00D425AB" w:rsidP="00E62112">
            <w:pPr>
              <w:pStyle w:val="TableFigText"/>
              <w:jc w:val="right"/>
              <w:rPr>
                <w:rFonts w:eastAsia="Calibri" w:cs="Arial"/>
                <w:szCs w:val="16"/>
              </w:rPr>
            </w:pPr>
            <w:r>
              <w:rPr>
                <w:rFonts w:eastAsia="Calibri" w:cs="Arial"/>
                <w:szCs w:val="16"/>
              </w:rPr>
              <w:t>37</w:t>
            </w:r>
            <w:r w:rsidR="00E62112">
              <w:rPr>
                <w:rFonts w:eastAsia="Calibri" w:cs="Arial"/>
                <w:szCs w:val="16"/>
              </w:rPr>
              <w:t> </w:t>
            </w:r>
            <w:r>
              <w:rPr>
                <w:rFonts w:eastAsia="Calibri" w:cs="Arial"/>
                <w:szCs w:val="16"/>
              </w:rPr>
              <w:t>781</w:t>
            </w:r>
          </w:p>
        </w:tc>
      </w:tr>
      <w:tr w:rsidR="00E8141E" w:rsidRPr="00821556" w:rsidTr="00E8141E">
        <w:trPr>
          <w:trHeight w:val="288"/>
        </w:trPr>
        <w:tc>
          <w:tcPr>
            <w:tcW w:w="1589" w:type="pct"/>
            <w:shd w:val="clear" w:color="000000" w:fill="FFFFFF"/>
            <w:noWrap/>
            <w:vAlign w:val="center"/>
          </w:tcPr>
          <w:p w:rsidR="00466AA7" w:rsidRPr="00821556" w:rsidRDefault="00D46E9A" w:rsidP="00135409">
            <w:pPr>
              <w:pStyle w:val="TableFigText"/>
              <w:rPr>
                <w:rFonts w:eastAsia="Calibri" w:cs="Arial"/>
                <w:szCs w:val="16"/>
              </w:rPr>
            </w:pPr>
            <w:r w:rsidRPr="00821556">
              <w:rPr>
                <w:rFonts w:eastAsia="Calibri" w:cs="Arial"/>
                <w:b/>
                <w:bCs/>
                <w:szCs w:val="16"/>
              </w:rPr>
              <w:t>Indigenous status</w:t>
            </w:r>
            <w:r w:rsidRPr="00ED14F8">
              <w:rPr>
                <w:rFonts w:eastAsia="Calibri" w:cs="Arial"/>
                <w:b/>
                <w:bCs/>
                <w:szCs w:val="16"/>
                <w:vertAlign w:val="superscript"/>
              </w:rPr>
              <w:t>(a)</w:t>
            </w:r>
          </w:p>
        </w:tc>
        <w:tc>
          <w:tcPr>
            <w:tcW w:w="1135" w:type="pct"/>
            <w:shd w:val="clear" w:color="000000" w:fill="FFFFFF"/>
            <w:vAlign w:val="bottom"/>
          </w:tcPr>
          <w:p w:rsidR="00466AA7" w:rsidRPr="00821556" w:rsidRDefault="007766F2" w:rsidP="003F4913">
            <w:pPr>
              <w:pStyle w:val="TableFigText"/>
              <w:jc w:val="right"/>
              <w:rPr>
                <w:rFonts w:eastAsia="Calibri" w:cs="Arial"/>
                <w:b/>
                <w:bCs/>
                <w:szCs w:val="16"/>
              </w:rPr>
            </w:pPr>
            <w:r>
              <w:rPr>
                <w:rFonts w:eastAsia="Calibri" w:cs="Arial"/>
                <w:b/>
                <w:bCs/>
                <w:szCs w:val="16"/>
              </w:rPr>
              <w:t xml:space="preserve">Rate per 1000 children </w:t>
            </w:r>
            <w:r w:rsidR="00466AA7" w:rsidRPr="00821556">
              <w:rPr>
                <w:rFonts w:eastAsia="Calibri" w:cs="Arial"/>
                <w:b/>
                <w:bCs/>
                <w:szCs w:val="16"/>
              </w:rPr>
              <w:t>2009–10</w:t>
            </w:r>
          </w:p>
        </w:tc>
        <w:tc>
          <w:tcPr>
            <w:tcW w:w="1138" w:type="pct"/>
            <w:shd w:val="clear" w:color="000000" w:fill="FFFFFF"/>
            <w:vAlign w:val="bottom"/>
          </w:tcPr>
          <w:p w:rsidR="00466AA7" w:rsidRPr="00821556" w:rsidRDefault="007766F2" w:rsidP="003F4913">
            <w:pPr>
              <w:pStyle w:val="TableFigText"/>
              <w:jc w:val="right"/>
              <w:rPr>
                <w:rFonts w:eastAsia="Calibri" w:cs="Arial"/>
                <w:b/>
                <w:bCs/>
                <w:szCs w:val="16"/>
              </w:rPr>
            </w:pPr>
            <w:r>
              <w:rPr>
                <w:rFonts w:eastAsia="Calibri" w:cs="Arial"/>
                <w:b/>
                <w:bCs/>
                <w:szCs w:val="16"/>
              </w:rPr>
              <w:t xml:space="preserve">Rate per 1000 children </w:t>
            </w:r>
            <w:r w:rsidR="00466AA7" w:rsidRPr="00821556">
              <w:rPr>
                <w:rFonts w:eastAsia="Calibri" w:cs="Arial"/>
                <w:b/>
                <w:bCs/>
                <w:szCs w:val="16"/>
              </w:rPr>
              <w:t>2010–11</w:t>
            </w:r>
          </w:p>
        </w:tc>
        <w:tc>
          <w:tcPr>
            <w:tcW w:w="1138" w:type="pct"/>
            <w:shd w:val="clear" w:color="000000" w:fill="FFFFFF"/>
          </w:tcPr>
          <w:p w:rsidR="00466AA7" w:rsidRPr="00821556" w:rsidRDefault="007766F2" w:rsidP="003F4913">
            <w:pPr>
              <w:pStyle w:val="TableFigText"/>
              <w:jc w:val="right"/>
              <w:rPr>
                <w:rFonts w:eastAsia="Calibri" w:cs="Arial"/>
                <w:b/>
                <w:bCs/>
                <w:szCs w:val="16"/>
              </w:rPr>
            </w:pPr>
            <w:r>
              <w:rPr>
                <w:rFonts w:eastAsia="Calibri" w:cs="Arial"/>
                <w:b/>
                <w:bCs/>
                <w:szCs w:val="16"/>
              </w:rPr>
              <w:t xml:space="preserve">Rate per 1000 children </w:t>
            </w:r>
            <w:r w:rsidR="00466AA7" w:rsidRPr="00821556">
              <w:rPr>
                <w:rFonts w:eastAsia="Calibri" w:cs="Arial"/>
                <w:b/>
                <w:bCs/>
                <w:szCs w:val="16"/>
              </w:rPr>
              <w:t>2011–12</w:t>
            </w:r>
          </w:p>
        </w:tc>
      </w:tr>
      <w:tr w:rsidR="00E8141E" w:rsidRPr="00821556" w:rsidTr="00E8141E">
        <w:trPr>
          <w:trHeight w:val="288"/>
        </w:trPr>
        <w:tc>
          <w:tcPr>
            <w:tcW w:w="1589" w:type="pct"/>
            <w:shd w:val="clear" w:color="000000" w:fill="FFFFFF"/>
            <w:noWrap/>
            <w:vAlign w:val="center"/>
            <w:hideMark/>
          </w:tcPr>
          <w:p w:rsidR="00466AA7" w:rsidRPr="00821556" w:rsidRDefault="00466AA7" w:rsidP="00135409">
            <w:pPr>
              <w:pStyle w:val="TableFigText"/>
              <w:rPr>
                <w:rFonts w:eastAsia="Calibri" w:cs="Arial"/>
                <w:szCs w:val="16"/>
              </w:rPr>
            </w:pPr>
            <w:r w:rsidRPr="00821556">
              <w:rPr>
                <w:rFonts w:eastAsia="Calibri" w:cs="Arial"/>
                <w:szCs w:val="16"/>
              </w:rPr>
              <w:t>Indigenous</w:t>
            </w:r>
          </w:p>
        </w:tc>
        <w:tc>
          <w:tcPr>
            <w:tcW w:w="1135" w:type="pct"/>
            <w:shd w:val="clear" w:color="000000" w:fill="FFFFFF"/>
            <w:vAlign w:val="center"/>
            <w:hideMark/>
          </w:tcPr>
          <w:p w:rsidR="00466AA7" w:rsidRPr="00821556" w:rsidRDefault="00466AA7" w:rsidP="00135409">
            <w:pPr>
              <w:pStyle w:val="TableFigText"/>
              <w:jc w:val="right"/>
              <w:rPr>
                <w:rFonts w:eastAsia="Calibri" w:cs="Arial"/>
                <w:szCs w:val="16"/>
              </w:rPr>
            </w:pPr>
            <w:r w:rsidRPr="00821556">
              <w:rPr>
                <w:rFonts w:eastAsia="Calibri" w:cs="Arial"/>
                <w:szCs w:val="16"/>
              </w:rPr>
              <w:t>35.3</w:t>
            </w:r>
          </w:p>
        </w:tc>
        <w:tc>
          <w:tcPr>
            <w:tcW w:w="1138" w:type="pct"/>
            <w:shd w:val="clear" w:color="000000" w:fill="FFFFFF"/>
            <w:vAlign w:val="center"/>
            <w:hideMark/>
          </w:tcPr>
          <w:p w:rsidR="00466AA7" w:rsidRPr="00821556" w:rsidRDefault="00466AA7" w:rsidP="00135409">
            <w:pPr>
              <w:pStyle w:val="TableFigText"/>
              <w:jc w:val="right"/>
              <w:rPr>
                <w:rFonts w:eastAsia="Calibri" w:cs="Arial"/>
                <w:szCs w:val="16"/>
              </w:rPr>
            </w:pPr>
            <w:r w:rsidRPr="00821556">
              <w:rPr>
                <w:rFonts w:eastAsia="Calibri" w:cs="Arial"/>
                <w:szCs w:val="16"/>
              </w:rPr>
              <w:t>34.6</w:t>
            </w:r>
          </w:p>
        </w:tc>
        <w:tc>
          <w:tcPr>
            <w:tcW w:w="1138" w:type="pct"/>
            <w:shd w:val="clear" w:color="000000" w:fill="FFFFFF"/>
          </w:tcPr>
          <w:p w:rsidR="00466AA7" w:rsidRPr="00821556" w:rsidRDefault="00466AA7" w:rsidP="00135409">
            <w:pPr>
              <w:pStyle w:val="TableFigText"/>
              <w:jc w:val="right"/>
              <w:rPr>
                <w:rFonts w:eastAsia="Calibri" w:cs="Arial"/>
                <w:szCs w:val="16"/>
              </w:rPr>
            </w:pPr>
            <w:r w:rsidRPr="00821556">
              <w:rPr>
                <w:rFonts w:eastAsia="Calibri" w:cs="Arial"/>
                <w:szCs w:val="16"/>
              </w:rPr>
              <w:t>41.9</w:t>
            </w:r>
          </w:p>
        </w:tc>
      </w:tr>
      <w:tr w:rsidR="00E8141E" w:rsidRPr="00821556" w:rsidTr="00E8141E">
        <w:trPr>
          <w:trHeight w:val="300"/>
        </w:trPr>
        <w:tc>
          <w:tcPr>
            <w:tcW w:w="1589" w:type="pct"/>
            <w:shd w:val="clear" w:color="000000" w:fill="FFFFFF"/>
            <w:noWrap/>
            <w:vAlign w:val="center"/>
            <w:hideMark/>
          </w:tcPr>
          <w:p w:rsidR="00466AA7" w:rsidRPr="00821556" w:rsidRDefault="00466AA7" w:rsidP="00135409">
            <w:pPr>
              <w:pStyle w:val="TableFigText"/>
              <w:rPr>
                <w:rFonts w:eastAsia="Calibri" w:cs="Arial"/>
                <w:szCs w:val="16"/>
              </w:rPr>
            </w:pPr>
            <w:r w:rsidRPr="00821556">
              <w:rPr>
                <w:rFonts w:eastAsia="Calibri" w:cs="Arial"/>
                <w:szCs w:val="16"/>
              </w:rPr>
              <w:t>Non-Indigenous</w:t>
            </w:r>
          </w:p>
        </w:tc>
        <w:tc>
          <w:tcPr>
            <w:tcW w:w="1135" w:type="pct"/>
            <w:shd w:val="clear" w:color="000000" w:fill="FFFFFF"/>
            <w:noWrap/>
            <w:vAlign w:val="center"/>
            <w:hideMark/>
          </w:tcPr>
          <w:p w:rsidR="00466AA7" w:rsidRPr="00821556" w:rsidRDefault="00466AA7" w:rsidP="00135409">
            <w:pPr>
              <w:pStyle w:val="TableFigText"/>
              <w:jc w:val="right"/>
              <w:rPr>
                <w:rFonts w:eastAsia="Calibri" w:cs="Arial"/>
                <w:szCs w:val="16"/>
              </w:rPr>
            </w:pPr>
            <w:r w:rsidRPr="00821556">
              <w:rPr>
                <w:rFonts w:eastAsia="Calibri" w:cs="Arial"/>
                <w:szCs w:val="16"/>
              </w:rPr>
              <w:t>4.6</w:t>
            </w:r>
          </w:p>
        </w:tc>
        <w:tc>
          <w:tcPr>
            <w:tcW w:w="1138" w:type="pct"/>
            <w:shd w:val="clear" w:color="000000" w:fill="FFFFFF"/>
            <w:noWrap/>
            <w:vAlign w:val="center"/>
            <w:hideMark/>
          </w:tcPr>
          <w:p w:rsidR="00466AA7" w:rsidRPr="00821556" w:rsidRDefault="00466AA7" w:rsidP="00135409">
            <w:pPr>
              <w:pStyle w:val="TableFigText"/>
              <w:jc w:val="right"/>
              <w:rPr>
                <w:rFonts w:eastAsia="Calibri" w:cs="Arial"/>
                <w:szCs w:val="16"/>
              </w:rPr>
            </w:pPr>
            <w:r w:rsidRPr="00821556">
              <w:rPr>
                <w:rFonts w:eastAsia="Calibri" w:cs="Arial"/>
                <w:szCs w:val="16"/>
              </w:rPr>
              <w:t>4.5</w:t>
            </w:r>
          </w:p>
        </w:tc>
        <w:tc>
          <w:tcPr>
            <w:tcW w:w="1138" w:type="pct"/>
            <w:shd w:val="clear" w:color="000000" w:fill="FFFFFF"/>
          </w:tcPr>
          <w:p w:rsidR="00466AA7" w:rsidRPr="00821556" w:rsidRDefault="00466AA7" w:rsidP="00135409">
            <w:pPr>
              <w:pStyle w:val="TableFigText"/>
              <w:jc w:val="right"/>
              <w:rPr>
                <w:rFonts w:eastAsia="Calibri" w:cs="Arial"/>
                <w:szCs w:val="16"/>
              </w:rPr>
            </w:pPr>
            <w:r w:rsidRPr="00821556">
              <w:rPr>
                <w:rFonts w:eastAsia="Calibri" w:cs="Arial"/>
                <w:szCs w:val="16"/>
              </w:rPr>
              <w:t>5.4</w:t>
            </w:r>
          </w:p>
        </w:tc>
      </w:tr>
      <w:tr w:rsidR="00E8141E" w:rsidRPr="00821556" w:rsidTr="00E8141E">
        <w:trPr>
          <w:trHeight w:val="300"/>
        </w:trPr>
        <w:tc>
          <w:tcPr>
            <w:tcW w:w="1589" w:type="pct"/>
            <w:shd w:val="clear" w:color="000000" w:fill="FFFFFF"/>
            <w:noWrap/>
            <w:vAlign w:val="center"/>
          </w:tcPr>
          <w:p w:rsidR="00466AA7" w:rsidRPr="00821556" w:rsidRDefault="00466AA7" w:rsidP="00135409">
            <w:pPr>
              <w:pStyle w:val="TableFigText"/>
              <w:rPr>
                <w:rFonts w:eastAsia="Calibri" w:cs="Arial"/>
                <w:szCs w:val="16"/>
              </w:rPr>
            </w:pPr>
            <w:r>
              <w:rPr>
                <w:rFonts w:eastAsia="Calibri" w:cs="Arial"/>
                <w:szCs w:val="16"/>
              </w:rPr>
              <w:t>All children</w:t>
            </w:r>
          </w:p>
        </w:tc>
        <w:tc>
          <w:tcPr>
            <w:tcW w:w="1135" w:type="pct"/>
            <w:shd w:val="clear" w:color="000000" w:fill="FFFFFF"/>
            <w:noWrap/>
            <w:vAlign w:val="center"/>
          </w:tcPr>
          <w:p w:rsidR="00466AA7" w:rsidRPr="00821556" w:rsidRDefault="00466AA7" w:rsidP="00135409">
            <w:pPr>
              <w:pStyle w:val="TableFigText"/>
              <w:jc w:val="right"/>
              <w:rPr>
                <w:rFonts w:eastAsia="Calibri" w:cs="Arial"/>
                <w:szCs w:val="16"/>
              </w:rPr>
            </w:pPr>
            <w:r>
              <w:rPr>
                <w:rFonts w:eastAsia="Calibri" w:cs="Arial"/>
                <w:szCs w:val="16"/>
              </w:rPr>
              <w:t>6.1</w:t>
            </w:r>
          </w:p>
        </w:tc>
        <w:tc>
          <w:tcPr>
            <w:tcW w:w="1138" w:type="pct"/>
            <w:shd w:val="clear" w:color="000000" w:fill="FFFFFF"/>
            <w:noWrap/>
            <w:vAlign w:val="center"/>
          </w:tcPr>
          <w:p w:rsidR="00466AA7" w:rsidRPr="00821556" w:rsidRDefault="00466AA7" w:rsidP="00135409">
            <w:pPr>
              <w:pStyle w:val="TableFigText"/>
              <w:jc w:val="right"/>
              <w:rPr>
                <w:rFonts w:eastAsia="Calibri" w:cs="Arial"/>
                <w:szCs w:val="16"/>
              </w:rPr>
            </w:pPr>
            <w:r>
              <w:rPr>
                <w:rFonts w:eastAsia="Calibri" w:cs="Arial"/>
                <w:szCs w:val="16"/>
              </w:rPr>
              <w:t>6.1</w:t>
            </w:r>
          </w:p>
        </w:tc>
        <w:tc>
          <w:tcPr>
            <w:tcW w:w="1138" w:type="pct"/>
            <w:shd w:val="clear" w:color="000000" w:fill="FFFFFF"/>
          </w:tcPr>
          <w:p w:rsidR="00466AA7" w:rsidRPr="00821556" w:rsidRDefault="00466AA7" w:rsidP="00135409">
            <w:pPr>
              <w:pStyle w:val="TableFigText"/>
              <w:jc w:val="right"/>
              <w:rPr>
                <w:rFonts w:eastAsia="Calibri" w:cs="Arial"/>
                <w:szCs w:val="16"/>
              </w:rPr>
            </w:pPr>
            <w:r>
              <w:rPr>
                <w:rFonts w:eastAsia="Calibri" w:cs="Arial"/>
                <w:szCs w:val="16"/>
              </w:rPr>
              <w:t>7.4</w:t>
            </w:r>
          </w:p>
        </w:tc>
      </w:tr>
      <w:tr w:rsidR="00E8141E" w:rsidRPr="00821556" w:rsidTr="00E8141E">
        <w:trPr>
          <w:trHeight w:val="300"/>
        </w:trPr>
        <w:tc>
          <w:tcPr>
            <w:tcW w:w="1589" w:type="pct"/>
            <w:tcBorders>
              <w:bottom w:val="single" w:sz="4" w:space="0" w:color="auto"/>
            </w:tcBorders>
            <w:shd w:val="clear" w:color="000000" w:fill="FFFFFF"/>
            <w:noWrap/>
            <w:vAlign w:val="center"/>
          </w:tcPr>
          <w:p w:rsidR="00466AA7" w:rsidRPr="00821556" w:rsidRDefault="00466AA7" w:rsidP="00135409">
            <w:pPr>
              <w:pStyle w:val="TableFigText"/>
              <w:rPr>
                <w:rFonts w:eastAsia="Calibri" w:cs="Arial"/>
                <w:szCs w:val="16"/>
              </w:rPr>
            </w:pPr>
            <w:r>
              <w:rPr>
                <w:rFonts w:eastAsia="Calibri" w:cs="Arial"/>
                <w:szCs w:val="16"/>
              </w:rPr>
              <w:t>Rate ratio</w:t>
            </w:r>
            <w:r w:rsidRPr="00ED14F8">
              <w:rPr>
                <w:rFonts w:eastAsia="Calibri" w:cs="Arial"/>
                <w:szCs w:val="16"/>
                <w:vertAlign w:val="superscript"/>
              </w:rPr>
              <w:t>(b)</w:t>
            </w:r>
          </w:p>
        </w:tc>
        <w:tc>
          <w:tcPr>
            <w:tcW w:w="1135" w:type="pct"/>
            <w:tcBorders>
              <w:bottom w:val="single" w:sz="4" w:space="0" w:color="auto"/>
            </w:tcBorders>
            <w:shd w:val="clear" w:color="000000" w:fill="FFFFFF"/>
            <w:noWrap/>
            <w:vAlign w:val="center"/>
          </w:tcPr>
          <w:p w:rsidR="00466AA7" w:rsidRPr="00821556" w:rsidRDefault="00466AA7" w:rsidP="00135409">
            <w:pPr>
              <w:pStyle w:val="TableFigText"/>
              <w:jc w:val="right"/>
              <w:rPr>
                <w:rFonts w:eastAsia="Calibri" w:cs="Arial"/>
                <w:szCs w:val="16"/>
              </w:rPr>
            </w:pPr>
            <w:r>
              <w:rPr>
                <w:rFonts w:eastAsia="Calibri" w:cs="Arial"/>
                <w:szCs w:val="16"/>
              </w:rPr>
              <w:t>7.7</w:t>
            </w:r>
          </w:p>
        </w:tc>
        <w:tc>
          <w:tcPr>
            <w:tcW w:w="1138" w:type="pct"/>
            <w:tcBorders>
              <w:bottom w:val="single" w:sz="4" w:space="0" w:color="auto"/>
            </w:tcBorders>
            <w:shd w:val="clear" w:color="000000" w:fill="FFFFFF"/>
            <w:noWrap/>
            <w:vAlign w:val="center"/>
          </w:tcPr>
          <w:p w:rsidR="00466AA7" w:rsidRPr="00821556" w:rsidRDefault="00466AA7" w:rsidP="00135409">
            <w:pPr>
              <w:pStyle w:val="TableFigText"/>
              <w:jc w:val="right"/>
              <w:rPr>
                <w:rFonts w:eastAsia="Calibri" w:cs="Arial"/>
                <w:szCs w:val="16"/>
              </w:rPr>
            </w:pPr>
            <w:r>
              <w:rPr>
                <w:rFonts w:eastAsia="Calibri" w:cs="Arial"/>
                <w:szCs w:val="16"/>
              </w:rPr>
              <w:t>7.6</w:t>
            </w:r>
          </w:p>
        </w:tc>
        <w:tc>
          <w:tcPr>
            <w:tcW w:w="1138" w:type="pct"/>
            <w:tcBorders>
              <w:bottom w:val="single" w:sz="4" w:space="0" w:color="auto"/>
            </w:tcBorders>
            <w:shd w:val="clear" w:color="000000" w:fill="FFFFFF"/>
          </w:tcPr>
          <w:p w:rsidR="00466AA7" w:rsidRPr="00821556" w:rsidRDefault="00466AA7" w:rsidP="00135409">
            <w:pPr>
              <w:pStyle w:val="TableFigText"/>
              <w:jc w:val="right"/>
              <w:rPr>
                <w:rFonts w:eastAsia="Calibri" w:cs="Arial"/>
                <w:szCs w:val="16"/>
              </w:rPr>
            </w:pPr>
            <w:r>
              <w:rPr>
                <w:rFonts w:eastAsia="Calibri" w:cs="Arial"/>
                <w:szCs w:val="16"/>
              </w:rPr>
              <w:t>7.8</w:t>
            </w:r>
          </w:p>
        </w:tc>
      </w:tr>
    </w:tbl>
    <w:p w:rsidR="00D425AB" w:rsidRDefault="00D425AB" w:rsidP="00D425AB">
      <w:pPr>
        <w:pStyle w:val="TableFigSourcesfootnotes"/>
        <w:tabs>
          <w:tab w:val="clear" w:pos="425"/>
          <w:tab w:val="clear" w:pos="851"/>
          <w:tab w:val="left" w:pos="284"/>
        </w:tabs>
        <w:spacing w:after="0"/>
        <w:ind w:left="284" w:hanging="284"/>
      </w:pPr>
      <w:r>
        <w:t>(a)</w:t>
      </w:r>
      <w:r>
        <w:tab/>
        <w:t xml:space="preserve">‘All children’ </w:t>
      </w:r>
      <w:r w:rsidRPr="00821556">
        <w:t>include</w:t>
      </w:r>
      <w:r>
        <w:t xml:space="preserve">s </w:t>
      </w:r>
      <w:r w:rsidRPr="00821556">
        <w:t>children whose Indigenous status was unknown.</w:t>
      </w:r>
      <w:r>
        <w:t xml:space="preserve"> </w:t>
      </w:r>
    </w:p>
    <w:p w:rsidR="00D425AB" w:rsidRPr="00821556" w:rsidRDefault="00D425AB" w:rsidP="00D425AB">
      <w:pPr>
        <w:pStyle w:val="TableFigSourcesfootnotes"/>
        <w:tabs>
          <w:tab w:val="clear" w:pos="425"/>
          <w:tab w:val="left" w:pos="284"/>
        </w:tabs>
        <w:spacing w:after="0"/>
        <w:ind w:left="284" w:hanging="284"/>
      </w:pPr>
      <w:r>
        <w:t>(b)</w:t>
      </w:r>
      <w:r>
        <w:tab/>
        <w:t xml:space="preserve">Rate ratios are calculated by dividing the unrounded rate of Aboriginal and Torres Strait Islander children who were the subject of substantiations by the unrounded rate of non-Indigenous children who were the subject of substantiations. The resulting number is a measure of how many Aboriginal and Torres Strait Islander children </w:t>
      </w:r>
      <w:proofErr w:type="gramStart"/>
      <w:r w:rsidRPr="009E3BDF">
        <w:t>wer</w:t>
      </w:r>
      <w:r>
        <w:t>e</w:t>
      </w:r>
      <w:proofErr w:type="gramEnd"/>
      <w:r>
        <w:t xml:space="preserve"> the subject of substantiation</w:t>
      </w:r>
      <w:r w:rsidRPr="009E3BDF">
        <w:t xml:space="preserve"> </w:t>
      </w:r>
      <w:r>
        <w:t xml:space="preserve">for every one non-Indigenous child who </w:t>
      </w:r>
      <w:r w:rsidRPr="009E3BDF">
        <w:t>w</w:t>
      </w:r>
      <w:r>
        <w:t>as the subject of substantiation.</w:t>
      </w:r>
    </w:p>
    <w:p w:rsidR="00D425AB" w:rsidRPr="00821556" w:rsidRDefault="00D425AB" w:rsidP="00D425AB">
      <w:pPr>
        <w:pStyle w:val="TableFigSourcesfootnotes"/>
        <w:spacing w:after="0"/>
      </w:pPr>
      <w:r w:rsidRPr="00581058">
        <w:t>Note</w:t>
      </w:r>
      <w:r>
        <w:t xml:space="preserve">: </w:t>
      </w:r>
      <w:r w:rsidRPr="00821556">
        <w:t xml:space="preserve">This table reports the number of children subject to substantiation of a notification, not the number of substantiations. </w:t>
      </w:r>
    </w:p>
    <w:p w:rsidR="00D425AB" w:rsidRPr="00821556" w:rsidRDefault="00D425AB" w:rsidP="00D425AB">
      <w:pPr>
        <w:pStyle w:val="TableFigSourcesfootnotes"/>
        <w:spacing w:after="0"/>
      </w:pPr>
      <w:r w:rsidRPr="00581058">
        <w:t>Sources:</w:t>
      </w:r>
      <w:r w:rsidRPr="00821556">
        <w:t xml:space="preserve"> AIHW Child Protection Data Collections; AIHW 2013</w:t>
      </w:r>
      <w:r>
        <w:t>a</w:t>
      </w:r>
      <w:r w:rsidRPr="00821556">
        <w:t>.</w:t>
      </w:r>
    </w:p>
    <w:p w:rsidR="00D425AB" w:rsidRPr="00BE4463" w:rsidRDefault="00D425AB" w:rsidP="00D425AB">
      <w:pPr>
        <w:rPr>
          <w:rFonts w:ascii="Calibri" w:hAnsi="Calibri" w:cs="Calibri"/>
        </w:rPr>
      </w:pPr>
    </w:p>
    <w:p w:rsidR="00D425AB" w:rsidRPr="00BE4463" w:rsidRDefault="00D425AB" w:rsidP="00D425AB">
      <w:pPr>
        <w:rPr>
          <w:rFonts w:ascii="Calibri" w:hAnsi="Calibri" w:cs="Calibri"/>
          <w:sz w:val="24"/>
          <w:szCs w:val="24"/>
        </w:rPr>
      </w:pPr>
      <w:r w:rsidRPr="00BE4463">
        <w:rPr>
          <w:rFonts w:ascii="Calibri" w:hAnsi="Calibri" w:cs="Calibri"/>
          <w:sz w:val="24"/>
          <w:szCs w:val="24"/>
        </w:rPr>
        <w:t>Between 2009–10 and 2011–12, the substantiation rate increased for both Indigenous and non-Indigenous children (though to a lesser extent for non-Indigenous children). It is not possible</w:t>
      </w:r>
      <w:r w:rsidR="00CA0058">
        <w:rPr>
          <w:rFonts w:ascii="Calibri" w:hAnsi="Calibri" w:cs="Calibri"/>
          <w:sz w:val="24"/>
          <w:szCs w:val="24"/>
        </w:rPr>
        <w:t xml:space="preserve"> directly</w:t>
      </w:r>
      <w:r w:rsidRPr="00BE4463">
        <w:rPr>
          <w:rFonts w:ascii="Calibri" w:hAnsi="Calibri" w:cs="Calibri"/>
          <w:sz w:val="24"/>
          <w:szCs w:val="24"/>
        </w:rPr>
        <w:t xml:space="preserve"> to compare data prior to 2009–10, as non-Indigenous children were previously included with children of unknown Indigenous status in the category ‘other children’.</w:t>
      </w:r>
    </w:p>
    <w:p w:rsidR="00D425AB" w:rsidRDefault="00D425AB" w:rsidP="00D425AB">
      <w:pPr>
        <w:pStyle w:val="Caption"/>
        <w:ind w:right="848"/>
      </w:pPr>
    </w:p>
    <w:p w:rsidR="00FF0B09" w:rsidRDefault="00FF0B09">
      <w:pPr>
        <w:rPr>
          <w:rFonts w:ascii="Arial" w:hAnsi="Arial"/>
          <w:b/>
        </w:rPr>
      </w:pPr>
      <w:r>
        <w:br w:type="page"/>
      </w:r>
    </w:p>
    <w:p w:rsidR="00D425AB" w:rsidRPr="006E144E" w:rsidRDefault="007D7AC1" w:rsidP="00C73C17">
      <w:pPr>
        <w:pStyle w:val="Figure"/>
        <w:ind w:right="2527"/>
      </w:pPr>
      <w:bookmarkStart w:id="68" w:name="_Toc400615861"/>
      <w:r>
        <w:t xml:space="preserve">Figure </w:t>
      </w:r>
      <w:fldSimple w:instr=" SEQ Figure \* ARABIC ">
        <w:r w:rsidR="00BF1EC9">
          <w:rPr>
            <w:noProof/>
          </w:rPr>
          <w:t>3</w:t>
        </w:r>
      </w:fldSimple>
      <w:r w:rsidR="00D425AB" w:rsidRPr="00821556">
        <w:t>: Children aged 0–17 years subject to substantiation of a noti</w:t>
      </w:r>
      <w:r w:rsidR="004134A3">
        <w:t>fication, by Indigenous status,</w:t>
      </w:r>
      <w:r w:rsidR="00C73C17">
        <w:t xml:space="preserve"> </w:t>
      </w:r>
      <w:r w:rsidR="00D425AB" w:rsidRPr="00821556">
        <w:t>2009–10 to 2011–12</w:t>
      </w:r>
      <w:bookmarkEnd w:id="68"/>
    </w:p>
    <w:p w:rsidR="00D425AB" w:rsidRPr="006E144E" w:rsidRDefault="00D425AB" w:rsidP="00D425AB">
      <w:r>
        <w:rPr>
          <w:noProof/>
          <w:lang w:eastAsia="en-AU"/>
        </w:rPr>
        <w:drawing>
          <wp:inline distT="0" distB="0" distL="0" distR="0" wp14:anchorId="5BA10DA5" wp14:editId="4C9569C7">
            <wp:extent cx="4842024" cy="2509997"/>
            <wp:effectExtent l="0" t="0" r="0" b="5080"/>
            <wp:docPr id="5" name="Chart 1" descr="Title - Figure 3: Children aged 0–17 years subject to substantiation of a notification, by Indigenous status, 2009–10 to 2011–12 (number per 1000 children). Between 2009-10 and 2011-12, the substantiation rate increased for both Indigenous and non-Indigenous children. Source: Tabl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425AB" w:rsidRPr="00581058" w:rsidRDefault="00D425AB" w:rsidP="00A6091A">
      <w:pPr>
        <w:pStyle w:val="StyleArial7ptBefore6pt"/>
        <w:rPr>
          <w:lang w:eastAsia="en-AU"/>
        </w:rPr>
      </w:pPr>
      <w:r w:rsidRPr="00581058">
        <w:rPr>
          <w:lang w:eastAsia="en-AU"/>
        </w:rPr>
        <w:t xml:space="preserve">Notes </w:t>
      </w:r>
    </w:p>
    <w:p w:rsidR="00D425AB" w:rsidRPr="00581058" w:rsidRDefault="00D425AB" w:rsidP="00D66FAA">
      <w:pPr>
        <w:pStyle w:val="StyleArial7ptLeft0cmHanging05cmBefore6pt"/>
        <w:rPr>
          <w:lang w:eastAsia="en-AU"/>
        </w:rPr>
      </w:pPr>
      <w:r w:rsidRPr="00581058">
        <w:rPr>
          <w:lang w:eastAsia="en-AU"/>
        </w:rPr>
        <w:t xml:space="preserve">1. </w:t>
      </w:r>
      <w:r w:rsidRPr="00581058">
        <w:rPr>
          <w:lang w:eastAsia="en-AU"/>
        </w:rPr>
        <w:tab/>
        <w:t>This figure reports the number of children subject to substantiation of a notification, not the number of substantiations.</w:t>
      </w:r>
    </w:p>
    <w:p w:rsidR="00D425AB" w:rsidRPr="00581058" w:rsidRDefault="00D425AB" w:rsidP="00D66FAA">
      <w:pPr>
        <w:pStyle w:val="StyleArial7ptLeft0cmHanging05cmBefore6pt"/>
        <w:rPr>
          <w:lang w:eastAsia="en-AU"/>
        </w:rPr>
      </w:pPr>
      <w:r w:rsidRPr="00581058">
        <w:rPr>
          <w:lang w:eastAsia="en-AU"/>
        </w:rPr>
        <w:t>2.</w:t>
      </w:r>
      <w:r w:rsidRPr="00581058">
        <w:rPr>
          <w:lang w:eastAsia="en-AU"/>
        </w:rPr>
        <w:tab/>
        <w:t xml:space="preserve">‘Non-Indigenous’ excludes children whose Indigenous status was unknown. </w:t>
      </w:r>
    </w:p>
    <w:p w:rsidR="00D425AB" w:rsidRPr="00581058" w:rsidRDefault="00D425AB" w:rsidP="00A6091A">
      <w:pPr>
        <w:pStyle w:val="StyleArial7ptBefore6pt"/>
        <w:rPr>
          <w:lang w:eastAsia="en-AU"/>
        </w:rPr>
      </w:pPr>
      <w:r w:rsidRPr="00581058">
        <w:rPr>
          <w:lang w:eastAsia="en-AU"/>
        </w:rPr>
        <w:t xml:space="preserve">Source: Table </w:t>
      </w:r>
      <w:r w:rsidR="007D7AC1">
        <w:rPr>
          <w:lang w:eastAsia="en-AU"/>
        </w:rPr>
        <w:t>2</w:t>
      </w:r>
      <w:r w:rsidRPr="00581058">
        <w:rPr>
          <w:lang w:eastAsia="en-AU"/>
        </w:rPr>
        <w:t>.</w:t>
      </w:r>
    </w:p>
    <w:p w:rsidR="00F0794D" w:rsidRPr="00084FFD" w:rsidRDefault="00EC1136" w:rsidP="00084FFD">
      <w:pPr>
        <w:pStyle w:val="Heading3"/>
      </w:pPr>
      <w:bookmarkStart w:id="69" w:name="_Toc400007691"/>
      <w:r w:rsidRPr="00084FFD">
        <w:t>Out-of-home care</w:t>
      </w:r>
      <w:bookmarkEnd w:id="69"/>
    </w:p>
    <w:p w:rsidR="00EC1136" w:rsidRPr="00C3315D" w:rsidRDefault="00EC1136" w:rsidP="000472A7">
      <w:pPr>
        <w:pStyle w:val="Heading4a"/>
      </w:pPr>
      <w:r w:rsidRPr="00C3315D">
        <w:t xml:space="preserve">Indicator 0.2: Rate of children aged 0–17 years who are in out-of-home care </w:t>
      </w:r>
    </w:p>
    <w:p w:rsidR="00EC1136" w:rsidRPr="006E144E" w:rsidRDefault="00EC1136" w:rsidP="006E4356">
      <w:pPr>
        <w:rPr>
          <w:rFonts w:ascii="Calibri" w:hAnsi="Calibri"/>
        </w:rPr>
      </w:pPr>
    </w:p>
    <w:p w:rsidR="00EC1136" w:rsidRPr="00E02C16" w:rsidRDefault="00EC1136" w:rsidP="00EC1136">
      <w:r w:rsidRPr="00DC1B19">
        <w:rPr>
          <w:rStyle w:val="StyleBodyCalibri12pt"/>
        </w:rPr>
        <w:t>Out-of-home care is provided across Australia for children and young people who are unable to live with their families</w:t>
      </w:r>
      <w:r w:rsidR="009B2A5A" w:rsidRPr="00DC1B19">
        <w:rPr>
          <w:rStyle w:val="StyleBodyCalibri12pt"/>
        </w:rPr>
        <w:t xml:space="preserve">, </w:t>
      </w:r>
      <w:r w:rsidRPr="00DC1B19">
        <w:rPr>
          <w:rStyle w:val="StyleBodyCalibri12pt"/>
        </w:rPr>
        <w:t>generally because of child abuse or neglect or because their family is unable to care for them (for example, due to illness or incarceration).</w:t>
      </w:r>
      <w:r w:rsidRPr="004202A2">
        <w:t xml:space="preserve"> </w:t>
      </w:r>
      <w:r w:rsidRPr="00821556">
        <w:rPr>
          <w:rFonts w:ascii="Calibri" w:hAnsi="Calibri" w:cs="Calibri"/>
          <w:sz w:val="24"/>
          <w:szCs w:val="24"/>
        </w:rPr>
        <w:t xml:space="preserve">Although out-of-home care may be beneficial for children who are unsafe living with their families of origin, it is generally viewed as an intervention of last resort, and there is a preference for children to be reunited with their birth parents wherever possible (Bromfield &amp; Osborn 2007; Bromfield et al. 2007). </w:t>
      </w:r>
    </w:p>
    <w:p w:rsidR="00EC1136" w:rsidRPr="006E144E" w:rsidRDefault="00EC1136" w:rsidP="006E4356">
      <w:pPr>
        <w:rPr>
          <w:rFonts w:ascii="Calibri" w:hAnsi="Calibri"/>
        </w:rPr>
      </w:pPr>
    </w:p>
    <w:p w:rsidR="00EC1136" w:rsidRPr="006E4356" w:rsidRDefault="00EC1136" w:rsidP="006E4356">
      <w:pPr>
        <w:rPr>
          <w:rFonts w:ascii="Calibri" w:hAnsi="Calibri"/>
          <w:sz w:val="24"/>
        </w:rPr>
      </w:pPr>
      <w:r w:rsidRPr="006E4356">
        <w:rPr>
          <w:rFonts w:ascii="Calibri" w:hAnsi="Calibri"/>
          <w:sz w:val="24"/>
        </w:rPr>
        <w:t>At 30 June 2012, there were 39 621 children in out-of-home care—a rate of 7.7 per 1000 children. The rate of children in out-of-home care increased gradually between 2010 and 2012—from 7.0 to 7.7 per 1000 children.</w:t>
      </w:r>
    </w:p>
    <w:p w:rsidR="00EC1136" w:rsidRPr="006E144E" w:rsidRDefault="00EC1136" w:rsidP="006E4356">
      <w:pPr>
        <w:rPr>
          <w:rFonts w:ascii="Calibri" w:hAnsi="Calibri"/>
        </w:rPr>
      </w:pPr>
    </w:p>
    <w:p w:rsidR="00EC1136" w:rsidRPr="00821556" w:rsidRDefault="005C08DD" w:rsidP="00771F39">
      <w:pPr>
        <w:pStyle w:val="Figure"/>
      </w:pPr>
      <w:bookmarkStart w:id="70" w:name="_Toc400010289"/>
      <w:r>
        <w:t xml:space="preserve">Table </w:t>
      </w:r>
      <w:fldSimple w:instr=" SEQ Table \* ARABIC ">
        <w:r w:rsidR="00BF1EC9">
          <w:rPr>
            <w:noProof/>
          </w:rPr>
          <w:t>3</w:t>
        </w:r>
      </w:fldSimple>
      <w:r>
        <w:t xml:space="preserve">: </w:t>
      </w:r>
      <w:r w:rsidRPr="00821556">
        <w:t>Children aged 0–17 years in out-of-home care at 30 June, 20</w:t>
      </w:r>
      <w:r>
        <w:t xml:space="preserve">10 to </w:t>
      </w:r>
      <w:r w:rsidRPr="00821556">
        <w:t>2012</w:t>
      </w:r>
      <w:bookmarkEnd w:id="70"/>
    </w:p>
    <w:tbl>
      <w:tblPr>
        <w:tblW w:w="3501" w:type="pct"/>
        <w:tblLook w:val="04A0" w:firstRow="1" w:lastRow="0" w:firstColumn="1" w:lastColumn="0" w:noHBand="0" w:noVBand="1"/>
        <w:tblDescription w:val="Table 3: Children aged 0–17 years in out-of-home care at 30 June, 2010 to 2012"/>
      </w:tblPr>
      <w:tblGrid>
        <w:gridCol w:w="2375"/>
        <w:gridCol w:w="1704"/>
        <w:gridCol w:w="1701"/>
        <w:gridCol w:w="1699"/>
      </w:tblGrid>
      <w:tr w:rsidR="00EC1136" w:rsidRPr="00821556" w:rsidTr="00991E47">
        <w:trPr>
          <w:trHeight w:val="288"/>
        </w:trPr>
        <w:tc>
          <w:tcPr>
            <w:tcW w:w="1588" w:type="pct"/>
            <w:tcBorders>
              <w:top w:val="single" w:sz="4" w:space="0" w:color="auto"/>
              <w:bottom w:val="single" w:sz="4" w:space="0" w:color="auto"/>
            </w:tcBorders>
            <w:shd w:val="clear" w:color="000000" w:fill="FFFFFF"/>
            <w:noWrap/>
            <w:vAlign w:val="bottom"/>
            <w:hideMark/>
          </w:tcPr>
          <w:p w:rsidR="00EC1136" w:rsidRPr="00821556" w:rsidRDefault="00EC1136" w:rsidP="00135409">
            <w:pPr>
              <w:pStyle w:val="TableFigText"/>
              <w:rPr>
                <w:rFonts w:eastAsia="Calibri" w:cs="Arial"/>
              </w:rPr>
            </w:pPr>
            <w:r w:rsidRPr="00821556">
              <w:rPr>
                <w:rFonts w:eastAsia="Calibri" w:cs="Arial"/>
                <w:b/>
                <w:bCs/>
              </w:rPr>
              <w:t>Indigenous status</w:t>
            </w:r>
            <w:r w:rsidRPr="00821556">
              <w:rPr>
                <w:rFonts w:eastAsia="Calibri" w:cs="Arial"/>
                <w:b/>
                <w:bCs/>
                <w:vertAlign w:val="superscript"/>
              </w:rPr>
              <w:t>(a)</w:t>
            </w:r>
            <w:r w:rsidRPr="00821556">
              <w:rPr>
                <w:rFonts w:eastAsia="Calibri" w:cs="Arial"/>
                <w:b/>
                <w:bCs/>
              </w:rPr>
              <w:t> </w:t>
            </w:r>
          </w:p>
        </w:tc>
        <w:tc>
          <w:tcPr>
            <w:tcW w:w="1139" w:type="pct"/>
            <w:tcBorders>
              <w:top w:val="single" w:sz="4" w:space="0" w:color="auto"/>
              <w:bottom w:val="single" w:sz="4" w:space="0" w:color="auto"/>
            </w:tcBorders>
            <w:shd w:val="clear" w:color="000000" w:fill="FFFFFF"/>
            <w:noWrap/>
            <w:vAlign w:val="bottom"/>
            <w:hideMark/>
          </w:tcPr>
          <w:p w:rsidR="00EC1136" w:rsidRPr="00821556" w:rsidRDefault="00991E47" w:rsidP="00135409">
            <w:pPr>
              <w:pStyle w:val="TableFigText"/>
              <w:jc w:val="right"/>
              <w:rPr>
                <w:rFonts w:eastAsia="Calibri" w:cs="Arial"/>
                <w:b/>
                <w:bCs/>
              </w:rPr>
            </w:pPr>
            <w:r>
              <w:rPr>
                <w:rFonts w:eastAsia="Calibri" w:cs="Arial"/>
                <w:b/>
                <w:bCs/>
              </w:rPr>
              <w:t>No of children</w:t>
            </w:r>
            <w:r>
              <w:rPr>
                <w:rFonts w:eastAsia="Calibri" w:cs="Arial"/>
                <w:b/>
                <w:bCs/>
              </w:rPr>
              <w:br/>
            </w:r>
            <w:r w:rsidR="00EC1136" w:rsidRPr="00821556">
              <w:rPr>
                <w:rFonts w:eastAsia="Calibri" w:cs="Arial"/>
                <w:b/>
                <w:bCs/>
              </w:rPr>
              <w:t>2010</w:t>
            </w:r>
          </w:p>
        </w:tc>
        <w:tc>
          <w:tcPr>
            <w:tcW w:w="1137" w:type="pct"/>
            <w:tcBorders>
              <w:top w:val="single" w:sz="4" w:space="0" w:color="auto"/>
              <w:bottom w:val="single" w:sz="4" w:space="0" w:color="auto"/>
            </w:tcBorders>
            <w:shd w:val="clear" w:color="000000" w:fill="FFFFFF"/>
            <w:vAlign w:val="bottom"/>
            <w:hideMark/>
          </w:tcPr>
          <w:p w:rsidR="00EC1136" w:rsidRPr="00821556" w:rsidRDefault="00991E47" w:rsidP="00135409">
            <w:pPr>
              <w:pStyle w:val="TableFigText"/>
              <w:jc w:val="right"/>
              <w:rPr>
                <w:rFonts w:eastAsia="Calibri" w:cs="Arial"/>
                <w:b/>
                <w:bCs/>
              </w:rPr>
            </w:pPr>
            <w:r>
              <w:rPr>
                <w:rFonts w:eastAsia="Calibri" w:cs="Arial"/>
                <w:b/>
                <w:bCs/>
              </w:rPr>
              <w:t>No of children</w:t>
            </w:r>
            <w:r>
              <w:rPr>
                <w:rFonts w:eastAsia="Calibri" w:cs="Arial"/>
                <w:b/>
                <w:bCs/>
              </w:rPr>
              <w:br/>
            </w:r>
            <w:r w:rsidR="00EC1136" w:rsidRPr="00821556">
              <w:rPr>
                <w:rFonts w:eastAsia="Calibri" w:cs="Arial"/>
                <w:b/>
                <w:bCs/>
              </w:rPr>
              <w:t>2011</w:t>
            </w:r>
          </w:p>
        </w:tc>
        <w:tc>
          <w:tcPr>
            <w:tcW w:w="1137" w:type="pct"/>
            <w:tcBorders>
              <w:top w:val="single" w:sz="4" w:space="0" w:color="auto"/>
              <w:bottom w:val="single" w:sz="4" w:space="0" w:color="auto"/>
            </w:tcBorders>
            <w:shd w:val="clear" w:color="000000" w:fill="FFFFFF"/>
          </w:tcPr>
          <w:p w:rsidR="00EC1136" w:rsidRPr="00821556" w:rsidRDefault="00991E47" w:rsidP="00135409">
            <w:pPr>
              <w:pStyle w:val="TableFigText"/>
              <w:jc w:val="right"/>
              <w:rPr>
                <w:rFonts w:eastAsia="Calibri" w:cs="Arial"/>
                <w:b/>
                <w:bCs/>
              </w:rPr>
            </w:pPr>
            <w:r>
              <w:rPr>
                <w:rFonts w:eastAsia="Calibri" w:cs="Arial"/>
                <w:b/>
                <w:bCs/>
              </w:rPr>
              <w:t>No of children</w:t>
            </w:r>
            <w:r>
              <w:rPr>
                <w:rFonts w:eastAsia="Calibri" w:cs="Arial"/>
                <w:b/>
                <w:bCs/>
              </w:rPr>
              <w:br/>
            </w:r>
            <w:r w:rsidR="00EC1136" w:rsidRPr="00821556">
              <w:rPr>
                <w:rFonts w:eastAsia="Calibri" w:cs="Arial"/>
                <w:b/>
                <w:bCs/>
              </w:rPr>
              <w:t>2012</w:t>
            </w:r>
          </w:p>
        </w:tc>
      </w:tr>
      <w:tr w:rsidR="00EC1136" w:rsidRPr="00821556" w:rsidTr="00991E47">
        <w:trPr>
          <w:trHeight w:val="276"/>
        </w:trPr>
        <w:tc>
          <w:tcPr>
            <w:tcW w:w="1588" w:type="pct"/>
            <w:shd w:val="clear" w:color="000000" w:fill="FFFFFF"/>
            <w:noWrap/>
            <w:vAlign w:val="bottom"/>
            <w:hideMark/>
          </w:tcPr>
          <w:p w:rsidR="00EC1136" w:rsidRPr="00821556" w:rsidRDefault="00EC1136" w:rsidP="00135409">
            <w:pPr>
              <w:pStyle w:val="TableFigText"/>
              <w:rPr>
                <w:rFonts w:eastAsia="Calibri" w:cs="Arial"/>
              </w:rPr>
            </w:pPr>
            <w:r w:rsidRPr="00821556">
              <w:rPr>
                <w:rFonts w:eastAsia="Calibri" w:cs="Arial"/>
              </w:rPr>
              <w:t>Indigenous</w:t>
            </w:r>
          </w:p>
        </w:tc>
        <w:tc>
          <w:tcPr>
            <w:tcW w:w="1139" w:type="pct"/>
            <w:shd w:val="clear" w:color="000000" w:fill="FFFFFF"/>
            <w:vAlign w:val="center"/>
            <w:hideMark/>
          </w:tcPr>
          <w:p w:rsidR="00EC1136" w:rsidRPr="00821556" w:rsidRDefault="00EC1136" w:rsidP="00E62112">
            <w:pPr>
              <w:pStyle w:val="TableFigText"/>
              <w:jc w:val="right"/>
              <w:rPr>
                <w:rFonts w:cs="Arial"/>
              </w:rPr>
            </w:pPr>
            <w:r w:rsidRPr="00821556">
              <w:rPr>
                <w:rFonts w:cs="Arial"/>
              </w:rPr>
              <w:t>11</w:t>
            </w:r>
            <w:r w:rsidR="00E62112">
              <w:rPr>
                <w:rFonts w:ascii="Calibri" w:hAnsi="Calibri" w:cs="Arial"/>
              </w:rPr>
              <w:t> </w:t>
            </w:r>
            <w:r w:rsidRPr="00821556">
              <w:rPr>
                <w:rFonts w:cs="Arial"/>
              </w:rPr>
              <w:t>468</w:t>
            </w:r>
          </w:p>
        </w:tc>
        <w:tc>
          <w:tcPr>
            <w:tcW w:w="1137" w:type="pct"/>
            <w:shd w:val="clear" w:color="000000" w:fill="FFFFFF"/>
            <w:vAlign w:val="center"/>
            <w:hideMark/>
          </w:tcPr>
          <w:p w:rsidR="00EC1136" w:rsidRPr="00821556" w:rsidRDefault="00EC1136" w:rsidP="00E62112">
            <w:pPr>
              <w:pStyle w:val="TableFigText"/>
              <w:jc w:val="right"/>
              <w:rPr>
                <w:rFonts w:cs="Arial"/>
              </w:rPr>
            </w:pPr>
            <w:r w:rsidRPr="00821556">
              <w:rPr>
                <w:rFonts w:cs="Arial"/>
              </w:rPr>
              <w:t>12</w:t>
            </w:r>
            <w:r w:rsidR="00E62112">
              <w:rPr>
                <w:rFonts w:ascii="Calibri" w:hAnsi="Calibri" w:cs="Arial"/>
              </w:rPr>
              <w:t> </w:t>
            </w:r>
            <w:r w:rsidRPr="00821556">
              <w:rPr>
                <w:rFonts w:cs="Arial"/>
              </w:rPr>
              <w:t>358</w:t>
            </w:r>
          </w:p>
        </w:tc>
        <w:tc>
          <w:tcPr>
            <w:tcW w:w="1137" w:type="pct"/>
            <w:shd w:val="clear" w:color="000000" w:fill="FFFFFF"/>
          </w:tcPr>
          <w:p w:rsidR="00EC1136" w:rsidRPr="00821556" w:rsidRDefault="00EC1136" w:rsidP="00E62112">
            <w:pPr>
              <w:pStyle w:val="TableFigText"/>
              <w:jc w:val="right"/>
              <w:rPr>
                <w:rFonts w:cs="Arial"/>
              </w:rPr>
            </w:pPr>
            <w:r w:rsidRPr="00821556">
              <w:rPr>
                <w:rFonts w:cs="Arial"/>
              </w:rPr>
              <w:t>13</w:t>
            </w:r>
            <w:r w:rsidR="00E62112">
              <w:rPr>
                <w:rFonts w:ascii="Calibri" w:hAnsi="Calibri" w:cs="Arial"/>
              </w:rPr>
              <w:t> </w:t>
            </w:r>
            <w:r>
              <w:rPr>
                <w:rFonts w:ascii="Calibri" w:hAnsi="Calibri" w:cs="Arial"/>
              </w:rPr>
              <w:t> </w:t>
            </w:r>
            <w:r w:rsidRPr="00821556">
              <w:rPr>
                <w:rFonts w:cs="Arial"/>
              </w:rPr>
              <w:t>299</w:t>
            </w:r>
          </w:p>
        </w:tc>
      </w:tr>
      <w:tr w:rsidR="00EC1136" w:rsidRPr="00821556" w:rsidTr="00991E47">
        <w:trPr>
          <w:trHeight w:val="276"/>
        </w:trPr>
        <w:tc>
          <w:tcPr>
            <w:tcW w:w="1588" w:type="pct"/>
            <w:shd w:val="clear" w:color="000000" w:fill="FFFFFF"/>
            <w:noWrap/>
            <w:vAlign w:val="bottom"/>
            <w:hideMark/>
          </w:tcPr>
          <w:p w:rsidR="00EC1136" w:rsidRPr="00821556" w:rsidRDefault="00EC1136" w:rsidP="00135409">
            <w:pPr>
              <w:pStyle w:val="TableFigText"/>
              <w:rPr>
                <w:rFonts w:eastAsia="Calibri" w:cs="Arial"/>
              </w:rPr>
            </w:pPr>
            <w:r w:rsidRPr="00821556">
              <w:rPr>
                <w:rFonts w:eastAsia="Calibri" w:cs="Arial"/>
              </w:rPr>
              <w:t>Non-Indigenous</w:t>
            </w:r>
          </w:p>
        </w:tc>
        <w:tc>
          <w:tcPr>
            <w:tcW w:w="1139" w:type="pct"/>
            <w:shd w:val="clear" w:color="000000" w:fill="FFFFFF"/>
            <w:noWrap/>
            <w:vAlign w:val="center"/>
            <w:hideMark/>
          </w:tcPr>
          <w:p w:rsidR="00EC1136" w:rsidRPr="00821556" w:rsidRDefault="00EC1136" w:rsidP="00E62112">
            <w:pPr>
              <w:pStyle w:val="TableFigText"/>
              <w:jc w:val="right"/>
              <w:rPr>
                <w:rFonts w:cs="Arial"/>
              </w:rPr>
            </w:pPr>
            <w:r w:rsidRPr="00821556">
              <w:rPr>
                <w:rFonts w:cs="Arial"/>
              </w:rPr>
              <w:t>24</w:t>
            </w:r>
            <w:r w:rsidR="00E62112">
              <w:rPr>
                <w:rFonts w:ascii="Calibri" w:hAnsi="Calibri" w:cs="Arial"/>
              </w:rPr>
              <w:t> </w:t>
            </w:r>
            <w:r w:rsidRPr="00821556">
              <w:rPr>
                <w:rFonts w:cs="Arial"/>
              </w:rPr>
              <w:t>279</w:t>
            </w:r>
          </w:p>
        </w:tc>
        <w:tc>
          <w:tcPr>
            <w:tcW w:w="1137" w:type="pct"/>
            <w:shd w:val="clear" w:color="000000" w:fill="FFFFFF"/>
            <w:noWrap/>
            <w:vAlign w:val="center"/>
            <w:hideMark/>
          </w:tcPr>
          <w:p w:rsidR="00EC1136" w:rsidRPr="00821556" w:rsidRDefault="00EC1136" w:rsidP="00E62112">
            <w:pPr>
              <w:pStyle w:val="TableFigText"/>
              <w:jc w:val="right"/>
              <w:rPr>
                <w:rFonts w:cs="Arial"/>
              </w:rPr>
            </w:pPr>
            <w:r w:rsidRPr="00821556">
              <w:rPr>
                <w:rFonts w:cs="Arial"/>
              </w:rPr>
              <w:t>24</w:t>
            </w:r>
            <w:r w:rsidR="00E62112">
              <w:rPr>
                <w:rFonts w:ascii="Calibri" w:hAnsi="Calibri" w:cs="Arial"/>
              </w:rPr>
              <w:t> </w:t>
            </w:r>
            <w:r>
              <w:rPr>
                <w:rFonts w:ascii="Calibri" w:hAnsi="Calibri" w:cs="Arial"/>
              </w:rPr>
              <w:t> </w:t>
            </w:r>
            <w:r w:rsidRPr="00821556">
              <w:rPr>
                <w:rFonts w:cs="Arial"/>
              </w:rPr>
              <w:t>929</w:t>
            </w:r>
          </w:p>
        </w:tc>
        <w:tc>
          <w:tcPr>
            <w:tcW w:w="1137" w:type="pct"/>
            <w:shd w:val="clear" w:color="000000" w:fill="FFFFFF"/>
          </w:tcPr>
          <w:p w:rsidR="00EC1136" w:rsidRPr="00821556" w:rsidRDefault="00EC1136" w:rsidP="00E62112">
            <w:pPr>
              <w:pStyle w:val="TableFigText"/>
              <w:jc w:val="right"/>
              <w:rPr>
                <w:rFonts w:cs="Arial"/>
              </w:rPr>
            </w:pPr>
            <w:r w:rsidRPr="00821556">
              <w:rPr>
                <w:rFonts w:cs="Arial"/>
              </w:rPr>
              <w:t>26</w:t>
            </w:r>
            <w:r w:rsidR="00E62112">
              <w:rPr>
                <w:rFonts w:ascii="Calibri" w:hAnsi="Calibri" w:cs="Arial"/>
              </w:rPr>
              <w:t> </w:t>
            </w:r>
            <w:r w:rsidRPr="00821556">
              <w:rPr>
                <w:rFonts w:cs="Arial"/>
              </w:rPr>
              <w:t>127</w:t>
            </w:r>
          </w:p>
        </w:tc>
      </w:tr>
      <w:tr w:rsidR="00EC1136" w:rsidRPr="00821556" w:rsidTr="00991E47">
        <w:trPr>
          <w:trHeight w:val="288"/>
        </w:trPr>
        <w:tc>
          <w:tcPr>
            <w:tcW w:w="1588" w:type="pct"/>
            <w:shd w:val="clear" w:color="000000" w:fill="FFFFFF"/>
            <w:noWrap/>
            <w:vAlign w:val="bottom"/>
            <w:hideMark/>
          </w:tcPr>
          <w:p w:rsidR="00EC1136" w:rsidRPr="00821556" w:rsidRDefault="00EC1136" w:rsidP="00135409">
            <w:pPr>
              <w:pStyle w:val="TableFigText"/>
              <w:rPr>
                <w:rFonts w:eastAsia="Calibri" w:cs="Arial"/>
              </w:rPr>
            </w:pPr>
            <w:r>
              <w:rPr>
                <w:rFonts w:eastAsia="Calibri" w:cs="Arial"/>
              </w:rPr>
              <w:t>All children</w:t>
            </w:r>
          </w:p>
        </w:tc>
        <w:tc>
          <w:tcPr>
            <w:tcW w:w="1139" w:type="pct"/>
            <w:shd w:val="clear" w:color="000000" w:fill="FFFFFF"/>
            <w:vAlign w:val="center"/>
            <w:hideMark/>
          </w:tcPr>
          <w:p w:rsidR="00EC1136" w:rsidRPr="00821556" w:rsidRDefault="00EC1136" w:rsidP="00E62112">
            <w:pPr>
              <w:pStyle w:val="TableFigText"/>
              <w:jc w:val="right"/>
              <w:rPr>
                <w:rFonts w:cs="Arial"/>
              </w:rPr>
            </w:pPr>
            <w:r w:rsidRPr="00821556">
              <w:rPr>
                <w:rFonts w:cs="Arial"/>
              </w:rPr>
              <w:t>35</w:t>
            </w:r>
            <w:r w:rsidR="00E62112">
              <w:rPr>
                <w:rFonts w:ascii="Calibri" w:hAnsi="Calibri" w:cs="Arial"/>
              </w:rPr>
              <w:t> </w:t>
            </w:r>
            <w:r w:rsidRPr="00821556">
              <w:rPr>
                <w:rFonts w:cs="Arial"/>
              </w:rPr>
              <w:t>895</w:t>
            </w:r>
          </w:p>
        </w:tc>
        <w:tc>
          <w:tcPr>
            <w:tcW w:w="1137" w:type="pct"/>
            <w:shd w:val="clear" w:color="000000" w:fill="FFFFFF"/>
            <w:vAlign w:val="center"/>
            <w:hideMark/>
          </w:tcPr>
          <w:p w:rsidR="00EC1136" w:rsidRPr="00821556" w:rsidRDefault="00EC1136" w:rsidP="00E62112">
            <w:pPr>
              <w:pStyle w:val="TableFigText"/>
              <w:jc w:val="right"/>
              <w:rPr>
                <w:rFonts w:cs="Arial"/>
              </w:rPr>
            </w:pPr>
            <w:r w:rsidRPr="00821556">
              <w:rPr>
                <w:rFonts w:cs="Arial"/>
              </w:rPr>
              <w:t>37</w:t>
            </w:r>
            <w:r w:rsidR="00E62112">
              <w:rPr>
                <w:rFonts w:ascii="Calibri" w:hAnsi="Calibri" w:cs="Arial"/>
              </w:rPr>
              <w:t> </w:t>
            </w:r>
            <w:r w:rsidRPr="00821556">
              <w:rPr>
                <w:rFonts w:cs="Arial"/>
              </w:rPr>
              <w:t>648</w:t>
            </w:r>
          </w:p>
        </w:tc>
        <w:tc>
          <w:tcPr>
            <w:tcW w:w="1137" w:type="pct"/>
            <w:shd w:val="clear" w:color="000000" w:fill="FFFFFF"/>
            <w:vAlign w:val="bottom"/>
          </w:tcPr>
          <w:p w:rsidR="00EC1136" w:rsidRPr="00821556" w:rsidRDefault="00EC1136" w:rsidP="00E62112">
            <w:pPr>
              <w:pStyle w:val="TableFigText"/>
              <w:jc w:val="right"/>
              <w:rPr>
                <w:rFonts w:cs="Arial"/>
              </w:rPr>
            </w:pPr>
            <w:r w:rsidRPr="00821556">
              <w:rPr>
                <w:rFonts w:cs="Arial"/>
              </w:rPr>
              <w:t>39</w:t>
            </w:r>
            <w:r w:rsidR="00E62112">
              <w:rPr>
                <w:rFonts w:ascii="Calibri" w:hAnsi="Calibri" w:cs="Arial"/>
              </w:rPr>
              <w:t> </w:t>
            </w:r>
            <w:r>
              <w:rPr>
                <w:rFonts w:ascii="Calibri" w:hAnsi="Calibri" w:cs="Arial"/>
              </w:rPr>
              <w:t> </w:t>
            </w:r>
            <w:r w:rsidRPr="00821556">
              <w:rPr>
                <w:rFonts w:cs="Arial"/>
              </w:rPr>
              <w:t>621</w:t>
            </w:r>
          </w:p>
        </w:tc>
      </w:tr>
      <w:tr w:rsidR="00991E47" w:rsidRPr="00991E47" w:rsidTr="00991E47">
        <w:trPr>
          <w:trHeight w:val="276"/>
        </w:trPr>
        <w:tc>
          <w:tcPr>
            <w:tcW w:w="1588" w:type="pct"/>
            <w:shd w:val="clear" w:color="000000" w:fill="FFFFFF"/>
            <w:noWrap/>
            <w:vAlign w:val="bottom"/>
          </w:tcPr>
          <w:p w:rsidR="00991E47" w:rsidRPr="00991E47" w:rsidRDefault="00D46E9A" w:rsidP="00135409">
            <w:pPr>
              <w:pStyle w:val="TableFigText"/>
              <w:rPr>
                <w:rFonts w:eastAsia="Calibri" w:cs="Arial"/>
                <w:b/>
              </w:rPr>
            </w:pPr>
            <w:r w:rsidRPr="00821556">
              <w:rPr>
                <w:rFonts w:eastAsia="Calibri" w:cs="Arial"/>
                <w:b/>
                <w:bCs/>
              </w:rPr>
              <w:t>Indigenous status</w:t>
            </w:r>
            <w:r w:rsidRPr="00821556">
              <w:rPr>
                <w:rFonts w:eastAsia="Calibri" w:cs="Arial"/>
                <w:b/>
                <w:bCs/>
                <w:vertAlign w:val="superscript"/>
              </w:rPr>
              <w:t>(a)</w:t>
            </w:r>
            <w:r w:rsidRPr="00821556">
              <w:rPr>
                <w:rFonts w:eastAsia="Calibri" w:cs="Arial"/>
                <w:b/>
                <w:bCs/>
              </w:rPr>
              <w:t> </w:t>
            </w:r>
          </w:p>
        </w:tc>
        <w:tc>
          <w:tcPr>
            <w:tcW w:w="1139" w:type="pct"/>
            <w:shd w:val="clear" w:color="000000" w:fill="FFFFFF"/>
            <w:vAlign w:val="center"/>
          </w:tcPr>
          <w:p w:rsidR="00991E47" w:rsidRPr="00991E47" w:rsidRDefault="00991E47" w:rsidP="00135409">
            <w:pPr>
              <w:pStyle w:val="TableFigText"/>
              <w:jc w:val="right"/>
              <w:rPr>
                <w:rFonts w:cs="Arial"/>
                <w:b/>
              </w:rPr>
            </w:pPr>
            <w:r w:rsidRPr="00991E47">
              <w:rPr>
                <w:rFonts w:cs="Arial"/>
                <w:b/>
              </w:rPr>
              <w:t>Rate per 1000 children 2010</w:t>
            </w:r>
          </w:p>
        </w:tc>
        <w:tc>
          <w:tcPr>
            <w:tcW w:w="1137" w:type="pct"/>
            <w:shd w:val="clear" w:color="000000" w:fill="FFFFFF"/>
            <w:vAlign w:val="center"/>
          </w:tcPr>
          <w:p w:rsidR="00991E47" w:rsidRPr="00991E47" w:rsidRDefault="00991E47" w:rsidP="00135409">
            <w:pPr>
              <w:pStyle w:val="TableFigText"/>
              <w:jc w:val="right"/>
              <w:rPr>
                <w:rFonts w:cs="Arial"/>
                <w:b/>
              </w:rPr>
            </w:pPr>
            <w:r w:rsidRPr="00991E47">
              <w:rPr>
                <w:rFonts w:cs="Arial"/>
                <w:b/>
              </w:rPr>
              <w:t>Rate per 1000 children 2011</w:t>
            </w:r>
          </w:p>
        </w:tc>
        <w:tc>
          <w:tcPr>
            <w:tcW w:w="1137" w:type="pct"/>
            <w:shd w:val="clear" w:color="000000" w:fill="FFFFFF"/>
            <w:vAlign w:val="bottom"/>
          </w:tcPr>
          <w:p w:rsidR="00991E47" w:rsidRPr="00991E47" w:rsidRDefault="00991E47" w:rsidP="00135409">
            <w:pPr>
              <w:pStyle w:val="TableFigText"/>
              <w:jc w:val="right"/>
              <w:rPr>
                <w:rFonts w:cs="Arial"/>
                <w:b/>
              </w:rPr>
            </w:pPr>
            <w:r w:rsidRPr="00991E47">
              <w:rPr>
                <w:rFonts w:cs="Arial"/>
                <w:b/>
              </w:rPr>
              <w:t>Rate per 1000 children 2012</w:t>
            </w:r>
          </w:p>
        </w:tc>
      </w:tr>
      <w:tr w:rsidR="00EC1136" w:rsidRPr="00821556" w:rsidTr="00991E47">
        <w:trPr>
          <w:trHeight w:val="276"/>
        </w:trPr>
        <w:tc>
          <w:tcPr>
            <w:tcW w:w="1588" w:type="pct"/>
            <w:shd w:val="clear" w:color="000000" w:fill="FFFFFF"/>
            <w:noWrap/>
            <w:vAlign w:val="bottom"/>
            <w:hideMark/>
          </w:tcPr>
          <w:p w:rsidR="00EC1136" w:rsidRPr="00821556" w:rsidRDefault="00EC1136" w:rsidP="00135409">
            <w:pPr>
              <w:pStyle w:val="TableFigText"/>
              <w:rPr>
                <w:rFonts w:eastAsia="Calibri" w:cs="Arial"/>
              </w:rPr>
            </w:pPr>
            <w:r w:rsidRPr="00821556">
              <w:rPr>
                <w:rFonts w:eastAsia="Calibri" w:cs="Arial"/>
              </w:rPr>
              <w:t>Indigenous</w:t>
            </w:r>
          </w:p>
        </w:tc>
        <w:tc>
          <w:tcPr>
            <w:tcW w:w="1139" w:type="pct"/>
            <w:shd w:val="clear" w:color="000000" w:fill="FFFFFF"/>
            <w:vAlign w:val="center"/>
            <w:hideMark/>
          </w:tcPr>
          <w:p w:rsidR="00EC1136" w:rsidRPr="00821556" w:rsidRDefault="00EC1136" w:rsidP="00135409">
            <w:pPr>
              <w:pStyle w:val="TableFigText"/>
              <w:jc w:val="right"/>
              <w:rPr>
                <w:rFonts w:cs="Arial"/>
              </w:rPr>
            </w:pPr>
            <w:r w:rsidRPr="00821556">
              <w:rPr>
                <w:rFonts w:cs="Arial"/>
              </w:rPr>
              <w:t>48.4</w:t>
            </w:r>
          </w:p>
        </w:tc>
        <w:tc>
          <w:tcPr>
            <w:tcW w:w="1137" w:type="pct"/>
            <w:shd w:val="clear" w:color="000000" w:fill="FFFFFF"/>
            <w:vAlign w:val="center"/>
            <w:hideMark/>
          </w:tcPr>
          <w:p w:rsidR="00EC1136" w:rsidRPr="00821556" w:rsidRDefault="00EC1136" w:rsidP="00135409">
            <w:pPr>
              <w:pStyle w:val="TableFigText"/>
              <w:jc w:val="right"/>
              <w:rPr>
                <w:rFonts w:cs="Arial"/>
              </w:rPr>
            </w:pPr>
            <w:r w:rsidRPr="00821556">
              <w:rPr>
                <w:rFonts w:cs="Arial"/>
              </w:rPr>
              <w:t>51.7</w:t>
            </w:r>
          </w:p>
        </w:tc>
        <w:tc>
          <w:tcPr>
            <w:tcW w:w="1137" w:type="pct"/>
            <w:shd w:val="clear" w:color="000000" w:fill="FFFFFF"/>
            <w:vAlign w:val="bottom"/>
          </w:tcPr>
          <w:p w:rsidR="00EC1136" w:rsidRPr="00821556" w:rsidRDefault="00EC1136" w:rsidP="00135409">
            <w:pPr>
              <w:pStyle w:val="TableFigText"/>
              <w:jc w:val="right"/>
              <w:rPr>
                <w:rFonts w:cs="Arial"/>
              </w:rPr>
            </w:pPr>
            <w:r w:rsidRPr="00821556">
              <w:rPr>
                <w:rFonts w:cs="Arial"/>
              </w:rPr>
              <w:t>55.1</w:t>
            </w:r>
          </w:p>
        </w:tc>
      </w:tr>
      <w:tr w:rsidR="00EC1136" w:rsidRPr="00821556" w:rsidTr="00991E47">
        <w:trPr>
          <w:trHeight w:val="276"/>
        </w:trPr>
        <w:tc>
          <w:tcPr>
            <w:tcW w:w="1588" w:type="pct"/>
            <w:shd w:val="clear" w:color="000000" w:fill="FFFFFF"/>
            <w:noWrap/>
            <w:vAlign w:val="bottom"/>
            <w:hideMark/>
          </w:tcPr>
          <w:p w:rsidR="00EC1136" w:rsidRPr="00821556" w:rsidRDefault="00EC1136" w:rsidP="00135409">
            <w:pPr>
              <w:pStyle w:val="TableFigText"/>
              <w:rPr>
                <w:rFonts w:eastAsia="Calibri" w:cs="Arial"/>
              </w:rPr>
            </w:pPr>
            <w:r w:rsidRPr="00821556">
              <w:rPr>
                <w:rFonts w:eastAsia="Calibri" w:cs="Arial"/>
              </w:rPr>
              <w:t>Non-Indigenous</w:t>
            </w:r>
          </w:p>
        </w:tc>
        <w:tc>
          <w:tcPr>
            <w:tcW w:w="1139" w:type="pct"/>
            <w:shd w:val="clear" w:color="000000" w:fill="FFFFFF"/>
            <w:noWrap/>
            <w:vAlign w:val="center"/>
            <w:hideMark/>
          </w:tcPr>
          <w:p w:rsidR="00EC1136" w:rsidRPr="00821556" w:rsidRDefault="00EC1136" w:rsidP="00135409">
            <w:pPr>
              <w:pStyle w:val="TableFigText"/>
              <w:jc w:val="right"/>
              <w:rPr>
                <w:rFonts w:cs="Arial"/>
              </w:rPr>
            </w:pPr>
            <w:r w:rsidRPr="00821556">
              <w:rPr>
                <w:rFonts w:cs="Arial"/>
              </w:rPr>
              <w:t>5.0</w:t>
            </w:r>
          </w:p>
        </w:tc>
        <w:tc>
          <w:tcPr>
            <w:tcW w:w="1137" w:type="pct"/>
            <w:shd w:val="clear" w:color="000000" w:fill="FFFFFF"/>
            <w:noWrap/>
            <w:vAlign w:val="center"/>
            <w:hideMark/>
          </w:tcPr>
          <w:p w:rsidR="00EC1136" w:rsidRPr="00821556" w:rsidRDefault="00EC1136" w:rsidP="00135409">
            <w:pPr>
              <w:pStyle w:val="TableFigText"/>
              <w:jc w:val="right"/>
              <w:rPr>
                <w:rFonts w:cs="Arial"/>
              </w:rPr>
            </w:pPr>
            <w:r w:rsidRPr="00821556">
              <w:rPr>
                <w:rFonts w:cs="Arial"/>
              </w:rPr>
              <w:t>5.1</w:t>
            </w:r>
          </w:p>
        </w:tc>
        <w:tc>
          <w:tcPr>
            <w:tcW w:w="1137" w:type="pct"/>
            <w:shd w:val="clear" w:color="000000" w:fill="FFFFFF"/>
            <w:vAlign w:val="bottom"/>
          </w:tcPr>
          <w:p w:rsidR="00EC1136" w:rsidRPr="00821556" w:rsidRDefault="00EC1136" w:rsidP="00135409">
            <w:pPr>
              <w:pStyle w:val="TableFigText"/>
              <w:jc w:val="right"/>
              <w:rPr>
                <w:rFonts w:cs="Arial"/>
              </w:rPr>
            </w:pPr>
            <w:r w:rsidRPr="00821556">
              <w:rPr>
                <w:rFonts w:cs="Arial"/>
              </w:rPr>
              <w:t>5.4</w:t>
            </w:r>
          </w:p>
        </w:tc>
      </w:tr>
      <w:tr w:rsidR="00EC1136" w:rsidRPr="00821556" w:rsidTr="00991E47">
        <w:trPr>
          <w:trHeight w:val="288"/>
        </w:trPr>
        <w:tc>
          <w:tcPr>
            <w:tcW w:w="1588" w:type="pct"/>
            <w:shd w:val="clear" w:color="000000" w:fill="FFFFFF"/>
            <w:noWrap/>
            <w:vAlign w:val="bottom"/>
            <w:hideMark/>
          </w:tcPr>
          <w:p w:rsidR="00EC1136" w:rsidRPr="00821556" w:rsidRDefault="00EC1136" w:rsidP="00135409">
            <w:pPr>
              <w:pStyle w:val="TableFigText"/>
              <w:rPr>
                <w:rFonts w:eastAsia="Calibri" w:cs="Arial"/>
              </w:rPr>
            </w:pPr>
            <w:r>
              <w:rPr>
                <w:rFonts w:eastAsia="Calibri" w:cs="Arial"/>
              </w:rPr>
              <w:t>All children</w:t>
            </w:r>
          </w:p>
        </w:tc>
        <w:tc>
          <w:tcPr>
            <w:tcW w:w="1139" w:type="pct"/>
            <w:shd w:val="clear" w:color="000000" w:fill="FFFFFF"/>
            <w:vAlign w:val="center"/>
            <w:hideMark/>
          </w:tcPr>
          <w:p w:rsidR="00EC1136" w:rsidRPr="00821556" w:rsidRDefault="00EC1136" w:rsidP="00135409">
            <w:pPr>
              <w:pStyle w:val="TableFigText"/>
              <w:jc w:val="right"/>
              <w:rPr>
                <w:rFonts w:cs="Arial"/>
              </w:rPr>
            </w:pPr>
            <w:r w:rsidRPr="00821556">
              <w:rPr>
                <w:rFonts w:cs="Arial"/>
              </w:rPr>
              <w:t>7.0</w:t>
            </w:r>
          </w:p>
        </w:tc>
        <w:tc>
          <w:tcPr>
            <w:tcW w:w="1137" w:type="pct"/>
            <w:shd w:val="clear" w:color="000000" w:fill="FFFFFF"/>
            <w:vAlign w:val="center"/>
            <w:hideMark/>
          </w:tcPr>
          <w:p w:rsidR="00EC1136" w:rsidRPr="00821556" w:rsidRDefault="00EC1136" w:rsidP="00135409">
            <w:pPr>
              <w:pStyle w:val="TableFigText"/>
              <w:jc w:val="right"/>
              <w:rPr>
                <w:rFonts w:cs="Arial"/>
              </w:rPr>
            </w:pPr>
            <w:r w:rsidRPr="00821556">
              <w:rPr>
                <w:rFonts w:cs="Arial"/>
              </w:rPr>
              <w:t>7.3</w:t>
            </w:r>
          </w:p>
        </w:tc>
        <w:tc>
          <w:tcPr>
            <w:tcW w:w="1137" w:type="pct"/>
            <w:shd w:val="clear" w:color="000000" w:fill="FFFFFF"/>
            <w:vAlign w:val="bottom"/>
          </w:tcPr>
          <w:p w:rsidR="00EC1136" w:rsidRPr="00821556" w:rsidRDefault="00EC1136" w:rsidP="00135409">
            <w:pPr>
              <w:pStyle w:val="TableFigText"/>
              <w:jc w:val="right"/>
              <w:rPr>
                <w:rFonts w:cs="Arial"/>
              </w:rPr>
            </w:pPr>
            <w:r w:rsidRPr="00821556">
              <w:rPr>
                <w:rFonts w:cs="Arial"/>
              </w:rPr>
              <w:t>7.7</w:t>
            </w:r>
          </w:p>
        </w:tc>
      </w:tr>
      <w:tr w:rsidR="00EC1136" w:rsidRPr="00821556" w:rsidTr="00991E47">
        <w:trPr>
          <w:trHeight w:val="288"/>
        </w:trPr>
        <w:tc>
          <w:tcPr>
            <w:tcW w:w="1588" w:type="pct"/>
            <w:tcBorders>
              <w:bottom w:val="single" w:sz="4" w:space="0" w:color="auto"/>
            </w:tcBorders>
            <w:shd w:val="clear" w:color="000000" w:fill="FFFFFF"/>
            <w:noWrap/>
            <w:vAlign w:val="bottom"/>
          </w:tcPr>
          <w:p w:rsidR="00EC1136" w:rsidRDefault="00EC1136" w:rsidP="00135409">
            <w:pPr>
              <w:pStyle w:val="TableFigText"/>
              <w:rPr>
                <w:rFonts w:eastAsia="Calibri" w:cs="Arial"/>
              </w:rPr>
            </w:pPr>
            <w:r w:rsidRPr="00821556">
              <w:rPr>
                <w:rFonts w:eastAsia="Calibri" w:cs="Arial"/>
                <w:bCs/>
              </w:rPr>
              <w:t>Rate ratio</w:t>
            </w:r>
            <w:r w:rsidRPr="006D43DE">
              <w:rPr>
                <w:rFonts w:eastAsia="Calibri" w:cs="Arial"/>
                <w:bCs/>
                <w:vertAlign w:val="superscript"/>
              </w:rPr>
              <w:t>(b)</w:t>
            </w:r>
            <w:r w:rsidRPr="00821556">
              <w:rPr>
                <w:rFonts w:eastAsia="Calibri" w:cs="Arial"/>
                <w:bCs/>
              </w:rPr>
              <w:t xml:space="preserve"> </w:t>
            </w:r>
          </w:p>
        </w:tc>
        <w:tc>
          <w:tcPr>
            <w:tcW w:w="1139" w:type="pct"/>
            <w:tcBorders>
              <w:bottom w:val="single" w:sz="4" w:space="0" w:color="auto"/>
            </w:tcBorders>
            <w:shd w:val="clear" w:color="000000" w:fill="FFFFFF"/>
            <w:vAlign w:val="bottom"/>
          </w:tcPr>
          <w:p w:rsidR="00EC1136" w:rsidRPr="00821556" w:rsidRDefault="00EC1136" w:rsidP="00135409">
            <w:pPr>
              <w:pStyle w:val="TableFigText"/>
              <w:jc w:val="right"/>
              <w:rPr>
                <w:rFonts w:cs="Arial"/>
              </w:rPr>
            </w:pPr>
            <w:r w:rsidRPr="00821556">
              <w:rPr>
                <w:rFonts w:eastAsia="Calibri" w:cs="Arial"/>
              </w:rPr>
              <w:t>9.7</w:t>
            </w:r>
          </w:p>
        </w:tc>
        <w:tc>
          <w:tcPr>
            <w:tcW w:w="1137" w:type="pct"/>
            <w:tcBorders>
              <w:bottom w:val="single" w:sz="4" w:space="0" w:color="auto"/>
            </w:tcBorders>
            <w:shd w:val="clear" w:color="000000" w:fill="FFFFFF"/>
            <w:vAlign w:val="bottom"/>
          </w:tcPr>
          <w:p w:rsidR="00EC1136" w:rsidRPr="00821556" w:rsidRDefault="00EC1136" w:rsidP="00135409">
            <w:pPr>
              <w:pStyle w:val="TableFigText"/>
              <w:jc w:val="right"/>
              <w:rPr>
                <w:rFonts w:cs="Arial"/>
              </w:rPr>
            </w:pPr>
            <w:r w:rsidRPr="00821556">
              <w:rPr>
                <w:rFonts w:eastAsia="Calibri" w:cs="Arial"/>
              </w:rPr>
              <w:t>10.1</w:t>
            </w:r>
          </w:p>
        </w:tc>
        <w:tc>
          <w:tcPr>
            <w:tcW w:w="1137" w:type="pct"/>
            <w:tcBorders>
              <w:bottom w:val="single" w:sz="4" w:space="0" w:color="auto"/>
            </w:tcBorders>
            <w:shd w:val="clear" w:color="000000" w:fill="FFFFFF"/>
          </w:tcPr>
          <w:p w:rsidR="00EC1136" w:rsidRPr="00821556" w:rsidRDefault="00EC1136" w:rsidP="00135409">
            <w:pPr>
              <w:pStyle w:val="TableFigText"/>
              <w:jc w:val="right"/>
              <w:rPr>
                <w:rFonts w:cs="Arial"/>
              </w:rPr>
            </w:pPr>
            <w:r w:rsidRPr="00821556">
              <w:rPr>
                <w:rFonts w:eastAsia="Calibri" w:cs="Arial"/>
              </w:rPr>
              <w:t>10.3</w:t>
            </w:r>
          </w:p>
        </w:tc>
      </w:tr>
    </w:tbl>
    <w:p w:rsidR="00EC1136" w:rsidRDefault="00EC1136" w:rsidP="00EC1136">
      <w:pPr>
        <w:pStyle w:val="TableFigSourcesfootnotes"/>
        <w:tabs>
          <w:tab w:val="clear" w:pos="425"/>
          <w:tab w:val="clear" w:pos="851"/>
          <w:tab w:val="left" w:pos="284"/>
        </w:tabs>
        <w:spacing w:after="0"/>
        <w:ind w:left="284" w:hanging="284"/>
      </w:pPr>
      <w:r>
        <w:t>(a)</w:t>
      </w:r>
      <w:r>
        <w:tab/>
        <w:t xml:space="preserve">‘All children’ </w:t>
      </w:r>
      <w:r w:rsidRPr="00821556">
        <w:t>include</w:t>
      </w:r>
      <w:r>
        <w:t xml:space="preserve">s </w:t>
      </w:r>
      <w:r w:rsidRPr="00821556">
        <w:t>children whose Indigenous status was unknown.</w:t>
      </w:r>
      <w:r>
        <w:t xml:space="preserve"> </w:t>
      </w:r>
    </w:p>
    <w:p w:rsidR="00EC1136" w:rsidRPr="00821556" w:rsidRDefault="00EC1136" w:rsidP="00EC1136">
      <w:pPr>
        <w:pStyle w:val="TableFigSourcesfootnotes"/>
        <w:tabs>
          <w:tab w:val="clear" w:pos="425"/>
          <w:tab w:val="left" w:pos="284"/>
        </w:tabs>
        <w:spacing w:after="0"/>
        <w:ind w:left="284" w:hanging="284"/>
      </w:pPr>
      <w:r>
        <w:t>(b)</w:t>
      </w:r>
      <w:r>
        <w:tab/>
        <w:t xml:space="preserve">Rate ratios are calculated by dividing the unrounded rate of Aboriginal and Torres Strait Islander children </w:t>
      </w:r>
      <w:r>
        <w:br/>
        <w:t xml:space="preserve">who were in out-of-home care by the unrounded rate of non-Indigenous children who were in out-of-home </w:t>
      </w:r>
      <w:r>
        <w:br/>
        <w:t xml:space="preserve">care. The resulting number is a measure of how many Aboriginal and Torres Strait Islander children were </w:t>
      </w:r>
      <w:r>
        <w:br/>
        <w:t>in out-of-home care for every one non-Indigenous child who was in out-of-home care.</w:t>
      </w:r>
    </w:p>
    <w:p w:rsidR="00771F39" w:rsidRDefault="00EC1136" w:rsidP="00771F39">
      <w:pPr>
        <w:pStyle w:val="TableFigSourcesfootnotes"/>
        <w:spacing w:after="0"/>
        <w:rPr>
          <w:rFonts w:ascii="Calibri" w:hAnsi="Calibri" w:cs="Calibri"/>
          <w:sz w:val="24"/>
          <w:szCs w:val="24"/>
        </w:rPr>
      </w:pPr>
      <w:r w:rsidRPr="00E02C16">
        <w:t>Sources</w:t>
      </w:r>
      <w:r w:rsidRPr="00821556">
        <w:t>: AIHW Child Protection Data Collections; AIHW 2013</w:t>
      </w:r>
      <w:r>
        <w:t>a</w:t>
      </w:r>
      <w:r w:rsidRPr="00821556">
        <w:t>.</w:t>
      </w:r>
      <w:r w:rsidR="00771F39">
        <w:rPr>
          <w:rFonts w:ascii="Calibri" w:hAnsi="Calibri" w:cs="Calibri"/>
          <w:sz w:val="24"/>
          <w:szCs w:val="24"/>
        </w:rPr>
        <w:br w:type="page"/>
      </w:r>
    </w:p>
    <w:p w:rsidR="00EC1136" w:rsidRPr="006E144E" w:rsidRDefault="00EC1136" w:rsidP="00EC1136">
      <w:pPr>
        <w:rPr>
          <w:rFonts w:ascii="Calibri" w:hAnsi="Calibri" w:cs="Calibri"/>
        </w:rPr>
      </w:pPr>
      <w:r w:rsidRPr="00821556">
        <w:rPr>
          <w:rFonts w:ascii="Calibri" w:hAnsi="Calibri" w:cs="Calibri"/>
          <w:sz w:val="24"/>
          <w:szCs w:val="24"/>
        </w:rPr>
        <w:t>Aboriginal and Torres Strait Islander children are over</w:t>
      </w:r>
      <w:r>
        <w:rPr>
          <w:rFonts w:ascii="Calibri" w:hAnsi="Calibri" w:cs="Calibri"/>
          <w:sz w:val="24"/>
          <w:szCs w:val="24"/>
        </w:rPr>
        <w:t>-</w:t>
      </w:r>
      <w:r w:rsidRPr="00821556">
        <w:rPr>
          <w:rFonts w:ascii="Calibri" w:hAnsi="Calibri" w:cs="Calibri"/>
          <w:sz w:val="24"/>
          <w:szCs w:val="24"/>
        </w:rPr>
        <w:t xml:space="preserve">represented in out-of-home care. </w:t>
      </w:r>
      <w:r>
        <w:rPr>
          <w:rFonts w:ascii="Calibri" w:hAnsi="Calibri" w:cs="Calibri"/>
          <w:sz w:val="24"/>
          <w:szCs w:val="24"/>
        </w:rPr>
        <w:t>T</w:t>
      </w:r>
      <w:r w:rsidRPr="00821556">
        <w:rPr>
          <w:rFonts w:ascii="Calibri" w:hAnsi="Calibri" w:cs="Calibri"/>
          <w:sz w:val="24"/>
          <w:szCs w:val="24"/>
        </w:rPr>
        <w:t>he effects of out-of-home care on children can vary</w:t>
      </w:r>
      <w:r>
        <w:rPr>
          <w:rFonts w:ascii="Calibri" w:hAnsi="Calibri" w:cs="Calibri"/>
          <w:sz w:val="24"/>
          <w:szCs w:val="24"/>
        </w:rPr>
        <w:t>,</w:t>
      </w:r>
      <w:r w:rsidRPr="00821556">
        <w:rPr>
          <w:rFonts w:ascii="Calibri" w:hAnsi="Calibri" w:cs="Calibri"/>
          <w:sz w:val="24"/>
          <w:szCs w:val="24"/>
        </w:rPr>
        <w:t xml:space="preserve"> depending on the individual child and </w:t>
      </w:r>
      <w:r>
        <w:rPr>
          <w:rFonts w:ascii="Calibri" w:hAnsi="Calibri" w:cs="Calibri"/>
          <w:sz w:val="24"/>
          <w:szCs w:val="24"/>
        </w:rPr>
        <w:t>his or her</w:t>
      </w:r>
      <w:r w:rsidRPr="00821556">
        <w:rPr>
          <w:rFonts w:ascii="Calibri" w:hAnsi="Calibri" w:cs="Calibri"/>
          <w:sz w:val="24"/>
          <w:szCs w:val="24"/>
        </w:rPr>
        <w:t xml:space="preserve"> circumstances.</w:t>
      </w:r>
      <w:r>
        <w:rPr>
          <w:rFonts w:ascii="Calibri" w:hAnsi="Calibri" w:cs="Calibri"/>
          <w:sz w:val="24"/>
          <w:szCs w:val="24"/>
        </w:rPr>
        <w:t xml:space="preserve"> </w:t>
      </w:r>
      <w:r w:rsidRPr="00821556">
        <w:rPr>
          <w:rFonts w:ascii="Calibri" w:hAnsi="Calibri" w:cs="Calibri"/>
          <w:sz w:val="24"/>
          <w:szCs w:val="24"/>
        </w:rPr>
        <w:t>For Indigenous children, there is a particular concern that out-of-home care may result in loss of contact with their family of origin, their community and their culture. This concern is based on an acknowledg</w:t>
      </w:r>
      <w:r w:rsidR="00C14120">
        <w:rPr>
          <w:rFonts w:ascii="Calibri" w:hAnsi="Calibri" w:cs="Calibri"/>
          <w:sz w:val="24"/>
          <w:szCs w:val="24"/>
        </w:rPr>
        <w:t>e</w:t>
      </w:r>
      <w:r w:rsidRPr="00821556">
        <w:rPr>
          <w:rFonts w:ascii="Calibri" w:hAnsi="Calibri" w:cs="Calibri"/>
          <w:sz w:val="24"/>
          <w:szCs w:val="24"/>
        </w:rPr>
        <w:t>ment of the damaging impact of past practices of cultural assimilation and forced removal of Aboriginal and Torres Strait Islander children from their families, resulting in mutual grief and trauma and the loss of important cultural links and cultural knowledge (HREOC 1997).</w:t>
      </w:r>
    </w:p>
    <w:p w:rsidR="00EC1136" w:rsidRPr="006E144E" w:rsidRDefault="00EC1136" w:rsidP="00EC1136">
      <w:pPr>
        <w:rPr>
          <w:rFonts w:ascii="Calibri" w:hAnsi="Calibri" w:cs="Calibri"/>
        </w:rPr>
      </w:pPr>
    </w:p>
    <w:p w:rsidR="00EC1136" w:rsidRPr="006E144E" w:rsidRDefault="00EC1136" w:rsidP="00EC1136">
      <w:pPr>
        <w:rPr>
          <w:rFonts w:ascii="Calibri" w:hAnsi="Calibri" w:cs="Calibri"/>
        </w:rPr>
      </w:pPr>
      <w:r w:rsidRPr="00821556">
        <w:rPr>
          <w:rFonts w:ascii="Calibri" w:hAnsi="Calibri" w:cs="Calibri"/>
          <w:sz w:val="24"/>
          <w:szCs w:val="24"/>
        </w:rPr>
        <w:t>At 30 June 2012, Indigenous children were 10 times as likely as non-Indigenous children to be in out-of-home care</w:t>
      </w:r>
      <w:r>
        <w:rPr>
          <w:rFonts w:ascii="Calibri" w:hAnsi="Calibri" w:cs="Calibri"/>
          <w:sz w:val="24"/>
          <w:szCs w:val="24"/>
        </w:rPr>
        <w:t xml:space="preserve"> (a rate of 55</w:t>
      </w:r>
      <w:r w:rsidR="00271BFD">
        <w:rPr>
          <w:rFonts w:ascii="Calibri" w:hAnsi="Calibri" w:cs="Calibri"/>
          <w:sz w:val="24"/>
          <w:szCs w:val="24"/>
        </w:rPr>
        <w:t>.1</w:t>
      </w:r>
      <w:r>
        <w:rPr>
          <w:rFonts w:ascii="Calibri" w:hAnsi="Calibri" w:cs="Calibri"/>
          <w:sz w:val="24"/>
          <w:szCs w:val="24"/>
        </w:rPr>
        <w:t xml:space="preserve"> compared to 5</w:t>
      </w:r>
      <w:r w:rsidR="00271BFD">
        <w:rPr>
          <w:rFonts w:ascii="Calibri" w:hAnsi="Calibri" w:cs="Calibri"/>
          <w:sz w:val="24"/>
          <w:szCs w:val="24"/>
        </w:rPr>
        <w:t>.4</w:t>
      </w:r>
      <w:r>
        <w:rPr>
          <w:rFonts w:ascii="Calibri" w:hAnsi="Calibri" w:cs="Calibri"/>
          <w:sz w:val="24"/>
          <w:szCs w:val="24"/>
        </w:rPr>
        <w:t xml:space="preserve"> per </w:t>
      </w:r>
      <w:r w:rsidR="005D7A59">
        <w:rPr>
          <w:rFonts w:ascii="Calibri" w:hAnsi="Calibri" w:cs="Calibri"/>
          <w:sz w:val="24"/>
          <w:szCs w:val="24"/>
        </w:rPr>
        <w:t>1000</w:t>
      </w:r>
      <w:r>
        <w:rPr>
          <w:rFonts w:ascii="Calibri" w:hAnsi="Calibri" w:cs="Calibri"/>
          <w:sz w:val="24"/>
          <w:szCs w:val="24"/>
        </w:rPr>
        <w:t xml:space="preserve"> children respectively)</w:t>
      </w:r>
      <w:r w:rsidRPr="00821556">
        <w:rPr>
          <w:rFonts w:ascii="Calibri" w:hAnsi="Calibri" w:cs="Calibri"/>
          <w:sz w:val="24"/>
          <w:szCs w:val="24"/>
        </w:rPr>
        <w:t>. This pattern has remained consistent since 2010.</w:t>
      </w:r>
      <w:r>
        <w:rPr>
          <w:rFonts w:ascii="Calibri" w:hAnsi="Calibri" w:cs="Calibri"/>
          <w:sz w:val="24"/>
          <w:szCs w:val="24"/>
        </w:rPr>
        <w:t xml:space="preserve"> </w:t>
      </w:r>
    </w:p>
    <w:p w:rsidR="00EC1136" w:rsidRPr="006E144E" w:rsidRDefault="00EC1136" w:rsidP="00EC1136">
      <w:pPr>
        <w:rPr>
          <w:rFonts w:ascii="Calibri" w:hAnsi="Calibri" w:cs="Calibri"/>
        </w:rPr>
      </w:pPr>
    </w:p>
    <w:p w:rsidR="00EC1136" w:rsidRPr="006E144E" w:rsidRDefault="009A157E" w:rsidP="00C73C17">
      <w:pPr>
        <w:pStyle w:val="Figure"/>
        <w:ind w:right="2527"/>
      </w:pPr>
      <w:bookmarkStart w:id="71" w:name="_Toc400615862"/>
      <w:r>
        <w:t xml:space="preserve">Figure </w:t>
      </w:r>
      <w:fldSimple w:instr=" SEQ Figure \* ARABIC ">
        <w:r w:rsidR="00BF1EC9">
          <w:rPr>
            <w:noProof/>
          </w:rPr>
          <w:t>4</w:t>
        </w:r>
      </w:fldSimple>
      <w:r w:rsidR="00EC1136" w:rsidRPr="00821556">
        <w:t>: Children in out-of-home care at 30 June, by Indigenous status, 20</w:t>
      </w:r>
      <w:r w:rsidR="00EC1136">
        <w:t>10</w:t>
      </w:r>
      <w:r w:rsidR="00EC1136" w:rsidRPr="00821556">
        <w:t xml:space="preserve"> to 2012 (number per 1000 children)</w:t>
      </w:r>
      <w:bookmarkEnd w:id="71"/>
    </w:p>
    <w:p w:rsidR="00EC1136" w:rsidRDefault="00EC1136" w:rsidP="00EC1136">
      <w:pPr>
        <w:pStyle w:val="TableFigSourcesfootnotes"/>
        <w:spacing w:after="0"/>
      </w:pPr>
      <w:r w:rsidRPr="00727911">
        <w:rPr>
          <w:noProof/>
          <w:lang w:eastAsia="en-AU"/>
        </w:rPr>
        <w:drawing>
          <wp:inline distT="0" distB="0" distL="0" distR="0" wp14:anchorId="1B07D448" wp14:editId="16679198">
            <wp:extent cx="5095238" cy="2742857"/>
            <wp:effectExtent l="0" t="0" r="0" b="635"/>
            <wp:docPr id="27" name="Picture 27" descr="Title - Figure 4: Children in out-of-home care at 30 June, by Indigenous status, 2010 to 2012 (number per 1000 children). Description - Between 2010 and 2012, the rate of Indigenous children in out-of-home care continued to increase. Source: Tab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95238" cy="2742857"/>
                    </a:xfrm>
                    <a:prstGeom prst="rect">
                      <a:avLst/>
                    </a:prstGeom>
                  </pic:spPr>
                </pic:pic>
              </a:graphicData>
            </a:graphic>
          </wp:inline>
        </w:drawing>
      </w:r>
    </w:p>
    <w:p w:rsidR="00EC1136" w:rsidRPr="00821556" w:rsidRDefault="00EC1136" w:rsidP="00EC1136">
      <w:pPr>
        <w:pStyle w:val="TableFigSourcesfootnotes"/>
        <w:spacing w:after="0"/>
      </w:pPr>
      <w:r w:rsidRPr="00E02C16">
        <w:t>Source:</w:t>
      </w:r>
      <w:r w:rsidRPr="00821556">
        <w:t xml:space="preserve"> Table </w:t>
      </w:r>
      <w:r w:rsidR="00EC2476">
        <w:t>3</w:t>
      </w:r>
      <w:r w:rsidRPr="00821556">
        <w:t>.</w:t>
      </w:r>
    </w:p>
    <w:p w:rsidR="00EC1136" w:rsidRPr="006E144E" w:rsidRDefault="00EC1136" w:rsidP="00EC1136">
      <w:pPr>
        <w:rPr>
          <w:rStyle w:val="StyleBodyCalibri12pt"/>
          <w:sz w:val="20"/>
        </w:rPr>
      </w:pPr>
    </w:p>
    <w:p w:rsidR="00EC1136" w:rsidRPr="006E144E" w:rsidRDefault="00EC1136" w:rsidP="00EC1136">
      <w:pPr>
        <w:rPr>
          <w:rStyle w:val="StyleBodyCalibri12pt"/>
          <w:sz w:val="20"/>
        </w:rPr>
      </w:pPr>
      <w:r w:rsidRPr="00DC1B19">
        <w:rPr>
          <w:rStyle w:val="StyleBodyCalibri12pt"/>
        </w:rPr>
        <w:t xml:space="preserve">There are different kinds of out-of-home care, including foster care (living with a family), residential care (living in a staffed house with other children) and kinship care (living with a relative). At 30 June 2012, the vast majority of children in out-of-home care were placed in home-based </w:t>
      </w:r>
      <w:proofErr w:type="gramStart"/>
      <w:r w:rsidRPr="00DC1B19">
        <w:rPr>
          <w:rStyle w:val="StyleBodyCalibri12pt"/>
        </w:rPr>
        <w:t>care,</w:t>
      </w:r>
      <w:proofErr w:type="gramEnd"/>
      <w:r w:rsidRPr="00DC1B19">
        <w:rPr>
          <w:rStyle w:val="StyleBodyCalibri12pt"/>
        </w:rPr>
        <w:t xml:space="preserve"> including foster care (44 per cent) and relative/kinship care (47 per cent).</w:t>
      </w:r>
    </w:p>
    <w:p w:rsidR="00EC1136" w:rsidRPr="006E144E" w:rsidRDefault="00EC1136" w:rsidP="00574930">
      <w:pPr>
        <w:rPr>
          <w:rFonts w:asciiTheme="minorHAnsi" w:hAnsiTheme="minorHAnsi"/>
        </w:rPr>
      </w:pPr>
    </w:p>
    <w:p w:rsidR="00EC1136" w:rsidRPr="00244A07" w:rsidRDefault="005C08DD" w:rsidP="00244A07">
      <w:pPr>
        <w:pStyle w:val="Figure"/>
      </w:pPr>
      <w:bookmarkStart w:id="72" w:name="_Toc400010290"/>
      <w:r w:rsidRPr="00244A07">
        <w:t xml:space="preserve">Table </w:t>
      </w:r>
      <w:fldSimple w:instr=" SEQ Table \* ARABIC ">
        <w:r w:rsidR="00BF1EC9">
          <w:rPr>
            <w:noProof/>
          </w:rPr>
          <w:t>4</w:t>
        </w:r>
      </w:fldSimple>
      <w:r w:rsidRPr="00244A07">
        <w:t>: Children in out-of-home care at 30 June, 2010 to 2012</w:t>
      </w:r>
      <w:bookmarkEnd w:id="72"/>
    </w:p>
    <w:tbl>
      <w:tblPr>
        <w:tblW w:w="4431" w:type="pct"/>
        <w:tblLook w:val="04A0" w:firstRow="1" w:lastRow="0" w:firstColumn="1" w:lastColumn="0" w:noHBand="0" w:noVBand="1"/>
        <w:tblDescription w:val="Table 4: Children in out-of-home care at 30 June, 2010 to 2012"/>
      </w:tblPr>
      <w:tblGrid>
        <w:gridCol w:w="2663"/>
        <w:gridCol w:w="1134"/>
        <w:gridCol w:w="1136"/>
        <w:gridCol w:w="1136"/>
        <w:gridCol w:w="1136"/>
        <w:gridCol w:w="1136"/>
        <w:gridCol w:w="1125"/>
      </w:tblGrid>
      <w:tr w:rsidR="00D46E9A" w:rsidRPr="00821556" w:rsidTr="00D46E9A">
        <w:trPr>
          <w:trHeight w:val="288"/>
        </w:trPr>
        <w:tc>
          <w:tcPr>
            <w:tcW w:w="1407" w:type="pct"/>
            <w:tcBorders>
              <w:top w:val="single" w:sz="4" w:space="0" w:color="auto"/>
              <w:bottom w:val="single" w:sz="4" w:space="0" w:color="auto"/>
            </w:tcBorders>
            <w:shd w:val="clear" w:color="auto" w:fill="auto"/>
            <w:noWrap/>
            <w:vAlign w:val="bottom"/>
            <w:hideMark/>
          </w:tcPr>
          <w:p w:rsidR="00D46E9A" w:rsidRPr="00821556" w:rsidRDefault="00D46E9A" w:rsidP="00135409">
            <w:pPr>
              <w:pStyle w:val="TableFigText"/>
              <w:rPr>
                <w:rFonts w:eastAsia="Calibri" w:cs="Arial"/>
                <w:b/>
              </w:rPr>
            </w:pPr>
            <w:r w:rsidRPr="00821556">
              <w:rPr>
                <w:rFonts w:eastAsia="Calibri" w:cs="Arial"/>
              </w:rPr>
              <w:t> </w:t>
            </w:r>
            <w:r w:rsidRPr="00821556">
              <w:rPr>
                <w:rFonts w:eastAsia="Calibri" w:cs="Arial"/>
                <w:b/>
              </w:rPr>
              <w:t>Type of placement</w:t>
            </w:r>
          </w:p>
        </w:tc>
        <w:tc>
          <w:tcPr>
            <w:tcW w:w="599" w:type="pct"/>
            <w:tcBorders>
              <w:top w:val="single" w:sz="4" w:space="0" w:color="auto"/>
              <w:bottom w:val="single" w:sz="4" w:space="0" w:color="auto"/>
            </w:tcBorders>
            <w:shd w:val="clear" w:color="auto" w:fill="auto"/>
            <w:noWrap/>
            <w:vAlign w:val="bottom"/>
            <w:hideMark/>
          </w:tcPr>
          <w:p w:rsidR="00D46E9A" w:rsidRPr="00821556" w:rsidRDefault="00D46E9A" w:rsidP="00135409">
            <w:pPr>
              <w:pStyle w:val="TableFigHeadingtotal"/>
              <w:jc w:val="right"/>
              <w:rPr>
                <w:rFonts w:eastAsia="Calibri" w:cs="Arial"/>
              </w:rPr>
            </w:pPr>
            <w:r>
              <w:rPr>
                <w:rFonts w:eastAsia="Calibri" w:cs="Arial"/>
              </w:rPr>
              <w:t>20210</w:t>
            </w:r>
            <w:r>
              <w:rPr>
                <w:rFonts w:eastAsia="Calibri" w:cs="Arial"/>
              </w:rPr>
              <w:br/>
            </w:r>
            <w:r w:rsidRPr="00821556">
              <w:rPr>
                <w:rFonts w:eastAsia="Calibri" w:cs="Arial"/>
              </w:rPr>
              <w:t>Number</w:t>
            </w:r>
          </w:p>
        </w:tc>
        <w:tc>
          <w:tcPr>
            <w:tcW w:w="600" w:type="pct"/>
            <w:tcBorders>
              <w:top w:val="single" w:sz="4" w:space="0" w:color="auto"/>
              <w:bottom w:val="single" w:sz="4" w:space="0" w:color="auto"/>
            </w:tcBorders>
            <w:shd w:val="clear" w:color="auto" w:fill="auto"/>
            <w:noWrap/>
            <w:vAlign w:val="bottom"/>
            <w:hideMark/>
          </w:tcPr>
          <w:p w:rsidR="00D46E9A" w:rsidRPr="00821556" w:rsidRDefault="00D46E9A" w:rsidP="00135409">
            <w:pPr>
              <w:pStyle w:val="TableFigHeadingtotal"/>
              <w:jc w:val="right"/>
              <w:rPr>
                <w:rFonts w:eastAsia="Calibri" w:cs="Arial"/>
              </w:rPr>
            </w:pPr>
            <w:r>
              <w:rPr>
                <w:rFonts w:eastAsia="Calibri" w:cs="Arial"/>
              </w:rPr>
              <w:t>2010</w:t>
            </w:r>
            <w:r>
              <w:rPr>
                <w:rFonts w:eastAsia="Calibri" w:cs="Arial"/>
              </w:rPr>
              <w:br/>
            </w:r>
            <w:r w:rsidRPr="00821556">
              <w:rPr>
                <w:rFonts w:eastAsia="Calibri" w:cs="Arial"/>
              </w:rPr>
              <w:t>Per cent</w:t>
            </w:r>
          </w:p>
        </w:tc>
        <w:tc>
          <w:tcPr>
            <w:tcW w:w="600" w:type="pct"/>
            <w:tcBorders>
              <w:top w:val="single" w:sz="4" w:space="0" w:color="auto"/>
              <w:bottom w:val="single" w:sz="4" w:space="0" w:color="auto"/>
            </w:tcBorders>
            <w:shd w:val="clear" w:color="auto" w:fill="auto"/>
            <w:noWrap/>
            <w:vAlign w:val="bottom"/>
            <w:hideMark/>
          </w:tcPr>
          <w:p w:rsidR="00D46E9A" w:rsidRPr="00821556" w:rsidRDefault="00D46E9A" w:rsidP="00135409">
            <w:pPr>
              <w:pStyle w:val="TableFigHeadingtotal"/>
              <w:jc w:val="right"/>
              <w:rPr>
                <w:rFonts w:eastAsia="Calibri" w:cs="Arial"/>
              </w:rPr>
            </w:pPr>
            <w:r>
              <w:rPr>
                <w:rFonts w:eastAsia="Calibri" w:cs="Arial"/>
              </w:rPr>
              <w:t>2011</w:t>
            </w:r>
            <w:r>
              <w:rPr>
                <w:rFonts w:eastAsia="Calibri" w:cs="Arial"/>
              </w:rPr>
              <w:br/>
            </w:r>
            <w:r w:rsidRPr="00821556">
              <w:rPr>
                <w:rFonts w:eastAsia="Calibri" w:cs="Arial"/>
              </w:rPr>
              <w:t>Number</w:t>
            </w:r>
          </w:p>
        </w:tc>
        <w:tc>
          <w:tcPr>
            <w:tcW w:w="600" w:type="pct"/>
            <w:tcBorders>
              <w:top w:val="single" w:sz="4" w:space="0" w:color="auto"/>
              <w:bottom w:val="single" w:sz="4" w:space="0" w:color="auto"/>
            </w:tcBorders>
            <w:shd w:val="clear" w:color="auto" w:fill="auto"/>
            <w:noWrap/>
            <w:vAlign w:val="bottom"/>
            <w:hideMark/>
          </w:tcPr>
          <w:p w:rsidR="00D46E9A" w:rsidRPr="00821556" w:rsidRDefault="00D46E9A" w:rsidP="00135409">
            <w:pPr>
              <w:pStyle w:val="TableFigHeadingtotal"/>
              <w:jc w:val="right"/>
              <w:rPr>
                <w:rFonts w:eastAsia="Calibri" w:cs="Arial"/>
              </w:rPr>
            </w:pPr>
            <w:r>
              <w:rPr>
                <w:rFonts w:eastAsia="Calibri" w:cs="Arial"/>
              </w:rPr>
              <w:t>2011</w:t>
            </w:r>
            <w:r>
              <w:rPr>
                <w:rFonts w:eastAsia="Calibri" w:cs="Arial"/>
              </w:rPr>
              <w:br/>
            </w:r>
            <w:r w:rsidRPr="00821556">
              <w:rPr>
                <w:rFonts w:eastAsia="Calibri" w:cs="Arial"/>
              </w:rPr>
              <w:t>Per cent</w:t>
            </w:r>
          </w:p>
        </w:tc>
        <w:tc>
          <w:tcPr>
            <w:tcW w:w="600" w:type="pct"/>
            <w:tcBorders>
              <w:top w:val="single" w:sz="4" w:space="0" w:color="auto"/>
              <w:bottom w:val="single" w:sz="4" w:space="0" w:color="auto"/>
            </w:tcBorders>
          </w:tcPr>
          <w:p w:rsidR="00D46E9A" w:rsidRPr="00821556" w:rsidRDefault="00D46E9A" w:rsidP="00135409">
            <w:pPr>
              <w:pStyle w:val="TableFigHeadingtotal"/>
              <w:jc w:val="right"/>
              <w:rPr>
                <w:rFonts w:eastAsia="Calibri" w:cs="Arial"/>
              </w:rPr>
            </w:pPr>
            <w:r>
              <w:rPr>
                <w:rFonts w:eastAsia="Calibri" w:cs="Arial"/>
              </w:rPr>
              <w:t>2012</w:t>
            </w:r>
            <w:r>
              <w:rPr>
                <w:rFonts w:eastAsia="Calibri" w:cs="Arial"/>
              </w:rPr>
              <w:br/>
            </w:r>
            <w:r w:rsidRPr="00821556">
              <w:rPr>
                <w:rFonts w:eastAsia="Calibri" w:cs="Arial"/>
              </w:rPr>
              <w:t>Number</w:t>
            </w:r>
          </w:p>
        </w:tc>
        <w:tc>
          <w:tcPr>
            <w:tcW w:w="596" w:type="pct"/>
            <w:tcBorders>
              <w:top w:val="single" w:sz="4" w:space="0" w:color="auto"/>
              <w:bottom w:val="single" w:sz="4" w:space="0" w:color="auto"/>
            </w:tcBorders>
          </w:tcPr>
          <w:p w:rsidR="00D46E9A" w:rsidRPr="00821556" w:rsidRDefault="00D46E9A" w:rsidP="00135409">
            <w:pPr>
              <w:pStyle w:val="TableFigHeadingtotal"/>
              <w:jc w:val="right"/>
              <w:rPr>
                <w:rFonts w:eastAsia="Calibri" w:cs="Arial"/>
              </w:rPr>
            </w:pPr>
            <w:r>
              <w:rPr>
                <w:rFonts w:eastAsia="Calibri" w:cs="Arial"/>
              </w:rPr>
              <w:t>2012</w:t>
            </w:r>
            <w:r>
              <w:rPr>
                <w:rFonts w:eastAsia="Calibri" w:cs="Arial"/>
              </w:rPr>
              <w:br/>
            </w:r>
            <w:r w:rsidRPr="00821556">
              <w:rPr>
                <w:rFonts w:eastAsia="Calibri" w:cs="Arial"/>
              </w:rPr>
              <w:t>Per cent</w:t>
            </w:r>
          </w:p>
        </w:tc>
      </w:tr>
      <w:tr w:rsidR="00D46E9A" w:rsidRPr="00821556" w:rsidTr="00D46E9A">
        <w:trPr>
          <w:trHeight w:val="288"/>
        </w:trPr>
        <w:tc>
          <w:tcPr>
            <w:tcW w:w="1407" w:type="pct"/>
            <w:tcBorders>
              <w:top w:val="single" w:sz="4" w:space="0" w:color="auto"/>
            </w:tcBorders>
            <w:shd w:val="clear" w:color="auto" w:fill="auto"/>
            <w:noWrap/>
            <w:vAlign w:val="bottom"/>
          </w:tcPr>
          <w:p w:rsidR="00D46E9A" w:rsidRPr="00821556" w:rsidRDefault="00D46E9A" w:rsidP="00135409">
            <w:pPr>
              <w:pStyle w:val="TableFigText"/>
              <w:rPr>
                <w:rFonts w:eastAsia="Calibri" w:cs="Arial"/>
              </w:rPr>
            </w:pPr>
            <w:r w:rsidRPr="00821556">
              <w:rPr>
                <w:rFonts w:eastAsia="Calibri" w:cs="Arial"/>
              </w:rPr>
              <w:t>Home-based care</w:t>
            </w:r>
          </w:p>
        </w:tc>
        <w:tc>
          <w:tcPr>
            <w:tcW w:w="599" w:type="pct"/>
            <w:tcBorders>
              <w:top w:val="single" w:sz="4" w:space="0" w:color="auto"/>
            </w:tcBorders>
            <w:shd w:val="clear" w:color="auto" w:fill="auto"/>
            <w:noWrap/>
            <w:vAlign w:val="bottom"/>
          </w:tcPr>
          <w:p w:rsidR="00D46E9A" w:rsidRPr="00821556" w:rsidRDefault="00D46E9A" w:rsidP="00135409">
            <w:pPr>
              <w:pStyle w:val="TableFigText"/>
              <w:jc w:val="right"/>
              <w:rPr>
                <w:rFonts w:eastAsia="Calibri" w:cs="Arial"/>
              </w:rPr>
            </w:pPr>
          </w:p>
        </w:tc>
        <w:tc>
          <w:tcPr>
            <w:tcW w:w="600" w:type="pct"/>
            <w:tcBorders>
              <w:top w:val="single" w:sz="4" w:space="0" w:color="auto"/>
            </w:tcBorders>
            <w:shd w:val="clear" w:color="auto" w:fill="auto"/>
            <w:noWrap/>
            <w:vAlign w:val="bottom"/>
          </w:tcPr>
          <w:p w:rsidR="00D46E9A" w:rsidRPr="00821556" w:rsidRDefault="00D46E9A" w:rsidP="00135409">
            <w:pPr>
              <w:pStyle w:val="TableFigText"/>
              <w:jc w:val="right"/>
              <w:rPr>
                <w:rFonts w:eastAsia="Calibri" w:cs="Arial"/>
              </w:rPr>
            </w:pPr>
          </w:p>
        </w:tc>
        <w:tc>
          <w:tcPr>
            <w:tcW w:w="600" w:type="pct"/>
            <w:tcBorders>
              <w:top w:val="single" w:sz="4" w:space="0" w:color="auto"/>
            </w:tcBorders>
            <w:shd w:val="clear" w:color="auto" w:fill="auto"/>
            <w:noWrap/>
            <w:vAlign w:val="bottom"/>
          </w:tcPr>
          <w:p w:rsidR="00D46E9A" w:rsidRPr="00821556" w:rsidRDefault="00D46E9A" w:rsidP="00135409">
            <w:pPr>
              <w:pStyle w:val="TableFigText"/>
              <w:jc w:val="right"/>
              <w:rPr>
                <w:rFonts w:eastAsia="Calibri" w:cs="Arial"/>
              </w:rPr>
            </w:pPr>
          </w:p>
        </w:tc>
        <w:tc>
          <w:tcPr>
            <w:tcW w:w="600" w:type="pct"/>
            <w:tcBorders>
              <w:top w:val="single" w:sz="4" w:space="0" w:color="auto"/>
            </w:tcBorders>
            <w:shd w:val="clear" w:color="auto" w:fill="auto"/>
            <w:noWrap/>
            <w:vAlign w:val="bottom"/>
          </w:tcPr>
          <w:p w:rsidR="00D46E9A" w:rsidRPr="00821556" w:rsidRDefault="00D46E9A" w:rsidP="00135409">
            <w:pPr>
              <w:pStyle w:val="TableFigText"/>
              <w:jc w:val="right"/>
              <w:rPr>
                <w:rFonts w:eastAsia="Calibri" w:cs="Arial"/>
              </w:rPr>
            </w:pPr>
          </w:p>
        </w:tc>
        <w:tc>
          <w:tcPr>
            <w:tcW w:w="600" w:type="pct"/>
            <w:tcBorders>
              <w:top w:val="single" w:sz="4" w:space="0" w:color="auto"/>
            </w:tcBorders>
          </w:tcPr>
          <w:p w:rsidR="00D46E9A" w:rsidRPr="00821556" w:rsidRDefault="00D46E9A" w:rsidP="00135409">
            <w:pPr>
              <w:pStyle w:val="TableFigText"/>
              <w:jc w:val="right"/>
              <w:rPr>
                <w:rFonts w:eastAsia="Calibri" w:cs="Arial"/>
              </w:rPr>
            </w:pPr>
          </w:p>
        </w:tc>
        <w:tc>
          <w:tcPr>
            <w:tcW w:w="596" w:type="pct"/>
            <w:tcBorders>
              <w:top w:val="single" w:sz="4" w:space="0" w:color="auto"/>
            </w:tcBorders>
          </w:tcPr>
          <w:p w:rsidR="00D46E9A" w:rsidRPr="00821556" w:rsidRDefault="00D46E9A" w:rsidP="00135409">
            <w:pPr>
              <w:pStyle w:val="TableFigText"/>
              <w:jc w:val="right"/>
              <w:rPr>
                <w:rFonts w:eastAsia="Calibri" w:cs="Arial"/>
              </w:rPr>
            </w:pPr>
          </w:p>
        </w:tc>
      </w:tr>
      <w:tr w:rsidR="00D46E9A" w:rsidRPr="00821556" w:rsidTr="00D46E9A">
        <w:trPr>
          <w:trHeight w:val="288"/>
        </w:trPr>
        <w:tc>
          <w:tcPr>
            <w:tcW w:w="1407" w:type="pct"/>
            <w:shd w:val="clear" w:color="auto" w:fill="auto"/>
            <w:noWrap/>
            <w:vAlign w:val="bottom"/>
            <w:hideMark/>
          </w:tcPr>
          <w:p w:rsidR="00D46E9A" w:rsidRPr="00821556" w:rsidRDefault="00D46E9A" w:rsidP="00135409">
            <w:pPr>
              <w:pStyle w:val="TableFigText"/>
              <w:ind w:firstLine="176"/>
              <w:rPr>
                <w:rFonts w:eastAsia="Calibri" w:cs="Arial"/>
              </w:rPr>
            </w:pPr>
            <w:r w:rsidRPr="00821556">
              <w:rPr>
                <w:rFonts w:eastAsia="Calibri" w:cs="Arial"/>
              </w:rPr>
              <w:t>Foster care</w:t>
            </w:r>
          </w:p>
        </w:tc>
        <w:tc>
          <w:tcPr>
            <w:tcW w:w="599"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16</w:t>
            </w:r>
            <w:r>
              <w:rPr>
                <w:rFonts w:eastAsia="Calibri" w:cs="Arial"/>
              </w:rPr>
              <w:t> </w:t>
            </w:r>
            <w:r w:rsidRPr="00821556">
              <w:rPr>
                <w:rFonts w:eastAsia="Calibri" w:cs="Arial"/>
              </w:rPr>
              <w:t>551</w:t>
            </w:r>
          </w:p>
        </w:tc>
        <w:tc>
          <w:tcPr>
            <w:tcW w:w="600"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46.1</w:t>
            </w:r>
          </w:p>
        </w:tc>
        <w:tc>
          <w:tcPr>
            <w:tcW w:w="600"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16</w:t>
            </w:r>
            <w:r>
              <w:rPr>
                <w:rFonts w:eastAsia="Calibri" w:cs="Arial"/>
              </w:rPr>
              <w:t> </w:t>
            </w:r>
            <w:r w:rsidRPr="00821556">
              <w:rPr>
                <w:rFonts w:eastAsia="Calibri" w:cs="Arial"/>
              </w:rPr>
              <w:t>805</w:t>
            </w:r>
          </w:p>
        </w:tc>
        <w:tc>
          <w:tcPr>
            <w:tcW w:w="600"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44.6</w:t>
            </w:r>
          </w:p>
        </w:tc>
        <w:tc>
          <w:tcPr>
            <w:tcW w:w="600" w:type="pct"/>
            <w:vAlign w:val="bottom"/>
          </w:tcPr>
          <w:p w:rsidR="00D46E9A" w:rsidRPr="00821556" w:rsidRDefault="00D46E9A" w:rsidP="00135409">
            <w:pPr>
              <w:pStyle w:val="TableFigText"/>
              <w:jc w:val="right"/>
              <w:rPr>
                <w:rFonts w:eastAsia="Calibri" w:cs="Arial"/>
              </w:rPr>
            </w:pPr>
            <w:r w:rsidRPr="00821556">
              <w:rPr>
                <w:rFonts w:eastAsia="Calibri" w:cs="Arial"/>
              </w:rPr>
              <w:t>17</w:t>
            </w:r>
            <w:r>
              <w:rPr>
                <w:rFonts w:eastAsia="Calibri" w:cs="Arial"/>
              </w:rPr>
              <w:t> </w:t>
            </w:r>
            <w:r w:rsidRPr="00821556">
              <w:rPr>
                <w:rFonts w:eastAsia="Calibri" w:cs="Arial"/>
              </w:rPr>
              <w:t>274</w:t>
            </w:r>
          </w:p>
        </w:tc>
        <w:tc>
          <w:tcPr>
            <w:tcW w:w="596" w:type="pct"/>
            <w:vAlign w:val="bottom"/>
          </w:tcPr>
          <w:p w:rsidR="00D46E9A" w:rsidRPr="00821556" w:rsidRDefault="00D46E9A" w:rsidP="00135409">
            <w:pPr>
              <w:pStyle w:val="TableFigText"/>
              <w:jc w:val="right"/>
              <w:rPr>
                <w:rFonts w:eastAsia="Calibri" w:cs="Arial"/>
              </w:rPr>
            </w:pPr>
            <w:r w:rsidRPr="00821556">
              <w:rPr>
                <w:rFonts w:eastAsia="Calibri" w:cs="Arial"/>
              </w:rPr>
              <w:t>43.6</w:t>
            </w:r>
          </w:p>
        </w:tc>
      </w:tr>
      <w:tr w:rsidR="00D46E9A" w:rsidRPr="00821556" w:rsidTr="00D46E9A">
        <w:trPr>
          <w:trHeight w:val="288"/>
        </w:trPr>
        <w:tc>
          <w:tcPr>
            <w:tcW w:w="1407" w:type="pct"/>
            <w:shd w:val="clear" w:color="auto" w:fill="auto"/>
            <w:noWrap/>
            <w:vAlign w:val="bottom"/>
            <w:hideMark/>
          </w:tcPr>
          <w:p w:rsidR="00D46E9A" w:rsidRPr="00821556" w:rsidRDefault="00D46E9A" w:rsidP="00135409">
            <w:pPr>
              <w:pStyle w:val="TableFigText"/>
              <w:ind w:firstLine="176"/>
              <w:rPr>
                <w:rFonts w:eastAsia="Calibri" w:cs="Arial"/>
              </w:rPr>
            </w:pPr>
            <w:r w:rsidRPr="00821556">
              <w:rPr>
                <w:rFonts w:eastAsia="Calibri" w:cs="Arial"/>
              </w:rPr>
              <w:t>Relatives/kin</w:t>
            </w:r>
          </w:p>
        </w:tc>
        <w:tc>
          <w:tcPr>
            <w:tcW w:w="599"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16</w:t>
            </w:r>
            <w:r>
              <w:rPr>
                <w:rFonts w:eastAsia="Calibri" w:cs="Arial"/>
              </w:rPr>
              <w:t> </w:t>
            </w:r>
            <w:r w:rsidRPr="00821556">
              <w:rPr>
                <w:rFonts w:eastAsia="Calibri" w:cs="Arial"/>
              </w:rPr>
              <w:t>336</w:t>
            </w:r>
          </w:p>
        </w:tc>
        <w:tc>
          <w:tcPr>
            <w:tcW w:w="600"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45.5</w:t>
            </w:r>
          </w:p>
        </w:tc>
        <w:tc>
          <w:tcPr>
            <w:tcW w:w="600"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17</w:t>
            </w:r>
            <w:r>
              <w:rPr>
                <w:rFonts w:eastAsia="Calibri" w:cs="Arial"/>
              </w:rPr>
              <w:t> </w:t>
            </w:r>
            <w:r w:rsidRPr="00821556">
              <w:rPr>
                <w:rFonts w:eastAsia="Calibri" w:cs="Arial"/>
              </w:rPr>
              <w:t>276</w:t>
            </w:r>
          </w:p>
        </w:tc>
        <w:tc>
          <w:tcPr>
            <w:tcW w:w="600"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45.9</w:t>
            </w:r>
          </w:p>
        </w:tc>
        <w:tc>
          <w:tcPr>
            <w:tcW w:w="600" w:type="pct"/>
            <w:vAlign w:val="bottom"/>
          </w:tcPr>
          <w:p w:rsidR="00D46E9A" w:rsidRPr="00821556" w:rsidRDefault="00D46E9A" w:rsidP="00135409">
            <w:pPr>
              <w:pStyle w:val="TableFigText"/>
              <w:jc w:val="right"/>
              <w:rPr>
                <w:rFonts w:eastAsia="Calibri" w:cs="Arial"/>
              </w:rPr>
            </w:pPr>
            <w:r w:rsidRPr="00821556">
              <w:rPr>
                <w:rFonts w:eastAsia="Calibri" w:cs="Arial"/>
              </w:rPr>
              <w:t>18</w:t>
            </w:r>
            <w:r>
              <w:rPr>
                <w:rFonts w:eastAsia="Calibri" w:cs="Arial"/>
              </w:rPr>
              <w:t> </w:t>
            </w:r>
            <w:r w:rsidRPr="00821556">
              <w:rPr>
                <w:rFonts w:eastAsia="Calibri" w:cs="Arial"/>
              </w:rPr>
              <w:t>515</w:t>
            </w:r>
          </w:p>
        </w:tc>
        <w:tc>
          <w:tcPr>
            <w:tcW w:w="596" w:type="pct"/>
            <w:vAlign w:val="bottom"/>
          </w:tcPr>
          <w:p w:rsidR="00D46E9A" w:rsidRPr="00821556" w:rsidRDefault="00D46E9A" w:rsidP="00135409">
            <w:pPr>
              <w:pStyle w:val="TableFigText"/>
              <w:jc w:val="right"/>
              <w:rPr>
                <w:rFonts w:eastAsia="Calibri" w:cs="Arial"/>
              </w:rPr>
            </w:pPr>
            <w:r w:rsidRPr="00821556">
              <w:rPr>
                <w:rFonts w:eastAsia="Calibri" w:cs="Arial"/>
              </w:rPr>
              <w:t>46.7</w:t>
            </w:r>
          </w:p>
        </w:tc>
      </w:tr>
      <w:tr w:rsidR="00D46E9A" w:rsidRPr="00821556" w:rsidTr="00D46E9A">
        <w:trPr>
          <w:trHeight w:val="288"/>
        </w:trPr>
        <w:tc>
          <w:tcPr>
            <w:tcW w:w="1407" w:type="pct"/>
            <w:shd w:val="clear" w:color="auto" w:fill="auto"/>
            <w:noWrap/>
            <w:vAlign w:val="bottom"/>
            <w:hideMark/>
          </w:tcPr>
          <w:p w:rsidR="00D46E9A" w:rsidRPr="00821556" w:rsidRDefault="00D46E9A" w:rsidP="00135409">
            <w:pPr>
              <w:pStyle w:val="TableFigText"/>
              <w:ind w:firstLine="176"/>
              <w:rPr>
                <w:rFonts w:eastAsia="Calibri" w:cs="Arial"/>
              </w:rPr>
            </w:pPr>
            <w:r w:rsidRPr="00821556">
              <w:rPr>
                <w:rFonts w:eastAsia="Calibri" w:cs="Arial"/>
              </w:rPr>
              <w:t>Other home-based care</w:t>
            </w:r>
          </w:p>
        </w:tc>
        <w:tc>
          <w:tcPr>
            <w:tcW w:w="599"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762</w:t>
            </w:r>
          </w:p>
        </w:tc>
        <w:tc>
          <w:tcPr>
            <w:tcW w:w="600"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2.1</w:t>
            </w:r>
          </w:p>
        </w:tc>
        <w:tc>
          <w:tcPr>
            <w:tcW w:w="600"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1005</w:t>
            </w:r>
          </w:p>
        </w:tc>
        <w:tc>
          <w:tcPr>
            <w:tcW w:w="600"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2.7</w:t>
            </w:r>
          </w:p>
        </w:tc>
        <w:tc>
          <w:tcPr>
            <w:tcW w:w="600" w:type="pct"/>
            <w:vAlign w:val="bottom"/>
          </w:tcPr>
          <w:p w:rsidR="00D46E9A" w:rsidRPr="00821556" w:rsidRDefault="00D46E9A" w:rsidP="00135409">
            <w:pPr>
              <w:pStyle w:val="TableFigText"/>
              <w:jc w:val="right"/>
              <w:rPr>
                <w:rFonts w:eastAsia="Calibri" w:cs="Arial"/>
              </w:rPr>
            </w:pPr>
            <w:r w:rsidRPr="00821556">
              <w:rPr>
                <w:rFonts w:eastAsia="Calibri" w:cs="Arial"/>
              </w:rPr>
              <w:t>961</w:t>
            </w:r>
          </w:p>
        </w:tc>
        <w:tc>
          <w:tcPr>
            <w:tcW w:w="596" w:type="pct"/>
            <w:vAlign w:val="bottom"/>
          </w:tcPr>
          <w:p w:rsidR="00D46E9A" w:rsidRPr="00821556" w:rsidRDefault="00D46E9A" w:rsidP="00135409">
            <w:pPr>
              <w:pStyle w:val="TableFigText"/>
              <w:jc w:val="right"/>
              <w:rPr>
                <w:rFonts w:eastAsia="Calibri" w:cs="Arial"/>
              </w:rPr>
            </w:pPr>
            <w:r w:rsidRPr="00821556">
              <w:rPr>
                <w:rFonts w:eastAsia="Calibri" w:cs="Arial"/>
              </w:rPr>
              <w:t>2.4</w:t>
            </w:r>
          </w:p>
        </w:tc>
      </w:tr>
      <w:tr w:rsidR="00D46E9A" w:rsidRPr="00821556" w:rsidTr="00D46E9A">
        <w:trPr>
          <w:trHeight w:val="288"/>
        </w:trPr>
        <w:tc>
          <w:tcPr>
            <w:tcW w:w="1407" w:type="pct"/>
            <w:shd w:val="clear" w:color="auto" w:fill="auto"/>
            <w:noWrap/>
            <w:vAlign w:val="bottom"/>
            <w:hideMark/>
          </w:tcPr>
          <w:p w:rsidR="00D46E9A" w:rsidRPr="00821556" w:rsidRDefault="00D46E9A" w:rsidP="00135409">
            <w:pPr>
              <w:pStyle w:val="TableFigText"/>
              <w:ind w:firstLine="176"/>
              <w:rPr>
                <w:rFonts w:eastAsia="Calibri" w:cs="Arial"/>
                <w:i/>
              </w:rPr>
            </w:pPr>
            <w:r w:rsidRPr="00821556">
              <w:rPr>
                <w:rFonts w:eastAsia="Calibri" w:cs="Arial"/>
                <w:i/>
              </w:rPr>
              <w:t>Total home-based care</w:t>
            </w:r>
          </w:p>
        </w:tc>
        <w:tc>
          <w:tcPr>
            <w:tcW w:w="599" w:type="pct"/>
            <w:shd w:val="clear" w:color="auto" w:fill="auto"/>
            <w:noWrap/>
            <w:vAlign w:val="bottom"/>
            <w:hideMark/>
          </w:tcPr>
          <w:p w:rsidR="00D46E9A" w:rsidRPr="00821556" w:rsidRDefault="00D46E9A" w:rsidP="00135409">
            <w:pPr>
              <w:pStyle w:val="TableFigText"/>
              <w:jc w:val="right"/>
              <w:rPr>
                <w:rFonts w:eastAsia="Calibri" w:cs="Arial"/>
                <w:i/>
              </w:rPr>
            </w:pPr>
            <w:r w:rsidRPr="00821556">
              <w:rPr>
                <w:rFonts w:eastAsia="Calibri" w:cs="Arial"/>
                <w:i/>
              </w:rPr>
              <w:t>33</w:t>
            </w:r>
            <w:r>
              <w:rPr>
                <w:rFonts w:eastAsia="Calibri" w:cs="Arial"/>
                <w:i/>
              </w:rPr>
              <w:t> </w:t>
            </w:r>
            <w:r w:rsidRPr="00821556">
              <w:rPr>
                <w:rFonts w:eastAsia="Calibri" w:cs="Arial"/>
                <w:i/>
              </w:rPr>
              <w:t>649</w:t>
            </w:r>
          </w:p>
        </w:tc>
        <w:tc>
          <w:tcPr>
            <w:tcW w:w="600" w:type="pct"/>
            <w:shd w:val="clear" w:color="auto" w:fill="auto"/>
            <w:noWrap/>
            <w:vAlign w:val="bottom"/>
            <w:hideMark/>
          </w:tcPr>
          <w:p w:rsidR="00D46E9A" w:rsidRPr="00821556" w:rsidRDefault="00D46E9A" w:rsidP="00135409">
            <w:pPr>
              <w:pStyle w:val="TableFigText"/>
              <w:jc w:val="right"/>
              <w:rPr>
                <w:rFonts w:eastAsia="Calibri" w:cs="Arial"/>
                <w:i/>
              </w:rPr>
            </w:pPr>
            <w:r w:rsidRPr="00821556">
              <w:rPr>
                <w:rFonts w:eastAsia="Calibri" w:cs="Arial"/>
                <w:i/>
              </w:rPr>
              <w:t>93.7</w:t>
            </w:r>
          </w:p>
        </w:tc>
        <w:tc>
          <w:tcPr>
            <w:tcW w:w="600" w:type="pct"/>
            <w:shd w:val="clear" w:color="auto" w:fill="auto"/>
            <w:noWrap/>
            <w:vAlign w:val="bottom"/>
            <w:hideMark/>
          </w:tcPr>
          <w:p w:rsidR="00D46E9A" w:rsidRPr="00821556" w:rsidRDefault="00D46E9A" w:rsidP="00135409">
            <w:pPr>
              <w:pStyle w:val="TableFigText"/>
              <w:jc w:val="right"/>
              <w:rPr>
                <w:rFonts w:eastAsia="Calibri" w:cs="Arial"/>
                <w:i/>
              </w:rPr>
            </w:pPr>
            <w:r w:rsidRPr="00821556">
              <w:rPr>
                <w:rFonts w:eastAsia="Calibri" w:cs="Arial"/>
                <w:i/>
              </w:rPr>
              <w:t>35</w:t>
            </w:r>
            <w:r>
              <w:rPr>
                <w:rFonts w:eastAsia="Calibri" w:cs="Arial"/>
                <w:i/>
              </w:rPr>
              <w:t> </w:t>
            </w:r>
            <w:r w:rsidRPr="00821556">
              <w:rPr>
                <w:rFonts w:eastAsia="Calibri" w:cs="Arial"/>
                <w:i/>
              </w:rPr>
              <w:t>086</w:t>
            </w:r>
          </w:p>
        </w:tc>
        <w:tc>
          <w:tcPr>
            <w:tcW w:w="600" w:type="pct"/>
            <w:shd w:val="clear" w:color="auto" w:fill="auto"/>
            <w:noWrap/>
            <w:vAlign w:val="bottom"/>
            <w:hideMark/>
          </w:tcPr>
          <w:p w:rsidR="00D46E9A" w:rsidRPr="00821556" w:rsidRDefault="00D46E9A" w:rsidP="00135409">
            <w:pPr>
              <w:pStyle w:val="TableFigText"/>
              <w:jc w:val="right"/>
              <w:rPr>
                <w:rFonts w:eastAsia="Calibri" w:cs="Arial"/>
                <w:i/>
              </w:rPr>
            </w:pPr>
            <w:r w:rsidRPr="00821556">
              <w:rPr>
                <w:rFonts w:eastAsia="Calibri" w:cs="Arial"/>
                <w:i/>
              </w:rPr>
              <w:t>93.2</w:t>
            </w:r>
          </w:p>
        </w:tc>
        <w:tc>
          <w:tcPr>
            <w:tcW w:w="600" w:type="pct"/>
            <w:vAlign w:val="bottom"/>
          </w:tcPr>
          <w:p w:rsidR="00D46E9A" w:rsidRPr="00821556" w:rsidRDefault="00D46E9A" w:rsidP="00135409">
            <w:pPr>
              <w:pStyle w:val="TableFigText"/>
              <w:jc w:val="right"/>
              <w:rPr>
                <w:rFonts w:eastAsia="Calibri" w:cs="Arial"/>
                <w:i/>
              </w:rPr>
            </w:pPr>
            <w:r w:rsidRPr="00821556">
              <w:rPr>
                <w:rFonts w:eastAsia="Calibri" w:cs="Arial"/>
                <w:i/>
              </w:rPr>
              <w:t>36</w:t>
            </w:r>
            <w:r>
              <w:rPr>
                <w:rFonts w:eastAsia="Calibri" w:cs="Arial"/>
                <w:i/>
              </w:rPr>
              <w:t> </w:t>
            </w:r>
            <w:r w:rsidRPr="00821556">
              <w:rPr>
                <w:rFonts w:eastAsia="Calibri" w:cs="Arial"/>
                <w:i/>
              </w:rPr>
              <w:t>750</w:t>
            </w:r>
          </w:p>
        </w:tc>
        <w:tc>
          <w:tcPr>
            <w:tcW w:w="596" w:type="pct"/>
            <w:vAlign w:val="bottom"/>
          </w:tcPr>
          <w:p w:rsidR="00D46E9A" w:rsidRPr="00821556" w:rsidRDefault="00D46E9A" w:rsidP="00135409">
            <w:pPr>
              <w:pStyle w:val="TableFigText"/>
              <w:jc w:val="right"/>
              <w:rPr>
                <w:rFonts w:eastAsia="Calibri" w:cs="Arial"/>
                <w:i/>
              </w:rPr>
            </w:pPr>
            <w:r w:rsidRPr="00821556">
              <w:rPr>
                <w:rFonts w:eastAsia="Calibri" w:cs="Arial"/>
                <w:i/>
              </w:rPr>
              <w:t>92.8</w:t>
            </w:r>
          </w:p>
        </w:tc>
      </w:tr>
      <w:tr w:rsidR="00D46E9A" w:rsidRPr="00821556" w:rsidTr="00D46E9A">
        <w:trPr>
          <w:trHeight w:val="288"/>
        </w:trPr>
        <w:tc>
          <w:tcPr>
            <w:tcW w:w="1407" w:type="pct"/>
            <w:shd w:val="clear" w:color="auto" w:fill="auto"/>
            <w:noWrap/>
            <w:vAlign w:val="bottom"/>
          </w:tcPr>
          <w:p w:rsidR="00D46E9A" w:rsidRPr="00821556" w:rsidRDefault="00D46E9A" w:rsidP="00135409">
            <w:pPr>
              <w:pStyle w:val="TableFigText"/>
              <w:rPr>
                <w:rFonts w:eastAsia="Calibri" w:cs="Arial"/>
              </w:rPr>
            </w:pPr>
            <w:r w:rsidRPr="00821556">
              <w:rPr>
                <w:rFonts w:eastAsia="Calibri" w:cs="Arial"/>
              </w:rPr>
              <w:t>Other care</w:t>
            </w:r>
          </w:p>
        </w:tc>
        <w:tc>
          <w:tcPr>
            <w:tcW w:w="599" w:type="pct"/>
            <w:shd w:val="clear" w:color="auto" w:fill="auto"/>
            <w:noWrap/>
            <w:vAlign w:val="bottom"/>
          </w:tcPr>
          <w:p w:rsidR="00D46E9A" w:rsidRPr="00821556" w:rsidRDefault="00D46E9A" w:rsidP="00135409">
            <w:pPr>
              <w:pStyle w:val="TableFigText"/>
              <w:jc w:val="right"/>
              <w:rPr>
                <w:rFonts w:eastAsia="Calibri" w:cs="Arial"/>
              </w:rPr>
            </w:pPr>
          </w:p>
        </w:tc>
        <w:tc>
          <w:tcPr>
            <w:tcW w:w="600" w:type="pct"/>
            <w:shd w:val="clear" w:color="auto" w:fill="auto"/>
            <w:noWrap/>
            <w:vAlign w:val="bottom"/>
          </w:tcPr>
          <w:p w:rsidR="00D46E9A" w:rsidRPr="00821556" w:rsidRDefault="00D46E9A" w:rsidP="00135409">
            <w:pPr>
              <w:pStyle w:val="TableFigText"/>
              <w:jc w:val="right"/>
              <w:rPr>
                <w:rFonts w:eastAsia="Calibri" w:cs="Arial"/>
              </w:rPr>
            </w:pPr>
          </w:p>
        </w:tc>
        <w:tc>
          <w:tcPr>
            <w:tcW w:w="600" w:type="pct"/>
            <w:shd w:val="clear" w:color="auto" w:fill="auto"/>
            <w:noWrap/>
            <w:vAlign w:val="bottom"/>
          </w:tcPr>
          <w:p w:rsidR="00D46E9A" w:rsidRPr="00821556" w:rsidRDefault="00D46E9A" w:rsidP="00135409">
            <w:pPr>
              <w:pStyle w:val="TableFigText"/>
              <w:jc w:val="right"/>
              <w:rPr>
                <w:rFonts w:eastAsia="Calibri" w:cs="Arial"/>
              </w:rPr>
            </w:pPr>
          </w:p>
        </w:tc>
        <w:tc>
          <w:tcPr>
            <w:tcW w:w="600" w:type="pct"/>
            <w:shd w:val="clear" w:color="auto" w:fill="auto"/>
            <w:noWrap/>
            <w:vAlign w:val="bottom"/>
          </w:tcPr>
          <w:p w:rsidR="00D46E9A" w:rsidRPr="00821556" w:rsidRDefault="00D46E9A" w:rsidP="00135409">
            <w:pPr>
              <w:pStyle w:val="TableFigText"/>
              <w:jc w:val="right"/>
              <w:rPr>
                <w:rFonts w:eastAsia="Calibri" w:cs="Arial"/>
              </w:rPr>
            </w:pPr>
          </w:p>
        </w:tc>
        <w:tc>
          <w:tcPr>
            <w:tcW w:w="600" w:type="pct"/>
            <w:vAlign w:val="bottom"/>
          </w:tcPr>
          <w:p w:rsidR="00D46E9A" w:rsidRPr="00821556" w:rsidRDefault="00D46E9A" w:rsidP="00135409">
            <w:pPr>
              <w:pStyle w:val="TableFigText"/>
              <w:jc w:val="right"/>
              <w:rPr>
                <w:rFonts w:eastAsia="Calibri" w:cs="Arial"/>
                <w:i/>
              </w:rPr>
            </w:pPr>
            <w:r w:rsidRPr="00821556">
              <w:rPr>
                <w:rFonts w:eastAsia="Calibri" w:cs="Arial"/>
                <w:i/>
              </w:rPr>
              <w:t> </w:t>
            </w:r>
          </w:p>
        </w:tc>
        <w:tc>
          <w:tcPr>
            <w:tcW w:w="596" w:type="pct"/>
            <w:vAlign w:val="bottom"/>
          </w:tcPr>
          <w:p w:rsidR="00D46E9A" w:rsidRPr="00821556" w:rsidRDefault="00D46E9A" w:rsidP="00135409">
            <w:pPr>
              <w:pStyle w:val="TableFigText"/>
              <w:jc w:val="right"/>
              <w:rPr>
                <w:rFonts w:eastAsia="Calibri" w:cs="Arial"/>
                <w:i/>
              </w:rPr>
            </w:pPr>
            <w:r w:rsidRPr="00821556">
              <w:rPr>
                <w:rFonts w:eastAsia="Calibri" w:cs="Arial"/>
                <w:i/>
              </w:rPr>
              <w:t> </w:t>
            </w:r>
          </w:p>
        </w:tc>
      </w:tr>
      <w:tr w:rsidR="00D46E9A" w:rsidRPr="00821556" w:rsidTr="00D46E9A">
        <w:trPr>
          <w:trHeight w:val="288"/>
        </w:trPr>
        <w:tc>
          <w:tcPr>
            <w:tcW w:w="1407" w:type="pct"/>
            <w:shd w:val="clear" w:color="auto" w:fill="auto"/>
            <w:noWrap/>
            <w:vAlign w:val="bottom"/>
            <w:hideMark/>
          </w:tcPr>
          <w:p w:rsidR="00D46E9A" w:rsidRPr="00821556" w:rsidRDefault="00D46E9A" w:rsidP="00135409">
            <w:pPr>
              <w:pStyle w:val="TableFigText"/>
              <w:ind w:firstLine="176"/>
              <w:rPr>
                <w:rFonts w:eastAsia="Calibri" w:cs="Arial"/>
              </w:rPr>
            </w:pPr>
            <w:r w:rsidRPr="00821556">
              <w:rPr>
                <w:rFonts w:eastAsia="Calibri" w:cs="Arial"/>
              </w:rPr>
              <w:t>Residential care</w:t>
            </w:r>
          </w:p>
        </w:tc>
        <w:tc>
          <w:tcPr>
            <w:tcW w:w="599"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1832</w:t>
            </w:r>
          </w:p>
        </w:tc>
        <w:tc>
          <w:tcPr>
            <w:tcW w:w="600"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5.1</w:t>
            </w:r>
          </w:p>
        </w:tc>
        <w:tc>
          <w:tcPr>
            <w:tcW w:w="600"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1999</w:t>
            </w:r>
          </w:p>
        </w:tc>
        <w:tc>
          <w:tcPr>
            <w:tcW w:w="600"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5.3</w:t>
            </w:r>
          </w:p>
        </w:tc>
        <w:tc>
          <w:tcPr>
            <w:tcW w:w="600" w:type="pct"/>
            <w:vAlign w:val="bottom"/>
          </w:tcPr>
          <w:p w:rsidR="00D46E9A" w:rsidRPr="00821556" w:rsidRDefault="00D46E9A" w:rsidP="00135409">
            <w:pPr>
              <w:pStyle w:val="TableFigText"/>
              <w:jc w:val="right"/>
              <w:rPr>
                <w:rFonts w:eastAsia="Calibri" w:cs="Arial"/>
              </w:rPr>
            </w:pPr>
            <w:r w:rsidRPr="00821556">
              <w:rPr>
                <w:rFonts w:eastAsia="Calibri" w:cs="Arial"/>
              </w:rPr>
              <w:t>2042</w:t>
            </w:r>
          </w:p>
        </w:tc>
        <w:tc>
          <w:tcPr>
            <w:tcW w:w="596" w:type="pct"/>
            <w:vAlign w:val="bottom"/>
          </w:tcPr>
          <w:p w:rsidR="00D46E9A" w:rsidRPr="00821556" w:rsidRDefault="00D46E9A" w:rsidP="00135409">
            <w:pPr>
              <w:pStyle w:val="TableFigText"/>
              <w:jc w:val="right"/>
              <w:rPr>
                <w:rFonts w:eastAsia="Calibri" w:cs="Arial"/>
              </w:rPr>
            </w:pPr>
            <w:r w:rsidRPr="00821556">
              <w:rPr>
                <w:rFonts w:eastAsia="Calibri" w:cs="Arial"/>
              </w:rPr>
              <w:t>5.2</w:t>
            </w:r>
          </w:p>
        </w:tc>
      </w:tr>
      <w:tr w:rsidR="00D46E9A" w:rsidRPr="00821556" w:rsidTr="00D46E9A">
        <w:trPr>
          <w:trHeight w:val="288"/>
        </w:trPr>
        <w:tc>
          <w:tcPr>
            <w:tcW w:w="1407" w:type="pct"/>
            <w:shd w:val="clear" w:color="auto" w:fill="auto"/>
            <w:noWrap/>
            <w:vAlign w:val="bottom"/>
            <w:hideMark/>
          </w:tcPr>
          <w:p w:rsidR="00D46E9A" w:rsidRPr="00821556" w:rsidRDefault="00D46E9A" w:rsidP="00135409">
            <w:pPr>
              <w:pStyle w:val="TableFigText"/>
              <w:ind w:firstLine="176"/>
              <w:rPr>
                <w:rFonts w:eastAsia="Calibri" w:cs="Arial"/>
              </w:rPr>
            </w:pPr>
            <w:r w:rsidRPr="00821556">
              <w:rPr>
                <w:rFonts w:eastAsia="Calibri" w:cs="Arial"/>
              </w:rPr>
              <w:t>Independent living</w:t>
            </w:r>
          </w:p>
        </w:tc>
        <w:tc>
          <w:tcPr>
            <w:tcW w:w="599"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156</w:t>
            </w:r>
          </w:p>
        </w:tc>
        <w:tc>
          <w:tcPr>
            <w:tcW w:w="600"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0.4</w:t>
            </w:r>
          </w:p>
        </w:tc>
        <w:tc>
          <w:tcPr>
            <w:tcW w:w="600"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167</w:t>
            </w:r>
          </w:p>
        </w:tc>
        <w:tc>
          <w:tcPr>
            <w:tcW w:w="600"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0.4</w:t>
            </w:r>
          </w:p>
        </w:tc>
        <w:tc>
          <w:tcPr>
            <w:tcW w:w="600" w:type="pct"/>
            <w:vAlign w:val="bottom"/>
          </w:tcPr>
          <w:p w:rsidR="00D46E9A" w:rsidRPr="00821556" w:rsidRDefault="00D46E9A" w:rsidP="00135409">
            <w:pPr>
              <w:pStyle w:val="TableFigText"/>
              <w:jc w:val="right"/>
              <w:rPr>
                <w:rFonts w:eastAsia="Calibri" w:cs="Arial"/>
              </w:rPr>
            </w:pPr>
            <w:r w:rsidRPr="00821556">
              <w:rPr>
                <w:rFonts w:eastAsia="Calibri" w:cs="Arial"/>
              </w:rPr>
              <w:t>175</w:t>
            </w:r>
          </w:p>
        </w:tc>
        <w:tc>
          <w:tcPr>
            <w:tcW w:w="596" w:type="pct"/>
            <w:vAlign w:val="bottom"/>
          </w:tcPr>
          <w:p w:rsidR="00D46E9A" w:rsidRPr="00821556" w:rsidRDefault="00D46E9A" w:rsidP="00135409">
            <w:pPr>
              <w:pStyle w:val="TableFigText"/>
              <w:jc w:val="right"/>
              <w:rPr>
                <w:rFonts w:eastAsia="Calibri" w:cs="Arial"/>
              </w:rPr>
            </w:pPr>
            <w:r w:rsidRPr="00821556">
              <w:rPr>
                <w:rFonts w:eastAsia="Calibri" w:cs="Arial"/>
              </w:rPr>
              <w:t>0.4</w:t>
            </w:r>
          </w:p>
        </w:tc>
      </w:tr>
      <w:tr w:rsidR="00D46E9A" w:rsidRPr="00821556" w:rsidTr="00D46E9A">
        <w:trPr>
          <w:trHeight w:val="288"/>
        </w:trPr>
        <w:tc>
          <w:tcPr>
            <w:tcW w:w="1407" w:type="pct"/>
            <w:shd w:val="clear" w:color="auto" w:fill="auto"/>
            <w:noWrap/>
            <w:vAlign w:val="bottom"/>
          </w:tcPr>
          <w:p w:rsidR="00D46E9A" w:rsidRPr="00821556" w:rsidRDefault="00D46E9A" w:rsidP="00135409">
            <w:pPr>
              <w:pStyle w:val="TableFigText"/>
              <w:ind w:firstLine="176"/>
              <w:rPr>
                <w:rFonts w:eastAsia="Calibri" w:cs="Arial"/>
              </w:rPr>
            </w:pPr>
            <w:r w:rsidRPr="00821556">
              <w:rPr>
                <w:rFonts w:eastAsia="Calibri" w:cs="Arial"/>
              </w:rPr>
              <w:t>Family group homes</w:t>
            </w:r>
          </w:p>
        </w:tc>
        <w:tc>
          <w:tcPr>
            <w:tcW w:w="599" w:type="pct"/>
            <w:shd w:val="clear" w:color="auto" w:fill="auto"/>
            <w:noWrap/>
            <w:vAlign w:val="bottom"/>
          </w:tcPr>
          <w:p w:rsidR="00D46E9A" w:rsidRPr="00821556" w:rsidRDefault="00D46E9A" w:rsidP="00135409">
            <w:pPr>
              <w:pStyle w:val="TableFigText"/>
              <w:jc w:val="right"/>
              <w:rPr>
                <w:rFonts w:eastAsia="Calibri" w:cs="Arial"/>
              </w:rPr>
            </w:pPr>
            <w:r w:rsidRPr="00821556">
              <w:rPr>
                <w:rFonts w:eastAsia="Calibri" w:cs="Arial"/>
              </w:rPr>
              <w:t>107</w:t>
            </w:r>
          </w:p>
        </w:tc>
        <w:tc>
          <w:tcPr>
            <w:tcW w:w="600" w:type="pct"/>
            <w:shd w:val="clear" w:color="auto" w:fill="auto"/>
            <w:noWrap/>
            <w:vAlign w:val="bottom"/>
          </w:tcPr>
          <w:p w:rsidR="00D46E9A" w:rsidRPr="00821556" w:rsidRDefault="00D46E9A" w:rsidP="00135409">
            <w:pPr>
              <w:pStyle w:val="TableFigText"/>
              <w:jc w:val="right"/>
              <w:rPr>
                <w:rFonts w:eastAsia="Calibri" w:cs="Arial"/>
              </w:rPr>
            </w:pPr>
            <w:r w:rsidRPr="00821556">
              <w:rPr>
                <w:rFonts w:eastAsia="Calibri" w:cs="Arial"/>
              </w:rPr>
              <w:t>0.3</w:t>
            </w:r>
          </w:p>
        </w:tc>
        <w:tc>
          <w:tcPr>
            <w:tcW w:w="600" w:type="pct"/>
            <w:shd w:val="clear" w:color="auto" w:fill="auto"/>
            <w:noWrap/>
            <w:vAlign w:val="bottom"/>
          </w:tcPr>
          <w:p w:rsidR="00D46E9A" w:rsidRPr="00821556" w:rsidRDefault="00D46E9A" w:rsidP="00135409">
            <w:pPr>
              <w:pStyle w:val="TableFigText"/>
              <w:jc w:val="right"/>
              <w:rPr>
                <w:rFonts w:eastAsia="Calibri" w:cs="Arial"/>
              </w:rPr>
            </w:pPr>
            <w:r w:rsidRPr="00821556">
              <w:rPr>
                <w:rFonts w:eastAsia="Calibri" w:cs="Arial"/>
              </w:rPr>
              <w:t>249</w:t>
            </w:r>
          </w:p>
        </w:tc>
        <w:tc>
          <w:tcPr>
            <w:tcW w:w="600" w:type="pct"/>
            <w:shd w:val="clear" w:color="auto" w:fill="auto"/>
            <w:noWrap/>
            <w:vAlign w:val="bottom"/>
          </w:tcPr>
          <w:p w:rsidR="00D46E9A" w:rsidRPr="00821556" w:rsidRDefault="00D46E9A" w:rsidP="00135409">
            <w:pPr>
              <w:pStyle w:val="TableFigText"/>
              <w:jc w:val="right"/>
              <w:rPr>
                <w:rFonts w:eastAsia="Calibri" w:cs="Arial"/>
              </w:rPr>
            </w:pPr>
            <w:r w:rsidRPr="00821556">
              <w:rPr>
                <w:rFonts w:eastAsia="Calibri" w:cs="Arial"/>
              </w:rPr>
              <w:t>0.7</w:t>
            </w:r>
          </w:p>
        </w:tc>
        <w:tc>
          <w:tcPr>
            <w:tcW w:w="600" w:type="pct"/>
            <w:vAlign w:val="bottom"/>
          </w:tcPr>
          <w:p w:rsidR="00D46E9A" w:rsidRPr="00821556" w:rsidRDefault="00D46E9A" w:rsidP="00135409">
            <w:pPr>
              <w:pStyle w:val="TableFigText"/>
              <w:jc w:val="right"/>
              <w:rPr>
                <w:rFonts w:eastAsia="Calibri" w:cs="Arial"/>
              </w:rPr>
            </w:pPr>
            <w:r w:rsidRPr="00821556">
              <w:rPr>
                <w:rFonts w:eastAsia="Calibri" w:cs="Arial"/>
              </w:rPr>
              <w:t>272</w:t>
            </w:r>
          </w:p>
        </w:tc>
        <w:tc>
          <w:tcPr>
            <w:tcW w:w="596" w:type="pct"/>
            <w:vAlign w:val="bottom"/>
          </w:tcPr>
          <w:p w:rsidR="00D46E9A" w:rsidRPr="00821556" w:rsidRDefault="00D46E9A" w:rsidP="00135409">
            <w:pPr>
              <w:pStyle w:val="TableFigText"/>
              <w:jc w:val="right"/>
              <w:rPr>
                <w:rFonts w:eastAsia="Calibri" w:cs="Arial"/>
              </w:rPr>
            </w:pPr>
            <w:r w:rsidRPr="00821556">
              <w:rPr>
                <w:rFonts w:eastAsia="Calibri" w:cs="Arial"/>
              </w:rPr>
              <w:t>0.7</w:t>
            </w:r>
          </w:p>
        </w:tc>
      </w:tr>
      <w:tr w:rsidR="00D46E9A" w:rsidRPr="00821556" w:rsidTr="00D46E9A">
        <w:trPr>
          <w:trHeight w:val="288"/>
        </w:trPr>
        <w:tc>
          <w:tcPr>
            <w:tcW w:w="1407" w:type="pct"/>
            <w:shd w:val="clear" w:color="auto" w:fill="auto"/>
            <w:noWrap/>
            <w:vAlign w:val="bottom"/>
            <w:hideMark/>
          </w:tcPr>
          <w:p w:rsidR="00D46E9A" w:rsidRPr="00821556" w:rsidRDefault="00D46E9A" w:rsidP="00135409">
            <w:pPr>
              <w:pStyle w:val="TableFigText"/>
              <w:ind w:firstLine="176"/>
              <w:rPr>
                <w:rFonts w:eastAsia="Calibri" w:cs="Arial"/>
              </w:rPr>
            </w:pPr>
            <w:r w:rsidRPr="00821556">
              <w:rPr>
                <w:rFonts w:eastAsia="Calibri" w:cs="Arial"/>
              </w:rPr>
              <w:t>Other</w:t>
            </w:r>
          </w:p>
        </w:tc>
        <w:tc>
          <w:tcPr>
            <w:tcW w:w="599"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151</w:t>
            </w:r>
          </w:p>
        </w:tc>
        <w:tc>
          <w:tcPr>
            <w:tcW w:w="600"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0.4</w:t>
            </w:r>
          </w:p>
        </w:tc>
        <w:tc>
          <w:tcPr>
            <w:tcW w:w="600"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147</w:t>
            </w:r>
          </w:p>
        </w:tc>
        <w:tc>
          <w:tcPr>
            <w:tcW w:w="600" w:type="pct"/>
            <w:shd w:val="clear" w:color="auto" w:fill="auto"/>
            <w:noWrap/>
            <w:vAlign w:val="bottom"/>
            <w:hideMark/>
          </w:tcPr>
          <w:p w:rsidR="00D46E9A" w:rsidRPr="00821556" w:rsidRDefault="00D46E9A" w:rsidP="00135409">
            <w:pPr>
              <w:pStyle w:val="TableFigText"/>
              <w:jc w:val="right"/>
              <w:rPr>
                <w:rFonts w:eastAsia="Calibri" w:cs="Arial"/>
              </w:rPr>
            </w:pPr>
            <w:r w:rsidRPr="00821556">
              <w:rPr>
                <w:rFonts w:eastAsia="Calibri" w:cs="Arial"/>
              </w:rPr>
              <w:t>0.4</w:t>
            </w:r>
          </w:p>
        </w:tc>
        <w:tc>
          <w:tcPr>
            <w:tcW w:w="600" w:type="pct"/>
            <w:vAlign w:val="bottom"/>
          </w:tcPr>
          <w:p w:rsidR="00D46E9A" w:rsidRPr="00821556" w:rsidRDefault="00D46E9A" w:rsidP="00135409">
            <w:pPr>
              <w:pStyle w:val="TableFigText"/>
              <w:jc w:val="right"/>
              <w:rPr>
                <w:rFonts w:eastAsia="Calibri" w:cs="Arial"/>
              </w:rPr>
            </w:pPr>
            <w:r w:rsidRPr="00821556">
              <w:rPr>
                <w:rFonts w:eastAsia="Calibri" w:cs="Arial"/>
              </w:rPr>
              <w:t>382</w:t>
            </w:r>
          </w:p>
        </w:tc>
        <w:tc>
          <w:tcPr>
            <w:tcW w:w="596" w:type="pct"/>
            <w:vAlign w:val="bottom"/>
          </w:tcPr>
          <w:p w:rsidR="00D46E9A" w:rsidRPr="00821556" w:rsidRDefault="00D46E9A" w:rsidP="00135409">
            <w:pPr>
              <w:pStyle w:val="TableFigText"/>
              <w:jc w:val="right"/>
              <w:rPr>
                <w:rFonts w:eastAsia="Calibri" w:cs="Arial"/>
              </w:rPr>
            </w:pPr>
            <w:r w:rsidRPr="00821556">
              <w:rPr>
                <w:rFonts w:eastAsia="Calibri" w:cs="Arial"/>
              </w:rPr>
              <w:t>1.0</w:t>
            </w:r>
          </w:p>
        </w:tc>
      </w:tr>
      <w:tr w:rsidR="00D46E9A" w:rsidRPr="00821556" w:rsidTr="00D46E9A">
        <w:trPr>
          <w:trHeight w:val="288"/>
        </w:trPr>
        <w:tc>
          <w:tcPr>
            <w:tcW w:w="1407" w:type="pct"/>
            <w:shd w:val="clear" w:color="auto" w:fill="auto"/>
            <w:noWrap/>
            <w:vAlign w:val="bottom"/>
            <w:hideMark/>
          </w:tcPr>
          <w:p w:rsidR="00D46E9A" w:rsidRPr="00821556" w:rsidRDefault="00D46E9A" w:rsidP="00135409">
            <w:pPr>
              <w:pStyle w:val="TableFigText"/>
              <w:ind w:firstLine="176"/>
              <w:rPr>
                <w:rFonts w:eastAsia="Calibri" w:cs="Arial"/>
                <w:i/>
              </w:rPr>
            </w:pPr>
            <w:r w:rsidRPr="00821556">
              <w:rPr>
                <w:rFonts w:eastAsia="Calibri" w:cs="Arial"/>
                <w:i/>
              </w:rPr>
              <w:t>Total other care</w:t>
            </w:r>
          </w:p>
        </w:tc>
        <w:tc>
          <w:tcPr>
            <w:tcW w:w="599" w:type="pct"/>
            <w:shd w:val="clear" w:color="auto" w:fill="auto"/>
            <w:noWrap/>
            <w:vAlign w:val="bottom"/>
            <w:hideMark/>
          </w:tcPr>
          <w:p w:rsidR="00D46E9A" w:rsidRPr="00821556" w:rsidRDefault="00D46E9A" w:rsidP="00135409">
            <w:pPr>
              <w:pStyle w:val="TableFigText"/>
              <w:jc w:val="right"/>
              <w:rPr>
                <w:rFonts w:eastAsia="Calibri" w:cs="Arial"/>
                <w:i/>
              </w:rPr>
            </w:pPr>
            <w:r w:rsidRPr="00821556">
              <w:rPr>
                <w:rFonts w:eastAsia="Calibri" w:cs="Arial"/>
                <w:i/>
              </w:rPr>
              <w:t>2246</w:t>
            </w:r>
          </w:p>
        </w:tc>
        <w:tc>
          <w:tcPr>
            <w:tcW w:w="600" w:type="pct"/>
            <w:shd w:val="clear" w:color="auto" w:fill="auto"/>
            <w:noWrap/>
            <w:vAlign w:val="bottom"/>
            <w:hideMark/>
          </w:tcPr>
          <w:p w:rsidR="00D46E9A" w:rsidRPr="00821556" w:rsidRDefault="00D46E9A" w:rsidP="00135409">
            <w:pPr>
              <w:pStyle w:val="TableFigText"/>
              <w:jc w:val="right"/>
              <w:rPr>
                <w:rFonts w:eastAsia="Calibri" w:cs="Arial"/>
                <w:i/>
              </w:rPr>
            </w:pPr>
            <w:r w:rsidRPr="00821556">
              <w:rPr>
                <w:rFonts w:eastAsia="Calibri" w:cs="Arial"/>
                <w:i/>
              </w:rPr>
              <w:t>6.3</w:t>
            </w:r>
          </w:p>
        </w:tc>
        <w:tc>
          <w:tcPr>
            <w:tcW w:w="600" w:type="pct"/>
            <w:shd w:val="clear" w:color="auto" w:fill="auto"/>
            <w:noWrap/>
            <w:vAlign w:val="bottom"/>
            <w:hideMark/>
          </w:tcPr>
          <w:p w:rsidR="00D46E9A" w:rsidRPr="00821556" w:rsidRDefault="00D46E9A" w:rsidP="00135409">
            <w:pPr>
              <w:pStyle w:val="TableFigText"/>
              <w:jc w:val="right"/>
              <w:rPr>
                <w:rFonts w:eastAsia="Calibri" w:cs="Arial"/>
                <w:i/>
              </w:rPr>
            </w:pPr>
            <w:r w:rsidRPr="00821556">
              <w:rPr>
                <w:rFonts w:eastAsia="Calibri" w:cs="Arial"/>
                <w:i/>
              </w:rPr>
              <w:t>2562</w:t>
            </w:r>
          </w:p>
        </w:tc>
        <w:tc>
          <w:tcPr>
            <w:tcW w:w="600" w:type="pct"/>
            <w:shd w:val="clear" w:color="auto" w:fill="auto"/>
            <w:noWrap/>
            <w:vAlign w:val="bottom"/>
            <w:hideMark/>
          </w:tcPr>
          <w:p w:rsidR="00D46E9A" w:rsidRPr="00821556" w:rsidRDefault="00D46E9A" w:rsidP="00135409">
            <w:pPr>
              <w:pStyle w:val="TableFigText"/>
              <w:jc w:val="right"/>
              <w:rPr>
                <w:rFonts w:eastAsia="Calibri" w:cs="Arial"/>
                <w:i/>
              </w:rPr>
            </w:pPr>
            <w:r w:rsidRPr="00821556">
              <w:rPr>
                <w:rFonts w:eastAsia="Calibri" w:cs="Arial"/>
                <w:i/>
              </w:rPr>
              <w:t>6.8</w:t>
            </w:r>
          </w:p>
        </w:tc>
        <w:tc>
          <w:tcPr>
            <w:tcW w:w="600" w:type="pct"/>
            <w:vAlign w:val="bottom"/>
          </w:tcPr>
          <w:p w:rsidR="00D46E9A" w:rsidRPr="00821556" w:rsidRDefault="00D46E9A" w:rsidP="00135409">
            <w:pPr>
              <w:pStyle w:val="TableFigText"/>
              <w:jc w:val="right"/>
              <w:rPr>
                <w:rFonts w:eastAsia="Calibri" w:cs="Arial"/>
              </w:rPr>
            </w:pPr>
            <w:r w:rsidRPr="00821556">
              <w:rPr>
                <w:rFonts w:eastAsia="Calibri" w:cs="Arial"/>
              </w:rPr>
              <w:t>2871</w:t>
            </w:r>
          </w:p>
        </w:tc>
        <w:tc>
          <w:tcPr>
            <w:tcW w:w="596" w:type="pct"/>
            <w:vAlign w:val="bottom"/>
          </w:tcPr>
          <w:p w:rsidR="00D46E9A" w:rsidRPr="00821556" w:rsidRDefault="00D46E9A" w:rsidP="00135409">
            <w:pPr>
              <w:pStyle w:val="TableFigText"/>
              <w:jc w:val="right"/>
              <w:rPr>
                <w:rFonts w:eastAsia="Calibri" w:cs="Arial"/>
              </w:rPr>
            </w:pPr>
            <w:r w:rsidRPr="00821556">
              <w:rPr>
                <w:rFonts w:eastAsia="Calibri" w:cs="Arial"/>
              </w:rPr>
              <w:t>7.2</w:t>
            </w:r>
          </w:p>
        </w:tc>
      </w:tr>
      <w:tr w:rsidR="00D46E9A" w:rsidRPr="00821556" w:rsidTr="00D46E9A">
        <w:trPr>
          <w:trHeight w:val="288"/>
        </w:trPr>
        <w:tc>
          <w:tcPr>
            <w:tcW w:w="1407" w:type="pct"/>
            <w:tcBorders>
              <w:bottom w:val="single" w:sz="4" w:space="0" w:color="auto"/>
            </w:tcBorders>
            <w:shd w:val="clear" w:color="auto" w:fill="auto"/>
            <w:noWrap/>
            <w:vAlign w:val="bottom"/>
            <w:hideMark/>
          </w:tcPr>
          <w:p w:rsidR="00D46E9A" w:rsidRPr="00821556" w:rsidRDefault="00D46E9A" w:rsidP="00135409">
            <w:pPr>
              <w:pStyle w:val="TableFigText"/>
              <w:rPr>
                <w:rFonts w:eastAsia="Calibri" w:cs="Arial"/>
                <w:b/>
              </w:rPr>
            </w:pPr>
            <w:r w:rsidRPr="00821556">
              <w:rPr>
                <w:rFonts w:eastAsia="Calibri" w:cs="Arial"/>
                <w:b/>
              </w:rPr>
              <w:t>Total</w:t>
            </w:r>
          </w:p>
        </w:tc>
        <w:tc>
          <w:tcPr>
            <w:tcW w:w="599" w:type="pct"/>
            <w:tcBorders>
              <w:bottom w:val="single" w:sz="4" w:space="0" w:color="auto"/>
            </w:tcBorders>
            <w:shd w:val="clear" w:color="auto" w:fill="auto"/>
            <w:noWrap/>
            <w:vAlign w:val="bottom"/>
            <w:hideMark/>
          </w:tcPr>
          <w:p w:rsidR="00D46E9A" w:rsidRPr="00821556" w:rsidRDefault="00D46E9A" w:rsidP="00135409">
            <w:pPr>
              <w:pStyle w:val="TableFigText"/>
              <w:jc w:val="right"/>
              <w:rPr>
                <w:rFonts w:eastAsia="Calibri" w:cs="Arial"/>
                <w:b/>
              </w:rPr>
            </w:pPr>
            <w:r w:rsidRPr="00821556">
              <w:rPr>
                <w:rFonts w:eastAsia="Calibri" w:cs="Arial"/>
                <w:b/>
              </w:rPr>
              <w:t>35</w:t>
            </w:r>
            <w:r>
              <w:rPr>
                <w:rFonts w:eastAsia="Calibri" w:cs="Arial"/>
                <w:b/>
              </w:rPr>
              <w:t> </w:t>
            </w:r>
            <w:r w:rsidRPr="00821556">
              <w:rPr>
                <w:rFonts w:eastAsia="Calibri" w:cs="Arial"/>
                <w:b/>
              </w:rPr>
              <w:t>895</w:t>
            </w:r>
          </w:p>
        </w:tc>
        <w:tc>
          <w:tcPr>
            <w:tcW w:w="600" w:type="pct"/>
            <w:tcBorders>
              <w:bottom w:val="single" w:sz="4" w:space="0" w:color="auto"/>
            </w:tcBorders>
            <w:shd w:val="clear" w:color="auto" w:fill="auto"/>
            <w:noWrap/>
            <w:vAlign w:val="bottom"/>
            <w:hideMark/>
          </w:tcPr>
          <w:p w:rsidR="00D46E9A" w:rsidRPr="00821556" w:rsidRDefault="00D46E9A" w:rsidP="00135409">
            <w:pPr>
              <w:pStyle w:val="TableFigText"/>
              <w:jc w:val="right"/>
              <w:rPr>
                <w:rFonts w:eastAsia="Calibri" w:cs="Arial"/>
                <w:b/>
              </w:rPr>
            </w:pPr>
            <w:r w:rsidRPr="00821556">
              <w:rPr>
                <w:rFonts w:eastAsia="Calibri" w:cs="Arial"/>
                <w:b/>
              </w:rPr>
              <w:t>100.0</w:t>
            </w:r>
          </w:p>
        </w:tc>
        <w:tc>
          <w:tcPr>
            <w:tcW w:w="600" w:type="pct"/>
            <w:tcBorders>
              <w:bottom w:val="single" w:sz="4" w:space="0" w:color="auto"/>
            </w:tcBorders>
            <w:shd w:val="clear" w:color="auto" w:fill="auto"/>
            <w:noWrap/>
            <w:vAlign w:val="bottom"/>
            <w:hideMark/>
          </w:tcPr>
          <w:p w:rsidR="00D46E9A" w:rsidRPr="00821556" w:rsidRDefault="00D46E9A" w:rsidP="00135409">
            <w:pPr>
              <w:pStyle w:val="TableFigText"/>
              <w:jc w:val="right"/>
              <w:rPr>
                <w:rFonts w:eastAsia="Calibri" w:cs="Arial"/>
                <w:b/>
              </w:rPr>
            </w:pPr>
            <w:r w:rsidRPr="00821556">
              <w:rPr>
                <w:rFonts w:eastAsia="Calibri" w:cs="Arial"/>
                <w:b/>
              </w:rPr>
              <w:t>37</w:t>
            </w:r>
            <w:r>
              <w:rPr>
                <w:rFonts w:eastAsia="Calibri" w:cs="Arial"/>
                <w:b/>
              </w:rPr>
              <w:t> </w:t>
            </w:r>
            <w:r w:rsidRPr="00821556">
              <w:rPr>
                <w:rFonts w:eastAsia="Calibri" w:cs="Arial"/>
                <w:b/>
              </w:rPr>
              <w:t>648</w:t>
            </w:r>
          </w:p>
        </w:tc>
        <w:tc>
          <w:tcPr>
            <w:tcW w:w="600" w:type="pct"/>
            <w:tcBorders>
              <w:bottom w:val="single" w:sz="4" w:space="0" w:color="auto"/>
            </w:tcBorders>
            <w:shd w:val="clear" w:color="auto" w:fill="auto"/>
            <w:noWrap/>
            <w:vAlign w:val="bottom"/>
            <w:hideMark/>
          </w:tcPr>
          <w:p w:rsidR="00D46E9A" w:rsidRPr="00821556" w:rsidRDefault="00D46E9A" w:rsidP="00135409">
            <w:pPr>
              <w:pStyle w:val="TableFigText"/>
              <w:jc w:val="right"/>
              <w:rPr>
                <w:rFonts w:eastAsia="Calibri" w:cs="Arial"/>
                <w:b/>
              </w:rPr>
            </w:pPr>
            <w:r w:rsidRPr="00821556">
              <w:rPr>
                <w:rFonts w:eastAsia="Calibri" w:cs="Arial"/>
                <w:b/>
              </w:rPr>
              <w:t>100.0</w:t>
            </w:r>
          </w:p>
        </w:tc>
        <w:tc>
          <w:tcPr>
            <w:tcW w:w="600" w:type="pct"/>
            <w:tcBorders>
              <w:bottom w:val="single" w:sz="4" w:space="0" w:color="auto"/>
            </w:tcBorders>
            <w:vAlign w:val="bottom"/>
          </w:tcPr>
          <w:p w:rsidR="00D46E9A" w:rsidRPr="00821556" w:rsidRDefault="00D46E9A" w:rsidP="00135409">
            <w:pPr>
              <w:pStyle w:val="TableFigText"/>
              <w:jc w:val="right"/>
              <w:rPr>
                <w:rFonts w:eastAsia="Calibri" w:cs="Arial"/>
                <w:b/>
              </w:rPr>
            </w:pPr>
            <w:r w:rsidRPr="00821556">
              <w:rPr>
                <w:rFonts w:eastAsia="Calibri" w:cs="Arial"/>
                <w:b/>
              </w:rPr>
              <w:t>39</w:t>
            </w:r>
            <w:r>
              <w:rPr>
                <w:rFonts w:eastAsia="Calibri" w:cs="Arial"/>
                <w:b/>
              </w:rPr>
              <w:t> </w:t>
            </w:r>
            <w:r w:rsidRPr="00821556">
              <w:rPr>
                <w:rFonts w:eastAsia="Calibri" w:cs="Arial"/>
                <w:b/>
              </w:rPr>
              <w:t>621</w:t>
            </w:r>
          </w:p>
        </w:tc>
        <w:tc>
          <w:tcPr>
            <w:tcW w:w="596" w:type="pct"/>
            <w:tcBorders>
              <w:bottom w:val="single" w:sz="4" w:space="0" w:color="auto"/>
            </w:tcBorders>
            <w:vAlign w:val="bottom"/>
          </w:tcPr>
          <w:p w:rsidR="00D46E9A" w:rsidRPr="00821556" w:rsidRDefault="00D46E9A" w:rsidP="00135409">
            <w:pPr>
              <w:pStyle w:val="TableFigText"/>
              <w:jc w:val="right"/>
              <w:rPr>
                <w:rFonts w:eastAsia="Calibri" w:cs="Arial"/>
                <w:b/>
              </w:rPr>
            </w:pPr>
            <w:r w:rsidRPr="00821556">
              <w:rPr>
                <w:rFonts w:eastAsia="Calibri" w:cs="Arial"/>
                <w:b/>
              </w:rPr>
              <w:t>100.0</w:t>
            </w:r>
          </w:p>
        </w:tc>
      </w:tr>
    </w:tbl>
    <w:p w:rsidR="00EC1136" w:rsidRPr="00780D88" w:rsidRDefault="00EC1136" w:rsidP="00A6091A">
      <w:pPr>
        <w:pStyle w:val="StyleArial7ptBefore6pt"/>
        <w:rPr>
          <w:lang w:eastAsia="en-US"/>
        </w:rPr>
      </w:pPr>
      <w:r w:rsidRPr="00780D88">
        <w:rPr>
          <w:lang w:eastAsia="en-US"/>
        </w:rPr>
        <w:t>Notes</w:t>
      </w:r>
    </w:p>
    <w:p w:rsidR="00EC1136" w:rsidRPr="00821556" w:rsidRDefault="00EC1136" w:rsidP="00A6091A">
      <w:pPr>
        <w:pStyle w:val="StyleArial7ptBefore6pt"/>
        <w:rPr>
          <w:lang w:eastAsia="en-US"/>
        </w:rPr>
      </w:pPr>
      <w:r w:rsidRPr="00821556">
        <w:rPr>
          <w:lang w:eastAsia="en-US"/>
        </w:rPr>
        <w:t>1.</w:t>
      </w:r>
      <w:r>
        <w:rPr>
          <w:lang w:eastAsia="en-US"/>
        </w:rPr>
        <w:t xml:space="preserve"> </w:t>
      </w:r>
      <w:r w:rsidRPr="00821556">
        <w:rPr>
          <w:lang w:eastAsia="en-US"/>
        </w:rPr>
        <w:tab/>
        <w:t>Multiple placement types for each child can occur</w:t>
      </w:r>
      <w:r>
        <w:rPr>
          <w:lang w:eastAsia="en-US"/>
        </w:rPr>
        <w:t xml:space="preserve"> throughout the year; however, it is the placement type at 30 June that is reported</w:t>
      </w:r>
      <w:r w:rsidRPr="00821556">
        <w:rPr>
          <w:lang w:eastAsia="en-US"/>
        </w:rPr>
        <w:t>.</w:t>
      </w:r>
    </w:p>
    <w:p w:rsidR="00EC1136" w:rsidRDefault="00EC1136" w:rsidP="00A6091A">
      <w:pPr>
        <w:pStyle w:val="StyleArial7ptBefore6pt"/>
        <w:rPr>
          <w:lang w:eastAsia="en-US"/>
        </w:rPr>
      </w:pPr>
      <w:r w:rsidRPr="00821556">
        <w:rPr>
          <w:lang w:eastAsia="en-US"/>
        </w:rPr>
        <w:t xml:space="preserve">2. </w:t>
      </w:r>
      <w:r w:rsidRPr="00821556">
        <w:rPr>
          <w:lang w:eastAsia="en-US"/>
        </w:rPr>
        <w:tab/>
        <w:t>2011 data do not match previously published totals due to retrospective updates.</w:t>
      </w:r>
    </w:p>
    <w:p w:rsidR="00EC1136" w:rsidRPr="00821556" w:rsidRDefault="00EC1136" w:rsidP="00A6091A">
      <w:pPr>
        <w:pStyle w:val="StyleArial7ptBefore6pt"/>
        <w:rPr>
          <w:lang w:eastAsia="en-US"/>
        </w:rPr>
      </w:pPr>
      <w:r>
        <w:rPr>
          <w:lang w:eastAsia="en-US"/>
        </w:rPr>
        <w:t>3.</w:t>
      </w:r>
      <w:r>
        <w:rPr>
          <w:lang w:eastAsia="en-US"/>
        </w:rPr>
        <w:tab/>
      </w:r>
      <w:r w:rsidRPr="00A07914">
        <w:rPr>
          <w:lang w:eastAsia="en-US"/>
        </w:rPr>
        <w:t>Percentages in tables may not add to 100 due to rounding.</w:t>
      </w:r>
    </w:p>
    <w:p w:rsidR="00EC1136" w:rsidRPr="00821556" w:rsidRDefault="00EC1136" w:rsidP="00A6091A">
      <w:pPr>
        <w:pStyle w:val="StyleArial7ptBefore6pt"/>
        <w:rPr>
          <w:lang w:eastAsia="en-US"/>
        </w:rPr>
      </w:pPr>
      <w:r w:rsidRPr="00E02C16">
        <w:rPr>
          <w:lang w:eastAsia="en-US"/>
        </w:rPr>
        <w:t>Source</w:t>
      </w:r>
      <w:r w:rsidR="00C40165">
        <w:rPr>
          <w:lang w:eastAsia="en-US"/>
        </w:rPr>
        <w:t>s</w:t>
      </w:r>
      <w:r w:rsidRPr="00821556">
        <w:rPr>
          <w:lang w:eastAsia="en-US"/>
        </w:rPr>
        <w:t>: AIHW Child Protection Data Collections; AIHW 2013</w:t>
      </w:r>
      <w:r>
        <w:rPr>
          <w:lang w:eastAsia="en-US"/>
        </w:rPr>
        <w:t>a</w:t>
      </w:r>
      <w:r w:rsidRPr="00821556">
        <w:rPr>
          <w:lang w:eastAsia="en-US"/>
        </w:rPr>
        <w:t xml:space="preserve">. </w:t>
      </w:r>
    </w:p>
    <w:p w:rsidR="000141DD" w:rsidRPr="006E4356" w:rsidRDefault="000141DD" w:rsidP="006E4356">
      <w:pPr>
        <w:rPr>
          <w:rFonts w:ascii="Calibri" w:hAnsi="Calibri"/>
          <w:sz w:val="24"/>
        </w:rPr>
      </w:pPr>
    </w:p>
    <w:p w:rsidR="00D14DE3" w:rsidRPr="00084FFD" w:rsidRDefault="00EC1136" w:rsidP="00084FFD">
      <w:pPr>
        <w:pStyle w:val="Heading3"/>
      </w:pPr>
      <w:bookmarkStart w:id="73" w:name="_Toc400007692"/>
      <w:r w:rsidRPr="00084FFD">
        <w:t>Teenage births</w:t>
      </w:r>
      <w:bookmarkEnd w:id="73"/>
    </w:p>
    <w:p w:rsidR="00EC1136" w:rsidRPr="006E4356" w:rsidRDefault="00EC1136" w:rsidP="004B3342">
      <w:pPr>
        <w:pStyle w:val="Heading4a"/>
      </w:pPr>
      <w:r w:rsidRPr="006E4356">
        <w:t>Indicator 0.3: Age-specific birth rate for women aged 15–19 years</w:t>
      </w:r>
    </w:p>
    <w:p w:rsidR="00EC1136" w:rsidRPr="00A83EFF" w:rsidRDefault="00EC1136" w:rsidP="00EC1136">
      <w:pPr>
        <w:rPr>
          <w:rFonts w:asciiTheme="minorHAnsi" w:hAnsiTheme="minorHAnsi"/>
          <w:lang w:eastAsia="en-AU"/>
        </w:rPr>
      </w:pPr>
    </w:p>
    <w:p w:rsidR="00EC1136" w:rsidRDefault="00EC1136" w:rsidP="00EC1136">
      <w:pPr>
        <w:rPr>
          <w:rFonts w:ascii="Calibri" w:hAnsi="Calibri" w:cs="Calibri"/>
          <w:sz w:val="24"/>
          <w:szCs w:val="24"/>
          <w:lang w:eastAsia="en-AU"/>
        </w:rPr>
      </w:pPr>
      <w:r>
        <w:rPr>
          <w:rFonts w:ascii="Calibri" w:hAnsi="Calibri" w:cs="Calibri"/>
          <w:sz w:val="24"/>
          <w:szCs w:val="24"/>
          <w:lang w:eastAsia="en-AU"/>
        </w:rPr>
        <w:t>T</w:t>
      </w:r>
      <w:r w:rsidRPr="007B69EC">
        <w:rPr>
          <w:rFonts w:ascii="Calibri" w:hAnsi="Calibri" w:cs="Calibri"/>
          <w:sz w:val="24"/>
          <w:szCs w:val="24"/>
          <w:lang w:eastAsia="en-AU"/>
        </w:rPr>
        <w:t xml:space="preserve">eenage motherhood is associated with poorer health and wellbeing outcomes for both </w:t>
      </w:r>
      <w:r>
        <w:rPr>
          <w:rFonts w:ascii="Calibri" w:hAnsi="Calibri" w:cs="Calibri"/>
          <w:sz w:val="24"/>
          <w:szCs w:val="24"/>
          <w:lang w:eastAsia="en-AU"/>
        </w:rPr>
        <w:t xml:space="preserve">the </w:t>
      </w:r>
      <w:r w:rsidRPr="007B69EC">
        <w:rPr>
          <w:rFonts w:ascii="Calibri" w:hAnsi="Calibri" w:cs="Calibri"/>
          <w:sz w:val="24"/>
          <w:szCs w:val="24"/>
          <w:lang w:eastAsia="en-AU"/>
        </w:rPr>
        <w:t>mother and</w:t>
      </w:r>
      <w:r>
        <w:rPr>
          <w:rFonts w:ascii="Calibri" w:hAnsi="Calibri" w:cs="Calibri"/>
          <w:sz w:val="24"/>
          <w:szCs w:val="24"/>
          <w:lang w:eastAsia="en-AU"/>
        </w:rPr>
        <w:t xml:space="preserve"> her children</w:t>
      </w:r>
      <w:r w:rsidRPr="007B69EC">
        <w:rPr>
          <w:rFonts w:ascii="Calibri" w:hAnsi="Calibri" w:cs="Calibri"/>
          <w:sz w:val="24"/>
          <w:szCs w:val="24"/>
          <w:lang w:eastAsia="en-AU"/>
        </w:rPr>
        <w:t xml:space="preserve">. Teenage mothers face </w:t>
      </w:r>
      <w:r w:rsidR="00EB33AA">
        <w:rPr>
          <w:rFonts w:ascii="Calibri" w:hAnsi="Calibri" w:cs="Calibri"/>
          <w:sz w:val="24"/>
          <w:szCs w:val="24"/>
          <w:lang w:eastAsia="en-AU"/>
        </w:rPr>
        <w:t>increased risk of</w:t>
      </w:r>
      <w:r w:rsidR="00EB33AA" w:rsidRPr="007B69EC">
        <w:rPr>
          <w:rFonts w:ascii="Calibri" w:hAnsi="Calibri" w:cs="Calibri"/>
          <w:sz w:val="24"/>
          <w:szCs w:val="24"/>
          <w:lang w:eastAsia="en-AU"/>
        </w:rPr>
        <w:t xml:space="preserve"> </w:t>
      </w:r>
      <w:r w:rsidRPr="007B69EC">
        <w:rPr>
          <w:rFonts w:ascii="Calibri" w:hAnsi="Calibri" w:cs="Calibri"/>
          <w:sz w:val="24"/>
          <w:szCs w:val="24"/>
          <w:lang w:eastAsia="en-AU"/>
        </w:rPr>
        <w:t xml:space="preserve">physical and psychological </w:t>
      </w:r>
      <w:r w:rsidR="00EB33AA">
        <w:rPr>
          <w:rFonts w:ascii="Calibri" w:hAnsi="Calibri" w:cs="Calibri"/>
          <w:sz w:val="24"/>
          <w:szCs w:val="24"/>
          <w:lang w:eastAsia="en-AU"/>
        </w:rPr>
        <w:t>difficulties</w:t>
      </w:r>
      <w:r w:rsidR="00EB33AA" w:rsidRPr="007B69EC">
        <w:rPr>
          <w:rFonts w:ascii="Calibri" w:hAnsi="Calibri" w:cs="Calibri"/>
          <w:sz w:val="24"/>
          <w:szCs w:val="24"/>
          <w:lang w:eastAsia="en-AU"/>
        </w:rPr>
        <w:t xml:space="preserve"> </w:t>
      </w:r>
      <w:r w:rsidRPr="007B69EC">
        <w:rPr>
          <w:rFonts w:ascii="Calibri" w:hAnsi="Calibri" w:cs="Calibri"/>
          <w:sz w:val="24"/>
          <w:szCs w:val="24"/>
          <w:lang w:eastAsia="en-AU"/>
        </w:rPr>
        <w:t>while having</w:t>
      </w:r>
      <w:r>
        <w:rPr>
          <w:rFonts w:ascii="Calibri" w:hAnsi="Calibri" w:cs="Calibri"/>
          <w:sz w:val="24"/>
          <w:szCs w:val="24"/>
          <w:lang w:eastAsia="en-AU"/>
        </w:rPr>
        <w:t xml:space="preserve"> </w:t>
      </w:r>
      <w:r w:rsidRPr="007B69EC">
        <w:rPr>
          <w:rFonts w:ascii="Calibri" w:hAnsi="Calibri" w:cs="Calibri"/>
          <w:sz w:val="24"/>
          <w:szCs w:val="24"/>
          <w:lang w:eastAsia="en-AU"/>
        </w:rPr>
        <w:t>their children. They are also more likely to be socioeconomically disadvantaged and to have lower levels of</w:t>
      </w:r>
      <w:r>
        <w:rPr>
          <w:rFonts w:ascii="Calibri" w:hAnsi="Calibri" w:cs="Calibri"/>
          <w:sz w:val="24"/>
          <w:szCs w:val="24"/>
          <w:lang w:eastAsia="en-AU"/>
        </w:rPr>
        <w:t xml:space="preserve"> </w:t>
      </w:r>
      <w:r w:rsidRPr="007B69EC">
        <w:rPr>
          <w:rFonts w:ascii="Calibri" w:hAnsi="Calibri" w:cs="Calibri"/>
          <w:sz w:val="24"/>
          <w:szCs w:val="24"/>
          <w:lang w:eastAsia="en-AU"/>
        </w:rPr>
        <w:t>education, and are less likely to attend antenatal classes, than older mothers (AIHW 2012</w:t>
      </w:r>
      <w:r>
        <w:rPr>
          <w:rFonts w:ascii="Calibri" w:hAnsi="Calibri" w:cs="Calibri"/>
          <w:sz w:val="24"/>
          <w:szCs w:val="24"/>
          <w:lang w:eastAsia="en-AU"/>
        </w:rPr>
        <w:t>a</w:t>
      </w:r>
      <w:r w:rsidRPr="007B69EC">
        <w:rPr>
          <w:rFonts w:ascii="Calibri" w:hAnsi="Calibri" w:cs="Calibri"/>
          <w:sz w:val="24"/>
          <w:szCs w:val="24"/>
          <w:lang w:eastAsia="en-AU"/>
        </w:rPr>
        <w:t>).</w:t>
      </w:r>
    </w:p>
    <w:p w:rsidR="00EC1136" w:rsidRDefault="00EC1136" w:rsidP="00EC1136">
      <w:pPr>
        <w:rPr>
          <w:rFonts w:ascii="Calibri" w:hAnsi="Calibri" w:cs="Calibri"/>
          <w:sz w:val="24"/>
          <w:szCs w:val="24"/>
          <w:lang w:eastAsia="en-AU"/>
        </w:rPr>
      </w:pPr>
    </w:p>
    <w:p w:rsidR="00EC1136" w:rsidRDefault="00EC1136" w:rsidP="00EC1136">
      <w:pPr>
        <w:rPr>
          <w:rFonts w:ascii="Calibri" w:hAnsi="Calibri" w:cs="Calibri"/>
          <w:sz w:val="24"/>
          <w:szCs w:val="24"/>
          <w:lang w:eastAsia="en-AU"/>
        </w:rPr>
      </w:pPr>
      <w:r w:rsidRPr="00465737">
        <w:rPr>
          <w:rFonts w:ascii="Calibri" w:hAnsi="Calibri" w:cs="Calibri"/>
          <w:sz w:val="24"/>
          <w:szCs w:val="24"/>
          <w:lang w:eastAsia="en-AU"/>
        </w:rPr>
        <w:t>In 2010</w:t>
      </w:r>
      <w:r w:rsidRPr="00821556">
        <w:rPr>
          <w:rFonts w:ascii="Calibri" w:hAnsi="Calibri" w:cs="Calibri"/>
          <w:sz w:val="24"/>
          <w:szCs w:val="24"/>
          <w:lang w:eastAsia="en-AU"/>
        </w:rPr>
        <w:t>, there were almost 11</w:t>
      </w:r>
      <w:r>
        <w:rPr>
          <w:rFonts w:ascii="Calibri" w:hAnsi="Calibri" w:cs="Calibri"/>
          <w:sz w:val="24"/>
          <w:szCs w:val="24"/>
          <w:lang w:eastAsia="en-AU"/>
        </w:rPr>
        <w:t> 3</w:t>
      </w:r>
      <w:r w:rsidRPr="00821556">
        <w:rPr>
          <w:rFonts w:ascii="Calibri" w:hAnsi="Calibri" w:cs="Calibri"/>
          <w:sz w:val="24"/>
          <w:szCs w:val="24"/>
          <w:lang w:eastAsia="en-AU"/>
        </w:rPr>
        <w:t>00 infants born to teenage mothers in Australia</w:t>
      </w:r>
      <w:r>
        <w:rPr>
          <w:rFonts w:ascii="Calibri" w:hAnsi="Calibri" w:cs="Calibri"/>
          <w:sz w:val="24"/>
          <w:szCs w:val="24"/>
          <w:lang w:eastAsia="en-AU"/>
        </w:rPr>
        <w:t>—</w:t>
      </w:r>
      <w:r w:rsidRPr="00821556">
        <w:rPr>
          <w:rFonts w:ascii="Calibri" w:hAnsi="Calibri" w:cs="Calibri"/>
          <w:sz w:val="24"/>
          <w:szCs w:val="24"/>
          <w:lang w:eastAsia="en-AU"/>
        </w:rPr>
        <w:t>a rate of 1</w:t>
      </w:r>
      <w:r>
        <w:rPr>
          <w:rFonts w:ascii="Calibri" w:hAnsi="Calibri" w:cs="Calibri"/>
          <w:sz w:val="24"/>
          <w:szCs w:val="24"/>
          <w:lang w:eastAsia="en-AU"/>
        </w:rPr>
        <w:t>5.5</w:t>
      </w:r>
      <w:r w:rsidRPr="00821556">
        <w:rPr>
          <w:rFonts w:ascii="Calibri" w:hAnsi="Calibri" w:cs="Calibri"/>
          <w:sz w:val="24"/>
          <w:szCs w:val="24"/>
          <w:lang w:eastAsia="en-AU"/>
        </w:rPr>
        <w:t xml:space="preserve"> live births per 1000 females aged 15</w:t>
      </w:r>
      <w:r>
        <w:rPr>
          <w:rFonts w:ascii="Calibri" w:hAnsi="Calibri" w:cs="Calibri"/>
          <w:sz w:val="24"/>
          <w:szCs w:val="24"/>
          <w:lang w:eastAsia="en-AU"/>
        </w:rPr>
        <w:t xml:space="preserve"> to </w:t>
      </w:r>
      <w:r w:rsidRPr="00821556">
        <w:rPr>
          <w:rFonts w:ascii="Calibri" w:hAnsi="Calibri" w:cs="Calibri"/>
          <w:sz w:val="24"/>
          <w:szCs w:val="24"/>
          <w:lang w:eastAsia="en-AU"/>
        </w:rPr>
        <w:t>19 years.</w:t>
      </w:r>
      <w:r>
        <w:rPr>
          <w:rFonts w:ascii="Calibri" w:hAnsi="Calibri" w:cs="Calibri"/>
          <w:sz w:val="24"/>
          <w:szCs w:val="24"/>
          <w:lang w:eastAsia="en-AU"/>
        </w:rPr>
        <w:t xml:space="preserve"> </w:t>
      </w:r>
      <w:r w:rsidRPr="00821556">
        <w:rPr>
          <w:rFonts w:ascii="Calibri" w:hAnsi="Calibri" w:cs="Calibri"/>
          <w:sz w:val="24"/>
          <w:szCs w:val="24"/>
          <w:lang w:eastAsia="en-AU"/>
        </w:rPr>
        <w:t>Teenage mothers represented 4</w:t>
      </w:r>
      <w:r>
        <w:rPr>
          <w:rFonts w:ascii="Calibri" w:hAnsi="Calibri" w:cs="Calibri"/>
          <w:sz w:val="24"/>
          <w:szCs w:val="24"/>
          <w:lang w:eastAsia="en-AU"/>
        </w:rPr>
        <w:t xml:space="preserve"> per cent</w:t>
      </w:r>
      <w:r w:rsidRPr="00821556">
        <w:rPr>
          <w:rFonts w:ascii="Calibri" w:hAnsi="Calibri" w:cs="Calibri"/>
          <w:sz w:val="24"/>
          <w:szCs w:val="24"/>
          <w:lang w:eastAsia="en-AU"/>
        </w:rPr>
        <w:t xml:space="preserve"> of all women who gave birth in Australia (Li et al. 201</w:t>
      </w:r>
      <w:r>
        <w:rPr>
          <w:rFonts w:ascii="Calibri" w:hAnsi="Calibri" w:cs="Calibri"/>
          <w:sz w:val="24"/>
          <w:szCs w:val="24"/>
          <w:lang w:eastAsia="en-AU"/>
        </w:rPr>
        <w:t>2</w:t>
      </w:r>
      <w:r w:rsidRPr="00821556">
        <w:rPr>
          <w:rFonts w:ascii="Calibri" w:hAnsi="Calibri" w:cs="Calibri"/>
          <w:sz w:val="24"/>
          <w:szCs w:val="24"/>
          <w:lang w:eastAsia="en-AU"/>
        </w:rPr>
        <w:t>).</w:t>
      </w:r>
      <w:r>
        <w:rPr>
          <w:rFonts w:ascii="Calibri" w:hAnsi="Calibri" w:cs="Calibri"/>
          <w:sz w:val="24"/>
          <w:szCs w:val="24"/>
          <w:lang w:eastAsia="en-AU"/>
        </w:rPr>
        <w:t xml:space="preserve"> </w:t>
      </w:r>
      <w:r w:rsidRPr="00821556">
        <w:rPr>
          <w:rFonts w:ascii="Calibri" w:hAnsi="Calibri" w:cs="Calibri"/>
          <w:sz w:val="24"/>
          <w:szCs w:val="24"/>
          <w:lang w:eastAsia="en-AU"/>
        </w:rPr>
        <w:t>The teenage birth rate declined from the mid-1990s (22 per 1000) to 2003, when the rate stabilised around 16–17 per 1000 (</w:t>
      </w:r>
      <w:r>
        <w:rPr>
          <w:rFonts w:ascii="Calibri" w:hAnsi="Calibri" w:cs="Calibri"/>
          <w:sz w:val="24"/>
          <w:szCs w:val="24"/>
          <w:lang w:eastAsia="en-AU"/>
        </w:rPr>
        <w:t>AIHW 2011a</w:t>
      </w:r>
      <w:r w:rsidRPr="00821556">
        <w:rPr>
          <w:rFonts w:ascii="Calibri" w:hAnsi="Calibri" w:cs="Calibri"/>
          <w:sz w:val="24"/>
          <w:szCs w:val="24"/>
          <w:lang w:eastAsia="en-AU"/>
        </w:rPr>
        <w:t xml:space="preserve">). </w:t>
      </w:r>
    </w:p>
    <w:p w:rsidR="00EC1136" w:rsidRPr="00821556" w:rsidRDefault="00EC1136" w:rsidP="00EC1136">
      <w:pPr>
        <w:rPr>
          <w:rFonts w:ascii="Calibri" w:hAnsi="Calibri" w:cs="Calibri"/>
          <w:sz w:val="24"/>
          <w:szCs w:val="24"/>
          <w:lang w:eastAsia="en-AU"/>
        </w:rPr>
      </w:pPr>
    </w:p>
    <w:p w:rsidR="00EC1136" w:rsidRPr="00821556" w:rsidRDefault="005C08DD" w:rsidP="00244A07">
      <w:pPr>
        <w:pStyle w:val="Figure"/>
      </w:pPr>
      <w:bookmarkStart w:id="74" w:name="_Toc400010291"/>
      <w:r>
        <w:t xml:space="preserve">Table </w:t>
      </w:r>
      <w:fldSimple w:instr=" SEQ Table \* ARABIC ">
        <w:r w:rsidR="00BF1EC9">
          <w:rPr>
            <w:noProof/>
          </w:rPr>
          <w:t>5</w:t>
        </w:r>
      </w:fldSimple>
      <w:r>
        <w:t xml:space="preserve">: </w:t>
      </w:r>
      <w:r w:rsidRPr="00821556">
        <w:t>Live births to teenage mothers aged 15–19 years, 2006 to 20</w:t>
      </w:r>
      <w:r>
        <w:t>10</w:t>
      </w:r>
      <w:bookmarkEnd w:id="74"/>
    </w:p>
    <w:tbl>
      <w:tblPr>
        <w:tblW w:w="3767" w:type="pct"/>
        <w:tblLayout w:type="fixed"/>
        <w:tblLook w:val="04A0" w:firstRow="1" w:lastRow="0" w:firstColumn="1" w:lastColumn="0" w:noHBand="0" w:noVBand="1"/>
        <w:tblDescription w:val="Table 5: Live births to teenage mothers aged 15–19 years, 2006 to 2010"/>
      </w:tblPr>
      <w:tblGrid>
        <w:gridCol w:w="2377"/>
        <w:gridCol w:w="1135"/>
        <w:gridCol w:w="1135"/>
        <w:gridCol w:w="1131"/>
        <w:gridCol w:w="1136"/>
        <w:gridCol w:w="1133"/>
      </w:tblGrid>
      <w:tr w:rsidR="00313F67" w:rsidRPr="00313F67" w:rsidTr="00313F67">
        <w:trPr>
          <w:trHeight w:val="290"/>
        </w:trPr>
        <w:tc>
          <w:tcPr>
            <w:tcW w:w="1477" w:type="pct"/>
            <w:tcBorders>
              <w:top w:val="single" w:sz="4" w:space="0" w:color="auto"/>
            </w:tcBorders>
            <w:shd w:val="clear" w:color="auto" w:fill="auto"/>
            <w:noWrap/>
            <w:vAlign w:val="center"/>
          </w:tcPr>
          <w:p w:rsidR="00313F67" w:rsidRPr="00313F67" w:rsidRDefault="00B71ABA" w:rsidP="00135409">
            <w:pPr>
              <w:keepLines/>
              <w:tabs>
                <w:tab w:val="left" w:pos="198"/>
              </w:tabs>
              <w:spacing w:before="60" w:after="60" w:line="200" w:lineRule="atLeast"/>
              <w:rPr>
                <w:rFonts w:ascii="Arial" w:hAnsi="Arial" w:cs="Arial"/>
                <w:b/>
                <w:color w:val="000000"/>
                <w:sz w:val="16"/>
                <w:szCs w:val="16"/>
                <w:lang w:eastAsia="en-US"/>
              </w:rPr>
            </w:pPr>
            <w:r w:rsidRPr="00313F67">
              <w:rPr>
                <w:rFonts w:ascii="Arial" w:hAnsi="Arial" w:cs="Arial"/>
                <w:b/>
                <w:bCs/>
                <w:color w:val="000000"/>
                <w:sz w:val="18"/>
                <w:szCs w:val="16"/>
                <w:lang w:eastAsia="en-US"/>
              </w:rPr>
              <w:t>Rate per 1000 females</w:t>
            </w:r>
          </w:p>
        </w:tc>
        <w:tc>
          <w:tcPr>
            <w:tcW w:w="705" w:type="pct"/>
            <w:tcBorders>
              <w:top w:val="single" w:sz="4" w:space="0" w:color="auto"/>
            </w:tcBorders>
            <w:shd w:val="clear" w:color="auto" w:fill="auto"/>
          </w:tcPr>
          <w:p w:rsidR="00313F67" w:rsidRPr="00313F67" w:rsidRDefault="00313F67" w:rsidP="00135409">
            <w:pPr>
              <w:keepLines/>
              <w:tabs>
                <w:tab w:val="left" w:pos="198"/>
              </w:tabs>
              <w:spacing w:before="60" w:after="60" w:line="200" w:lineRule="atLeast"/>
              <w:jc w:val="right"/>
              <w:rPr>
                <w:rFonts w:ascii="Arial" w:hAnsi="Arial" w:cs="Arial"/>
                <w:b/>
                <w:color w:val="000000"/>
                <w:sz w:val="16"/>
                <w:szCs w:val="16"/>
                <w:lang w:eastAsia="en-US"/>
              </w:rPr>
            </w:pPr>
            <w:r w:rsidRPr="00313F67">
              <w:rPr>
                <w:rFonts w:ascii="Arial" w:hAnsi="Arial" w:cs="Arial"/>
                <w:b/>
                <w:color w:val="000000"/>
                <w:sz w:val="16"/>
                <w:szCs w:val="16"/>
                <w:lang w:eastAsia="en-US"/>
              </w:rPr>
              <w:t>2006</w:t>
            </w:r>
          </w:p>
        </w:tc>
        <w:tc>
          <w:tcPr>
            <w:tcW w:w="705" w:type="pct"/>
            <w:tcBorders>
              <w:top w:val="single" w:sz="4" w:space="0" w:color="auto"/>
            </w:tcBorders>
            <w:shd w:val="clear" w:color="auto" w:fill="auto"/>
          </w:tcPr>
          <w:p w:rsidR="00313F67" w:rsidRPr="00313F67" w:rsidRDefault="00313F67" w:rsidP="00135409">
            <w:pPr>
              <w:keepLines/>
              <w:tabs>
                <w:tab w:val="left" w:pos="198"/>
              </w:tabs>
              <w:spacing w:before="60" w:after="60" w:line="200" w:lineRule="atLeast"/>
              <w:jc w:val="right"/>
              <w:rPr>
                <w:rFonts w:ascii="Arial" w:hAnsi="Arial" w:cs="Arial"/>
                <w:b/>
                <w:color w:val="000000"/>
                <w:sz w:val="16"/>
                <w:szCs w:val="16"/>
                <w:lang w:eastAsia="en-US"/>
              </w:rPr>
            </w:pPr>
            <w:r w:rsidRPr="00313F67">
              <w:rPr>
                <w:rFonts w:ascii="Arial" w:hAnsi="Arial" w:cs="Arial"/>
                <w:b/>
                <w:color w:val="000000"/>
                <w:sz w:val="16"/>
                <w:szCs w:val="16"/>
                <w:lang w:eastAsia="en-US"/>
              </w:rPr>
              <w:t>2007</w:t>
            </w:r>
          </w:p>
        </w:tc>
        <w:tc>
          <w:tcPr>
            <w:tcW w:w="703" w:type="pct"/>
            <w:tcBorders>
              <w:top w:val="single" w:sz="4" w:space="0" w:color="auto"/>
            </w:tcBorders>
            <w:shd w:val="clear" w:color="auto" w:fill="auto"/>
          </w:tcPr>
          <w:p w:rsidR="00313F67" w:rsidRPr="00313F67" w:rsidRDefault="00313F67" w:rsidP="00135409">
            <w:pPr>
              <w:keepLines/>
              <w:tabs>
                <w:tab w:val="left" w:pos="198"/>
              </w:tabs>
              <w:spacing w:before="60" w:after="60" w:line="200" w:lineRule="atLeast"/>
              <w:jc w:val="right"/>
              <w:rPr>
                <w:rFonts w:ascii="Arial" w:hAnsi="Arial" w:cs="Arial"/>
                <w:b/>
                <w:color w:val="000000"/>
                <w:sz w:val="16"/>
                <w:szCs w:val="16"/>
                <w:lang w:eastAsia="en-US"/>
              </w:rPr>
            </w:pPr>
            <w:r w:rsidRPr="00313F67">
              <w:rPr>
                <w:rFonts w:ascii="Arial" w:hAnsi="Arial" w:cs="Arial"/>
                <w:b/>
                <w:color w:val="000000"/>
                <w:sz w:val="16"/>
                <w:szCs w:val="16"/>
                <w:lang w:eastAsia="en-US"/>
              </w:rPr>
              <w:t>2008</w:t>
            </w:r>
          </w:p>
        </w:tc>
        <w:tc>
          <w:tcPr>
            <w:tcW w:w="706" w:type="pct"/>
            <w:tcBorders>
              <w:top w:val="single" w:sz="4" w:space="0" w:color="auto"/>
            </w:tcBorders>
            <w:shd w:val="clear" w:color="auto" w:fill="auto"/>
          </w:tcPr>
          <w:p w:rsidR="00313F67" w:rsidRPr="00313F67" w:rsidRDefault="00313F67" w:rsidP="00135409">
            <w:pPr>
              <w:keepLines/>
              <w:tabs>
                <w:tab w:val="left" w:pos="198"/>
              </w:tabs>
              <w:spacing w:before="60" w:after="60" w:line="200" w:lineRule="atLeast"/>
              <w:jc w:val="right"/>
              <w:rPr>
                <w:rFonts w:ascii="Arial" w:hAnsi="Arial" w:cs="Arial"/>
                <w:b/>
                <w:color w:val="000000"/>
                <w:sz w:val="16"/>
                <w:szCs w:val="16"/>
                <w:lang w:eastAsia="en-US"/>
              </w:rPr>
            </w:pPr>
            <w:r w:rsidRPr="00313F67">
              <w:rPr>
                <w:rFonts w:ascii="Arial" w:hAnsi="Arial" w:cs="Arial"/>
                <w:b/>
                <w:color w:val="000000"/>
                <w:sz w:val="16"/>
                <w:szCs w:val="16"/>
                <w:lang w:eastAsia="en-US"/>
              </w:rPr>
              <w:t>2009</w:t>
            </w:r>
          </w:p>
        </w:tc>
        <w:tc>
          <w:tcPr>
            <w:tcW w:w="704" w:type="pct"/>
            <w:tcBorders>
              <w:top w:val="single" w:sz="4" w:space="0" w:color="auto"/>
            </w:tcBorders>
          </w:tcPr>
          <w:p w:rsidR="00313F67" w:rsidRPr="00313F67" w:rsidRDefault="00313F67" w:rsidP="00135409">
            <w:pPr>
              <w:keepLines/>
              <w:tabs>
                <w:tab w:val="left" w:pos="198"/>
              </w:tabs>
              <w:spacing w:before="60" w:after="60" w:line="200" w:lineRule="atLeast"/>
              <w:jc w:val="right"/>
              <w:rPr>
                <w:rFonts w:ascii="Arial" w:hAnsi="Arial" w:cs="Arial"/>
                <w:b/>
                <w:color w:val="000000"/>
                <w:sz w:val="16"/>
                <w:szCs w:val="16"/>
                <w:lang w:eastAsia="en-US"/>
              </w:rPr>
            </w:pPr>
            <w:r w:rsidRPr="00313F67">
              <w:rPr>
                <w:rFonts w:ascii="Arial" w:hAnsi="Arial" w:cs="Arial"/>
                <w:b/>
                <w:color w:val="000000"/>
                <w:sz w:val="16"/>
                <w:szCs w:val="16"/>
                <w:lang w:eastAsia="en-US"/>
              </w:rPr>
              <w:t>2010</w:t>
            </w:r>
          </w:p>
        </w:tc>
      </w:tr>
      <w:tr w:rsidR="00313F67" w:rsidRPr="00821556" w:rsidTr="00313F67">
        <w:trPr>
          <w:trHeight w:val="290"/>
        </w:trPr>
        <w:tc>
          <w:tcPr>
            <w:tcW w:w="1477" w:type="pct"/>
            <w:shd w:val="clear" w:color="auto" w:fill="auto"/>
            <w:noWrap/>
            <w:vAlign w:val="center"/>
            <w:hideMark/>
          </w:tcPr>
          <w:p w:rsidR="00EC1136" w:rsidRPr="00821556" w:rsidRDefault="00EC1136" w:rsidP="00135409">
            <w:pPr>
              <w:keepLines/>
              <w:tabs>
                <w:tab w:val="left" w:pos="198"/>
              </w:tabs>
              <w:spacing w:before="60" w:after="60" w:line="200" w:lineRule="atLeast"/>
              <w:rPr>
                <w:rFonts w:ascii="Arial" w:hAnsi="Arial" w:cs="Arial"/>
                <w:color w:val="000000"/>
                <w:sz w:val="16"/>
                <w:szCs w:val="16"/>
                <w:lang w:eastAsia="en-US"/>
              </w:rPr>
            </w:pPr>
            <w:r w:rsidRPr="00821556">
              <w:rPr>
                <w:rFonts w:ascii="Arial" w:hAnsi="Arial" w:cs="Arial"/>
                <w:color w:val="000000"/>
                <w:sz w:val="16"/>
                <w:szCs w:val="16"/>
                <w:lang w:eastAsia="en-US"/>
              </w:rPr>
              <w:t>Indigenous mothers</w:t>
            </w:r>
          </w:p>
        </w:tc>
        <w:tc>
          <w:tcPr>
            <w:tcW w:w="705" w:type="pct"/>
            <w:shd w:val="clear" w:color="auto" w:fill="auto"/>
            <w:hideMark/>
          </w:tcPr>
          <w:p w:rsidR="00EC1136" w:rsidRPr="00821556" w:rsidRDefault="00EC1136" w:rsidP="00135409">
            <w:pPr>
              <w:keepLines/>
              <w:tabs>
                <w:tab w:val="left" w:pos="198"/>
              </w:tabs>
              <w:spacing w:before="60" w:after="60" w:line="200" w:lineRule="atLeast"/>
              <w:jc w:val="right"/>
              <w:rPr>
                <w:rFonts w:ascii="Arial" w:hAnsi="Arial" w:cs="Arial"/>
                <w:color w:val="000000"/>
                <w:sz w:val="16"/>
                <w:szCs w:val="16"/>
                <w:lang w:eastAsia="en-US"/>
              </w:rPr>
            </w:pPr>
            <w:r w:rsidRPr="00821556">
              <w:rPr>
                <w:rFonts w:ascii="Arial" w:hAnsi="Arial" w:cs="Arial"/>
                <w:color w:val="000000"/>
                <w:sz w:val="16"/>
                <w:szCs w:val="16"/>
                <w:lang w:eastAsia="en-US"/>
              </w:rPr>
              <w:t>79.6</w:t>
            </w:r>
          </w:p>
        </w:tc>
        <w:tc>
          <w:tcPr>
            <w:tcW w:w="705" w:type="pct"/>
            <w:shd w:val="clear" w:color="auto" w:fill="auto"/>
            <w:hideMark/>
          </w:tcPr>
          <w:p w:rsidR="00EC1136" w:rsidRPr="00821556" w:rsidRDefault="00EC1136" w:rsidP="00135409">
            <w:pPr>
              <w:keepLines/>
              <w:tabs>
                <w:tab w:val="left" w:pos="198"/>
              </w:tabs>
              <w:spacing w:before="60" w:after="60" w:line="200" w:lineRule="atLeast"/>
              <w:jc w:val="right"/>
              <w:rPr>
                <w:rFonts w:ascii="Arial" w:hAnsi="Arial" w:cs="Arial"/>
                <w:color w:val="000000"/>
                <w:sz w:val="16"/>
                <w:szCs w:val="16"/>
                <w:lang w:eastAsia="en-US"/>
              </w:rPr>
            </w:pPr>
            <w:r w:rsidRPr="00821556">
              <w:rPr>
                <w:rFonts w:ascii="Arial" w:hAnsi="Arial" w:cs="Arial"/>
                <w:color w:val="000000"/>
                <w:sz w:val="16"/>
                <w:szCs w:val="16"/>
                <w:lang w:eastAsia="en-US"/>
              </w:rPr>
              <w:t>75.5</w:t>
            </w:r>
          </w:p>
        </w:tc>
        <w:tc>
          <w:tcPr>
            <w:tcW w:w="703" w:type="pct"/>
            <w:shd w:val="clear" w:color="auto" w:fill="auto"/>
            <w:hideMark/>
          </w:tcPr>
          <w:p w:rsidR="00EC1136" w:rsidRPr="00821556" w:rsidRDefault="00EC1136" w:rsidP="00135409">
            <w:pPr>
              <w:keepLines/>
              <w:tabs>
                <w:tab w:val="left" w:pos="198"/>
              </w:tabs>
              <w:spacing w:before="60" w:after="60" w:line="200" w:lineRule="atLeast"/>
              <w:jc w:val="right"/>
              <w:rPr>
                <w:rFonts w:ascii="Arial" w:hAnsi="Arial" w:cs="Arial"/>
                <w:color w:val="000000"/>
                <w:sz w:val="16"/>
                <w:szCs w:val="16"/>
                <w:lang w:eastAsia="en-US"/>
              </w:rPr>
            </w:pPr>
            <w:r w:rsidRPr="00821556">
              <w:rPr>
                <w:rFonts w:ascii="Arial" w:hAnsi="Arial" w:cs="Arial"/>
                <w:color w:val="000000"/>
                <w:sz w:val="16"/>
                <w:szCs w:val="16"/>
                <w:lang w:eastAsia="en-US"/>
              </w:rPr>
              <w:t>77.5</w:t>
            </w:r>
          </w:p>
        </w:tc>
        <w:tc>
          <w:tcPr>
            <w:tcW w:w="706" w:type="pct"/>
            <w:shd w:val="clear" w:color="auto" w:fill="auto"/>
            <w:hideMark/>
          </w:tcPr>
          <w:p w:rsidR="00EC1136" w:rsidRPr="00821556" w:rsidRDefault="00EC1136" w:rsidP="00135409">
            <w:pPr>
              <w:keepLines/>
              <w:tabs>
                <w:tab w:val="left" w:pos="198"/>
              </w:tabs>
              <w:spacing w:before="60" w:after="60" w:line="200" w:lineRule="atLeast"/>
              <w:jc w:val="right"/>
              <w:rPr>
                <w:rFonts w:ascii="Arial" w:hAnsi="Arial" w:cs="Arial"/>
                <w:color w:val="000000"/>
                <w:sz w:val="16"/>
                <w:szCs w:val="16"/>
                <w:lang w:eastAsia="en-US"/>
              </w:rPr>
            </w:pPr>
            <w:r w:rsidRPr="00821556">
              <w:rPr>
                <w:rFonts w:ascii="Arial" w:hAnsi="Arial" w:cs="Arial"/>
                <w:color w:val="000000"/>
                <w:sz w:val="16"/>
                <w:szCs w:val="16"/>
                <w:lang w:eastAsia="en-US"/>
              </w:rPr>
              <w:t>72.2</w:t>
            </w:r>
          </w:p>
        </w:tc>
        <w:tc>
          <w:tcPr>
            <w:tcW w:w="704" w:type="pct"/>
          </w:tcPr>
          <w:p w:rsidR="00EC1136" w:rsidRPr="00821556" w:rsidRDefault="00EC1136" w:rsidP="00135409">
            <w:pPr>
              <w:keepLines/>
              <w:tabs>
                <w:tab w:val="left" w:pos="198"/>
              </w:tabs>
              <w:spacing w:before="60" w:after="60" w:line="200" w:lineRule="atLeast"/>
              <w:jc w:val="right"/>
              <w:rPr>
                <w:rFonts w:ascii="Arial" w:hAnsi="Arial" w:cs="Arial"/>
                <w:color w:val="000000"/>
                <w:sz w:val="16"/>
                <w:szCs w:val="16"/>
                <w:lang w:eastAsia="en-US"/>
              </w:rPr>
            </w:pPr>
            <w:r>
              <w:rPr>
                <w:rFonts w:ascii="Arial" w:hAnsi="Arial" w:cs="Arial"/>
                <w:color w:val="000000"/>
                <w:sz w:val="16"/>
                <w:szCs w:val="16"/>
                <w:lang w:eastAsia="en-US"/>
              </w:rPr>
              <w:t>74.2</w:t>
            </w:r>
          </w:p>
        </w:tc>
      </w:tr>
      <w:tr w:rsidR="00313F67" w:rsidRPr="00821556" w:rsidTr="00313F67">
        <w:trPr>
          <w:trHeight w:val="290"/>
        </w:trPr>
        <w:tc>
          <w:tcPr>
            <w:tcW w:w="1477" w:type="pct"/>
            <w:shd w:val="clear" w:color="auto" w:fill="auto"/>
            <w:noWrap/>
            <w:vAlign w:val="center"/>
            <w:hideMark/>
          </w:tcPr>
          <w:p w:rsidR="00EC1136" w:rsidRPr="00821556" w:rsidRDefault="00EC1136" w:rsidP="00135409">
            <w:pPr>
              <w:keepLines/>
              <w:tabs>
                <w:tab w:val="left" w:pos="198"/>
              </w:tabs>
              <w:spacing w:before="60" w:after="60" w:line="200" w:lineRule="atLeast"/>
              <w:rPr>
                <w:rFonts w:ascii="Arial" w:hAnsi="Arial" w:cs="Arial"/>
                <w:color w:val="000000"/>
                <w:sz w:val="16"/>
                <w:szCs w:val="16"/>
                <w:lang w:eastAsia="en-US"/>
              </w:rPr>
            </w:pPr>
            <w:r w:rsidRPr="00821556">
              <w:rPr>
                <w:rFonts w:ascii="Arial" w:hAnsi="Arial" w:cs="Arial"/>
                <w:color w:val="000000"/>
                <w:sz w:val="16"/>
                <w:szCs w:val="16"/>
                <w:lang w:eastAsia="en-US"/>
              </w:rPr>
              <w:t>Non-Indigenous mothers</w:t>
            </w:r>
          </w:p>
        </w:tc>
        <w:tc>
          <w:tcPr>
            <w:tcW w:w="705" w:type="pct"/>
            <w:shd w:val="clear" w:color="auto" w:fill="auto"/>
            <w:hideMark/>
          </w:tcPr>
          <w:p w:rsidR="00EC1136" w:rsidRPr="00821556" w:rsidRDefault="00EC1136" w:rsidP="00135409">
            <w:pPr>
              <w:keepLines/>
              <w:tabs>
                <w:tab w:val="left" w:pos="198"/>
              </w:tabs>
              <w:spacing w:before="60" w:after="60" w:line="200" w:lineRule="atLeast"/>
              <w:jc w:val="right"/>
              <w:rPr>
                <w:rFonts w:ascii="Arial" w:hAnsi="Arial" w:cs="Arial"/>
                <w:color w:val="000000"/>
                <w:sz w:val="16"/>
                <w:szCs w:val="16"/>
                <w:lang w:eastAsia="en-US"/>
              </w:rPr>
            </w:pPr>
            <w:r w:rsidRPr="00821556">
              <w:rPr>
                <w:rFonts w:ascii="Arial" w:hAnsi="Arial" w:cs="Arial"/>
                <w:color w:val="000000"/>
                <w:sz w:val="16"/>
                <w:szCs w:val="16"/>
                <w:lang w:eastAsia="en-US"/>
              </w:rPr>
              <w:t>14.7</w:t>
            </w:r>
          </w:p>
        </w:tc>
        <w:tc>
          <w:tcPr>
            <w:tcW w:w="705" w:type="pct"/>
            <w:shd w:val="clear" w:color="auto" w:fill="auto"/>
            <w:hideMark/>
          </w:tcPr>
          <w:p w:rsidR="00EC1136" w:rsidRPr="00821556" w:rsidRDefault="00EC1136" w:rsidP="00135409">
            <w:pPr>
              <w:keepLines/>
              <w:tabs>
                <w:tab w:val="left" w:pos="198"/>
              </w:tabs>
              <w:spacing w:before="60" w:after="60" w:line="200" w:lineRule="atLeast"/>
              <w:jc w:val="right"/>
              <w:rPr>
                <w:rFonts w:ascii="Arial" w:hAnsi="Arial" w:cs="Arial"/>
                <w:color w:val="000000"/>
                <w:sz w:val="16"/>
                <w:szCs w:val="16"/>
                <w:lang w:eastAsia="en-US"/>
              </w:rPr>
            </w:pPr>
            <w:r w:rsidRPr="00821556">
              <w:rPr>
                <w:rFonts w:ascii="Arial" w:hAnsi="Arial" w:cs="Arial"/>
                <w:color w:val="000000"/>
                <w:sz w:val="16"/>
                <w:szCs w:val="16"/>
                <w:lang w:eastAsia="en-US"/>
              </w:rPr>
              <w:t>14.3</w:t>
            </w:r>
          </w:p>
        </w:tc>
        <w:tc>
          <w:tcPr>
            <w:tcW w:w="703" w:type="pct"/>
            <w:shd w:val="clear" w:color="auto" w:fill="auto"/>
            <w:hideMark/>
          </w:tcPr>
          <w:p w:rsidR="00EC1136" w:rsidRPr="00821556" w:rsidRDefault="00EC1136" w:rsidP="00135409">
            <w:pPr>
              <w:keepLines/>
              <w:tabs>
                <w:tab w:val="left" w:pos="198"/>
              </w:tabs>
              <w:spacing w:before="60" w:after="60" w:line="200" w:lineRule="atLeast"/>
              <w:jc w:val="right"/>
              <w:rPr>
                <w:rFonts w:ascii="Arial" w:hAnsi="Arial" w:cs="Arial"/>
                <w:color w:val="000000"/>
                <w:sz w:val="16"/>
                <w:szCs w:val="16"/>
                <w:lang w:eastAsia="en-US"/>
              </w:rPr>
            </w:pPr>
            <w:r w:rsidRPr="00821556">
              <w:rPr>
                <w:rFonts w:ascii="Arial" w:hAnsi="Arial" w:cs="Arial"/>
                <w:color w:val="000000"/>
                <w:sz w:val="16"/>
                <w:szCs w:val="16"/>
                <w:lang w:eastAsia="en-US"/>
              </w:rPr>
              <w:t>14.2</w:t>
            </w:r>
          </w:p>
        </w:tc>
        <w:tc>
          <w:tcPr>
            <w:tcW w:w="706" w:type="pct"/>
            <w:shd w:val="clear" w:color="auto" w:fill="auto"/>
            <w:hideMark/>
          </w:tcPr>
          <w:p w:rsidR="00EC1136" w:rsidRPr="00821556" w:rsidRDefault="00EC1136" w:rsidP="00135409">
            <w:pPr>
              <w:keepLines/>
              <w:tabs>
                <w:tab w:val="left" w:pos="198"/>
              </w:tabs>
              <w:spacing w:before="60" w:after="60" w:line="200" w:lineRule="atLeast"/>
              <w:jc w:val="right"/>
              <w:rPr>
                <w:rFonts w:ascii="Arial" w:hAnsi="Arial" w:cs="Arial"/>
                <w:color w:val="000000"/>
                <w:sz w:val="16"/>
                <w:szCs w:val="16"/>
                <w:lang w:eastAsia="en-US"/>
              </w:rPr>
            </w:pPr>
            <w:r w:rsidRPr="00821556">
              <w:rPr>
                <w:rFonts w:ascii="Arial" w:hAnsi="Arial" w:cs="Arial"/>
                <w:color w:val="000000"/>
                <w:sz w:val="16"/>
                <w:szCs w:val="16"/>
                <w:lang w:eastAsia="en-US"/>
              </w:rPr>
              <w:t>13.6</w:t>
            </w:r>
          </w:p>
        </w:tc>
        <w:tc>
          <w:tcPr>
            <w:tcW w:w="704" w:type="pct"/>
          </w:tcPr>
          <w:p w:rsidR="00EC1136" w:rsidRPr="00821556" w:rsidRDefault="00EC1136" w:rsidP="00135409">
            <w:pPr>
              <w:keepLines/>
              <w:tabs>
                <w:tab w:val="left" w:pos="198"/>
              </w:tabs>
              <w:spacing w:before="60" w:after="60" w:line="200" w:lineRule="atLeast"/>
              <w:jc w:val="right"/>
              <w:rPr>
                <w:rFonts w:ascii="Arial" w:hAnsi="Arial" w:cs="Arial"/>
                <w:color w:val="000000"/>
                <w:sz w:val="16"/>
                <w:szCs w:val="16"/>
                <w:lang w:eastAsia="en-US"/>
              </w:rPr>
            </w:pPr>
            <w:r>
              <w:rPr>
                <w:rFonts w:ascii="Arial" w:hAnsi="Arial" w:cs="Arial"/>
                <w:color w:val="000000"/>
                <w:sz w:val="16"/>
                <w:szCs w:val="16"/>
                <w:lang w:eastAsia="en-US"/>
              </w:rPr>
              <w:t>12.9</w:t>
            </w:r>
          </w:p>
        </w:tc>
      </w:tr>
      <w:tr w:rsidR="00313F67" w:rsidRPr="00821556" w:rsidTr="00313F67">
        <w:trPr>
          <w:trHeight w:val="290"/>
        </w:trPr>
        <w:tc>
          <w:tcPr>
            <w:tcW w:w="1477" w:type="pct"/>
            <w:shd w:val="clear" w:color="auto" w:fill="auto"/>
            <w:noWrap/>
            <w:vAlign w:val="center"/>
            <w:hideMark/>
          </w:tcPr>
          <w:p w:rsidR="00EC1136" w:rsidRPr="00821556" w:rsidRDefault="00EC1136" w:rsidP="00135409">
            <w:pPr>
              <w:keepLines/>
              <w:tabs>
                <w:tab w:val="left" w:pos="198"/>
              </w:tabs>
              <w:spacing w:before="60" w:after="60" w:line="200" w:lineRule="atLeast"/>
              <w:rPr>
                <w:rFonts w:ascii="Arial" w:hAnsi="Arial" w:cs="Arial"/>
                <w:color w:val="000000"/>
                <w:sz w:val="16"/>
                <w:szCs w:val="16"/>
                <w:lang w:eastAsia="en-US"/>
              </w:rPr>
            </w:pPr>
            <w:r w:rsidRPr="00821556">
              <w:rPr>
                <w:rFonts w:ascii="Arial" w:hAnsi="Arial" w:cs="Arial"/>
                <w:color w:val="000000"/>
                <w:sz w:val="16"/>
                <w:szCs w:val="16"/>
                <w:lang w:eastAsia="en-US"/>
              </w:rPr>
              <w:t xml:space="preserve">Total birth rate </w:t>
            </w:r>
          </w:p>
        </w:tc>
        <w:tc>
          <w:tcPr>
            <w:tcW w:w="705" w:type="pct"/>
            <w:shd w:val="clear" w:color="auto" w:fill="auto"/>
            <w:hideMark/>
          </w:tcPr>
          <w:p w:rsidR="00EC1136" w:rsidRPr="00821556" w:rsidRDefault="00EC1136" w:rsidP="00135409">
            <w:pPr>
              <w:keepLines/>
              <w:tabs>
                <w:tab w:val="left" w:pos="198"/>
              </w:tabs>
              <w:spacing w:before="60" w:after="60" w:line="200" w:lineRule="atLeast"/>
              <w:jc w:val="right"/>
              <w:rPr>
                <w:rFonts w:ascii="Arial" w:hAnsi="Arial" w:cs="Arial"/>
                <w:color w:val="000000"/>
                <w:sz w:val="16"/>
                <w:szCs w:val="16"/>
                <w:lang w:eastAsia="en-US"/>
              </w:rPr>
            </w:pPr>
            <w:r w:rsidRPr="00821556">
              <w:rPr>
                <w:rFonts w:ascii="Arial" w:hAnsi="Arial" w:cs="Arial"/>
                <w:color w:val="000000"/>
                <w:sz w:val="16"/>
                <w:szCs w:val="16"/>
                <w:lang w:eastAsia="en-US"/>
              </w:rPr>
              <w:t>17.3</w:t>
            </w:r>
          </w:p>
        </w:tc>
        <w:tc>
          <w:tcPr>
            <w:tcW w:w="705" w:type="pct"/>
            <w:shd w:val="clear" w:color="auto" w:fill="auto"/>
            <w:hideMark/>
          </w:tcPr>
          <w:p w:rsidR="00EC1136" w:rsidRPr="00821556" w:rsidRDefault="00EC1136" w:rsidP="00135409">
            <w:pPr>
              <w:keepLines/>
              <w:tabs>
                <w:tab w:val="left" w:pos="198"/>
              </w:tabs>
              <w:spacing w:before="60" w:after="60" w:line="200" w:lineRule="atLeast"/>
              <w:jc w:val="right"/>
              <w:rPr>
                <w:rFonts w:ascii="Arial" w:hAnsi="Arial" w:cs="Arial"/>
                <w:color w:val="000000"/>
                <w:sz w:val="16"/>
                <w:szCs w:val="16"/>
                <w:lang w:eastAsia="en-US"/>
              </w:rPr>
            </w:pPr>
            <w:r w:rsidRPr="00821556">
              <w:rPr>
                <w:rFonts w:ascii="Arial" w:hAnsi="Arial" w:cs="Arial"/>
                <w:color w:val="000000"/>
                <w:sz w:val="16"/>
                <w:szCs w:val="16"/>
                <w:lang w:eastAsia="en-US"/>
              </w:rPr>
              <w:t>16.8</w:t>
            </w:r>
          </w:p>
        </w:tc>
        <w:tc>
          <w:tcPr>
            <w:tcW w:w="703" w:type="pct"/>
            <w:shd w:val="clear" w:color="auto" w:fill="auto"/>
            <w:hideMark/>
          </w:tcPr>
          <w:p w:rsidR="00EC1136" w:rsidRPr="00821556" w:rsidRDefault="00EC1136" w:rsidP="00135409">
            <w:pPr>
              <w:keepLines/>
              <w:tabs>
                <w:tab w:val="left" w:pos="198"/>
              </w:tabs>
              <w:spacing w:before="60" w:after="60" w:line="200" w:lineRule="atLeast"/>
              <w:jc w:val="right"/>
              <w:rPr>
                <w:rFonts w:ascii="Arial" w:hAnsi="Arial" w:cs="Arial"/>
                <w:color w:val="000000"/>
                <w:sz w:val="16"/>
                <w:szCs w:val="16"/>
                <w:lang w:eastAsia="en-US"/>
              </w:rPr>
            </w:pPr>
            <w:r w:rsidRPr="00821556">
              <w:rPr>
                <w:rFonts w:ascii="Arial" w:hAnsi="Arial" w:cs="Arial"/>
                <w:color w:val="000000"/>
                <w:sz w:val="16"/>
                <w:szCs w:val="16"/>
                <w:lang w:eastAsia="en-US"/>
              </w:rPr>
              <w:t>16.8</w:t>
            </w:r>
          </w:p>
        </w:tc>
        <w:tc>
          <w:tcPr>
            <w:tcW w:w="706" w:type="pct"/>
            <w:shd w:val="clear" w:color="auto" w:fill="auto"/>
            <w:hideMark/>
          </w:tcPr>
          <w:p w:rsidR="00EC1136" w:rsidRPr="00821556" w:rsidRDefault="00EC1136" w:rsidP="00135409">
            <w:pPr>
              <w:keepLines/>
              <w:tabs>
                <w:tab w:val="left" w:pos="198"/>
              </w:tabs>
              <w:spacing w:before="60" w:after="60" w:line="200" w:lineRule="atLeast"/>
              <w:jc w:val="right"/>
              <w:rPr>
                <w:rFonts w:ascii="Arial" w:hAnsi="Arial" w:cs="Arial"/>
                <w:color w:val="000000"/>
                <w:sz w:val="16"/>
                <w:szCs w:val="16"/>
                <w:lang w:eastAsia="en-US"/>
              </w:rPr>
            </w:pPr>
            <w:r w:rsidRPr="00821556">
              <w:rPr>
                <w:rFonts w:ascii="Arial" w:hAnsi="Arial" w:cs="Arial"/>
                <w:color w:val="000000"/>
                <w:sz w:val="16"/>
                <w:szCs w:val="16"/>
                <w:lang w:eastAsia="en-US"/>
              </w:rPr>
              <w:t>16.1</w:t>
            </w:r>
          </w:p>
        </w:tc>
        <w:tc>
          <w:tcPr>
            <w:tcW w:w="704" w:type="pct"/>
          </w:tcPr>
          <w:p w:rsidR="00EC1136" w:rsidRPr="00821556" w:rsidRDefault="00EC1136" w:rsidP="00135409">
            <w:pPr>
              <w:keepLines/>
              <w:tabs>
                <w:tab w:val="left" w:pos="198"/>
              </w:tabs>
              <w:spacing w:before="60" w:after="60" w:line="200" w:lineRule="atLeast"/>
              <w:jc w:val="right"/>
              <w:rPr>
                <w:rFonts w:ascii="Arial" w:hAnsi="Arial" w:cs="Arial"/>
                <w:color w:val="000000"/>
                <w:sz w:val="16"/>
                <w:szCs w:val="16"/>
                <w:lang w:eastAsia="en-US"/>
              </w:rPr>
            </w:pPr>
            <w:r>
              <w:rPr>
                <w:rFonts w:ascii="Arial" w:hAnsi="Arial" w:cs="Arial"/>
                <w:color w:val="000000"/>
                <w:sz w:val="16"/>
                <w:szCs w:val="16"/>
                <w:lang w:eastAsia="en-US"/>
              </w:rPr>
              <w:t>15.5</w:t>
            </w:r>
          </w:p>
        </w:tc>
      </w:tr>
      <w:tr w:rsidR="00313F67" w:rsidRPr="00821556" w:rsidTr="00313F67">
        <w:trPr>
          <w:trHeight w:val="290"/>
        </w:trPr>
        <w:tc>
          <w:tcPr>
            <w:tcW w:w="1477" w:type="pct"/>
            <w:tcBorders>
              <w:bottom w:val="single" w:sz="4" w:space="0" w:color="auto"/>
            </w:tcBorders>
            <w:shd w:val="clear" w:color="auto" w:fill="auto"/>
            <w:noWrap/>
            <w:vAlign w:val="center"/>
            <w:hideMark/>
          </w:tcPr>
          <w:p w:rsidR="00EC1136" w:rsidRPr="00821556" w:rsidRDefault="00D46E9A" w:rsidP="00135409">
            <w:pPr>
              <w:keepLines/>
              <w:tabs>
                <w:tab w:val="left" w:pos="198"/>
              </w:tabs>
              <w:spacing w:before="60" w:after="60" w:line="200" w:lineRule="atLeast"/>
              <w:rPr>
                <w:rFonts w:ascii="Arial" w:hAnsi="Arial" w:cs="Arial"/>
                <w:color w:val="000000"/>
                <w:sz w:val="16"/>
                <w:szCs w:val="16"/>
                <w:lang w:eastAsia="en-US"/>
              </w:rPr>
            </w:pPr>
            <w:r w:rsidRPr="00821556">
              <w:rPr>
                <w:rFonts w:ascii="Arial" w:hAnsi="Arial" w:cs="Arial"/>
                <w:color w:val="000000"/>
                <w:sz w:val="16"/>
                <w:szCs w:val="16"/>
                <w:lang w:eastAsia="en-US"/>
              </w:rPr>
              <w:t>Total number of births</w:t>
            </w:r>
          </w:p>
        </w:tc>
        <w:tc>
          <w:tcPr>
            <w:tcW w:w="705" w:type="pct"/>
            <w:tcBorders>
              <w:bottom w:val="single" w:sz="4" w:space="0" w:color="auto"/>
            </w:tcBorders>
            <w:shd w:val="clear" w:color="auto" w:fill="auto"/>
            <w:noWrap/>
            <w:vAlign w:val="center"/>
            <w:hideMark/>
          </w:tcPr>
          <w:p w:rsidR="00EC1136" w:rsidRPr="00821556" w:rsidRDefault="00EC1136" w:rsidP="00135409">
            <w:pPr>
              <w:keepLines/>
              <w:tabs>
                <w:tab w:val="left" w:pos="198"/>
              </w:tabs>
              <w:spacing w:before="60" w:after="60" w:line="200" w:lineRule="atLeast"/>
              <w:jc w:val="right"/>
              <w:rPr>
                <w:rFonts w:ascii="Arial" w:hAnsi="Arial" w:cs="Arial"/>
                <w:color w:val="000000"/>
                <w:sz w:val="16"/>
                <w:szCs w:val="16"/>
                <w:lang w:eastAsia="en-US"/>
              </w:rPr>
            </w:pPr>
            <w:r w:rsidRPr="00821556">
              <w:rPr>
                <w:rFonts w:ascii="Arial" w:hAnsi="Arial" w:cs="Arial"/>
                <w:color w:val="000000"/>
                <w:sz w:val="16"/>
                <w:szCs w:val="16"/>
                <w:lang w:eastAsia="en-US"/>
              </w:rPr>
              <w:t>11</w:t>
            </w:r>
            <w:r>
              <w:rPr>
                <w:rFonts w:ascii="Arial" w:hAnsi="Arial" w:cs="Arial"/>
                <w:color w:val="000000"/>
                <w:sz w:val="16"/>
                <w:szCs w:val="16"/>
                <w:lang w:eastAsia="en-US"/>
              </w:rPr>
              <w:t> </w:t>
            </w:r>
            <w:r w:rsidRPr="00821556">
              <w:rPr>
                <w:rFonts w:ascii="Arial" w:hAnsi="Arial" w:cs="Arial"/>
                <w:color w:val="000000"/>
                <w:sz w:val="16"/>
                <w:szCs w:val="16"/>
                <w:lang w:eastAsia="en-US"/>
              </w:rPr>
              <w:t>903</w:t>
            </w:r>
          </w:p>
        </w:tc>
        <w:tc>
          <w:tcPr>
            <w:tcW w:w="705" w:type="pct"/>
            <w:tcBorders>
              <w:bottom w:val="single" w:sz="4" w:space="0" w:color="auto"/>
            </w:tcBorders>
            <w:shd w:val="clear" w:color="auto" w:fill="auto"/>
            <w:noWrap/>
            <w:vAlign w:val="center"/>
            <w:hideMark/>
          </w:tcPr>
          <w:p w:rsidR="00EC1136" w:rsidRPr="00821556" w:rsidRDefault="00EC1136" w:rsidP="00135409">
            <w:pPr>
              <w:keepLines/>
              <w:tabs>
                <w:tab w:val="left" w:pos="198"/>
              </w:tabs>
              <w:spacing w:before="60" w:after="60" w:line="200" w:lineRule="atLeast"/>
              <w:jc w:val="right"/>
              <w:rPr>
                <w:rFonts w:ascii="Arial" w:hAnsi="Arial" w:cs="Arial"/>
                <w:color w:val="000000"/>
                <w:sz w:val="16"/>
                <w:szCs w:val="16"/>
                <w:lang w:eastAsia="en-US"/>
              </w:rPr>
            </w:pPr>
            <w:r w:rsidRPr="00821556">
              <w:rPr>
                <w:rFonts w:ascii="Arial" w:hAnsi="Arial" w:cs="Arial"/>
                <w:color w:val="000000"/>
                <w:sz w:val="16"/>
                <w:szCs w:val="16"/>
                <w:lang w:eastAsia="en-US"/>
              </w:rPr>
              <w:t>11</w:t>
            </w:r>
            <w:r>
              <w:rPr>
                <w:rFonts w:ascii="Arial" w:hAnsi="Arial" w:cs="Arial"/>
                <w:color w:val="000000"/>
                <w:sz w:val="16"/>
                <w:szCs w:val="16"/>
                <w:lang w:eastAsia="en-US"/>
              </w:rPr>
              <w:t> </w:t>
            </w:r>
            <w:r w:rsidRPr="00821556">
              <w:rPr>
                <w:rFonts w:ascii="Arial" w:hAnsi="Arial" w:cs="Arial"/>
                <w:color w:val="000000"/>
                <w:sz w:val="16"/>
                <w:szCs w:val="16"/>
                <w:lang w:eastAsia="en-US"/>
              </w:rPr>
              <w:t>810</w:t>
            </w:r>
          </w:p>
        </w:tc>
        <w:tc>
          <w:tcPr>
            <w:tcW w:w="703" w:type="pct"/>
            <w:tcBorders>
              <w:bottom w:val="single" w:sz="4" w:space="0" w:color="auto"/>
            </w:tcBorders>
            <w:shd w:val="clear" w:color="auto" w:fill="auto"/>
            <w:noWrap/>
            <w:vAlign w:val="center"/>
            <w:hideMark/>
          </w:tcPr>
          <w:p w:rsidR="00EC1136" w:rsidRPr="00821556" w:rsidRDefault="00EC1136" w:rsidP="00135409">
            <w:pPr>
              <w:keepLines/>
              <w:tabs>
                <w:tab w:val="left" w:pos="198"/>
              </w:tabs>
              <w:spacing w:before="60" w:after="60" w:line="200" w:lineRule="atLeast"/>
              <w:jc w:val="right"/>
              <w:rPr>
                <w:rFonts w:ascii="Arial" w:hAnsi="Arial" w:cs="Arial"/>
                <w:color w:val="000000"/>
                <w:sz w:val="16"/>
                <w:szCs w:val="16"/>
                <w:lang w:eastAsia="en-US"/>
              </w:rPr>
            </w:pPr>
            <w:r w:rsidRPr="00821556">
              <w:rPr>
                <w:rFonts w:ascii="Arial" w:hAnsi="Arial" w:cs="Arial"/>
                <w:color w:val="000000"/>
                <w:sz w:val="16"/>
                <w:szCs w:val="16"/>
                <w:lang w:eastAsia="en-US"/>
              </w:rPr>
              <w:t>12</w:t>
            </w:r>
            <w:r>
              <w:rPr>
                <w:rFonts w:ascii="Arial" w:hAnsi="Arial" w:cs="Arial"/>
                <w:color w:val="000000"/>
                <w:sz w:val="16"/>
                <w:szCs w:val="16"/>
                <w:lang w:eastAsia="en-US"/>
              </w:rPr>
              <w:t> </w:t>
            </w:r>
            <w:r w:rsidRPr="00821556">
              <w:rPr>
                <w:rFonts w:ascii="Arial" w:hAnsi="Arial" w:cs="Arial"/>
                <w:color w:val="000000"/>
                <w:sz w:val="16"/>
                <w:szCs w:val="16"/>
                <w:lang w:eastAsia="en-US"/>
              </w:rPr>
              <w:t>063</w:t>
            </w:r>
          </w:p>
        </w:tc>
        <w:tc>
          <w:tcPr>
            <w:tcW w:w="706" w:type="pct"/>
            <w:tcBorders>
              <w:bottom w:val="single" w:sz="4" w:space="0" w:color="auto"/>
            </w:tcBorders>
            <w:shd w:val="clear" w:color="auto" w:fill="auto"/>
            <w:noWrap/>
            <w:vAlign w:val="center"/>
            <w:hideMark/>
          </w:tcPr>
          <w:p w:rsidR="00EC1136" w:rsidRPr="00821556" w:rsidRDefault="00EC1136" w:rsidP="00135409">
            <w:pPr>
              <w:keepLines/>
              <w:tabs>
                <w:tab w:val="left" w:pos="198"/>
              </w:tabs>
              <w:spacing w:before="60" w:after="60" w:line="200" w:lineRule="atLeast"/>
              <w:jc w:val="right"/>
              <w:rPr>
                <w:rFonts w:ascii="Arial" w:hAnsi="Arial" w:cs="Arial"/>
                <w:color w:val="000000"/>
                <w:sz w:val="16"/>
                <w:szCs w:val="16"/>
                <w:lang w:eastAsia="en-US"/>
              </w:rPr>
            </w:pPr>
            <w:r w:rsidRPr="00821556">
              <w:rPr>
                <w:rFonts w:ascii="Arial" w:hAnsi="Arial" w:cs="Arial"/>
                <w:color w:val="000000"/>
                <w:sz w:val="16"/>
                <w:szCs w:val="16"/>
                <w:lang w:eastAsia="en-US"/>
              </w:rPr>
              <w:t>11</w:t>
            </w:r>
            <w:r>
              <w:rPr>
                <w:rFonts w:ascii="Arial" w:hAnsi="Arial" w:cs="Arial"/>
                <w:color w:val="000000"/>
                <w:sz w:val="16"/>
                <w:szCs w:val="16"/>
                <w:lang w:eastAsia="en-US"/>
              </w:rPr>
              <w:t> </w:t>
            </w:r>
            <w:r w:rsidRPr="00821556">
              <w:rPr>
                <w:rFonts w:ascii="Arial" w:hAnsi="Arial" w:cs="Arial"/>
                <w:color w:val="000000"/>
                <w:sz w:val="16"/>
                <w:szCs w:val="16"/>
                <w:lang w:eastAsia="en-US"/>
              </w:rPr>
              <w:t>692</w:t>
            </w:r>
          </w:p>
        </w:tc>
        <w:tc>
          <w:tcPr>
            <w:tcW w:w="704" w:type="pct"/>
            <w:tcBorders>
              <w:bottom w:val="single" w:sz="4" w:space="0" w:color="auto"/>
            </w:tcBorders>
          </w:tcPr>
          <w:p w:rsidR="00EC1136" w:rsidRPr="00821556" w:rsidRDefault="00EC1136" w:rsidP="005D3CF5">
            <w:pPr>
              <w:keepLines/>
              <w:tabs>
                <w:tab w:val="left" w:pos="198"/>
              </w:tabs>
              <w:spacing w:before="60" w:after="60" w:line="200" w:lineRule="atLeast"/>
              <w:jc w:val="right"/>
              <w:rPr>
                <w:rFonts w:ascii="Arial" w:hAnsi="Arial" w:cs="Arial"/>
                <w:color w:val="000000"/>
                <w:sz w:val="16"/>
                <w:szCs w:val="16"/>
                <w:lang w:eastAsia="en-US"/>
              </w:rPr>
            </w:pPr>
            <w:r>
              <w:rPr>
                <w:rFonts w:ascii="Arial" w:hAnsi="Arial" w:cs="Arial"/>
                <w:color w:val="000000"/>
                <w:sz w:val="16"/>
                <w:szCs w:val="16"/>
                <w:lang w:eastAsia="en-US"/>
              </w:rPr>
              <w:t>11</w:t>
            </w:r>
            <w:r w:rsidR="005D3CF5">
              <w:rPr>
                <w:rFonts w:ascii="Arial" w:hAnsi="Arial" w:cs="Arial"/>
                <w:color w:val="000000"/>
                <w:sz w:val="16"/>
                <w:szCs w:val="16"/>
                <w:lang w:eastAsia="en-US"/>
              </w:rPr>
              <w:t> </w:t>
            </w:r>
            <w:r>
              <w:rPr>
                <w:rFonts w:ascii="Arial" w:hAnsi="Arial" w:cs="Arial"/>
                <w:color w:val="000000"/>
                <w:sz w:val="16"/>
                <w:szCs w:val="16"/>
                <w:lang w:eastAsia="en-US"/>
              </w:rPr>
              <w:t>293</w:t>
            </w:r>
          </w:p>
        </w:tc>
      </w:tr>
    </w:tbl>
    <w:p w:rsidR="00EC1136" w:rsidRPr="00D81012" w:rsidRDefault="00EC1136" w:rsidP="00A6091A">
      <w:pPr>
        <w:pStyle w:val="StyleArial7ptBefore6pt"/>
        <w:rPr>
          <w:lang w:eastAsia="en-US"/>
        </w:rPr>
      </w:pPr>
      <w:r w:rsidRPr="00D81012">
        <w:rPr>
          <w:lang w:eastAsia="en-US"/>
        </w:rPr>
        <w:t xml:space="preserve">Source: </w:t>
      </w:r>
      <w:r w:rsidRPr="002127F8">
        <w:rPr>
          <w:lang w:eastAsia="en-US"/>
        </w:rPr>
        <w:t>AIHW National Perinatal Data Collection</w:t>
      </w:r>
      <w:r>
        <w:rPr>
          <w:lang w:eastAsia="en-US"/>
        </w:rPr>
        <w:t xml:space="preserve">, data sourced from </w:t>
      </w:r>
      <w:r w:rsidRPr="00D81012">
        <w:rPr>
          <w:lang w:eastAsia="en-US"/>
        </w:rPr>
        <w:t>AIHW 201</w:t>
      </w:r>
      <w:r>
        <w:rPr>
          <w:lang w:eastAsia="en-US"/>
        </w:rPr>
        <w:t>3b</w:t>
      </w:r>
      <w:r w:rsidRPr="00D81012">
        <w:rPr>
          <w:lang w:eastAsia="en-US"/>
        </w:rPr>
        <w:t xml:space="preserve">. </w:t>
      </w:r>
    </w:p>
    <w:p w:rsidR="00F0794D" w:rsidRPr="00084FFD" w:rsidRDefault="00EC1136" w:rsidP="00084FFD">
      <w:pPr>
        <w:pStyle w:val="Heading3"/>
      </w:pPr>
      <w:bookmarkStart w:id="75" w:name="_Toc400007693"/>
      <w:r w:rsidRPr="00084FFD">
        <w:t>Low birth weight</w:t>
      </w:r>
      <w:bookmarkEnd w:id="75"/>
    </w:p>
    <w:p w:rsidR="00EC1136" w:rsidRPr="006E4356" w:rsidRDefault="00EC1136" w:rsidP="004B3342">
      <w:pPr>
        <w:pStyle w:val="Heading4a"/>
      </w:pPr>
      <w:r w:rsidRPr="006E4356">
        <w:t>Indicator 0.4: Proportion of live born infants of low birth weight</w:t>
      </w:r>
    </w:p>
    <w:p w:rsidR="00EC1136" w:rsidRPr="006E4356" w:rsidRDefault="00EC1136" w:rsidP="006E4356">
      <w:pPr>
        <w:rPr>
          <w:rFonts w:ascii="Calibri" w:hAnsi="Calibri"/>
          <w:sz w:val="24"/>
        </w:rPr>
      </w:pPr>
    </w:p>
    <w:p w:rsidR="00EC1136" w:rsidRPr="00821556" w:rsidRDefault="00EC1136" w:rsidP="00EC1136">
      <w:pPr>
        <w:rPr>
          <w:rFonts w:ascii="Calibri" w:hAnsi="Calibri" w:cs="Calibri"/>
          <w:sz w:val="24"/>
          <w:szCs w:val="24"/>
          <w:lang w:eastAsia="en-AU"/>
        </w:rPr>
      </w:pPr>
      <w:r>
        <w:rPr>
          <w:rFonts w:ascii="Calibri" w:hAnsi="Calibri" w:cs="Calibri"/>
          <w:sz w:val="24"/>
          <w:szCs w:val="24"/>
          <w:lang w:eastAsia="en-AU"/>
        </w:rPr>
        <w:t>A baby</w:t>
      </w:r>
      <w:r w:rsidRPr="00022383">
        <w:rPr>
          <w:rFonts w:ascii="Calibri" w:hAnsi="Calibri" w:cs="Calibri"/>
          <w:sz w:val="24"/>
          <w:szCs w:val="24"/>
          <w:lang w:eastAsia="en-AU"/>
        </w:rPr>
        <w:t xml:space="preserve"> may be born small </w:t>
      </w:r>
      <w:r>
        <w:rPr>
          <w:rFonts w:ascii="Calibri" w:hAnsi="Calibri" w:cs="Calibri"/>
          <w:sz w:val="24"/>
          <w:szCs w:val="24"/>
          <w:lang w:eastAsia="en-AU"/>
        </w:rPr>
        <w:t>through</w:t>
      </w:r>
      <w:r w:rsidRPr="00022383">
        <w:rPr>
          <w:rFonts w:ascii="Calibri" w:hAnsi="Calibri" w:cs="Calibri"/>
          <w:sz w:val="24"/>
          <w:szCs w:val="24"/>
          <w:lang w:eastAsia="en-AU"/>
        </w:rPr>
        <w:t xml:space="preserve"> being born early (preterm) or may be small for </w:t>
      </w:r>
      <w:r w:rsidR="00307A98">
        <w:rPr>
          <w:rFonts w:ascii="Calibri" w:hAnsi="Calibri" w:cs="Calibri"/>
          <w:sz w:val="24"/>
          <w:szCs w:val="24"/>
          <w:lang w:eastAsia="en-AU"/>
        </w:rPr>
        <w:t>her or his</w:t>
      </w:r>
      <w:r w:rsidRPr="00022383">
        <w:rPr>
          <w:rFonts w:ascii="Calibri" w:hAnsi="Calibri" w:cs="Calibri"/>
          <w:sz w:val="24"/>
          <w:szCs w:val="24"/>
          <w:lang w:eastAsia="en-AU"/>
        </w:rPr>
        <w:t xml:space="preserve"> gestational age. </w:t>
      </w:r>
      <w:r w:rsidRPr="00821556">
        <w:rPr>
          <w:rFonts w:ascii="Calibri" w:hAnsi="Calibri" w:cs="Calibri"/>
          <w:sz w:val="24"/>
          <w:szCs w:val="24"/>
          <w:lang w:eastAsia="en-AU"/>
        </w:rPr>
        <w:t xml:space="preserve">It is generally accepted that </w:t>
      </w:r>
      <w:r>
        <w:rPr>
          <w:rFonts w:ascii="Calibri" w:hAnsi="Calibri" w:cs="Calibri"/>
          <w:sz w:val="24"/>
          <w:szCs w:val="24"/>
          <w:lang w:eastAsia="en-AU"/>
        </w:rPr>
        <w:t>i</w:t>
      </w:r>
      <w:r w:rsidRPr="00821556">
        <w:rPr>
          <w:rFonts w:ascii="Calibri" w:hAnsi="Calibri" w:cs="Calibri"/>
          <w:sz w:val="24"/>
          <w:szCs w:val="24"/>
          <w:lang w:eastAsia="en-AU"/>
        </w:rPr>
        <w:t xml:space="preserve">nfants born with a low birth weight have an increased risk of health, learning and behavioural problems. Factors </w:t>
      </w:r>
      <w:r>
        <w:rPr>
          <w:rFonts w:ascii="Calibri" w:hAnsi="Calibri" w:cs="Calibri"/>
          <w:sz w:val="24"/>
          <w:szCs w:val="24"/>
          <w:lang w:eastAsia="en-AU"/>
        </w:rPr>
        <w:t>that may contribute to</w:t>
      </w:r>
      <w:r w:rsidRPr="00821556">
        <w:rPr>
          <w:rFonts w:ascii="Calibri" w:hAnsi="Calibri" w:cs="Calibri"/>
          <w:sz w:val="24"/>
          <w:szCs w:val="24"/>
          <w:lang w:eastAsia="en-AU"/>
        </w:rPr>
        <w:t xml:space="preserve"> low birth weight</w:t>
      </w:r>
      <w:r>
        <w:rPr>
          <w:rFonts w:ascii="Calibri" w:hAnsi="Calibri" w:cs="Calibri"/>
          <w:sz w:val="24"/>
          <w:szCs w:val="24"/>
          <w:lang w:eastAsia="en-AU"/>
        </w:rPr>
        <w:t xml:space="preserve"> </w:t>
      </w:r>
      <w:r w:rsidRPr="00821556">
        <w:rPr>
          <w:rFonts w:ascii="Calibri" w:hAnsi="Calibri" w:cs="Calibri"/>
          <w:sz w:val="24"/>
          <w:szCs w:val="24"/>
          <w:lang w:eastAsia="en-AU"/>
        </w:rPr>
        <w:t xml:space="preserve">include: </w:t>
      </w:r>
    </w:p>
    <w:p w:rsidR="00EC1136" w:rsidRDefault="00EC1136" w:rsidP="00EC1136">
      <w:pPr>
        <w:pStyle w:val="ListBullet"/>
      </w:pPr>
      <w:r w:rsidRPr="00AC442E">
        <w:t xml:space="preserve">maternal experiences of illness, trauma or injury during pregnancy </w:t>
      </w:r>
    </w:p>
    <w:p w:rsidR="00EC1136" w:rsidRDefault="00EC1136" w:rsidP="00EC1136">
      <w:pPr>
        <w:pStyle w:val="ListBullet"/>
      </w:pPr>
      <w:r w:rsidRPr="00AC442E">
        <w:t xml:space="preserve">inadequate prenatal care </w:t>
      </w:r>
    </w:p>
    <w:p w:rsidR="00EC1136" w:rsidRDefault="00EC1136" w:rsidP="00EC1136">
      <w:pPr>
        <w:pStyle w:val="ListBullet"/>
      </w:pPr>
      <w:r w:rsidRPr="00AC442E">
        <w:t xml:space="preserve">alcohol and drug use (including tobacco) </w:t>
      </w:r>
    </w:p>
    <w:p w:rsidR="00EC1136" w:rsidRDefault="00EC1136" w:rsidP="00EC1136">
      <w:pPr>
        <w:pStyle w:val="ListBullet"/>
      </w:pPr>
      <w:proofErr w:type="gramStart"/>
      <w:r w:rsidRPr="00AC442E">
        <w:t>poor</w:t>
      </w:r>
      <w:proofErr w:type="gramEnd"/>
      <w:r w:rsidRPr="00AC442E">
        <w:t xml:space="preserve"> maternal nutrition, physical and mental health. </w:t>
      </w:r>
    </w:p>
    <w:p w:rsidR="00EC1136" w:rsidRPr="00821556" w:rsidRDefault="00EC1136" w:rsidP="00EC1136">
      <w:pPr>
        <w:rPr>
          <w:rFonts w:ascii="Calibri" w:hAnsi="Calibri" w:cs="Calibri"/>
          <w:sz w:val="24"/>
          <w:szCs w:val="24"/>
          <w:lang w:eastAsia="en-AU"/>
        </w:rPr>
      </w:pPr>
    </w:p>
    <w:p w:rsidR="00EC1136" w:rsidRPr="00821556" w:rsidRDefault="00EC1136" w:rsidP="00EC1136">
      <w:pPr>
        <w:rPr>
          <w:rFonts w:ascii="Calibri" w:hAnsi="Calibri" w:cs="Calibri"/>
          <w:sz w:val="24"/>
          <w:szCs w:val="24"/>
          <w:lang w:eastAsia="en-AU"/>
        </w:rPr>
      </w:pPr>
      <w:r w:rsidRPr="00821556">
        <w:rPr>
          <w:rFonts w:ascii="Calibri" w:hAnsi="Calibri" w:cs="Calibri"/>
          <w:sz w:val="24"/>
          <w:szCs w:val="24"/>
          <w:lang w:eastAsia="en-AU"/>
        </w:rPr>
        <w:t>In 20</w:t>
      </w:r>
      <w:r>
        <w:rPr>
          <w:rFonts w:ascii="Calibri" w:hAnsi="Calibri" w:cs="Calibri"/>
          <w:sz w:val="24"/>
          <w:szCs w:val="24"/>
          <w:lang w:eastAsia="en-AU"/>
        </w:rPr>
        <w:t>10</w:t>
      </w:r>
      <w:r w:rsidRPr="00821556">
        <w:rPr>
          <w:rFonts w:ascii="Calibri" w:hAnsi="Calibri" w:cs="Calibri"/>
          <w:sz w:val="24"/>
          <w:szCs w:val="24"/>
          <w:lang w:eastAsia="en-AU"/>
        </w:rPr>
        <w:t xml:space="preserve">, </w:t>
      </w:r>
      <w:r>
        <w:rPr>
          <w:rFonts w:ascii="Calibri" w:hAnsi="Calibri" w:cs="Calibri"/>
          <w:sz w:val="24"/>
          <w:szCs w:val="24"/>
          <w:lang w:eastAsia="en-AU"/>
        </w:rPr>
        <w:t>6 per cent</w:t>
      </w:r>
      <w:r w:rsidRPr="00821556">
        <w:rPr>
          <w:rFonts w:ascii="Calibri" w:hAnsi="Calibri" w:cs="Calibri"/>
          <w:sz w:val="24"/>
          <w:szCs w:val="24"/>
          <w:lang w:eastAsia="en-AU"/>
        </w:rPr>
        <w:t xml:space="preserve"> of live</w:t>
      </w:r>
      <w:r w:rsidR="00C14120">
        <w:rPr>
          <w:rFonts w:ascii="Calibri" w:hAnsi="Calibri" w:cs="Calibri"/>
          <w:sz w:val="24"/>
          <w:szCs w:val="24"/>
          <w:lang w:eastAsia="en-AU"/>
        </w:rPr>
        <w:t xml:space="preserve"> </w:t>
      </w:r>
      <w:r w:rsidRPr="00821556">
        <w:rPr>
          <w:rFonts w:ascii="Calibri" w:hAnsi="Calibri" w:cs="Calibri"/>
          <w:sz w:val="24"/>
          <w:szCs w:val="24"/>
          <w:lang w:eastAsia="en-AU"/>
        </w:rPr>
        <w:t>born babies had a low birth weight (&lt;2500 grams), including 1</w:t>
      </w:r>
      <w:r>
        <w:rPr>
          <w:rFonts w:ascii="Calibri" w:hAnsi="Calibri" w:cs="Calibri"/>
          <w:sz w:val="24"/>
          <w:szCs w:val="24"/>
          <w:lang w:eastAsia="en-AU"/>
        </w:rPr>
        <w:t xml:space="preserve"> per cent</w:t>
      </w:r>
      <w:r w:rsidRPr="00821556">
        <w:rPr>
          <w:rFonts w:ascii="Calibri" w:hAnsi="Calibri" w:cs="Calibri"/>
          <w:sz w:val="24"/>
          <w:szCs w:val="24"/>
          <w:lang w:eastAsia="en-AU"/>
        </w:rPr>
        <w:t xml:space="preserve"> </w:t>
      </w:r>
      <w:r>
        <w:rPr>
          <w:rFonts w:ascii="Calibri" w:hAnsi="Calibri" w:cs="Calibri"/>
          <w:sz w:val="24"/>
          <w:szCs w:val="24"/>
          <w:lang w:eastAsia="en-AU"/>
        </w:rPr>
        <w:t>with</w:t>
      </w:r>
      <w:r w:rsidRPr="00821556">
        <w:rPr>
          <w:rFonts w:ascii="Calibri" w:hAnsi="Calibri" w:cs="Calibri"/>
          <w:sz w:val="24"/>
          <w:szCs w:val="24"/>
          <w:lang w:eastAsia="en-AU"/>
        </w:rPr>
        <w:t xml:space="preserve"> very low birth weight (&lt;1500 grams). </w:t>
      </w:r>
    </w:p>
    <w:p w:rsidR="00EC1136" w:rsidRPr="00821556" w:rsidRDefault="00EC1136" w:rsidP="00EC1136">
      <w:pPr>
        <w:rPr>
          <w:rFonts w:ascii="Calibri" w:hAnsi="Calibri" w:cs="Calibri"/>
          <w:sz w:val="24"/>
          <w:szCs w:val="24"/>
          <w:lang w:eastAsia="en-AU"/>
        </w:rPr>
      </w:pPr>
    </w:p>
    <w:p w:rsidR="00EC1136" w:rsidRPr="00821556" w:rsidRDefault="00EC1136" w:rsidP="00EC1136">
      <w:pPr>
        <w:rPr>
          <w:rFonts w:ascii="Calibri" w:hAnsi="Calibri" w:cs="Calibri"/>
          <w:sz w:val="24"/>
          <w:szCs w:val="24"/>
          <w:lang w:eastAsia="en-AU"/>
        </w:rPr>
      </w:pPr>
      <w:r w:rsidRPr="00821556">
        <w:rPr>
          <w:rFonts w:ascii="Calibri" w:hAnsi="Calibri" w:cs="Calibri"/>
          <w:sz w:val="24"/>
          <w:szCs w:val="24"/>
          <w:lang w:eastAsia="en-AU"/>
        </w:rPr>
        <w:t>The proportion of low birth weight babies among Aboriginal and Torres Strait Islander mothers was 12</w:t>
      </w:r>
      <w:r>
        <w:rPr>
          <w:rFonts w:ascii="Calibri" w:hAnsi="Calibri" w:cs="Calibri"/>
          <w:sz w:val="24"/>
          <w:szCs w:val="24"/>
          <w:lang w:eastAsia="en-AU"/>
        </w:rPr>
        <w:t xml:space="preserve"> per cent</w:t>
      </w:r>
      <w:r w:rsidRPr="00821556">
        <w:rPr>
          <w:rFonts w:ascii="Calibri" w:hAnsi="Calibri" w:cs="Calibri"/>
          <w:sz w:val="24"/>
          <w:szCs w:val="24"/>
          <w:lang w:eastAsia="en-AU"/>
        </w:rPr>
        <w:t>, a</w:t>
      </w:r>
      <w:r>
        <w:rPr>
          <w:rFonts w:ascii="Calibri" w:hAnsi="Calibri" w:cs="Calibri"/>
          <w:sz w:val="24"/>
          <w:szCs w:val="24"/>
          <w:lang w:eastAsia="en-AU"/>
        </w:rPr>
        <w:t>round</w:t>
      </w:r>
      <w:r w:rsidRPr="00821556">
        <w:rPr>
          <w:rFonts w:ascii="Calibri" w:hAnsi="Calibri" w:cs="Calibri"/>
          <w:sz w:val="24"/>
          <w:szCs w:val="24"/>
          <w:lang w:eastAsia="en-AU"/>
        </w:rPr>
        <w:t xml:space="preserve"> twice that of babies of non-Indigenous mothers (</w:t>
      </w:r>
      <w:r>
        <w:rPr>
          <w:rFonts w:ascii="Calibri" w:hAnsi="Calibri" w:cs="Calibri"/>
          <w:sz w:val="24"/>
          <w:szCs w:val="24"/>
          <w:lang w:eastAsia="en-AU"/>
        </w:rPr>
        <w:t>6 per cent</w:t>
      </w:r>
      <w:r w:rsidRPr="00821556">
        <w:rPr>
          <w:rFonts w:ascii="Calibri" w:hAnsi="Calibri" w:cs="Calibri"/>
          <w:sz w:val="24"/>
          <w:szCs w:val="24"/>
          <w:lang w:eastAsia="en-AU"/>
        </w:rPr>
        <w:t>) and all mothers (</w:t>
      </w:r>
      <w:r>
        <w:rPr>
          <w:rFonts w:ascii="Calibri" w:hAnsi="Calibri" w:cs="Calibri"/>
          <w:sz w:val="24"/>
          <w:szCs w:val="24"/>
          <w:lang w:eastAsia="en-AU"/>
        </w:rPr>
        <w:t>6.2 per cent</w:t>
      </w:r>
      <w:r w:rsidRPr="00821556">
        <w:rPr>
          <w:rFonts w:ascii="Calibri" w:hAnsi="Calibri" w:cs="Calibri"/>
          <w:sz w:val="24"/>
          <w:szCs w:val="24"/>
          <w:lang w:eastAsia="en-AU"/>
        </w:rPr>
        <w:t>) (</w:t>
      </w:r>
      <w:r w:rsidRPr="00BC2226">
        <w:rPr>
          <w:rFonts w:ascii="Calibri" w:hAnsi="Calibri" w:cs="Calibri"/>
          <w:sz w:val="24"/>
          <w:szCs w:val="24"/>
          <w:lang w:eastAsia="en-AU"/>
        </w:rPr>
        <w:t>Li et al.</w:t>
      </w:r>
      <w:r w:rsidRPr="00821556">
        <w:rPr>
          <w:rFonts w:ascii="Calibri" w:hAnsi="Calibri" w:cs="Calibri"/>
          <w:sz w:val="24"/>
          <w:szCs w:val="24"/>
          <w:lang w:eastAsia="en-AU"/>
        </w:rPr>
        <w:t xml:space="preserve"> 20</w:t>
      </w:r>
      <w:r>
        <w:rPr>
          <w:rFonts w:ascii="Calibri" w:hAnsi="Calibri" w:cs="Calibri"/>
          <w:sz w:val="24"/>
          <w:szCs w:val="24"/>
          <w:lang w:eastAsia="en-AU"/>
        </w:rPr>
        <w:t>12</w:t>
      </w:r>
      <w:r w:rsidRPr="00821556">
        <w:rPr>
          <w:rFonts w:ascii="Calibri" w:hAnsi="Calibri" w:cs="Calibri"/>
          <w:sz w:val="24"/>
          <w:szCs w:val="24"/>
          <w:lang w:eastAsia="en-AU"/>
        </w:rPr>
        <w:t>).</w:t>
      </w:r>
    </w:p>
    <w:p w:rsidR="00EC1136" w:rsidRPr="00821556" w:rsidRDefault="00EC1136" w:rsidP="00EC1136">
      <w:pPr>
        <w:rPr>
          <w:rFonts w:ascii="Calibri" w:hAnsi="Calibri" w:cs="Calibri"/>
          <w:sz w:val="24"/>
          <w:szCs w:val="24"/>
          <w:lang w:eastAsia="en-AU"/>
        </w:rPr>
      </w:pPr>
    </w:p>
    <w:p w:rsidR="00EC1136" w:rsidRPr="00821556" w:rsidRDefault="00EC1136" w:rsidP="00EC1136">
      <w:pPr>
        <w:rPr>
          <w:rFonts w:ascii="Calibri" w:hAnsi="Calibri" w:cs="Calibri"/>
          <w:sz w:val="24"/>
          <w:szCs w:val="24"/>
          <w:lang w:eastAsia="en-AU"/>
        </w:rPr>
      </w:pPr>
      <w:r w:rsidRPr="00821556">
        <w:rPr>
          <w:rFonts w:ascii="Calibri" w:hAnsi="Calibri" w:cs="Calibri"/>
          <w:sz w:val="24"/>
          <w:szCs w:val="24"/>
          <w:lang w:eastAsia="en-AU"/>
        </w:rPr>
        <w:t>There has been very little change in the proportion of low birth</w:t>
      </w:r>
      <w:r>
        <w:rPr>
          <w:rFonts w:ascii="Calibri" w:hAnsi="Calibri" w:cs="Calibri"/>
          <w:sz w:val="24"/>
          <w:szCs w:val="24"/>
          <w:lang w:eastAsia="en-AU"/>
        </w:rPr>
        <w:t xml:space="preserve"> </w:t>
      </w:r>
      <w:r w:rsidRPr="00821556">
        <w:rPr>
          <w:rFonts w:ascii="Calibri" w:hAnsi="Calibri" w:cs="Calibri"/>
          <w:sz w:val="24"/>
          <w:szCs w:val="24"/>
          <w:lang w:eastAsia="en-AU"/>
        </w:rPr>
        <w:t xml:space="preserve">weight babies over the </w:t>
      </w:r>
      <w:r>
        <w:rPr>
          <w:rFonts w:ascii="Calibri" w:hAnsi="Calibri" w:cs="Calibri"/>
          <w:sz w:val="24"/>
          <w:szCs w:val="24"/>
          <w:lang w:eastAsia="en-AU"/>
        </w:rPr>
        <w:t>10</w:t>
      </w:r>
      <w:r w:rsidRPr="00821556">
        <w:rPr>
          <w:rFonts w:ascii="Calibri" w:hAnsi="Calibri" w:cs="Calibri"/>
          <w:sz w:val="24"/>
          <w:szCs w:val="24"/>
          <w:lang w:eastAsia="en-AU"/>
        </w:rPr>
        <w:t xml:space="preserve"> years to 20</w:t>
      </w:r>
      <w:r>
        <w:rPr>
          <w:rFonts w:ascii="Calibri" w:hAnsi="Calibri" w:cs="Calibri"/>
          <w:sz w:val="24"/>
          <w:szCs w:val="24"/>
          <w:lang w:eastAsia="en-AU"/>
        </w:rPr>
        <w:t>10</w:t>
      </w:r>
      <w:r w:rsidRPr="00821556">
        <w:rPr>
          <w:rFonts w:ascii="Calibri" w:hAnsi="Calibri" w:cs="Calibri"/>
          <w:sz w:val="24"/>
          <w:szCs w:val="24"/>
          <w:lang w:eastAsia="en-AU"/>
        </w:rPr>
        <w:t xml:space="preserve"> (</w:t>
      </w:r>
      <w:r>
        <w:rPr>
          <w:rFonts w:ascii="Calibri" w:hAnsi="Calibri" w:cs="Calibri"/>
          <w:sz w:val="24"/>
          <w:szCs w:val="24"/>
          <w:lang w:eastAsia="en-AU"/>
        </w:rPr>
        <w:t>Li et al. 2012</w:t>
      </w:r>
      <w:r w:rsidRPr="00821556">
        <w:rPr>
          <w:rFonts w:ascii="Calibri" w:hAnsi="Calibri" w:cs="Calibri"/>
          <w:sz w:val="24"/>
          <w:szCs w:val="24"/>
          <w:lang w:eastAsia="en-AU"/>
        </w:rPr>
        <w:t xml:space="preserve">). </w:t>
      </w:r>
    </w:p>
    <w:p w:rsidR="00EC1136" w:rsidRDefault="00EC1136" w:rsidP="00EC1136">
      <w:pPr>
        <w:rPr>
          <w:rFonts w:ascii="Book Antiqua" w:hAnsi="Book Antiqua"/>
          <w:b/>
          <w:color w:val="000000"/>
          <w:lang w:eastAsia="en-US"/>
        </w:rPr>
      </w:pPr>
    </w:p>
    <w:p w:rsidR="00E553BB" w:rsidRDefault="00E553BB">
      <w:pPr>
        <w:rPr>
          <w:rFonts w:ascii="Arial" w:hAnsi="Arial"/>
          <w:b/>
        </w:rPr>
      </w:pPr>
      <w:bookmarkStart w:id="76" w:name="_Toc400010292"/>
      <w:r>
        <w:br w:type="page"/>
      </w:r>
    </w:p>
    <w:p w:rsidR="00EC1136" w:rsidRPr="00821556" w:rsidRDefault="005C08DD" w:rsidP="00244A07">
      <w:pPr>
        <w:pStyle w:val="Figure"/>
      </w:pPr>
      <w:r>
        <w:t xml:space="preserve">Table </w:t>
      </w:r>
      <w:fldSimple w:instr=" SEQ Table \* ARABIC ">
        <w:r w:rsidR="00BF1EC9">
          <w:rPr>
            <w:noProof/>
          </w:rPr>
          <w:t>6</w:t>
        </w:r>
      </w:fldSimple>
      <w:r>
        <w:t xml:space="preserve">: </w:t>
      </w:r>
      <w:r w:rsidRPr="00821556">
        <w:t>Live birth babies, by birth weight and Indigenous status, 20</w:t>
      </w:r>
      <w:r>
        <w:t>10</w:t>
      </w:r>
      <w:bookmarkEnd w:id="76"/>
    </w:p>
    <w:tbl>
      <w:tblPr>
        <w:tblW w:w="4163" w:type="pct"/>
        <w:tblLook w:val="04A0" w:firstRow="1" w:lastRow="0" w:firstColumn="1" w:lastColumn="0" w:noHBand="0" w:noVBand="1"/>
        <w:tblDescription w:val="Table 6: Live birth babies, by birth weight and Indigenous status, 2010"/>
      </w:tblPr>
      <w:tblGrid>
        <w:gridCol w:w="2094"/>
        <w:gridCol w:w="1702"/>
        <w:gridCol w:w="1700"/>
        <w:gridCol w:w="1700"/>
        <w:gridCol w:w="1697"/>
      </w:tblGrid>
      <w:tr w:rsidR="006D3FA7" w:rsidRPr="00821556" w:rsidTr="006D3FA7">
        <w:tc>
          <w:tcPr>
            <w:tcW w:w="1177" w:type="pct"/>
            <w:tcBorders>
              <w:top w:val="single" w:sz="4" w:space="0" w:color="auto"/>
              <w:bottom w:val="single" w:sz="4" w:space="0" w:color="auto"/>
            </w:tcBorders>
            <w:shd w:val="clear" w:color="auto" w:fill="auto"/>
          </w:tcPr>
          <w:p w:rsidR="006D3FA7" w:rsidRPr="00821556" w:rsidRDefault="006D3FA7" w:rsidP="00135409">
            <w:pPr>
              <w:keepLines/>
              <w:tabs>
                <w:tab w:val="left" w:pos="198"/>
              </w:tabs>
              <w:spacing w:before="60" w:after="60" w:line="200" w:lineRule="atLeast"/>
              <w:rPr>
                <w:rFonts w:ascii="Arial" w:hAnsi="Arial"/>
                <w:b/>
                <w:color w:val="000000"/>
                <w:sz w:val="16"/>
                <w:lang w:eastAsia="en-US"/>
              </w:rPr>
            </w:pPr>
            <w:r w:rsidRPr="00821556">
              <w:rPr>
                <w:rFonts w:ascii="Arial" w:hAnsi="Arial"/>
                <w:b/>
                <w:color w:val="000000"/>
                <w:sz w:val="16"/>
                <w:lang w:eastAsia="en-US"/>
              </w:rPr>
              <w:t>Birth</w:t>
            </w:r>
            <w:r>
              <w:rPr>
                <w:rFonts w:ascii="Arial" w:hAnsi="Arial"/>
                <w:b/>
                <w:color w:val="000000"/>
                <w:sz w:val="16"/>
                <w:lang w:eastAsia="en-US"/>
              </w:rPr>
              <w:t xml:space="preserve"> </w:t>
            </w:r>
            <w:r w:rsidRPr="00821556">
              <w:rPr>
                <w:rFonts w:ascii="Arial" w:hAnsi="Arial"/>
                <w:b/>
                <w:color w:val="000000"/>
                <w:sz w:val="16"/>
                <w:lang w:eastAsia="en-US"/>
              </w:rPr>
              <w:t xml:space="preserve">weight </w:t>
            </w:r>
            <w:r w:rsidRPr="002510D0">
              <w:rPr>
                <w:rFonts w:ascii="Arial" w:hAnsi="Arial"/>
                <w:b/>
                <w:color w:val="000000"/>
                <w:sz w:val="16"/>
                <w:lang w:eastAsia="en-US"/>
              </w:rPr>
              <w:t>(g)</w:t>
            </w:r>
          </w:p>
        </w:tc>
        <w:tc>
          <w:tcPr>
            <w:tcW w:w="957" w:type="pct"/>
            <w:tcBorders>
              <w:top w:val="single" w:sz="4" w:space="0" w:color="auto"/>
              <w:bottom w:val="single" w:sz="4" w:space="0" w:color="auto"/>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Indigenous mothers</w:t>
            </w:r>
            <w:r>
              <w:rPr>
                <w:rFonts w:ascii="Arial" w:hAnsi="Arial"/>
                <w:b/>
                <w:color w:val="000000"/>
                <w:sz w:val="16"/>
                <w:lang w:eastAsia="en-US"/>
              </w:rPr>
              <w:br/>
              <w:t>Number</w:t>
            </w:r>
          </w:p>
        </w:tc>
        <w:tc>
          <w:tcPr>
            <w:tcW w:w="956" w:type="pct"/>
            <w:tcBorders>
              <w:top w:val="single" w:sz="4" w:space="0" w:color="auto"/>
              <w:bottom w:val="single" w:sz="4" w:space="0" w:color="auto"/>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Indigenous mothers</w:t>
            </w:r>
            <w:r>
              <w:rPr>
                <w:rFonts w:ascii="Arial" w:hAnsi="Arial"/>
                <w:b/>
                <w:color w:val="000000"/>
                <w:sz w:val="16"/>
                <w:lang w:eastAsia="en-US"/>
              </w:rPr>
              <w:br/>
            </w:r>
            <w:r w:rsidRPr="00821556">
              <w:rPr>
                <w:rFonts w:ascii="Arial" w:hAnsi="Arial"/>
                <w:b/>
                <w:color w:val="000000"/>
                <w:sz w:val="16"/>
                <w:lang w:eastAsia="en-US"/>
              </w:rPr>
              <w:t>Per cent</w:t>
            </w:r>
          </w:p>
        </w:tc>
        <w:tc>
          <w:tcPr>
            <w:tcW w:w="956" w:type="pct"/>
            <w:tcBorders>
              <w:top w:val="single" w:sz="4" w:space="0" w:color="auto"/>
              <w:bottom w:val="single" w:sz="4" w:space="0" w:color="auto"/>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All mothers</w:t>
            </w:r>
            <w:r>
              <w:rPr>
                <w:rFonts w:ascii="Arial" w:hAnsi="Arial"/>
                <w:b/>
                <w:color w:val="000000"/>
                <w:sz w:val="16"/>
                <w:lang w:eastAsia="en-US"/>
              </w:rPr>
              <w:br/>
              <w:t>Number</w:t>
            </w:r>
          </w:p>
        </w:tc>
        <w:tc>
          <w:tcPr>
            <w:tcW w:w="955" w:type="pct"/>
            <w:tcBorders>
              <w:top w:val="single" w:sz="4" w:space="0" w:color="auto"/>
              <w:bottom w:val="single" w:sz="4" w:space="0" w:color="auto"/>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All mothers</w:t>
            </w:r>
            <w:r>
              <w:rPr>
                <w:rFonts w:ascii="Arial" w:hAnsi="Arial"/>
                <w:b/>
                <w:color w:val="000000"/>
                <w:sz w:val="16"/>
                <w:lang w:eastAsia="en-US"/>
              </w:rPr>
              <w:br/>
              <w:t>Per cent</w:t>
            </w:r>
          </w:p>
        </w:tc>
      </w:tr>
      <w:tr w:rsidR="006D3FA7" w:rsidRPr="00821556" w:rsidTr="006D3FA7">
        <w:tc>
          <w:tcPr>
            <w:tcW w:w="1177" w:type="pct"/>
            <w:tcBorders>
              <w:top w:val="single" w:sz="4" w:space="0" w:color="auto"/>
            </w:tcBorders>
            <w:shd w:val="clear" w:color="auto" w:fill="auto"/>
          </w:tcPr>
          <w:p w:rsidR="006D3FA7" w:rsidRPr="00821556" w:rsidRDefault="006D3FA7" w:rsidP="00135409">
            <w:pPr>
              <w:keepLines/>
              <w:tabs>
                <w:tab w:val="left" w:pos="198"/>
              </w:tabs>
              <w:spacing w:before="60" w:after="60" w:line="200" w:lineRule="atLeast"/>
              <w:rPr>
                <w:rFonts w:ascii="Arial" w:hAnsi="Arial"/>
                <w:color w:val="000000"/>
                <w:sz w:val="16"/>
                <w:lang w:eastAsia="en-US"/>
              </w:rPr>
            </w:pPr>
            <w:r w:rsidRPr="00821556">
              <w:rPr>
                <w:rFonts w:ascii="Arial" w:hAnsi="Arial"/>
                <w:color w:val="000000"/>
                <w:sz w:val="16"/>
                <w:lang w:eastAsia="en-US"/>
              </w:rPr>
              <w:t>Less than 2500</w:t>
            </w:r>
          </w:p>
        </w:tc>
        <w:tc>
          <w:tcPr>
            <w:tcW w:w="957" w:type="pct"/>
            <w:tcBorders>
              <w:top w:val="single" w:sz="4" w:space="0" w:color="auto"/>
            </w:tcBorders>
            <w:shd w:val="clear" w:color="auto" w:fill="auto"/>
          </w:tcPr>
          <w:p w:rsidR="006D3FA7" w:rsidRPr="00821556" w:rsidRDefault="006D3FA7" w:rsidP="00E62112">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1385</w:t>
            </w:r>
          </w:p>
        </w:tc>
        <w:tc>
          <w:tcPr>
            <w:tcW w:w="956" w:type="pct"/>
            <w:tcBorders>
              <w:top w:val="single" w:sz="4" w:space="0" w:color="auto"/>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12.0</w:t>
            </w:r>
          </w:p>
        </w:tc>
        <w:tc>
          <w:tcPr>
            <w:tcW w:w="956" w:type="pct"/>
            <w:tcBorders>
              <w:top w:val="single" w:sz="4" w:space="0" w:color="auto"/>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18</w:t>
            </w:r>
            <w:r>
              <w:rPr>
                <w:rFonts w:ascii="Arial" w:hAnsi="Arial" w:cs="Arial"/>
                <w:color w:val="000000"/>
                <w:sz w:val="16"/>
                <w:lang w:eastAsia="en-US"/>
              </w:rPr>
              <w:t> </w:t>
            </w:r>
            <w:r>
              <w:rPr>
                <w:rFonts w:ascii="Arial" w:hAnsi="Arial"/>
                <w:color w:val="000000"/>
                <w:sz w:val="16"/>
                <w:lang w:eastAsia="en-US"/>
              </w:rPr>
              <w:t>522</w:t>
            </w:r>
          </w:p>
        </w:tc>
        <w:tc>
          <w:tcPr>
            <w:tcW w:w="955" w:type="pct"/>
            <w:tcBorders>
              <w:top w:val="single" w:sz="4" w:space="0" w:color="auto"/>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6.2</w:t>
            </w:r>
          </w:p>
        </w:tc>
      </w:tr>
      <w:tr w:rsidR="006D3FA7" w:rsidRPr="00821556" w:rsidTr="006D3FA7">
        <w:tc>
          <w:tcPr>
            <w:tcW w:w="1177" w:type="pct"/>
            <w:shd w:val="clear" w:color="auto" w:fill="auto"/>
          </w:tcPr>
          <w:p w:rsidR="006D3FA7" w:rsidRPr="00821556" w:rsidRDefault="006D3FA7" w:rsidP="00135409">
            <w:pPr>
              <w:keepLines/>
              <w:tabs>
                <w:tab w:val="left" w:pos="198"/>
              </w:tabs>
              <w:spacing w:before="60" w:after="60" w:line="200" w:lineRule="atLeast"/>
              <w:ind w:left="284"/>
              <w:rPr>
                <w:rFonts w:ascii="Arial" w:hAnsi="Arial"/>
                <w:i/>
                <w:color w:val="000000"/>
                <w:sz w:val="16"/>
                <w:lang w:eastAsia="en-US"/>
              </w:rPr>
            </w:pPr>
            <w:r w:rsidRPr="00821556">
              <w:rPr>
                <w:rFonts w:ascii="Arial" w:hAnsi="Arial"/>
                <w:i/>
                <w:color w:val="000000"/>
                <w:sz w:val="16"/>
                <w:lang w:eastAsia="en-US"/>
              </w:rPr>
              <w:t>Less than 1500</w:t>
            </w:r>
          </w:p>
        </w:tc>
        <w:tc>
          <w:tcPr>
            <w:tcW w:w="957" w:type="pct"/>
            <w:shd w:val="clear" w:color="auto" w:fill="auto"/>
          </w:tcPr>
          <w:p w:rsidR="006D3FA7" w:rsidRPr="00821556" w:rsidRDefault="006D3FA7" w:rsidP="00135409">
            <w:pPr>
              <w:keepLines/>
              <w:tabs>
                <w:tab w:val="left" w:pos="198"/>
              </w:tabs>
              <w:spacing w:before="60" w:after="60" w:line="200" w:lineRule="atLeast"/>
              <w:jc w:val="right"/>
              <w:rPr>
                <w:rFonts w:ascii="Arial" w:hAnsi="Arial"/>
                <w:i/>
                <w:color w:val="000000"/>
                <w:sz w:val="16"/>
                <w:lang w:eastAsia="en-US"/>
              </w:rPr>
            </w:pPr>
            <w:r>
              <w:rPr>
                <w:rFonts w:ascii="Arial" w:hAnsi="Arial"/>
                <w:i/>
                <w:color w:val="000000"/>
                <w:sz w:val="16"/>
                <w:lang w:eastAsia="en-US"/>
              </w:rPr>
              <w:t>265</w:t>
            </w:r>
          </w:p>
        </w:tc>
        <w:tc>
          <w:tcPr>
            <w:tcW w:w="956" w:type="pct"/>
            <w:shd w:val="clear" w:color="auto" w:fill="auto"/>
          </w:tcPr>
          <w:p w:rsidR="006D3FA7" w:rsidRPr="00821556" w:rsidRDefault="006D3FA7" w:rsidP="00135409">
            <w:pPr>
              <w:keepLines/>
              <w:tabs>
                <w:tab w:val="left" w:pos="198"/>
              </w:tabs>
              <w:spacing w:before="60" w:after="60" w:line="200" w:lineRule="atLeast"/>
              <w:jc w:val="right"/>
              <w:rPr>
                <w:rFonts w:ascii="Arial" w:hAnsi="Arial"/>
                <w:i/>
                <w:color w:val="000000"/>
                <w:sz w:val="16"/>
                <w:lang w:eastAsia="en-US"/>
              </w:rPr>
            </w:pPr>
            <w:r>
              <w:rPr>
                <w:rFonts w:ascii="Arial" w:hAnsi="Arial"/>
                <w:i/>
                <w:color w:val="000000"/>
                <w:sz w:val="16"/>
                <w:lang w:eastAsia="en-US"/>
              </w:rPr>
              <w:t>2.3</w:t>
            </w:r>
          </w:p>
        </w:tc>
        <w:tc>
          <w:tcPr>
            <w:tcW w:w="956" w:type="pct"/>
            <w:shd w:val="clear" w:color="auto" w:fill="auto"/>
          </w:tcPr>
          <w:p w:rsidR="006D3FA7" w:rsidRPr="00821556" w:rsidRDefault="006D3FA7" w:rsidP="00E62112">
            <w:pPr>
              <w:keepLines/>
              <w:tabs>
                <w:tab w:val="left" w:pos="198"/>
              </w:tabs>
              <w:spacing w:before="60" w:after="60" w:line="200" w:lineRule="atLeast"/>
              <w:jc w:val="right"/>
              <w:rPr>
                <w:rFonts w:ascii="Arial" w:hAnsi="Arial"/>
                <w:i/>
                <w:color w:val="000000"/>
                <w:sz w:val="16"/>
                <w:lang w:eastAsia="en-US"/>
              </w:rPr>
            </w:pPr>
            <w:r>
              <w:rPr>
                <w:rFonts w:ascii="Arial" w:hAnsi="Arial"/>
                <w:i/>
                <w:color w:val="000000"/>
                <w:sz w:val="16"/>
                <w:lang w:eastAsia="en-US"/>
              </w:rPr>
              <w:t>3120</w:t>
            </w:r>
          </w:p>
        </w:tc>
        <w:tc>
          <w:tcPr>
            <w:tcW w:w="955" w:type="pct"/>
            <w:shd w:val="clear" w:color="auto" w:fill="auto"/>
          </w:tcPr>
          <w:p w:rsidR="006D3FA7" w:rsidRPr="00821556" w:rsidRDefault="006D3FA7" w:rsidP="00135409">
            <w:pPr>
              <w:keepLines/>
              <w:tabs>
                <w:tab w:val="left" w:pos="198"/>
              </w:tabs>
              <w:spacing w:before="60" w:after="60" w:line="200" w:lineRule="atLeast"/>
              <w:jc w:val="right"/>
              <w:rPr>
                <w:rFonts w:ascii="Arial" w:hAnsi="Arial"/>
                <w:i/>
                <w:color w:val="000000"/>
                <w:sz w:val="16"/>
                <w:lang w:eastAsia="en-US"/>
              </w:rPr>
            </w:pPr>
            <w:r>
              <w:rPr>
                <w:rFonts w:ascii="Arial" w:hAnsi="Arial"/>
                <w:i/>
                <w:color w:val="000000"/>
                <w:sz w:val="16"/>
                <w:lang w:eastAsia="en-US"/>
              </w:rPr>
              <w:t>1</w:t>
            </w:r>
            <w:r w:rsidRPr="00821556">
              <w:rPr>
                <w:rFonts w:ascii="Arial" w:hAnsi="Arial"/>
                <w:i/>
                <w:color w:val="000000"/>
                <w:sz w:val="16"/>
                <w:lang w:eastAsia="en-US"/>
              </w:rPr>
              <w:t>.</w:t>
            </w:r>
            <w:r>
              <w:rPr>
                <w:rFonts w:ascii="Arial" w:hAnsi="Arial"/>
                <w:i/>
                <w:color w:val="000000"/>
                <w:sz w:val="16"/>
                <w:lang w:eastAsia="en-US"/>
              </w:rPr>
              <w:t>0</w:t>
            </w:r>
          </w:p>
        </w:tc>
      </w:tr>
      <w:tr w:rsidR="006D3FA7" w:rsidRPr="00821556" w:rsidTr="006D3FA7">
        <w:tc>
          <w:tcPr>
            <w:tcW w:w="1177" w:type="pct"/>
            <w:shd w:val="clear" w:color="auto" w:fill="auto"/>
          </w:tcPr>
          <w:p w:rsidR="006D3FA7" w:rsidRPr="00821556" w:rsidRDefault="006D3FA7" w:rsidP="00135409">
            <w:pPr>
              <w:keepLines/>
              <w:tabs>
                <w:tab w:val="left" w:pos="198"/>
              </w:tabs>
              <w:spacing w:before="60" w:after="60" w:line="200" w:lineRule="atLeast"/>
              <w:ind w:left="284"/>
              <w:rPr>
                <w:rFonts w:ascii="Arial" w:hAnsi="Arial"/>
                <w:i/>
                <w:color w:val="000000"/>
                <w:sz w:val="16"/>
                <w:lang w:eastAsia="en-US"/>
              </w:rPr>
            </w:pPr>
            <w:r w:rsidRPr="00821556">
              <w:rPr>
                <w:rFonts w:ascii="Arial" w:hAnsi="Arial"/>
                <w:i/>
                <w:color w:val="000000"/>
                <w:sz w:val="16"/>
                <w:lang w:eastAsia="en-US"/>
              </w:rPr>
              <w:t>1500–2499</w:t>
            </w:r>
          </w:p>
        </w:tc>
        <w:tc>
          <w:tcPr>
            <w:tcW w:w="957" w:type="pct"/>
            <w:shd w:val="clear" w:color="auto" w:fill="auto"/>
          </w:tcPr>
          <w:p w:rsidR="006D3FA7" w:rsidRPr="00821556" w:rsidRDefault="006D3FA7" w:rsidP="00E62112">
            <w:pPr>
              <w:keepLines/>
              <w:tabs>
                <w:tab w:val="left" w:pos="198"/>
              </w:tabs>
              <w:spacing w:before="60" w:after="60" w:line="200" w:lineRule="atLeast"/>
              <w:jc w:val="right"/>
              <w:rPr>
                <w:rFonts w:ascii="Arial" w:hAnsi="Arial"/>
                <w:i/>
                <w:color w:val="000000"/>
                <w:sz w:val="16"/>
                <w:lang w:eastAsia="en-US"/>
              </w:rPr>
            </w:pPr>
            <w:r>
              <w:rPr>
                <w:rFonts w:ascii="Arial" w:hAnsi="Arial"/>
                <w:i/>
                <w:color w:val="000000"/>
                <w:sz w:val="16"/>
                <w:lang w:eastAsia="en-US"/>
              </w:rPr>
              <w:t>1120</w:t>
            </w:r>
          </w:p>
        </w:tc>
        <w:tc>
          <w:tcPr>
            <w:tcW w:w="956" w:type="pct"/>
            <w:shd w:val="clear" w:color="auto" w:fill="auto"/>
          </w:tcPr>
          <w:p w:rsidR="006D3FA7" w:rsidRPr="00821556" w:rsidRDefault="006D3FA7" w:rsidP="00135409">
            <w:pPr>
              <w:keepLines/>
              <w:tabs>
                <w:tab w:val="left" w:pos="198"/>
              </w:tabs>
              <w:spacing w:before="60" w:after="60" w:line="200" w:lineRule="atLeast"/>
              <w:jc w:val="right"/>
              <w:rPr>
                <w:rFonts w:ascii="Arial" w:hAnsi="Arial"/>
                <w:i/>
                <w:color w:val="000000"/>
                <w:sz w:val="16"/>
                <w:lang w:eastAsia="en-US"/>
              </w:rPr>
            </w:pPr>
            <w:r>
              <w:rPr>
                <w:rFonts w:ascii="Arial" w:hAnsi="Arial"/>
                <w:i/>
                <w:color w:val="000000"/>
                <w:sz w:val="16"/>
                <w:lang w:eastAsia="en-US"/>
              </w:rPr>
              <w:t>9.7</w:t>
            </w:r>
          </w:p>
        </w:tc>
        <w:tc>
          <w:tcPr>
            <w:tcW w:w="956" w:type="pct"/>
            <w:shd w:val="clear" w:color="auto" w:fill="auto"/>
          </w:tcPr>
          <w:p w:rsidR="006D3FA7" w:rsidRPr="00821556" w:rsidRDefault="006D3FA7" w:rsidP="00915118">
            <w:pPr>
              <w:keepLines/>
              <w:tabs>
                <w:tab w:val="left" w:pos="198"/>
              </w:tabs>
              <w:spacing w:before="60" w:after="60" w:line="200" w:lineRule="atLeast"/>
              <w:jc w:val="right"/>
              <w:rPr>
                <w:rFonts w:ascii="Arial" w:hAnsi="Arial"/>
                <w:i/>
                <w:color w:val="000000"/>
                <w:sz w:val="16"/>
                <w:lang w:eastAsia="en-US"/>
              </w:rPr>
            </w:pPr>
            <w:r>
              <w:rPr>
                <w:rFonts w:ascii="Arial" w:hAnsi="Arial"/>
                <w:i/>
                <w:color w:val="000000"/>
                <w:sz w:val="16"/>
                <w:lang w:eastAsia="en-US"/>
              </w:rPr>
              <w:t>15</w:t>
            </w:r>
            <w:r>
              <w:rPr>
                <w:rFonts w:ascii="Arial" w:hAnsi="Arial" w:cs="Arial"/>
                <w:i/>
                <w:color w:val="000000"/>
                <w:sz w:val="16"/>
                <w:lang w:eastAsia="en-US"/>
              </w:rPr>
              <w:t> </w:t>
            </w:r>
            <w:r>
              <w:rPr>
                <w:rFonts w:ascii="Arial" w:hAnsi="Arial"/>
                <w:i/>
                <w:color w:val="000000"/>
                <w:sz w:val="16"/>
                <w:lang w:eastAsia="en-US"/>
              </w:rPr>
              <w:t>402</w:t>
            </w:r>
          </w:p>
        </w:tc>
        <w:tc>
          <w:tcPr>
            <w:tcW w:w="955" w:type="pct"/>
            <w:shd w:val="clear" w:color="auto" w:fill="auto"/>
          </w:tcPr>
          <w:p w:rsidR="006D3FA7" w:rsidRPr="00821556" w:rsidRDefault="006D3FA7" w:rsidP="00135409">
            <w:pPr>
              <w:keepLines/>
              <w:tabs>
                <w:tab w:val="left" w:pos="198"/>
              </w:tabs>
              <w:spacing w:before="60" w:after="60" w:line="200" w:lineRule="atLeast"/>
              <w:jc w:val="right"/>
              <w:rPr>
                <w:rFonts w:ascii="Arial" w:hAnsi="Arial"/>
                <w:i/>
                <w:color w:val="000000"/>
                <w:sz w:val="16"/>
                <w:lang w:eastAsia="en-US"/>
              </w:rPr>
            </w:pPr>
            <w:r>
              <w:rPr>
                <w:rFonts w:ascii="Arial" w:hAnsi="Arial"/>
                <w:i/>
                <w:color w:val="000000"/>
                <w:sz w:val="16"/>
                <w:lang w:eastAsia="en-US"/>
              </w:rPr>
              <w:t>5</w:t>
            </w:r>
            <w:r w:rsidRPr="00821556">
              <w:rPr>
                <w:rFonts w:ascii="Arial" w:hAnsi="Arial"/>
                <w:i/>
                <w:color w:val="000000"/>
                <w:sz w:val="16"/>
                <w:lang w:eastAsia="en-US"/>
              </w:rPr>
              <w:t>.</w:t>
            </w:r>
            <w:r>
              <w:rPr>
                <w:rFonts w:ascii="Arial" w:hAnsi="Arial"/>
                <w:i/>
                <w:color w:val="000000"/>
                <w:sz w:val="16"/>
                <w:lang w:eastAsia="en-US"/>
              </w:rPr>
              <w:t>2</w:t>
            </w:r>
          </w:p>
        </w:tc>
      </w:tr>
      <w:tr w:rsidR="006D3FA7" w:rsidRPr="00821556" w:rsidTr="006D3FA7">
        <w:tc>
          <w:tcPr>
            <w:tcW w:w="1177" w:type="pct"/>
            <w:shd w:val="clear" w:color="auto" w:fill="auto"/>
          </w:tcPr>
          <w:p w:rsidR="006D3FA7" w:rsidRPr="00821556" w:rsidRDefault="006D3FA7" w:rsidP="00135409">
            <w:pPr>
              <w:keepLines/>
              <w:tabs>
                <w:tab w:val="left" w:pos="198"/>
              </w:tabs>
              <w:spacing w:before="60" w:after="60" w:line="200" w:lineRule="atLeast"/>
              <w:rPr>
                <w:rFonts w:ascii="Arial" w:hAnsi="Arial"/>
                <w:color w:val="000000"/>
                <w:sz w:val="16"/>
                <w:lang w:eastAsia="en-US"/>
              </w:rPr>
            </w:pPr>
            <w:r w:rsidRPr="00821556">
              <w:rPr>
                <w:rFonts w:ascii="Arial" w:hAnsi="Arial"/>
                <w:color w:val="000000"/>
                <w:sz w:val="16"/>
                <w:lang w:eastAsia="en-US"/>
              </w:rPr>
              <w:t>2500 and over</w:t>
            </w:r>
          </w:p>
        </w:tc>
        <w:tc>
          <w:tcPr>
            <w:tcW w:w="957" w:type="pct"/>
            <w:shd w:val="clear" w:color="auto" w:fill="auto"/>
          </w:tcPr>
          <w:p w:rsidR="006D3FA7" w:rsidRPr="00821556" w:rsidRDefault="006D3FA7"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10</w:t>
            </w:r>
            <w:r>
              <w:rPr>
                <w:rFonts w:ascii="Arial" w:hAnsi="Arial" w:cs="Arial"/>
                <w:color w:val="000000"/>
                <w:sz w:val="16"/>
                <w:lang w:eastAsia="en-US"/>
              </w:rPr>
              <w:t> </w:t>
            </w:r>
            <w:r>
              <w:rPr>
                <w:rFonts w:ascii="Arial" w:hAnsi="Arial"/>
                <w:color w:val="000000"/>
                <w:sz w:val="16"/>
                <w:lang w:eastAsia="en-US"/>
              </w:rPr>
              <w:t>126</w:t>
            </w:r>
          </w:p>
        </w:tc>
        <w:tc>
          <w:tcPr>
            <w:tcW w:w="956" w:type="pct"/>
            <w:shd w:val="clear" w:color="auto" w:fill="auto"/>
          </w:tcPr>
          <w:p w:rsidR="006D3FA7" w:rsidRPr="00821556" w:rsidRDefault="006D3FA7"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88.0</w:t>
            </w:r>
          </w:p>
        </w:tc>
        <w:tc>
          <w:tcPr>
            <w:tcW w:w="956" w:type="pct"/>
            <w:shd w:val="clear" w:color="auto" w:fill="auto"/>
          </w:tcPr>
          <w:p w:rsidR="006D3FA7" w:rsidRPr="00821556" w:rsidRDefault="006D3FA7"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278</w:t>
            </w:r>
            <w:r>
              <w:rPr>
                <w:rFonts w:ascii="Arial" w:hAnsi="Arial" w:cs="Arial"/>
                <w:color w:val="000000"/>
                <w:sz w:val="16"/>
                <w:lang w:eastAsia="en-US"/>
              </w:rPr>
              <w:t> </w:t>
            </w:r>
            <w:r>
              <w:rPr>
                <w:rFonts w:ascii="Arial" w:hAnsi="Arial"/>
                <w:color w:val="000000"/>
                <w:sz w:val="16"/>
                <w:lang w:eastAsia="en-US"/>
              </w:rPr>
              <w:t>835</w:t>
            </w:r>
          </w:p>
        </w:tc>
        <w:tc>
          <w:tcPr>
            <w:tcW w:w="955" w:type="pct"/>
            <w:shd w:val="clear" w:color="auto" w:fill="auto"/>
          </w:tcPr>
          <w:p w:rsidR="006D3FA7" w:rsidRPr="00821556" w:rsidRDefault="006D3FA7"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93.8</w:t>
            </w:r>
          </w:p>
        </w:tc>
      </w:tr>
      <w:tr w:rsidR="006D3FA7" w:rsidRPr="00821556" w:rsidTr="006D3FA7">
        <w:tc>
          <w:tcPr>
            <w:tcW w:w="1177" w:type="pct"/>
            <w:tcBorders>
              <w:bottom w:val="single" w:sz="4" w:space="0" w:color="auto"/>
            </w:tcBorders>
            <w:shd w:val="clear" w:color="auto" w:fill="auto"/>
          </w:tcPr>
          <w:p w:rsidR="006D3FA7" w:rsidRPr="00821556" w:rsidRDefault="006D3FA7" w:rsidP="00135409">
            <w:pPr>
              <w:keepLines/>
              <w:tabs>
                <w:tab w:val="left" w:pos="198"/>
              </w:tabs>
              <w:spacing w:before="60" w:after="60" w:line="200" w:lineRule="atLeast"/>
              <w:rPr>
                <w:rFonts w:ascii="Arial" w:hAnsi="Arial"/>
                <w:b/>
                <w:color w:val="000000"/>
                <w:sz w:val="16"/>
                <w:lang w:eastAsia="en-US"/>
              </w:rPr>
            </w:pPr>
            <w:r w:rsidRPr="00821556">
              <w:rPr>
                <w:rFonts w:ascii="Arial" w:hAnsi="Arial"/>
                <w:b/>
                <w:color w:val="000000"/>
                <w:sz w:val="16"/>
                <w:lang w:eastAsia="en-US"/>
              </w:rPr>
              <w:t xml:space="preserve">Total </w:t>
            </w:r>
          </w:p>
        </w:tc>
        <w:tc>
          <w:tcPr>
            <w:tcW w:w="957" w:type="pct"/>
            <w:tcBorders>
              <w:bottom w:val="single" w:sz="4" w:space="0" w:color="auto"/>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11</w:t>
            </w:r>
            <w:r>
              <w:rPr>
                <w:rFonts w:ascii="Arial" w:hAnsi="Arial" w:cs="Arial"/>
                <w:b/>
                <w:color w:val="000000"/>
                <w:sz w:val="16"/>
                <w:lang w:eastAsia="en-US"/>
              </w:rPr>
              <w:t> </w:t>
            </w:r>
            <w:r>
              <w:rPr>
                <w:rFonts w:ascii="Arial" w:hAnsi="Arial"/>
                <w:b/>
                <w:color w:val="000000"/>
                <w:sz w:val="16"/>
                <w:lang w:eastAsia="en-US"/>
              </w:rPr>
              <w:t>511</w:t>
            </w:r>
          </w:p>
        </w:tc>
        <w:tc>
          <w:tcPr>
            <w:tcW w:w="956" w:type="pct"/>
            <w:tcBorders>
              <w:bottom w:val="single" w:sz="4" w:space="0" w:color="auto"/>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b/>
                <w:color w:val="000000"/>
                <w:sz w:val="16"/>
                <w:lang w:eastAsia="en-US"/>
              </w:rPr>
            </w:pPr>
            <w:r w:rsidRPr="00821556">
              <w:rPr>
                <w:rFonts w:ascii="Arial" w:hAnsi="Arial"/>
                <w:b/>
                <w:color w:val="000000"/>
                <w:sz w:val="16"/>
                <w:lang w:eastAsia="en-US"/>
              </w:rPr>
              <w:t>100.0</w:t>
            </w:r>
          </w:p>
        </w:tc>
        <w:tc>
          <w:tcPr>
            <w:tcW w:w="956" w:type="pct"/>
            <w:tcBorders>
              <w:bottom w:val="single" w:sz="4" w:space="0" w:color="auto"/>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297</w:t>
            </w:r>
            <w:r>
              <w:rPr>
                <w:rFonts w:ascii="Arial" w:hAnsi="Arial" w:cs="Arial"/>
                <w:b/>
                <w:color w:val="000000"/>
                <w:sz w:val="16"/>
                <w:lang w:eastAsia="en-US"/>
              </w:rPr>
              <w:t> 357</w:t>
            </w:r>
          </w:p>
        </w:tc>
        <w:tc>
          <w:tcPr>
            <w:tcW w:w="955" w:type="pct"/>
            <w:tcBorders>
              <w:bottom w:val="single" w:sz="4" w:space="0" w:color="auto"/>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b/>
                <w:color w:val="000000"/>
                <w:sz w:val="16"/>
                <w:lang w:eastAsia="en-US"/>
              </w:rPr>
            </w:pPr>
            <w:r w:rsidRPr="00821556">
              <w:rPr>
                <w:rFonts w:ascii="Arial" w:hAnsi="Arial"/>
                <w:b/>
                <w:color w:val="000000"/>
                <w:sz w:val="16"/>
                <w:lang w:eastAsia="en-US"/>
              </w:rPr>
              <w:t>100.0</w:t>
            </w:r>
          </w:p>
        </w:tc>
      </w:tr>
    </w:tbl>
    <w:p w:rsidR="00EC1136" w:rsidRPr="006E4356" w:rsidRDefault="00EC1136" w:rsidP="00A6091A">
      <w:pPr>
        <w:pStyle w:val="StyleArial7ptBefore6pt"/>
      </w:pPr>
      <w:r w:rsidRPr="006E4356">
        <w:t>Notes</w:t>
      </w:r>
    </w:p>
    <w:p w:rsidR="00EC1136" w:rsidRPr="006E4356" w:rsidRDefault="00EC1136" w:rsidP="00A6091A">
      <w:pPr>
        <w:pStyle w:val="StyleArial7ptBefore6pt"/>
      </w:pPr>
      <w:r w:rsidRPr="006E4356">
        <w:t xml:space="preserve">1. </w:t>
      </w:r>
      <w:r w:rsidRPr="006E4356">
        <w:tab/>
        <w:t>‘2500 and over’ includes birth weight not stated (which accounted for less than 0.1% of all live births).</w:t>
      </w:r>
    </w:p>
    <w:p w:rsidR="00EC1136" w:rsidRPr="006E4356" w:rsidRDefault="00EC1136" w:rsidP="00A6091A">
      <w:pPr>
        <w:pStyle w:val="StyleArial7ptBefore6pt"/>
      </w:pPr>
      <w:r w:rsidRPr="006E4356">
        <w:t>2.</w:t>
      </w:r>
      <w:r w:rsidRPr="006E4356">
        <w:tab/>
        <w:t>Percentages in tables may not add to 100 due to rounding.</w:t>
      </w:r>
    </w:p>
    <w:p w:rsidR="00EC1136" w:rsidRPr="006E4356" w:rsidRDefault="00EC1136" w:rsidP="00A6091A">
      <w:pPr>
        <w:pStyle w:val="StyleArial7ptBefore6pt"/>
      </w:pPr>
      <w:r w:rsidRPr="006E4356">
        <w:t>Source: AIHW National Perinatal Data Collection, data sourced from Li et al. 2012.</w:t>
      </w:r>
    </w:p>
    <w:p w:rsidR="00F0794D" w:rsidRPr="00084FFD" w:rsidRDefault="00EC1136" w:rsidP="00084FFD">
      <w:pPr>
        <w:pStyle w:val="Heading3"/>
      </w:pPr>
      <w:bookmarkStart w:id="77" w:name="_Toc400007694"/>
      <w:r w:rsidRPr="00084FFD">
        <w:t>Child homicide</w:t>
      </w:r>
      <w:bookmarkEnd w:id="77"/>
    </w:p>
    <w:p w:rsidR="00EC1136" w:rsidRPr="006E4356" w:rsidRDefault="00EC1136" w:rsidP="004B3342">
      <w:pPr>
        <w:pStyle w:val="Heading4a"/>
      </w:pPr>
      <w:r w:rsidRPr="006E4356">
        <w:t>Indicator 0.5: Assault (homicide) death rate for children aged 0–17 years</w:t>
      </w:r>
    </w:p>
    <w:p w:rsidR="00EC1136" w:rsidRDefault="00EC1136" w:rsidP="00EC1136">
      <w:pPr>
        <w:rPr>
          <w:rFonts w:ascii="Calibri" w:hAnsi="Calibri" w:cs="Calibri"/>
          <w:sz w:val="24"/>
          <w:szCs w:val="24"/>
          <w:lang w:eastAsia="en-AU"/>
        </w:rPr>
      </w:pPr>
    </w:p>
    <w:p w:rsidR="00EC1136" w:rsidRDefault="00EC1136" w:rsidP="00EC1136">
      <w:pPr>
        <w:rPr>
          <w:rFonts w:ascii="Calibri" w:hAnsi="Calibri" w:cs="Calibri"/>
          <w:sz w:val="24"/>
          <w:szCs w:val="24"/>
          <w:lang w:eastAsia="en-AU"/>
        </w:rPr>
      </w:pPr>
      <w:r w:rsidRPr="00410AAB">
        <w:rPr>
          <w:rFonts w:ascii="Calibri" w:hAnsi="Calibri" w:cs="Calibri"/>
          <w:sz w:val="24"/>
          <w:szCs w:val="24"/>
          <w:lang w:eastAsia="en-AU"/>
        </w:rPr>
        <w:t xml:space="preserve">Although deaths from assault are relatively rare among children, fatal outcomes from intentionally inflicted injuries or homicide provide an indication of the nature and extent of extreme interpersonal violence </w:t>
      </w:r>
      <w:r w:rsidR="002510D0">
        <w:rPr>
          <w:rFonts w:ascii="Calibri" w:hAnsi="Calibri" w:cs="Calibri"/>
          <w:sz w:val="24"/>
          <w:szCs w:val="24"/>
          <w:lang w:eastAsia="en-AU"/>
        </w:rPr>
        <w:t>towards</w:t>
      </w:r>
      <w:r w:rsidR="002510D0" w:rsidRPr="00410AAB">
        <w:rPr>
          <w:rFonts w:ascii="Calibri" w:hAnsi="Calibri" w:cs="Calibri"/>
          <w:sz w:val="24"/>
          <w:szCs w:val="24"/>
          <w:lang w:eastAsia="en-AU"/>
        </w:rPr>
        <w:t xml:space="preserve"> </w:t>
      </w:r>
      <w:r w:rsidRPr="00410AAB">
        <w:rPr>
          <w:rFonts w:ascii="Calibri" w:hAnsi="Calibri" w:cs="Calibri"/>
          <w:sz w:val="24"/>
          <w:szCs w:val="24"/>
          <w:lang w:eastAsia="en-AU"/>
        </w:rPr>
        <w:t>this age group. Interpersonal violence, including domestic violence and child abuse, is often associated with parental drug and alcohol misuse and mental health problems (</w:t>
      </w:r>
      <w:r w:rsidRPr="00134903">
        <w:rPr>
          <w:rFonts w:ascii="Calibri" w:hAnsi="Calibri" w:cs="Calibri"/>
          <w:sz w:val="24"/>
          <w:szCs w:val="24"/>
          <w:lang w:eastAsia="en-AU"/>
        </w:rPr>
        <w:t>AIHW 2008</w:t>
      </w:r>
      <w:r w:rsidRPr="00410AAB">
        <w:rPr>
          <w:rFonts w:ascii="Calibri" w:hAnsi="Calibri" w:cs="Calibri"/>
          <w:sz w:val="24"/>
          <w:szCs w:val="24"/>
          <w:lang w:eastAsia="en-AU"/>
        </w:rPr>
        <w:t>).</w:t>
      </w:r>
      <w:r>
        <w:rPr>
          <w:rFonts w:ascii="Calibri" w:hAnsi="Calibri" w:cs="Calibri"/>
          <w:sz w:val="24"/>
          <w:szCs w:val="24"/>
          <w:lang w:eastAsia="en-AU"/>
        </w:rPr>
        <w:t xml:space="preserve"> </w:t>
      </w:r>
    </w:p>
    <w:p w:rsidR="00EC1136" w:rsidRDefault="00EC1136" w:rsidP="00EC1136">
      <w:pPr>
        <w:rPr>
          <w:rFonts w:ascii="Calibri" w:hAnsi="Calibri" w:cs="Calibri"/>
          <w:sz w:val="24"/>
          <w:szCs w:val="24"/>
          <w:lang w:eastAsia="en-AU"/>
        </w:rPr>
      </w:pPr>
    </w:p>
    <w:p w:rsidR="00EC1136" w:rsidRDefault="00EC1136" w:rsidP="00EC1136">
      <w:pPr>
        <w:rPr>
          <w:rFonts w:ascii="Calibri" w:hAnsi="Calibri" w:cs="Calibri"/>
          <w:sz w:val="24"/>
          <w:szCs w:val="24"/>
          <w:highlight w:val="lightGray"/>
          <w:lang w:eastAsia="en-AU"/>
        </w:rPr>
      </w:pPr>
      <w:r>
        <w:rPr>
          <w:rFonts w:ascii="Calibri" w:hAnsi="Calibri" w:cs="Calibri"/>
          <w:sz w:val="24"/>
          <w:szCs w:val="24"/>
          <w:lang w:eastAsia="en-AU"/>
        </w:rPr>
        <w:t xml:space="preserve">Over the </w:t>
      </w:r>
      <w:r w:rsidR="00842EF7">
        <w:rPr>
          <w:rFonts w:ascii="Calibri" w:hAnsi="Calibri" w:cs="Calibri"/>
          <w:sz w:val="24"/>
          <w:szCs w:val="24"/>
          <w:lang w:eastAsia="en-AU"/>
        </w:rPr>
        <w:t>two-</w:t>
      </w:r>
      <w:r>
        <w:rPr>
          <w:rFonts w:ascii="Calibri" w:hAnsi="Calibri" w:cs="Calibri"/>
          <w:sz w:val="24"/>
          <w:szCs w:val="24"/>
          <w:lang w:eastAsia="en-AU"/>
        </w:rPr>
        <w:t>year period from 2008–09 to 2009–10, there were 49 deaths due to homicide among</w:t>
      </w:r>
      <w:r w:rsidRPr="00965046">
        <w:t xml:space="preserve"> </w:t>
      </w:r>
      <w:r w:rsidRPr="00965046">
        <w:rPr>
          <w:rFonts w:ascii="Calibri" w:hAnsi="Calibri" w:cs="Calibri"/>
          <w:sz w:val="24"/>
          <w:szCs w:val="24"/>
          <w:lang w:eastAsia="en-AU"/>
        </w:rPr>
        <w:t>children aged 0</w:t>
      </w:r>
      <w:r w:rsidR="00945F81">
        <w:rPr>
          <w:rFonts w:ascii="Calibri" w:hAnsi="Calibri" w:cs="Calibri"/>
          <w:sz w:val="24"/>
          <w:szCs w:val="24"/>
          <w:lang w:eastAsia="en-AU"/>
        </w:rPr>
        <w:t xml:space="preserve"> to </w:t>
      </w:r>
      <w:r w:rsidRPr="00965046">
        <w:rPr>
          <w:rFonts w:ascii="Calibri" w:hAnsi="Calibri" w:cs="Calibri"/>
          <w:sz w:val="24"/>
          <w:szCs w:val="24"/>
          <w:lang w:eastAsia="en-AU"/>
        </w:rPr>
        <w:t>17 years</w:t>
      </w:r>
      <w:r>
        <w:rPr>
          <w:rFonts w:ascii="Calibri" w:hAnsi="Calibri" w:cs="Calibri"/>
          <w:sz w:val="24"/>
          <w:szCs w:val="24"/>
          <w:lang w:eastAsia="en-AU"/>
        </w:rPr>
        <w:t>, a rate of 0.5 per 100</w:t>
      </w:r>
      <w:r w:rsidR="002510D0">
        <w:rPr>
          <w:rFonts w:ascii="Calibri" w:hAnsi="Calibri" w:cs="Calibri"/>
          <w:sz w:val="24"/>
          <w:szCs w:val="24"/>
          <w:lang w:eastAsia="en-AU"/>
        </w:rPr>
        <w:t> </w:t>
      </w:r>
      <w:r>
        <w:rPr>
          <w:rFonts w:ascii="Calibri" w:hAnsi="Calibri" w:cs="Calibri"/>
          <w:sz w:val="24"/>
          <w:szCs w:val="24"/>
          <w:lang w:eastAsia="en-AU"/>
        </w:rPr>
        <w:t xml:space="preserve">000 children. Homicides among this age group represented 9 per cent of all homicides in that period. </w:t>
      </w:r>
      <w:r w:rsidRPr="00327940">
        <w:rPr>
          <w:rFonts w:ascii="Calibri" w:hAnsi="Calibri" w:cs="Calibri"/>
          <w:sz w:val="24"/>
          <w:szCs w:val="24"/>
          <w:lang w:eastAsia="en-AU"/>
        </w:rPr>
        <w:t>Rates of homicide were similar among boys and girls (0.6 and 0.4 per 100</w:t>
      </w:r>
      <w:r w:rsidR="002510D0">
        <w:rPr>
          <w:rFonts w:ascii="Calibri" w:hAnsi="Calibri" w:cs="Calibri"/>
          <w:sz w:val="24"/>
          <w:szCs w:val="24"/>
          <w:lang w:eastAsia="en-AU"/>
        </w:rPr>
        <w:t> </w:t>
      </w:r>
      <w:r w:rsidRPr="00327940">
        <w:rPr>
          <w:rFonts w:ascii="Calibri" w:hAnsi="Calibri" w:cs="Calibri"/>
          <w:sz w:val="24"/>
          <w:szCs w:val="24"/>
          <w:lang w:eastAsia="en-AU"/>
        </w:rPr>
        <w:t>000</w:t>
      </w:r>
      <w:r>
        <w:rPr>
          <w:rFonts w:ascii="Calibri" w:hAnsi="Calibri" w:cs="Calibri"/>
          <w:sz w:val="24"/>
          <w:szCs w:val="24"/>
          <w:lang w:eastAsia="en-AU"/>
        </w:rPr>
        <w:t xml:space="preserve"> children</w:t>
      </w:r>
      <w:r w:rsidRPr="00327940">
        <w:rPr>
          <w:rFonts w:ascii="Calibri" w:hAnsi="Calibri" w:cs="Calibri"/>
          <w:sz w:val="24"/>
          <w:szCs w:val="24"/>
          <w:lang w:eastAsia="en-AU"/>
        </w:rPr>
        <w:t>, or 30 and 19 deaths respectively).</w:t>
      </w:r>
      <w:r>
        <w:rPr>
          <w:rFonts w:ascii="Calibri" w:hAnsi="Calibri" w:cs="Calibri"/>
          <w:sz w:val="24"/>
          <w:szCs w:val="24"/>
          <w:lang w:eastAsia="en-AU"/>
        </w:rPr>
        <w:t xml:space="preserve"> Among </w:t>
      </w:r>
      <w:r w:rsidRPr="00563785">
        <w:rPr>
          <w:rFonts w:ascii="Calibri" w:hAnsi="Calibri" w:cs="Calibri"/>
          <w:sz w:val="24"/>
          <w:szCs w:val="24"/>
          <w:lang w:eastAsia="en-AU"/>
        </w:rPr>
        <w:t>0–17 year</w:t>
      </w:r>
      <w:r>
        <w:rPr>
          <w:rFonts w:ascii="Calibri" w:hAnsi="Calibri" w:cs="Calibri"/>
          <w:sz w:val="24"/>
          <w:szCs w:val="24"/>
          <w:lang w:eastAsia="en-AU"/>
        </w:rPr>
        <w:t xml:space="preserve"> </w:t>
      </w:r>
      <w:r w:rsidRPr="00563785">
        <w:rPr>
          <w:rFonts w:ascii="Calibri" w:hAnsi="Calibri" w:cs="Calibri"/>
          <w:sz w:val="24"/>
          <w:szCs w:val="24"/>
          <w:lang w:eastAsia="en-AU"/>
        </w:rPr>
        <w:t>olds</w:t>
      </w:r>
      <w:r w:rsidR="002510D0">
        <w:rPr>
          <w:rFonts w:ascii="Calibri" w:hAnsi="Calibri" w:cs="Calibri"/>
          <w:sz w:val="24"/>
          <w:szCs w:val="24"/>
          <w:lang w:eastAsia="en-AU"/>
        </w:rPr>
        <w:t>,</w:t>
      </w:r>
      <w:r w:rsidRPr="00563785">
        <w:rPr>
          <w:rFonts w:ascii="Calibri" w:hAnsi="Calibri" w:cs="Calibri"/>
          <w:sz w:val="24"/>
          <w:szCs w:val="24"/>
          <w:lang w:eastAsia="en-AU"/>
        </w:rPr>
        <w:t xml:space="preserve"> the rate of homicide was highest among infants under 1 year (2.0 per 100</w:t>
      </w:r>
      <w:r w:rsidR="002510D0">
        <w:rPr>
          <w:rFonts w:ascii="Calibri" w:hAnsi="Calibri" w:cs="Calibri"/>
          <w:sz w:val="24"/>
          <w:szCs w:val="24"/>
          <w:lang w:eastAsia="en-AU"/>
        </w:rPr>
        <w:t> </w:t>
      </w:r>
      <w:r w:rsidRPr="00563785">
        <w:rPr>
          <w:rFonts w:ascii="Calibri" w:hAnsi="Calibri" w:cs="Calibri"/>
          <w:sz w:val="24"/>
          <w:szCs w:val="24"/>
          <w:lang w:eastAsia="en-AU"/>
        </w:rPr>
        <w:t>000 infants or 12 deaths).</w:t>
      </w:r>
      <w:r>
        <w:rPr>
          <w:rFonts w:ascii="Calibri" w:hAnsi="Calibri" w:cs="Calibri"/>
          <w:sz w:val="24"/>
          <w:szCs w:val="24"/>
          <w:highlight w:val="lightGray"/>
          <w:lang w:eastAsia="en-AU"/>
        </w:rPr>
        <w:t xml:space="preserve"> </w:t>
      </w:r>
    </w:p>
    <w:p w:rsidR="00EC1136" w:rsidRDefault="00EC1136" w:rsidP="00EC1136">
      <w:pPr>
        <w:rPr>
          <w:rFonts w:ascii="Calibri" w:hAnsi="Calibri" w:cs="Calibri"/>
          <w:sz w:val="24"/>
          <w:szCs w:val="24"/>
          <w:lang w:eastAsia="en-AU"/>
        </w:rPr>
      </w:pPr>
    </w:p>
    <w:p w:rsidR="00EC1136" w:rsidRPr="00965046" w:rsidRDefault="005C08DD" w:rsidP="00C73C17">
      <w:pPr>
        <w:pStyle w:val="Figure"/>
        <w:ind w:right="2527"/>
      </w:pPr>
      <w:bookmarkStart w:id="78" w:name="_Toc400010293"/>
      <w:r>
        <w:t xml:space="preserve">Table </w:t>
      </w:r>
      <w:fldSimple w:instr=" SEQ Table \* ARABIC ">
        <w:r w:rsidR="00BF1EC9">
          <w:rPr>
            <w:noProof/>
          </w:rPr>
          <w:t>7</w:t>
        </w:r>
      </w:fldSimple>
      <w:r>
        <w:t xml:space="preserve">: </w:t>
      </w:r>
      <w:r w:rsidRPr="00965046">
        <w:t>Assault (homicide deaths) among children aged 0–17 years, 2008–</w:t>
      </w:r>
      <w:r>
        <w:t xml:space="preserve">09 to </w:t>
      </w:r>
      <w:r w:rsidRPr="00612CAA">
        <w:t>200</w:t>
      </w:r>
      <w:r>
        <w:t>9</w:t>
      </w:r>
      <w:r w:rsidRPr="00612CAA">
        <w:t>–</w:t>
      </w:r>
      <w:r>
        <w:t>10</w:t>
      </w:r>
      <w:bookmarkEnd w:id="78"/>
    </w:p>
    <w:tbl>
      <w:tblPr>
        <w:tblW w:w="4033" w:type="pct"/>
        <w:tblBorders>
          <w:top w:val="single" w:sz="4" w:space="0" w:color="auto"/>
          <w:bottom w:val="single" w:sz="4" w:space="0" w:color="auto"/>
        </w:tblBorders>
        <w:tblLook w:val="04A0" w:firstRow="1" w:lastRow="0" w:firstColumn="1" w:lastColumn="0" w:noHBand="0" w:noVBand="1"/>
        <w:tblDescription w:val="Table 7: Assault (homicide deaths) among children aged 0–17 years, 2008–09 to 2009–10"/>
      </w:tblPr>
      <w:tblGrid>
        <w:gridCol w:w="1529"/>
        <w:gridCol w:w="1136"/>
        <w:gridCol w:w="1132"/>
        <w:gridCol w:w="1135"/>
        <w:gridCol w:w="1132"/>
        <w:gridCol w:w="1135"/>
        <w:gridCol w:w="1416"/>
      </w:tblGrid>
      <w:tr w:rsidR="006D3FA7" w:rsidRPr="00821556" w:rsidTr="006D3FA7">
        <w:tc>
          <w:tcPr>
            <w:tcW w:w="887" w:type="pct"/>
            <w:tcBorders>
              <w:top w:val="single" w:sz="4" w:space="0" w:color="auto"/>
              <w:bottom w:val="single" w:sz="4" w:space="0" w:color="auto"/>
            </w:tcBorders>
            <w:shd w:val="clear" w:color="auto" w:fill="auto"/>
          </w:tcPr>
          <w:p w:rsidR="006D3FA7" w:rsidRDefault="006D3FA7" w:rsidP="00135409">
            <w:pPr>
              <w:keepLines/>
              <w:tabs>
                <w:tab w:val="left" w:pos="198"/>
              </w:tabs>
              <w:spacing w:before="60" w:after="60" w:line="200" w:lineRule="atLeast"/>
              <w:rPr>
                <w:rFonts w:ascii="Arial" w:hAnsi="Arial"/>
                <w:b/>
                <w:color w:val="000000"/>
                <w:sz w:val="16"/>
                <w:lang w:eastAsia="en-US"/>
              </w:rPr>
            </w:pPr>
            <w:r>
              <w:rPr>
                <w:rFonts w:ascii="Arial" w:hAnsi="Arial"/>
                <w:b/>
                <w:color w:val="000000"/>
                <w:sz w:val="16"/>
                <w:lang w:eastAsia="en-US"/>
              </w:rPr>
              <w:t>Age</w:t>
            </w:r>
            <w:r w:rsidRPr="00821556">
              <w:rPr>
                <w:rFonts w:ascii="Arial" w:hAnsi="Arial"/>
                <w:b/>
                <w:color w:val="000000"/>
                <w:sz w:val="16"/>
                <w:lang w:eastAsia="en-US"/>
              </w:rPr>
              <w:t xml:space="preserve"> (</w:t>
            </w:r>
            <w:r>
              <w:rPr>
                <w:rFonts w:ascii="Arial" w:hAnsi="Arial"/>
                <w:b/>
                <w:color w:val="000000"/>
                <w:sz w:val="16"/>
                <w:lang w:eastAsia="en-US"/>
              </w:rPr>
              <w:t>years</w:t>
            </w:r>
            <w:r w:rsidRPr="00821556">
              <w:rPr>
                <w:rFonts w:ascii="Arial" w:hAnsi="Arial"/>
                <w:b/>
                <w:color w:val="000000"/>
                <w:sz w:val="16"/>
                <w:lang w:eastAsia="en-US"/>
              </w:rPr>
              <w:t>)</w:t>
            </w:r>
          </w:p>
        </w:tc>
        <w:tc>
          <w:tcPr>
            <w:tcW w:w="659" w:type="pct"/>
            <w:tcBorders>
              <w:top w:val="single" w:sz="4" w:space="0" w:color="auto"/>
              <w:bottom w:val="single" w:sz="4" w:space="0" w:color="auto"/>
            </w:tcBorders>
          </w:tcPr>
          <w:p w:rsidR="006D3FA7" w:rsidRPr="00821556"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Boys</w:t>
            </w:r>
            <w:r>
              <w:rPr>
                <w:rFonts w:ascii="Arial" w:hAnsi="Arial"/>
                <w:b/>
                <w:color w:val="000000"/>
                <w:sz w:val="16"/>
                <w:lang w:eastAsia="en-US"/>
              </w:rPr>
              <w:br/>
              <w:t>Number</w:t>
            </w:r>
          </w:p>
        </w:tc>
        <w:tc>
          <w:tcPr>
            <w:tcW w:w="657" w:type="pct"/>
            <w:tcBorders>
              <w:top w:val="single" w:sz="4" w:space="0" w:color="auto"/>
              <w:bottom w:val="single" w:sz="4" w:space="0" w:color="auto"/>
            </w:tcBorders>
          </w:tcPr>
          <w:p w:rsidR="006D3FA7" w:rsidRPr="00821556"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Girls</w:t>
            </w:r>
            <w:r>
              <w:rPr>
                <w:rFonts w:ascii="Arial" w:hAnsi="Arial"/>
                <w:b/>
                <w:color w:val="000000"/>
                <w:sz w:val="16"/>
                <w:lang w:eastAsia="en-US"/>
              </w:rPr>
              <w:br/>
              <w:t>Number</w:t>
            </w:r>
          </w:p>
        </w:tc>
        <w:tc>
          <w:tcPr>
            <w:tcW w:w="659" w:type="pct"/>
            <w:tcBorders>
              <w:top w:val="single" w:sz="4" w:space="0" w:color="auto"/>
              <w:bottom w:val="single" w:sz="4" w:space="0" w:color="auto"/>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All children</w:t>
            </w:r>
            <w:r>
              <w:rPr>
                <w:rFonts w:ascii="Arial" w:hAnsi="Arial"/>
                <w:b/>
                <w:color w:val="000000"/>
                <w:sz w:val="16"/>
                <w:lang w:eastAsia="en-US"/>
              </w:rPr>
              <w:br/>
              <w:t>Number</w:t>
            </w:r>
          </w:p>
        </w:tc>
        <w:tc>
          <w:tcPr>
            <w:tcW w:w="657" w:type="pct"/>
            <w:tcBorders>
              <w:top w:val="single" w:sz="4" w:space="0" w:color="auto"/>
              <w:bottom w:val="single" w:sz="4" w:space="0" w:color="auto"/>
            </w:tcBorders>
          </w:tcPr>
          <w:p w:rsidR="006D3FA7"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Boys</w:t>
            </w:r>
            <w:r>
              <w:rPr>
                <w:rFonts w:ascii="Arial" w:hAnsi="Arial"/>
                <w:b/>
                <w:color w:val="000000"/>
                <w:sz w:val="16"/>
                <w:lang w:eastAsia="en-US"/>
              </w:rPr>
              <w:br/>
              <w:t>Rate per 100,000 children</w:t>
            </w:r>
          </w:p>
        </w:tc>
        <w:tc>
          <w:tcPr>
            <w:tcW w:w="659" w:type="pct"/>
            <w:tcBorders>
              <w:top w:val="single" w:sz="4" w:space="0" w:color="auto"/>
              <w:bottom w:val="single" w:sz="4" w:space="0" w:color="auto"/>
            </w:tcBorders>
          </w:tcPr>
          <w:p w:rsidR="006D3FA7" w:rsidRDefault="006D3FA7" w:rsidP="005C197C">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Girls</w:t>
            </w:r>
            <w:r>
              <w:rPr>
                <w:rFonts w:ascii="Arial" w:hAnsi="Arial"/>
                <w:b/>
                <w:color w:val="000000"/>
                <w:sz w:val="16"/>
                <w:lang w:eastAsia="en-US"/>
              </w:rPr>
              <w:br/>
              <w:t>Rate per 100,000 children</w:t>
            </w:r>
          </w:p>
        </w:tc>
        <w:tc>
          <w:tcPr>
            <w:tcW w:w="823" w:type="pct"/>
            <w:tcBorders>
              <w:top w:val="single" w:sz="4" w:space="0" w:color="auto"/>
              <w:bottom w:val="single" w:sz="4" w:space="0" w:color="auto"/>
            </w:tcBorders>
            <w:shd w:val="clear" w:color="auto" w:fill="auto"/>
          </w:tcPr>
          <w:p w:rsidR="006D3FA7"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All children</w:t>
            </w:r>
            <w:r>
              <w:rPr>
                <w:rFonts w:ascii="Arial" w:hAnsi="Arial"/>
                <w:b/>
                <w:color w:val="000000"/>
                <w:sz w:val="16"/>
                <w:lang w:eastAsia="en-US"/>
              </w:rPr>
              <w:br/>
              <w:t>Rate per 100,000 children</w:t>
            </w:r>
          </w:p>
        </w:tc>
      </w:tr>
      <w:tr w:rsidR="006D3FA7" w:rsidRPr="00821556" w:rsidTr="006D3FA7">
        <w:tc>
          <w:tcPr>
            <w:tcW w:w="887" w:type="pct"/>
            <w:tcBorders>
              <w:top w:val="single" w:sz="4" w:space="0" w:color="auto"/>
            </w:tcBorders>
            <w:shd w:val="clear" w:color="auto" w:fill="auto"/>
          </w:tcPr>
          <w:p w:rsidR="006D3FA7" w:rsidRPr="00965046" w:rsidRDefault="006D3FA7" w:rsidP="00135409">
            <w:pPr>
              <w:spacing w:before="60" w:after="60" w:line="200" w:lineRule="atLeast"/>
              <w:rPr>
                <w:rFonts w:ascii="Arial" w:hAnsi="Arial"/>
                <w:color w:val="000000"/>
                <w:sz w:val="16"/>
                <w:lang w:eastAsia="en-US"/>
              </w:rPr>
            </w:pPr>
            <w:r w:rsidRPr="00965046">
              <w:rPr>
                <w:rFonts w:ascii="Arial" w:hAnsi="Arial"/>
                <w:color w:val="000000"/>
                <w:sz w:val="16"/>
              </w:rPr>
              <w:t>Under</w:t>
            </w:r>
            <w:r>
              <w:rPr>
                <w:rFonts w:ascii="Arial" w:hAnsi="Arial"/>
                <w:color w:val="000000"/>
                <w:sz w:val="16"/>
              </w:rPr>
              <w:t xml:space="preserve"> </w:t>
            </w:r>
            <w:r w:rsidRPr="00965046">
              <w:rPr>
                <w:rFonts w:ascii="Arial" w:hAnsi="Arial"/>
                <w:color w:val="000000"/>
                <w:sz w:val="16"/>
              </w:rPr>
              <w:t>1</w:t>
            </w:r>
          </w:p>
        </w:tc>
        <w:tc>
          <w:tcPr>
            <w:tcW w:w="659" w:type="pct"/>
            <w:tcBorders>
              <w:top w:val="single" w:sz="4" w:space="0" w:color="auto"/>
            </w:tcBorders>
          </w:tcPr>
          <w:p w:rsidR="006D3FA7" w:rsidRPr="00965046" w:rsidRDefault="006D3FA7" w:rsidP="00135409">
            <w:pPr>
              <w:spacing w:before="60" w:after="60" w:line="200" w:lineRule="atLeast"/>
              <w:jc w:val="right"/>
              <w:rPr>
                <w:rFonts w:ascii="Arial" w:hAnsi="Arial"/>
                <w:color w:val="000000"/>
                <w:sz w:val="16"/>
              </w:rPr>
            </w:pPr>
            <w:r w:rsidRPr="00327940">
              <w:rPr>
                <w:rFonts w:ascii="Arial" w:hAnsi="Arial"/>
                <w:color w:val="000000"/>
                <w:sz w:val="16"/>
              </w:rPr>
              <w:t>7</w:t>
            </w:r>
          </w:p>
        </w:tc>
        <w:tc>
          <w:tcPr>
            <w:tcW w:w="657" w:type="pct"/>
            <w:tcBorders>
              <w:top w:val="single" w:sz="4" w:space="0" w:color="auto"/>
            </w:tcBorders>
          </w:tcPr>
          <w:p w:rsidR="006D3FA7" w:rsidRPr="00965046" w:rsidRDefault="006D3FA7" w:rsidP="00135409">
            <w:pPr>
              <w:spacing w:before="60" w:after="60" w:line="200" w:lineRule="atLeast"/>
              <w:jc w:val="right"/>
              <w:rPr>
                <w:rFonts w:ascii="Arial" w:hAnsi="Arial"/>
                <w:color w:val="000000"/>
                <w:sz w:val="16"/>
              </w:rPr>
            </w:pPr>
            <w:r w:rsidRPr="00327940">
              <w:rPr>
                <w:rFonts w:ascii="Arial" w:hAnsi="Arial"/>
                <w:color w:val="000000"/>
                <w:sz w:val="16"/>
              </w:rPr>
              <w:t>5</w:t>
            </w:r>
          </w:p>
        </w:tc>
        <w:tc>
          <w:tcPr>
            <w:tcW w:w="659" w:type="pct"/>
            <w:tcBorders>
              <w:top w:val="single" w:sz="4" w:space="0" w:color="auto"/>
            </w:tcBorders>
            <w:shd w:val="clear" w:color="auto" w:fill="auto"/>
          </w:tcPr>
          <w:p w:rsidR="006D3FA7" w:rsidRPr="00965046" w:rsidRDefault="006D3FA7" w:rsidP="00135409">
            <w:pPr>
              <w:spacing w:before="60" w:after="60" w:line="200" w:lineRule="atLeast"/>
              <w:jc w:val="right"/>
              <w:rPr>
                <w:rFonts w:ascii="Arial" w:hAnsi="Arial"/>
                <w:color w:val="000000"/>
                <w:sz w:val="16"/>
              </w:rPr>
            </w:pPr>
            <w:r w:rsidRPr="00965046">
              <w:rPr>
                <w:rFonts w:ascii="Arial" w:hAnsi="Arial"/>
                <w:color w:val="000000"/>
                <w:sz w:val="16"/>
              </w:rPr>
              <w:t>12</w:t>
            </w:r>
          </w:p>
        </w:tc>
        <w:tc>
          <w:tcPr>
            <w:tcW w:w="657" w:type="pct"/>
            <w:tcBorders>
              <w:top w:val="single" w:sz="4" w:space="0" w:color="auto"/>
            </w:tcBorders>
          </w:tcPr>
          <w:p w:rsidR="006D3FA7" w:rsidRPr="00821556" w:rsidRDefault="006D3FA7" w:rsidP="00135409">
            <w:pPr>
              <w:keepLines/>
              <w:tabs>
                <w:tab w:val="left" w:pos="198"/>
              </w:tabs>
              <w:spacing w:before="60" w:after="60" w:line="200" w:lineRule="atLeast"/>
              <w:jc w:val="right"/>
              <w:rPr>
                <w:rFonts w:ascii="Arial" w:hAnsi="Arial"/>
                <w:color w:val="000000"/>
                <w:sz w:val="16"/>
              </w:rPr>
            </w:pPr>
            <w:r w:rsidRPr="00327940">
              <w:rPr>
                <w:rFonts w:ascii="Arial" w:hAnsi="Arial"/>
                <w:color w:val="000000"/>
                <w:sz w:val="16"/>
              </w:rPr>
              <w:t xml:space="preserve">2.3 </w:t>
            </w:r>
          </w:p>
        </w:tc>
        <w:tc>
          <w:tcPr>
            <w:tcW w:w="659" w:type="pct"/>
            <w:tcBorders>
              <w:top w:val="single" w:sz="4" w:space="0" w:color="auto"/>
            </w:tcBorders>
          </w:tcPr>
          <w:p w:rsidR="006D3FA7" w:rsidRPr="00821556" w:rsidRDefault="006D3FA7" w:rsidP="00135409">
            <w:pPr>
              <w:keepLines/>
              <w:tabs>
                <w:tab w:val="left" w:pos="198"/>
              </w:tabs>
              <w:spacing w:before="60" w:after="60" w:line="200" w:lineRule="atLeast"/>
              <w:jc w:val="right"/>
              <w:rPr>
                <w:rFonts w:ascii="Arial" w:hAnsi="Arial"/>
                <w:color w:val="000000"/>
                <w:sz w:val="16"/>
              </w:rPr>
            </w:pPr>
            <w:r w:rsidRPr="00327940">
              <w:rPr>
                <w:rFonts w:ascii="Arial" w:hAnsi="Arial"/>
                <w:color w:val="000000"/>
                <w:sz w:val="16"/>
              </w:rPr>
              <w:t xml:space="preserve">1.8 </w:t>
            </w:r>
          </w:p>
        </w:tc>
        <w:tc>
          <w:tcPr>
            <w:tcW w:w="823" w:type="pct"/>
            <w:tcBorders>
              <w:top w:val="single" w:sz="4" w:space="0" w:color="auto"/>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color w:val="000000"/>
                <w:sz w:val="16"/>
              </w:rPr>
            </w:pPr>
            <w:r w:rsidRPr="00327940">
              <w:rPr>
                <w:rFonts w:ascii="Arial" w:hAnsi="Arial"/>
                <w:color w:val="000000"/>
                <w:sz w:val="16"/>
              </w:rPr>
              <w:t xml:space="preserve">2.0 </w:t>
            </w:r>
          </w:p>
        </w:tc>
      </w:tr>
      <w:tr w:rsidR="006D3FA7" w:rsidRPr="00821556" w:rsidTr="006D3FA7">
        <w:tc>
          <w:tcPr>
            <w:tcW w:w="887" w:type="pct"/>
            <w:shd w:val="clear" w:color="auto" w:fill="auto"/>
          </w:tcPr>
          <w:p w:rsidR="006D3FA7" w:rsidRPr="00965046" w:rsidRDefault="006D3FA7" w:rsidP="00135409">
            <w:pPr>
              <w:spacing w:before="60" w:after="60" w:line="200" w:lineRule="atLeast"/>
              <w:rPr>
                <w:rFonts w:ascii="Arial" w:hAnsi="Arial"/>
                <w:color w:val="000000"/>
                <w:sz w:val="16"/>
                <w:lang w:eastAsia="en-US"/>
              </w:rPr>
            </w:pPr>
            <w:r w:rsidRPr="00965046">
              <w:rPr>
                <w:rFonts w:ascii="Arial" w:hAnsi="Arial"/>
                <w:color w:val="000000"/>
                <w:sz w:val="16"/>
              </w:rPr>
              <w:t>1–9</w:t>
            </w:r>
          </w:p>
        </w:tc>
        <w:tc>
          <w:tcPr>
            <w:tcW w:w="659" w:type="pct"/>
          </w:tcPr>
          <w:p w:rsidR="006D3FA7" w:rsidRPr="00965046" w:rsidRDefault="006D3FA7" w:rsidP="00135409">
            <w:pPr>
              <w:spacing w:before="60" w:after="60" w:line="200" w:lineRule="atLeast"/>
              <w:jc w:val="right"/>
              <w:rPr>
                <w:rFonts w:ascii="Arial" w:hAnsi="Arial"/>
                <w:color w:val="000000"/>
                <w:sz w:val="16"/>
              </w:rPr>
            </w:pPr>
            <w:r w:rsidRPr="00327940">
              <w:rPr>
                <w:rFonts w:ascii="Arial" w:hAnsi="Arial"/>
                <w:color w:val="000000"/>
                <w:sz w:val="16"/>
              </w:rPr>
              <w:t>11</w:t>
            </w:r>
          </w:p>
        </w:tc>
        <w:tc>
          <w:tcPr>
            <w:tcW w:w="657" w:type="pct"/>
          </w:tcPr>
          <w:p w:rsidR="006D3FA7" w:rsidRPr="00965046" w:rsidRDefault="006D3FA7" w:rsidP="00135409">
            <w:pPr>
              <w:spacing w:before="60" w:after="60" w:line="200" w:lineRule="atLeast"/>
              <w:jc w:val="right"/>
              <w:rPr>
                <w:rFonts w:ascii="Arial" w:hAnsi="Arial"/>
                <w:color w:val="000000"/>
                <w:sz w:val="16"/>
              </w:rPr>
            </w:pPr>
            <w:r w:rsidRPr="00327940">
              <w:rPr>
                <w:rFonts w:ascii="Arial" w:hAnsi="Arial"/>
                <w:color w:val="000000"/>
                <w:sz w:val="16"/>
              </w:rPr>
              <w:t>8</w:t>
            </w:r>
          </w:p>
        </w:tc>
        <w:tc>
          <w:tcPr>
            <w:tcW w:w="659" w:type="pct"/>
            <w:shd w:val="clear" w:color="auto" w:fill="auto"/>
          </w:tcPr>
          <w:p w:rsidR="006D3FA7" w:rsidRPr="00965046" w:rsidRDefault="006D3FA7" w:rsidP="00135409">
            <w:pPr>
              <w:spacing w:before="60" w:after="60" w:line="200" w:lineRule="atLeast"/>
              <w:jc w:val="right"/>
              <w:rPr>
                <w:rFonts w:ascii="Arial" w:hAnsi="Arial"/>
                <w:color w:val="000000"/>
                <w:sz w:val="16"/>
              </w:rPr>
            </w:pPr>
            <w:r w:rsidRPr="00965046">
              <w:rPr>
                <w:rFonts w:ascii="Arial" w:hAnsi="Arial"/>
                <w:color w:val="000000"/>
                <w:sz w:val="16"/>
              </w:rPr>
              <w:t>19</w:t>
            </w:r>
          </w:p>
        </w:tc>
        <w:tc>
          <w:tcPr>
            <w:tcW w:w="657" w:type="pct"/>
          </w:tcPr>
          <w:p w:rsidR="006D3FA7" w:rsidRPr="00327940" w:rsidRDefault="006D3FA7" w:rsidP="00135409">
            <w:pPr>
              <w:keepLines/>
              <w:tabs>
                <w:tab w:val="left" w:pos="198"/>
              </w:tabs>
              <w:spacing w:before="60" w:after="60" w:line="200" w:lineRule="atLeast"/>
              <w:jc w:val="right"/>
              <w:rPr>
                <w:rFonts w:ascii="Arial" w:hAnsi="Arial"/>
                <w:color w:val="000000"/>
                <w:sz w:val="16"/>
              </w:rPr>
            </w:pPr>
            <w:r w:rsidRPr="00327940">
              <w:rPr>
                <w:rFonts w:ascii="Arial" w:hAnsi="Arial"/>
                <w:color w:val="000000"/>
                <w:sz w:val="16"/>
              </w:rPr>
              <w:t xml:space="preserve">0.4 </w:t>
            </w:r>
          </w:p>
        </w:tc>
        <w:tc>
          <w:tcPr>
            <w:tcW w:w="659" w:type="pct"/>
          </w:tcPr>
          <w:p w:rsidR="006D3FA7" w:rsidRPr="00327940" w:rsidRDefault="006D3FA7" w:rsidP="00135409">
            <w:pPr>
              <w:keepLines/>
              <w:tabs>
                <w:tab w:val="left" w:pos="198"/>
              </w:tabs>
              <w:spacing w:before="60" w:after="60" w:line="200" w:lineRule="atLeast"/>
              <w:jc w:val="right"/>
              <w:rPr>
                <w:rFonts w:ascii="Arial" w:hAnsi="Arial"/>
                <w:color w:val="000000"/>
                <w:sz w:val="16"/>
              </w:rPr>
            </w:pPr>
            <w:r w:rsidRPr="00327940">
              <w:rPr>
                <w:rFonts w:ascii="Arial" w:hAnsi="Arial"/>
                <w:color w:val="000000"/>
                <w:sz w:val="16"/>
              </w:rPr>
              <w:t xml:space="preserve">0.3 </w:t>
            </w:r>
          </w:p>
        </w:tc>
        <w:tc>
          <w:tcPr>
            <w:tcW w:w="823" w:type="pct"/>
            <w:shd w:val="clear" w:color="auto" w:fill="auto"/>
          </w:tcPr>
          <w:p w:rsidR="006D3FA7" w:rsidRPr="00327940" w:rsidRDefault="006D3FA7" w:rsidP="00135409">
            <w:pPr>
              <w:keepLines/>
              <w:tabs>
                <w:tab w:val="left" w:pos="198"/>
              </w:tabs>
              <w:spacing w:before="60" w:after="60" w:line="200" w:lineRule="atLeast"/>
              <w:jc w:val="right"/>
              <w:rPr>
                <w:rFonts w:ascii="Arial" w:hAnsi="Arial"/>
                <w:color w:val="000000"/>
                <w:sz w:val="16"/>
              </w:rPr>
            </w:pPr>
            <w:r w:rsidRPr="00327940">
              <w:rPr>
                <w:rFonts w:ascii="Arial" w:hAnsi="Arial"/>
                <w:color w:val="000000"/>
                <w:sz w:val="16"/>
              </w:rPr>
              <w:t xml:space="preserve">0.4 </w:t>
            </w:r>
          </w:p>
        </w:tc>
      </w:tr>
      <w:tr w:rsidR="006D3FA7" w:rsidRPr="00821556" w:rsidTr="006D3FA7">
        <w:tc>
          <w:tcPr>
            <w:tcW w:w="887" w:type="pct"/>
            <w:shd w:val="clear" w:color="auto" w:fill="auto"/>
          </w:tcPr>
          <w:p w:rsidR="006D3FA7" w:rsidRPr="00965046" w:rsidRDefault="006D3FA7" w:rsidP="00135409">
            <w:pPr>
              <w:spacing w:before="60" w:after="60" w:line="200" w:lineRule="atLeast"/>
              <w:rPr>
                <w:rFonts w:ascii="Arial" w:hAnsi="Arial"/>
                <w:color w:val="000000"/>
                <w:sz w:val="16"/>
                <w:lang w:eastAsia="en-US"/>
              </w:rPr>
            </w:pPr>
            <w:r w:rsidRPr="00965046">
              <w:rPr>
                <w:rFonts w:ascii="Arial" w:hAnsi="Arial"/>
                <w:color w:val="000000"/>
                <w:sz w:val="16"/>
              </w:rPr>
              <w:t>10–14</w:t>
            </w:r>
          </w:p>
        </w:tc>
        <w:tc>
          <w:tcPr>
            <w:tcW w:w="659" w:type="pct"/>
          </w:tcPr>
          <w:p w:rsidR="006D3FA7" w:rsidRPr="00965046" w:rsidRDefault="006D3FA7" w:rsidP="00135409">
            <w:pPr>
              <w:spacing w:before="60" w:after="60" w:line="200" w:lineRule="atLeast"/>
              <w:jc w:val="right"/>
              <w:rPr>
                <w:rFonts w:ascii="Arial" w:hAnsi="Arial"/>
                <w:color w:val="000000"/>
                <w:sz w:val="16"/>
              </w:rPr>
            </w:pPr>
            <w:r w:rsidRPr="00327940">
              <w:rPr>
                <w:rFonts w:ascii="Arial" w:hAnsi="Arial"/>
                <w:color w:val="000000"/>
                <w:sz w:val="16"/>
              </w:rPr>
              <w:t>5</w:t>
            </w:r>
          </w:p>
        </w:tc>
        <w:tc>
          <w:tcPr>
            <w:tcW w:w="657" w:type="pct"/>
          </w:tcPr>
          <w:p w:rsidR="006D3FA7" w:rsidRPr="00965046" w:rsidRDefault="006D3FA7" w:rsidP="00135409">
            <w:pPr>
              <w:spacing w:before="60" w:after="60" w:line="200" w:lineRule="atLeast"/>
              <w:jc w:val="right"/>
              <w:rPr>
                <w:rFonts w:ascii="Arial" w:hAnsi="Arial"/>
                <w:color w:val="000000"/>
                <w:sz w:val="16"/>
              </w:rPr>
            </w:pPr>
            <w:r w:rsidRPr="00327940">
              <w:rPr>
                <w:rFonts w:ascii="Arial" w:hAnsi="Arial"/>
                <w:color w:val="000000"/>
                <w:sz w:val="16"/>
              </w:rPr>
              <w:t>3</w:t>
            </w:r>
          </w:p>
        </w:tc>
        <w:tc>
          <w:tcPr>
            <w:tcW w:w="659" w:type="pct"/>
            <w:shd w:val="clear" w:color="auto" w:fill="auto"/>
          </w:tcPr>
          <w:p w:rsidR="006D3FA7" w:rsidRPr="00965046" w:rsidRDefault="006D3FA7" w:rsidP="00135409">
            <w:pPr>
              <w:spacing w:before="60" w:after="60" w:line="200" w:lineRule="atLeast"/>
              <w:jc w:val="right"/>
              <w:rPr>
                <w:rFonts w:ascii="Arial" w:hAnsi="Arial"/>
                <w:color w:val="000000"/>
                <w:sz w:val="16"/>
              </w:rPr>
            </w:pPr>
            <w:r w:rsidRPr="00965046">
              <w:rPr>
                <w:rFonts w:ascii="Arial" w:hAnsi="Arial"/>
                <w:color w:val="000000"/>
                <w:sz w:val="16"/>
              </w:rPr>
              <w:t>8</w:t>
            </w:r>
          </w:p>
        </w:tc>
        <w:tc>
          <w:tcPr>
            <w:tcW w:w="657" w:type="pct"/>
          </w:tcPr>
          <w:p w:rsidR="006D3FA7" w:rsidRPr="00327940" w:rsidRDefault="006D3FA7" w:rsidP="00135409">
            <w:pPr>
              <w:keepLines/>
              <w:tabs>
                <w:tab w:val="left" w:pos="198"/>
              </w:tabs>
              <w:spacing w:before="60" w:after="60" w:line="200" w:lineRule="atLeast"/>
              <w:jc w:val="right"/>
              <w:rPr>
                <w:rFonts w:ascii="Arial" w:hAnsi="Arial"/>
                <w:color w:val="000000"/>
                <w:sz w:val="16"/>
              </w:rPr>
            </w:pPr>
            <w:r w:rsidRPr="00327940">
              <w:rPr>
                <w:rFonts w:ascii="Arial" w:hAnsi="Arial"/>
                <w:color w:val="000000"/>
                <w:sz w:val="16"/>
              </w:rPr>
              <w:t xml:space="preserve">0.4 </w:t>
            </w:r>
          </w:p>
        </w:tc>
        <w:tc>
          <w:tcPr>
            <w:tcW w:w="659" w:type="pct"/>
          </w:tcPr>
          <w:p w:rsidR="006D3FA7" w:rsidRPr="00327940" w:rsidRDefault="006D3FA7" w:rsidP="00135409">
            <w:pPr>
              <w:keepLines/>
              <w:tabs>
                <w:tab w:val="left" w:pos="198"/>
              </w:tabs>
              <w:spacing w:before="60" w:after="60" w:line="200" w:lineRule="atLeast"/>
              <w:jc w:val="right"/>
              <w:rPr>
                <w:rFonts w:ascii="Arial" w:hAnsi="Arial"/>
                <w:color w:val="000000"/>
                <w:sz w:val="16"/>
              </w:rPr>
            </w:pPr>
            <w:r w:rsidRPr="00327940">
              <w:rPr>
                <w:rFonts w:ascii="Arial" w:hAnsi="Arial"/>
                <w:color w:val="000000"/>
                <w:sz w:val="16"/>
              </w:rPr>
              <w:t xml:space="preserve">0.2 </w:t>
            </w:r>
          </w:p>
        </w:tc>
        <w:tc>
          <w:tcPr>
            <w:tcW w:w="823" w:type="pct"/>
            <w:shd w:val="clear" w:color="auto" w:fill="auto"/>
          </w:tcPr>
          <w:p w:rsidR="006D3FA7" w:rsidRPr="00327940" w:rsidRDefault="006D3FA7" w:rsidP="00135409">
            <w:pPr>
              <w:keepLines/>
              <w:tabs>
                <w:tab w:val="left" w:pos="198"/>
              </w:tabs>
              <w:spacing w:before="60" w:after="60" w:line="200" w:lineRule="atLeast"/>
              <w:jc w:val="right"/>
              <w:rPr>
                <w:rFonts w:ascii="Arial" w:hAnsi="Arial"/>
                <w:color w:val="000000"/>
                <w:sz w:val="16"/>
              </w:rPr>
            </w:pPr>
            <w:r w:rsidRPr="00327940">
              <w:rPr>
                <w:rFonts w:ascii="Arial" w:hAnsi="Arial"/>
                <w:color w:val="000000"/>
                <w:sz w:val="16"/>
              </w:rPr>
              <w:t xml:space="preserve">0.3 </w:t>
            </w:r>
          </w:p>
        </w:tc>
      </w:tr>
      <w:tr w:rsidR="006D3FA7" w:rsidRPr="00821556" w:rsidTr="006D3FA7">
        <w:tc>
          <w:tcPr>
            <w:tcW w:w="887" w:type="pct"/>
            <w:shd w:val="clear" w:color="auto" w:fill="auto"/>
          </w:tcPr>
          <w:p w:rsidR="006D3FA7" w:rsidRPr="00965046" w:rsidRDefault="006D3FA7" w:rsidP="00135409">
            <w:pPr>
              <w:spacing w:before="60" w:after="60" w:line="200" w:lineRule="atLeast"/>
              <w:rPr>
                <w:rFonts w:ascii="Arial" w:hAnsi="Arial"/>
                <w:color w:val="000000"/>
                <w:sz w:val="16"/>
                <w:lang w:eastAsia="en-US"/>
              </w:rPr>
            </w:pPr>
            <w:r w:rsidRPr="00965046">
              <w:rPr>
                <w:rFonts w:ascii="Arial" w:hAnsi="Arial"/>
                <w:color w:val="000000"/>
                <w:sz w:val="16"/>
              </w:rPr>
              <w:t>15–17</w:t>
            </w:r>
          </w:p>
        </w:tc>
        <w:tc>
          <w:tcPr>
            <w:tcW w:w="659" w:type="pct"/>
          </w:tcPr>
          <w:p w:rsidR="006D3FA7" w:rsidRPr="00965046" w:rsidRDefault="006D3FA7" w:rsidP="00135409">
            <w:pPr>
              <w:spacing w:before="60" w:after="60" w:line="200" w:lineRule="atLeast"/>
              <w:jc w:val="right"/>
              <w:rPr>
                <w:rFonts w:ascii="Arial" w:hAnsi="Arial"/>
                <w:color w:val="000000"/>
                <w:sz w:val="16"/>
              </w:rPr>
            </w:pPr>
            <w:r w:rsidRPr="00327940">
              <w:rPr>
                <w:rFonts w:ascii="Arial" w:hAnsi="Arial"/>
                <w:color w:val="000000"/>
                <w:sz w:val="16"/>
              </w:rPr>
              <w:t>7</w:t>
            </w:r>
          </w:p>
        </w:tc>
        <w:tc>
          <w:tcPr>
            <w:tcW w:w="657" w:type="pct"/>
          </w:tcPr>
          <w:p w:rsidR="006D3FA7" w:rsidRPr="00965046" w:rsidRDefault="006D3FA7" w:rsidP="00135409">
            <w:pPr>
              <w:spacing w:before="60" w:after="60" w:line="200" w:lineRule="atLeast"/>
              <w:jc w:val="right"/>
              <w:rPr>
                <w:rFonts w:ascii="Arial" w:hAnsi="Arial"/>
                <w:color w:val="000000"/>
                <w:sz w:val="16"/>
              </w:rPr>
            </w:pPr>
            <w:r w:rsidRPr="00327940">
              <w:rPr>
                <w:rFonts w:ascii="Arial" w:hAnsi="Arial"/>
                <w:color w:val="000000"/>
                <w:sz w:val="16"/>
              </w:rPr>
              <w:t>3</w:t>
            </w:r>
          </w:p>
        </w:tc>
        <w:tc>
          <w:tcPr>
            <w:tcW w:w="659" w:type="pct"/>
            <w:shd w:val="clear" w:color="auto" w:fill="auto"/>
          </w:tcPr>
          <w:p w:rsidR="006D3FA7" w:rsidRPr="00965046" w:rsidRDefault="006D3FA7" w:rsidP="00135409">
            <w:pPr>
              <w:spacing w:before="60" w:after="60" w:line="200" w:lineRule="atLeast"/>
              <w:jc w:val="right"/>
              <w:rPr>
                <w:rFonts w:ascii="Arial" w:hAnsi="Arial"/>
                <w:color w:val="000000"/>
                <w:sz w:val="16"/>
              </w:rPr>
            </w:pPr>
            <w:r w:rsidRPr="00965046">
              <w:rPr>
                <w:rFonts w:ascii="Arial" w:hAnsi="Arial"/>
                <w:color w:val="000000"/>
                <w:sz w:val="16"/>
              </w:rPr>
              <w:t>10</w:t>
            </w:r>
          </w:p>
        </w:tc>
        <w:tc>
          <w:tcPr>
            <w:tcW w:w="657" w:type="pct"/>
          </w:tcPr>
          <w:p w:rsidR="006D3FA7" w:rsidRPr="00821556" w:rsidRDefault="006D3FA7" w:rsidP="00135409">
            <w:pPr>
              <w:keepLines/>
              <w:tabs>
                <w:tab w:val="left" w:pos="198"/>
              </w:tabs>
              <w:spacing w:before="60" w:after="60" w:line="200" w:lineRule="atLeast"/>
              <w:jc w:val="right"/>
              <w:rPr>
                <w:rFonts w:ascii="Arial" w:hAnsi="Arial"/>
                <w:color w:val="000000"/>
                <w:sz w:val="16"/>
              </w:rPr>
            </w:pPr>
            <w:r w:rsidRPr="00327940">
              <w:rPr>
                <w:rFonts w:ascii="Arial" w:hAnsi="Arial"/>
                <w:color w:val="000000"/>
                <w:sz w:val="16"/>
              </w:rPr>
              <w:t xml:space="preserve">0.8 </w:t>
            </w:r>
          </w:p>
        </w:tc>
        <w:tc>
          <w:tcPr>
            <w:tcW w:w="659" w:type="pct"/>
          </w:tcPr>
          <w:p w:rsidR="006D3FA7" w:rsidRPr="00821556" w:rsidRDefault="006D3FA7" w:rsidP="00135409">
            <w:pPr>
              <w:keepLines/>
              <w:tabs>
                <w:tab w:val="left" w:pos="198"/>
              </w:tabs>
              <w:spacing w:before="60" w:after="60" w:line="200" w:lineRule="atLeast"/>
              <w:jc w:val="right"/>
              <w:rPr>
                <w:rFonts w:ascii="Arial" w:hAnsi="Arial"/>
                <w:color w:val="000000"/>
                <w:sz w:val="16"/>
              </w:rPr>
            </w:pPr>
            <w:r w:rsidRPr="00327940">
              <w:rPr>
                <w:rFonts w:ascii="Arial" w:hAnsi="Arial"/>
                <w:color w:val="000000"/>
                <w:sz w:val="16"/>
              </w:rPr>
              <w:t xml:space="preserve">0.4 </w:t>
            </w:r>
          </w:p>
        </w:tc>
        <w:tc>
          <w:tcPr>
            <w:tcW w:w="823" w:type="pct"/>
            <w:shd w:val="clear" w:color="auto" w:fill="auto"/>
          </w:tcPr>
          <w:p w:rsidR="006D3FA7" w:rsidRPr="00821556" w:rsidRDefault="006D3FA7" w:rsidP="00135409">
            <w:pPr>
              <w:keepLines/>
              <w:tabs>
                <w:tab w:val="left" w:pos="198"/>
              </w:tabs>
              <w:spacing w:before="60" w:after="60" w:line="200" w:lineRule="atLeast"/>
              <w:jc w:val="right"/>
              <w:rPr>
                <w:rFonts w:ascii="Arial" w:hAnsi="Arial"/>
                <w:color w:val="000000"/>
                <w:sz w:val="16"/>
              </w:rPr>
            </w:pPr>
            <w:r w:rsidRPr="00327940">
              <w:rPr>
                <w:rFonts w:ascii="Arial" w:hAnsi="Arial"/>
                <w:color w:val="000000"/>
                <w:sz w:val="16"/>
              </w:rPr>
              <w:t xml:space="preserve">0.6 </w:t>
            </w:r>
          </w:p>
        </w:tc>
      </w:tr>
      <w:tr w:rsidR="006D3FA7" w:rsidRPr="00821556" w:rsidTr="006D3FA7">
        <w:tc>
          <w:tcPr>
            <w:tcW w:w="887" w:type="pct"/>
            <w:shd w:val="clear" w:color="auto" w:fill="auto"/>
          </w:tcPr>
          <w:p w:rsidR="006D3FA7" w:rsidRPr="00821556" w:rsidRDefault="006D3FA7" w:rsidP="00135409">
            <w:pPr>
              <w:keepLines/>
              <w:tabs>
                <w:tab w:val="left" w:pos="198"/>
              </w:tabs>
              <w:spacing w:before="60" w:after="60" w:line="200" w:lineRule="atLeast"/>
              <w:rPr>
                <w:rFonts w:ascii="Arial" w:hAnsi="Arial"/>
                <w:b/>
                <w:color w:val="000000"/>
                <w:sz w:val="16"/>
                <w:lang w:eastAsia="en-US"/>
              </w:rPr>
            </w:pPr>
            <w:r w:rsidRPr="00821556">
              <w:rPr>
                <w:rFonts w:ascii="Arial" w:hAnsi="Arial"/>
                <w:b/>
                <w:color w:val="000000"/>
                <w:sz w:val="16"/>
                <w:lang w:eastAsia="en-US"/>
              </w:rPr>
              <w:t xml:space="preserve">Total </w:t>
            </w:r>
          </w:p>
        </w:tc>
        <w:tc>
          <w:tcPr>
            <w:tcW w:w="659" w:type="pct"/>
          </w:tcPr>
          <w:p w:rsidR="006D3FA7" w:rsidRPr="00327940" w:rsidRDefault="006D3FA7" w:rsidP="00135409">
            <w:pPr>
              <w:spacing w:before="60" w:after="60" w:line="200" w:lineRule="atLeast"/>
              <w:jc w:val="right"/>
              <w:rPr>
                <w:rFonts w:ascii="Arial" w:hAnsi="Arial"/>
                <w:b/>
                <w:color w:val="000000"/>
                <w:sz w:val="16"/>
              </w:rPr>
            </w:pPr>
            <w:r w:rsidRPr="00327940">
              <w:rPr>
                <w:rFonts w:ascii="Arial" w:hAnsi="Arial"/>
                <w:b/>
                <w:color w:val="000000"/>
                <w:sz w:val="16"/>
              </w:rPr>
              <w:t>30</w:t>
            </w:r>
          </w:p>
        </w:tc>
        <w:tc>
          <w:tcPr>
            <w:tcW w:w="657" w:type="pct"/>
          </w:tcPr>
          <w:p w:rsidR="006D3FA7" w:rsidRPr="00327940" w:rsidRDefault="006D3FA7" w:rsidP="00135409">
            <w:pPr>
              <w:spacing w:before="60" w:after="60" w:line="200" w:lineRule="atLeast"/>
              <w:jc w:val="right"/>
              <w:rPr>
                <w:rFonts w:ascii="Arial" w:hAnsi="Arial"/>
                <w:b/>
                <w:color w:val="000000"/>
                <w:sz w:val="16"/>
              </w:rPr>
            </w:pPr>
            <w:r w:rsidRPr="00327940">
              <w:rPr>
                <w:rFonts w:ascii="Arial" w:hAnsi="Arial"/>
                <w:b/>
                <w:color w:val="000000"/>
                <w:sz w:val="16"/>
              </w:rPr>
              <w:t>19</w:t>
            </w:r>
          </w:p>
        </w:tc>
        <w:tc>
          <w:tcPr>
            <w:tcW w:w="659" w:type="pct"/>
            <w:shd w:val="clear" w:color="auto" w:fill="auto"/>
          </w:tcPr>
          <w:p w:rsidR="006D3FA7" w:rsidRPr="00327940" w:rsidRDefault="006D3FA7" w:rsidP="00135409">
            <w:pPr>
              <w:spacing w:before="60" w:after="60" w:line="200" w:lineRule="atLeast"/>
              <w:jc w:val="right"/>
              <w:rPr>
                <w:rFonts w:ascii="Arial" w:hAnsi="Arial"/>
                <w:b/>
                <w:color w:val="000000"/>
                <w:sz w:val="16"/>
              </w:rPr>
            </w:pPr>
            <w:r w:rsidRPr="00327940">
              <w:rPr>
                <w:rFonts w:ascii="Arial" w:hAnsi="Arial"/>
                <w:b/>
                <w:color w:val="000000"/>
                <w:sz w:val="16"/>
              </w:rPr>
              <w:t>49</w:t>
            </w:r>
          </w:p>
        </w:tc>
        <w:tc>
          <w:tcPr>
            <w:tcW w:w="657" w:type="pct"/>
          </w:tcPr>
          <w:p w:rsidR="006D3FA7" w:rsidRPr="00327940" w:rsidRDefault="006D3FA7" w:rsidP="00135409">
            <w:pPr>
              <w:spacing w:before="60" w:after="60" w:line="200" w:lineRule="atLeast"/>
              <w:jc w:val="right"/>
              <w:rPr>
                <w:rFonts w:ascii="Arial" w:hAnsi="Arial"/>
                <w:b/>
                <w:color w:val="000000"/>
                <w:sz w:val="16"/>
              </w:rPr>
            </w:pPr>
            <w:r w:rsidRPr="00327940">
              <w:rPr>
                <w:rFonts w:ascii="Arial" w:hAnsi="Arial"/>
                <w:b/>
                <w:color w:val="000000"/>
                <w:sz w:val="16"/>
              </w:rPr>
              <w:t xml:space="preserve">0.6 </w:t>
            </w:r>
          </w:p>
        </w:tc>
        <w:tc>
          <w:tcPr>
            <w:tcW w:w="659" w:type="pct"/>
          </w:tcPr>
          <w:p w:rsidR="006D3FA7" w:rsidRPr="00327940" w:rsidRDefault="006D3FA7" w:rsidP="00135409">
            <w:pPr>
              <w:spacing w:before="60" w:after="60" w:line="200" w:lineRule="atLeast"/>
              <w:jc w:val="right"/>
              <w:rPr>
                <w:rFonts w:ascii="Arial" w:hAnsi="Arial"/>
                <w:b/>
                <w:color w:val="000000"/>
                <w:sz w:val="16"/>
              </w:rPr>
            </w:pPr>
            <w:r w:rsidRPr="00327940">
              <w:rPr>
                <w:rFonts w:ascii="Arial" w:hAnsi="Arial"/>
                <w:b/>
                <w:color w:val="000000"/>
                <w:sz w:val="16"/>
              </w:rPr>
              <w:t xml:space="preserve">0.4 </w:t>
            </w:r>
          </w:p>
        </w:tc>
        <w:tc>
          <w:tcPr>
            <w:tcW w:w="823" w:type="pct"/>
            <w:shd w:val="clear" w:color="auto" w:fill="auto"/>
          </w:tcPr>
          <w:p w:rsidR="006D3FA7" w:rsidRPr="00327940" w:rsidRDefault="006D3FA7" w:rsidP="00135409">
            <w:pPr>
              <w:spacing w:before="60" w:after="60" w:line="200" w:lineRule="atLeast"/>
              <w:jc w:val="right"/>
              <w:rPr>
                <w:rFonts w:ascii="Arial" w:hAnsi="Arial"/>
                <w:b/>
                <w:color w:val="000000"/>
                <w:sz w:val="16"/>
              </w:rPr>
            </w:pPr>
            <w:r w:rsidRPr="00327940">
              <w:rPr>
                <w:rFonts w:ascii="Arial" w:hAnsi="Arial"/>
                <w:b/>
                <w:color w:val="000000"/>
                <w:sz w:val="16"/>
              </w:rPr>
              <w:t xml:space="preserve">0.5 </w:t>
            </w:r>
          </w:p>
        </w:tc>
      </w:tr>
    </w:tbl>
    <w:p w:rsidR="00EC1136" w:rsidRPr="008A4FA2" w:rsidRDefault="00EC1136" w:rsidP="00A6091A">
      <w:pPr>
        <w:pStyle w:val="StyleArial7ptBefore6pt"/>
      </w:pPr>
      <w:r w:rsidRPr="008A4FA2">
        <w:t>Notes</w:t>
      </w:r>
    </w:p>
    <w:p w:rsidR="00EC1136" w:rsidRPr="008A4FA2" w:rsidRDefault="00EC1136" w:rsidP="00A6091A">
      <w:pPr>
        <w:pStyle w:val="StyleArial7ptBefore6pt"/>
      </w:pPr>
      <w:r w:rsidRPr="008A4FA2">
        <w:t xml:space="preserve">1. </w:t>
      </w:r>
      <w:r w:rsidRPr="008A4FA2">
        <w:tab/>
        <w:t xml:space="preserve">Data are aggregated for a two-year period due to the small number of homicide deaths. </w:t>
      </w:r>
    </w:p>
    <w:p w:rsidR="00EC1136" w:rsidRPr="008A4FA2" w:rsidRDefault="00EC1136" w:rsidP="00A6091A">
      <w:pPr>
        <w:pStyle w:val="StyleArial7ptBefore6pt"/>
      </w:pPr>
      <w:r w:rsidRPr="008A4FA2">
        <w:t xml:space="preserve">2. </w:t>
      </w:r>
      <w:r w:rsidRPr="008A4FA2">
        <w:tab/>
        <w:t>To protect privacy, disaggregation by Indigenous status is not available for total homicide victims aged 0</w:t>
      </w:r>
      <w:r w:rsidR="00945F81" w:rsidRPr="008A4FA2">
        <w:t xml:space="preserve"> to </w:t>
      </w:r>
      <w:r w:rsidRPr="008A4FA2">
        <w:t>17 due to small cell sizes.</w:t>
      </w:r>
    </w:p>
    <w:p w:rsidR="00EC1136" w:rsidRPr="008A4FA2" w:rsidRDefault="00EC1136" w:rsidP="00A6091A">
      <w:pPr>
        <w:pStyle w:val="StyleArial7ptBefore6pt"/>
      </w:pPr>
      <w:r w:rsidRPr="008A4FA2">
        <w:t xml:space="preserve">Source: AIHW analysis of </w:t>
      </w:r>
      <w:r w:rsidR="00DC4622" w:rsidRPr="008A4FA2">
        <w:t>Australian Institute of Criminology (</w:t>
      </w:r>
      <w:r w:rsidRPr="008A4FA2">
        <w:t>AIC</w:t>
      </w:r>
      <w:r w:rsidR="00DC4622" w:rsidRPr="008A4FA2">
        <w:t>)</w:t>
      </w:r>
      <w:r w:rsidRPr="008A4FA2">
        <w:t xml:space="preserve"> National Homicide Monitoring Program data from Chan and Payne 2013. </w:t>
      </w:r>
    </w:p>
    <w:p w:rsidR="003E43D9" w:rsidRDefault="003E43D9">
      <w:pPr>
        <w:rPr>
          <w:rFonts w:ascii="Arial" w:hAnsi="Arial"/>
          <w:bCs/>
          <w:color w:val="00755E"/>
          <w:sz w:val="24"/>
          <w:szCs w:val="26"/>
        </w:rPr>
      </w:pPr>
      <w:r>
        <w:br w:type="page"/>
      </w:r>
    </w:p>
    <w:p w:rsidR="000E42E6" w:rsidRPr="00084FFD" w:rsidRDefault="00EC1136" w:rsidP="00084FFD">
      <w:pPr>
        <w:pStyle w:val="Heading3"/>
      </w:pPr>
      <w:bookmarkStart w:id="79" w:name="_Toc400007695"/>
      <w:r w:rsidRPr="00084FFD">
        <w:t>Early childhood development</w:t>
      </w:r>
      <w:bookmarkEnd w:id="79"/>
    </w:p>
    <w:p w:rsidR="00EC1136" w:rsidRPr="006E4356" w:rsidRDefault="00EC1136" w:rsidP="004B3342">
      <w:pPr>
        <w:pStyle w:val="Heading4a"/>
      </w:pPr>
      <w:r w:rsidRPr="006E4356">
        <w:t xml:space="preserve">Indicator 0.6: Proportion of children who are developmentally vulnerable on one or more domains of the </w:t>
      </w:r>
      <w:r w:rsidR="002510D0" w:rsidRPr="006E4356">
        <w:t>Australian Early Development Index (</w:t>
      </w:r>
      <w:r w:rsidRPr="006E4356">
        <w:t>AEDI</w:t>
      </w:r>
      <w:r w:rsidR="002510D0" w:rsidRPr="006E4356">
        <w:t>)</w:t>
      </w:r>
    </w:p>
    <w:p w:rsidR="00EC1136" w:rsidRPr="00A127A9" w:rsidRDefault="00EC1136" w:rsidP="00EC1136">
      <w:pPr>
        <w:rPr>
          <w:rFonts w:ascii="Calibri" w:hAnsi="Calibri"/>
          <w:sz w:val="24"/>
          <w:lang w:eastAsia="en-AU"/>
        </w:rPr>
      </w:pPr>
    </w:p>
    <w:p w:rsidR="00EC1136" w:rsidRPr="00821556" w:rsidRDefault="00EC1136" w:rsidP="00EC1136">
      <w:pPr>
        <w:rPr>
          <w:rFonts w:ascii="Calibri" w:hAnsi="Calibri" w:cs="Calibri"/>
          <w:sz w:val="24"/>
          <w:szCs w:val="24"/>
          <w:lang w:eastAsia="en-AU"/>
        </w:rPr>
      </w:pPr>
      <w:r>
        <w:rPr>
          <w:rFonts w:ascii="Calibri" w:hAnsi="Calibri" w:cs="Calibri"/>
          <w:sz w:val="24"/>
          <w:szCs w:val="24"/>
          <w:lang w:eastAsia="en-AU"/>
        </w:rPr>
        <w:t xml:space="preserve">There is clear evidence that children’s early development has </w:t>
      </w:r>
      <w:r w:rsidRPr="00134903">
        <w:rPr>
          <w:rFonts w:ascii="Calibri" w:hAnsi="Calibri" w:cs="Calibri"/>
          <w:sz w:val="24"/>
          <w:szCs w:val="24"/>
          <w:lang w:eastAsia="en-AU"/>
        </w:rPr>
        <w:t>a</w:t>
      </w:r>
      <w:r>
        <w:rPr>
          <w:rFonts w:ascii="Calibri" w:hAnsi="Calibri" w:cs="Calibri"/>
          <w:sz w:val="24"/>
          <w:szCs w:val="24"/>
          <w:lang w:eastAsia="en-AU"/>
        </w:rPr>
        <w:t xml:space="preserve"> </w:t>
      </w:r>
      <w:r w:rsidRPr="00134903">
        <w:rPr>
          <w:rFonts w:ascii="Calibri" w:hAnsi="Calibri" w:cs="Calibri"/>
          <w:sz w:val="24"/>
          <w:szCs w:val="24"/>
          <w:lang w:eastAsia="en-AU"/>
        </w:rPr>
        <w:t>profound impact on their future health, development, learning and wellbeing</w:t>
      </w:r>
      <w:r>
        <w:rPr>
          <w:rFonts w:ascii="Calibri" w:hAnsi="Calibri" w:cs="Calibri"/>
          <w:sz w:val="24"/>
          <w:szCs w:val="24"/>
          <w:lang w:eastAsia="en-AU"/>
        </w:rPr>
        <w:t xml:space="preserve"> (</w:t>
      </w:r>
      <w:r w:rsidRPr="00134903">
        <w:rPr>
          <w:rFonts w:ascii="Calibri" w:hAnsi="Calibri" w:cs="Calibri"/>
          <w:sz w:val="24"/>
          <w:szCs w:val="24"/>
          <w:lang w:eastAsia="en-AU"/>
        </w:rPr>
        <w:t>DEEWR 2013</w:t>
      </w:r>
      <w:r>
        <w:rPr>
          <w:rFonts w:ascii="Calibri" w:hAnsi="Calibri" w:cs="Calibri"/>
          <w:sz w:val="24"/>
          <w:szCs w:val="24"/>
          <w:lang w:eastAsia="en-AU"/>
        </w:rPr>
        <w:t>)</w:t>
      </w:r>
      <w:r w:rsidRPr="00134903">
        <w:rPr>
          <w:rFonts w:ascii="Calibri" w:hAnsi="Calibri" w:cs="Calibri"/>
          <w:sz w:val="24"/>
          <w:szCs w:val="24"/>
          <w:lang w:eastAsia="en-AU"/>
        </w:rPr>
        <w:t>.</w:t>
      </w:r>
      <w:r w:rsidRPr="00821556">
        <w:rPr>
          <w:rFonts w:ascii="Calibri" w:hAnsi="Calibri" w:cs="Calibri"/>
          <w:sz w:val="24"/>
          <w:szCs w:val="24"/>
          <w:lang w:eastAsia="en-AU"/>
        </w:rPr>
        <w:t xml:space="preserve"> </w:t>
      </w:r>
      <w:r>
        <w:rPr>
          <w:rFonts w:ascii="Calibri" w:hAnsi="Calibri" w:cs="Calibri"/>
          <w:sz w:val="24"/>
          <w:szCs w:val="24"/>
          <w:lang w:eastAsia="en-AU"/>
        </w:rPr>
        <w:t>For this reason</w:t>
      </w:r>
      <w:r w:rsidRPr="00821556">
        <w:rPr>
          <w:rFonts w:ascii="Calibri" w:hAnsi="Calibri" w:cs="Calibri"/>
          <w:sz w:val="24"/>
          <w:szCs w:val="24"/>
          <w:lang w:eastAsia="en-AU"/>
        </w:rPr>
        <w:t xml:space="preserve">, the proportion of children who are developmentally vulnerable is a useful indicator of </w:t>
      </w:r>
      <w:r w:rsidR="002510D0">
        <w:rPr>
          <w:rFonts w:ascii="Calibri" w:hAnsi="Calibri" w:cs="Calibri"/>
          <w:sz w:val="24"/>
          <w:szCs w:val="24"/>
          <w:lang w:eastAsia="en-AU"/>
        </w:rPr>
        <w:t xml:space="preserve">the number of </w:t>
      </w:r>
      <w:r w:rsidRPr="00821556">
        <w:rPr>
          <w:rFonts w:ascii="Calibri" w:hAnsi="Calibri" w:cs="Calibri"/>
          <w:sz w:val="24"/>
          <w:szCs w:val="24"/>
          <w:lang w:eastAsia="en-AU"/>
        </w:rPr>
        <w:t>children in need of intervention to meet developmental milestones.</w:t>
      </w:r>
      <w:r>
        <w:rPr>
          <w:rFonts w:ascii="Calibri" w:hAnsi="Calibri" w:cs="Calibri"/>
          <w:sz w:val="24"/>
          <w:szCs w:val="24"/>
          <w:lang w:eastAsia="en-AU"/>
        </w:rPr>
        <w:t xml:space="preserve"> </w:t>
      </w:r>
      <w:r w:rsidRPr="00821556">
        <w:rPr>
          <w:rFonts w:ascii="Calibri" w:hAnsi="Calibri" w:cs="Calibri"/>
          <w:sz w:val="24"/>
          <w:szCs w:val="24"/>
          <w:lang w:eastAsia="en-AU"/>
        </w:rPr>
        <w:t>The AEDI is a population measure of children’s development, based on the scores from a teacher-completed checklist in their first year of formal schooling</w:t>
      </w:r>
      <w:r>
        <w:rPr>
          <w:rFonts w:ascii="Calibri" w:hAnsi="Calibri" w:cs="Calibri"/>
          <w:sz w:val="24"/>
          <w:szCs w:val="24"/>
          <w:lang w:eastAsia="en-AU"/>
        </w:rPr>
        <w:t xml:space="preserve"> (</w:t>
      </w:r>
      <w:r w:rsidRPr="000B2B01">
        <w:rPr>
          <w:rFonts w:ascii="Calibri" w:hAnsi="Calibri" w:cs="Calibri"/>
          <w:sz w:val="24"/>
          <w:szCs w:val="24"/>
          <w:lang w:eastAsia="en-AU"/>
        </w:rPr>
        <w:t>the preparatory year prior to Year 1</w:t>
      </w:r>
      <w:r>
        <w:rPr>
          <w:rFonts w:ascii="Calibri" w:hAnsi="Calibri" w:cs="Calibri"/>
          <w:sz w:val="24"/>
          <w:szCs w:val="24"/>
          <w:lang w:eastAsia="en-AU"/>
        </w:rPr>
        <w:t>)</w:t>
      </w:r>
      <w:r w:rsidRPr="00821556">
        <w:rPr>
          <w:rFonts w:ascii="Calibri" w:hAnsi="Calibri" w:cs="Calibri"/>
          <w:sz w:val="24"/>
          <w:szCs w:val="24"/>
          <w:lang w:eastAsia="en-AU"/>
        </w:rPr>
        <w:t>.</w:t>
      </w:r>
      <w:r>
        <w:rPr>
          <w:rFonts w:ascii="Calibri" w:hAnsi="Calibri" w:cs="Calibri"/>
          <w:sz w:val="24"/>
          <w:szCs w:val="24"/>
          <w:lang w:eastAsia="en-AU"/>
        </w:rPr>
        <w:t xml:space="preserve"> </w:t>
      </w:r>
      <w:r w:rsidRPr="00821556">
        <w:rPr>
          <w:rFonts w:ascii="Calibri" w:hAnsi="Calibri" w:cs="Calibri"/>
          <w:sz w:val="24"/>
          <w:szCs w:val="24"/>
          <w:lang w:eastAsia="en-AU"/>
        </w:rPr>
        <w:t>It is measured across the following five domains:</w:t>
      </w:r>
    </w:p>
    <w:p w:rsidR="00EC1136" w:rsidRPr="00821556" w:rsidRDefault="00EC1136" w:rsidP="00EC1136">
      <w:pPr>
        <w:pStyle w:val="ListBullet"/>
        <w:rPr>
          <w:lang w:eastAsia="en-AU"/>
        </w:rPr>
      </w:pPr>
      <w:r>
        <w:rPr>
          <w:lang w:eastAsia="en-AU"/>
        </w:rPr>
        <w:t>p</w:t>
      </w:r>
      <w:r w:rsidRPr="00821556">
        <w:rPr>
          <w:lang w:eastAsia="en-AU"/>
        </w:rPr>
        <w:t>hysical health and wellbeing</w:t>
      </w:r>
    </w:p>
    <w:p w:rsidR="00EC1136" w:rsidRPr="00821556" w:rsidRDefault="00EC1136" w:rsidP="00EC1136">
      <w:pPr>
        <w:pStyle w:val="ListBullet"/>
        <w:rPr>
          <w:lang w:eastAsia="en-AU"/>
        </w:rPr>
      </w:pPr>
      <w:r>
        <w:rPr>
          <w:lang w:eastAsia="en-AU"/>
        </w:rPr>
        <w:t>s</w:t>
      </w:r>
      <w:r w:rsidRPr="00821556">
        <w:rPr>
          <w:lang w:eastAsia="en-AU"/>
        </w:rPr>
        <w:t>ocial competence</w:t>
      </w:r>
    </w:p>
    <w:p w:rsidR="00EC1136" w:rsidRPr="00821556" w:rsidRDefault="00EC1136" w:rsidP="00EC1136">
      <w:pPr>
        <w:pStyle w:val="ListBullet"/>
        <w:rPr>
          <w:lang w:eastAsia="en-AU"/>
        </w:rPr>
      </w:pPr>
      <w:r>
        <w:rPr>
          <w:lang w:eastAsia="en-AU"/>
        </w:rPr>
        <w:t>e</w:t>
      </w:r>
      <w:r w:rsidRPr="00821556">
        <w:rPr>
          <w:lang w:eastAsia="en-AU"/>
        </w:rPr>
        <w:t>motional maturity</w:t>
      </w:r>
    </w:p>
    <w:p w:rsidR="00EC1136" w:rsidRPr="00821556" w:rsidRDefault="00EC1136" w:rsidP="00EC1136">
      <w:pPr>
        <w:pStyle w:val="ListBullet"/>
        <w:rPr>
          <w:lang w:eastAsia="en-AU"/>
        </w:rPr>
      </w:pPr>
      <w:r>
        <w:rPr>
          <w:lang w:eastAsia="en-AU"/>
        </w:rPr>
        <w:t>l</w:t>
      </w:r>
      <w:r w:rsidRPr="00821556">
        <w:rPr>
          <w:lang w:eastAsia="en-AU"/>
        </w:rPr>
        <w:t>anguage and cognitive skills</w:t>
      </w:r>
    </w:p>
    <w:p w:rsidR="00EC1136" w:rsidRPr="00821556" w:rsidRDefault="00EC1136" w:rsidP="00EC1136">
      <w:pPr>
        <w:pStyle w:val="ListBullet"/>
        <w:rPr>
          <w:lang w:eastAsia="en-AU"/>
        </w:rPr>
      </w:pPr>
      <w:proofErr w:type="gramStart"/>
      <w:r>
        <w:rPr>
          <w:lang w:eastAsia="en-AU"/>
        </w:rPr>
        <w:t>c</w:t>
      </w:r>
      <w:r w:rsidRPr="00821556">
        <w:rPr>
          <w:lang w:eastAsia="en-AU"/>
        </w:rPr>
        <w:t>ommunication</w:t>
      </w:r>
      <w:proofErr w:type="gramEnd"/>
      <w:r w:rsidRPr="00821556">
        <w:rPr>
          <w:lang w:eastAsia="en-AU"/>
        </w:rPr>
        <w:t xml:space="preserve"> skills and general knowledge.</w:t>
      </w:r>
    </w:p>
    <w:p w:rsidR="00EC1136" w:rsidRPr="00821556" w:rsidRDefault="00EC1136" w:rsidP="00EC1136">
      <w:pPr>
        <w:rPr>
          <w:rFonts w:ascii="Calibri" w:hAnsi="Calibri" w:cs="Calibri"/>
          <w:sz w:val="24"/>
          <w:szCs w:val="24"/>
          <w:lang w:eastAsia="en-AU"/>
        </w:rPr>
      </w:pPr>
    </w:p>
    <w:p w:rsidR="00EC1136" w:rsidRPr="00821556" w:rsidRDefault="00EC1136" w:rsidP="00EC1136">
      <w:pPr>
        <w:rPr>
          <w:rFonts w:ascii="Calibri" w:hAnsi="Calibri" w:cs="Calibri"/>
          <w:sz w:val="24"/>
          <w:szCs w:val="24"/>
          <w:lang w:eastAsia="en-AU"/>
        </w:rPr>
      </w:pPr>
      <w:r>
        <w:rPr>
          <w:rFonts w:ascii="Calibri" w:hAnsi="Calibri" w:cs="Calibri"/>
          <w:sz w:val="24"/>
          <w:szCs w:val="24"/>
          <w:lang w:eastAsia="en-AU"/>
        </w:rPr>
        <w:t xml:space="preserve">The </w:t>
      </w:r>
      <w:r w:rsidRPr="00821556">
        <w:rPr>
          <w:rFonts w:ascii="Calibri" w:hAnsi="Calibri" w:cs="Calibri"/>
          <w:sz w:val="24"/>
          <w:szCs w:val="24"/>
          <w:lang w:eastAsia="en-AU"/>
        </w:rPr>
        <w:t xml:space="preserve">AEDI </w:t>
      </w:r>
      <w:r>
        <w:rPr>
          <w:rFonts w:ascii="Calibri" w:hAnsi="Calibri" w:cs="Calibri"/>
          <w:sz w:val="24"/>
          <w:szCs w:val="24"/>
          <w:lang w:eastAsia="en-AU"/>
        </w:rPr>
        <w:t xml:space="preserve">is collected every three years, with two collections completed to date (2009 and 2012). </w:t>
      </w:r>
    </w:p>
    <w:p w:rsidR="00EC1136" w:rsidRPr="00821556" w:rsidRDefault="00EC1136" w:rsidP="00EC1136">
      <w:pPr>
        <w:rPr>
          <w:rFonts w:ascii="Calibri" w:hAnsi="Calibri" w:cs="Calibri"/>
          <w:sz w:val="24"/>
          <w:szCs w:val="24"/>
          <w:lang w:eastAsia="en-AU"/>
        </w:rPr>
      </w:pPr>
    </w:p>
    <w:p w:rsidR="00EC1136" w:rsidRDefault="00EC1136" w:rsidP="00EC1136">
      <w:pPr>
        <w:rPr>
          <w:rFonts w:ascii="Calibri" w:hAnsi="Calibri" w:cs="Calibri"/>
          <w:sz w:val="24"/>
          <w:szCs w:val="24"/>
          <w:lang w:eastAsia="en-AU"/>
        </w:rPr>
      </w:pPr>
      <w:r w:rsidRPr="00821556">
        <w:rPr>
          <w:rFonts w:ascii="Calibri" w:hAnsi="Calibri" w:cs="Calibri"/>
          <w:sz w:val="24"/>
          <w:szCs w:val="24"/>
          <w:lang w:eastAsia="en-AU"/>
        </w:rPr>
        <w:t>The majority of Australian children are doing well, with around three-quarters of children on track across all domains of the AEDI in 20</w:t>
      </w:r>
      <w:r>
        <w:rPr>
          <w:rFonts w:ascii="Calibri" w:hAnsi="Calibri" w:cs="Calibri"/>
          <w:sz w:val="24"/>
          <w:szCs w:val="24"/>
          <w:lang w:eastAsia="en-AU"/>
        </w:rPr>
        <w:t>12</w:t>
      </w:r>
      <w:r w:rsidRPr="00821556">
        <w:rPr>
          <w:rFonts w:ascii="Calibri" w:hAnsi="Calibri" w:cs="Calibri"/>
          <w:sz w:val="24"/>
          <w:szCs w:val="24"/>
          <w:lang w:eastAsia="en-AU"/>
        </w:rPr>
        <w:t>.</w:t>
      </w:r>
      <w:r>
        <w:rPr>
          <w:rFonts w:ascii="Calibri" w:hAnsi="Calibri" w:cs="Calibri"/>
          <w:sz w:val="24"/>
          <w:szCs w:val="24"/>
          <w:lang w:eastAsia="en-AU"/>
        </w:rPr>
        <w:t xml:space="preserve"> </w:t>
      </w:r>
      <w:r w:rsidRPr="00821556">
        <w:rPr>
          <w:rFonts w:ascii="Calibri" w:hAnsi="Calibri" w:cs="Calibri"/>
          <w:sz w:val="24"/>
          <w:szCs w:val="24"/>
          <w:lang w:eastAsia="en-AU"/>
        </w:rPr>
        <w:t>However, 2</w:t>
      </w:r>
      <w:r>
        <w:rPr>
          <w:rFonts w:ascii="Calibri" w:hAnsi="Calibri" w:cs="Calibri"/>
          <w:sz w:val="24"/>
          <w:szCs w:val="24"/>
          <w:lang w:eastAsia="en-AU"/>
        </w:rPr>
        <w:t>2 per cent of children we</w:t>
      </w:r>
      <w:r w:rsidRPr="00821556">
        <w:rPr>
          <w:rFonts w:ascii="Calibri" w:hAnsi="Calibri" w:cs="Calibri"/>
          <w:sz w:val="24"/>
          <w:szCs w:val="24"/>
          <w:lang w:eastAsia="en-AU"/>
        </w:rPr>
        <w:t>re developmentally vulnerable on one or more domains, and 1</w:t>
      </w:r>
      <w:r>
        <w:rPr>
          <w:rFonts w:ascii="Calibri" w:hAnsi="Calibri" w:cs="Calibri"/>
          <w:sz w:val="24"/>
          <w:szCs w:val="24"/>
          <w:lang w:eastAsia="en-AU"/>
        </w:rPr>
        <w:t>1 per cent we</w:t>
      </w:r>
      <w:r w:rsidRPr="00821556">
        <w:rPr>
          <w:rFonts w:ascii="Calibri" w:hAnsi="Calibri" w:cs="Calibri"/>
          <w:sz w:val="24"/>
          <w:szCs w:val="24"/>
          <w:lang w:eastAsia="en-AU"/>
        </w:rPr>
        <w:t>re vulnerable on two or more domains</w:t>
      </w:r>
      <w:r>
        <w:rPr>
          <w:rFonts w:ascii="Calibri" w:hAnsi="Calibri" w:cs="Calibri"/>
          <w:sz w:val="24"/>
          <w:szCs w:val="24"/>
          <w:lang w:eastAsia="en-AU"/>
        </w:rPr>
        <w:t xml:space="preserve">, accounting for around 59 900 and 29 500 children, respectively. Similar results were found in 2009 (24 and 12 per cent respectively). </w:t>
      </w:r>
      <w:r w:rsidRPr="000B2B01">
        <w:rPr>
          <w:rFonts w:ascii="Calibri" w:hAnsi="Calibri" w:cs="Calibri"/>
          <w:sz w:val="24"/>
          <w:szCs w:val="24"/>
          <w:lang w:eastAsia="en-AU"/>
        </w:rPr>
        <w:t>These children are considered to be at particularly high risk developmentall</w:t>
      </w:r>
      <w:r>
        <w:rPr>
          <w:rFonts w:ascii="Calibri" w:hAnsi="Calibri" w:cs="Calibri"/>
          <w:sz w:val="24"/>
          <w:szCs w:val="24"/>
          <w:lang w:eastAsia="en-AU"/>
        </w:rPr>
        <w:t xml:space="preserve">y. </w:t>
      </w:r>
    </w:p>
    <w:p w:rsidR="00EC1136" w:rsidRDefault="00EC1136" w:rsidP="00EC1136">
      <w:pPr>
        <w:rPr>
          <w:rFonts w:ascii="Calibri" w:hAnsi="Calibri" w:cs="Calibri"/>
          <w:sz w:val="24"/>
          <w:szCs w:val="24"/>
          <w:lang w:eastAsia="en-AU"/>
        </w:rPr>
      </w:pPr>
    </w:p>
    <w:p w:rsidR="00EC1136" w:rsidRDefault="00EC1136" w:rsidP="00EC1136">
      <w:pPr>
        <w:rPr>
          <w:rFonts w:ascii="Calibri" w:hAnsi="Calibri" w:cs="Calibri"/>
          <w:sz w:val="24"/>
          <w:szCs w:val="24"/>
          <w:lang w:eastAsia="en-AU"/>
        </w:rPr>
      </w:pPr>
      <w:r>
        <w:rPr>
          <w:rFonts w:ascii="Calibri" w:hAnsi="Calibri" w:cs="Calibri"/>
          <w:sz w:val="24"/>
          <w:szCs w:val="24"/>
          <w:lang w:eastAsia="en-AU"/>
        </w:rPr>
        <w:t xml:space="preserve">In 2012, </w:t>
      </w:r>
      <w:r w:rsidRPr="00821556">
        <w:rPr>
          <w:rFonts w:ascii="Calibri" w:hAnsi="Calibri" w:cs="Calibri"/>
          <w:sz w:val="24"/>
          <w:szCs w:val="24"/>
          <w:lang w:eastAsia="en-AU"/>
        </w:rPr>
        <w:t xml:space="preserve">Indigenous children were more than twice as likely as non-Indigenous children to be developmentally vulnerable on one </w:t>
      </w:r>
      <w:r>
        <w:rPr>
          <w:rFonts w:ascii="Calibri" w:hAnsi="Calibri" w:cs="Calibri"/>
          <w:sz w:val="24"/>
          <w:szCs w:val="24"/>
          <w:lang w:eastAsia="en-AU"/>
        </w:rPr>
        <w:t xml:space="preserve">or </w:t>
      </w:r>
      <w:r w:rsidRPr="00821556">
        <w:rPr>
          <w:rFonts w:ascii="Calibri" w:hAnsi="Calibri" w:cs="Calibri"/>
          <w:sz w:val="24"/>
          <w:szCs w:val="24"/>
          <w:lang w:eastAsia="en-AU"/>
        </w:rPr>
        <w:t>more domains (4</w:t>
      </w:r>
      <w:r>
        <w:rPr>
          <w:rFonts w:ascii="Calibri" w:hAnsi="Calibri" w:cs="Calibri"/>
          <w:sz w:val="24"/>
          <w:szCs w:val="24"/>
          <w:lang w:eastAsia="en-AU"/>
        </w:rPr>
        <w:t>3 per cent</w:t>
      </w:r>
      <w:r w:rsidRPr="00821556">
        <w:rPr>
          <w:rFonts w:ascii="Calibri" w:hAnsi="Calibri" w:cs="Calibri"/>
          <w:sz w:val="24"/>
          <w:szCs w:val="24"/>
          <w:lang w:eastAsia="en-AU"/>
        </w:rPr>
        <w:t xml:space="preserve"> compared with 2</w:t>
      </w:r>
      <w:r>
        <w:rPr>
          <w:rFonts w:ascii="Calibri" w:hAnsi="Calibri" w:cs="Calibri"/>
          <w:sz w:val="24"/>
          <w:szCs w:val="24"/>
          <w:lang w:eastAsia="en-AU"/>
        </w:rPr>
        <w:t>1 per cent</w:t>
      </w:r>
      <w:r w:rsidRPr="00821556">
        <w:rPr>
          <w:rFonts w:ascii="Calibri" w:hAnsi="Calibri" w:cs="Calibri"/>
          <w:sz w:val="24"/>
          <w:szCs w:val="24"/>
          <w:lang w:eastAsia="en-AU"/>
        </w:rPr>
        <w:t>), and two or more domains (</w:t>
      </w:r>
      <w:r>
        <w:rPr>
          <w:rFonts w:ascii="Calibri" w:hAnsi="Calibri" w:cs="Calibri"/>
          <w:sz w:val="24"/>
          <w:szCs w:val="24"/>
          <w:lang w:eastAsia="en-AU"/>
        </w:rPr>
        <w:t>26 per cent</w:t>
      </w:r>
      <w:r w:rsidRPr="00821556">
        <w:rPr>
          <w:rFonts w:ascii="Calibri" w:hAnsi="Calibri" w:cs="Calibri"/>
          <w:sz w:val="24"/>
          <w:szCs w:val="24"/>
          <w:lang w:eastAsia="en-AU"/>
        </w:rPr>
        <w:t xml:space="preserve"> compared with 1</w:t>
      </w:r>
      <w:r>
        <w:rPr>
          <w:rFonts w:ascii="Calibri" w:hAnsi="Calibri" w:cs="Calibri"/>
          <w:sz w:val="24"/>
          <w:szCs w:val="24"/>
          <w:lang w:eastAsia="en-AU"/>
        </w:rPr>
        <w:t>0 per cent</w:t>
      </w:r>
      <w:r w:rsidRPr="00821556">
        <w:rPr>
          <w:rFonts w:ascii="Calibri" w:hAnsi="Calibri" w:cs="Calibri"/>
          <w:sz w:val="24"/>
          <w:szCs w:val="24"/>
          <w:lang w:eastAsia="en-AU"/>
        </w:rPr>
        <w:t xml:space="preserve">). </w:t>
      </w:r>
    </w:p>
    <w:p w:rsidR="00EC1136" w:rsidRPr="00821556" w:rsidRDefault="00EC1136" w:rsidP="00EC1136">
      <w:pPr>
        <w:rPr>
          <w:rFonts w:ascii="Calibri" w:hAnsi="Calibri" w:cs="Calibri"/>
          <w:sz w:val="24"/>
          <w:szCs w:val="24"/>
          <w:lang w:eastAsia="en-AU"/>
        </w:rPr>
      </w:pPr>
    </w:p>
    <w:p w:rsidR="00EC1136" w:rsidRPr="00821556" w:rsidRDefault="005C08DD" w:rsidP="00C73C17">
      <w:pPr>
        <w:pStyle w:val="Figure"/>
        <w:ind w:right="2527"/>
      </w:pPr>
      <w:bookmarkStart w:id="80" w:name="_Toc400010294"/>
      <w:r>
        <w:t xml:space="preserve">Table </w:t>
      </w:r>
      <w:fldSimple w:instr=" SEQ Table \* ARABIC ">
        <w:r w:rsidR="00BF1EC9">
          <w:rPr>
            <w:noProof/>
          </w:rPr>
          <w:t>8</w:t>
        </w:r>
      </w:fldSimple>
      <w:r>
        <w:t xml:space="preserve">: </w:t>
      </w:r>
      <w:r w:rsidRPr="00821556">
        <w:t xml:space="preserve">Children developmentally vulnerable on one or more AEDI domains, </w:t>
      </w:r>
      <w:r>
        <w:t xml:space="preserve">2009 and </w:t>
      </w:r>
      <w:r w:rsidRPr="00821556">
        <w:t>20</w:t>
      </w:r>
      <w:r>
        <w:t>12</w:t>
      </w:r>
      <w:bookmarkEnd w:id="80"/>
    </w:p>
    <w:tbl>
      <w:tblPr>
        <w:tblW w:w="4296" w:type="pct"/>
        <w:tblBorders>
          <w:top w:val="single" w:sz="4" w:space="0" w:color="auto"/>
          <w:bottom w:val="single" w:sz="4" w:space="0" w:color="auto"/>
        </w:tblBorders>
        <w:tblLook w:val="04A0" w:firstRow="1" w:lastRow="0" w:firstColumn="1" w:lastColumn="0" w:noHBand="0" w:noVBand="1"/>
        <w:tblDescription w:val="Table 8: Children developmentally vulnerable on one or more AEDI domains, 2009 and 2012"/>
      </w:tblPr>
      <w:tblGrid>
        <w:gridCol w:w="2093"/>
        <w:gridCol w:w="1983"/>
        <w:gridCol w:w="1701"/>
        <w:gridCol w:w="1700"/>
        <w:gridCol w:w="1700"/>
      </w:tblGrid>
      <w:tr w:rsidR="006D3FA7" w:rsidRPr="00821556" w:rsidTr="006D3FA7">
        <w:tc>
          <w:tcPr>
            <w:tcW w:w="1140" w:type="pct"/>
            <w:tcBorders>
              <w:top w:val="single" w:sz="4" w:space="0" w:color="auto"/>
              <w:bottom w:val="single" w:sz="4" w:space="0" w:color="auto"/>
              <w:right w:val="nil"/>
            </w:tcBorders>
            <w:shd w:val="clear" w:color="auto" w:fill="auto"/>
          </w:tcPr>
          <w:p w:rsidR="006D3FA7" w:rsidRPr="00821556" w:rsidRDefault="006D3FA7" w:rsidP="00135409">
            <w:pPr>
              <w:keepLines/>
              <w:tabs>
                <w:tab w:val="left" w:pos="198"/>
              </w:tabs>
              <w:spacing w:before="60" w:after="60" w:line="200" w:lineRule="atLeast"/>
              <w:rPr>
                <w:rFonts w:ascii="Arial" w:hAnsi="Arial"/>
                <w:color w:val="000000"/>
                <w:sz w:val="16"/>
                <w:lang w:eastAsia="en-US"/>
              </w:rPr>
            </w:pPr>
          </w:p>
        </w:tc>
        <w:tc>
          <w:tcPr>
            <w:tcW w:w="1080" w:type="pct"/>
            <w:tcBorders>
              <w:top w:val="single" w:sz="4" w:space="0" w:color="auto"/>
              <w:left w:val="nil"/>
              <w:bottom w:val="single" w:sz="4" w:space="0" w:color="auto"/>
              <w:right w:val="nil"/>
            </w:tcBorders>
          </w:tcPr>
          <w:p w:rsidR="006D3FA7" w:rsidRDefault="006D3FA7" w:rsidP="00135409">
            <w:pPr>
              <w:keepLines/>
              <w:tabs>
                <w:tab w:val="left" w:pos="198"/>
              </w:tabs>
              <w:spacing w:before="60" w:after="60" w:line="200" w:lineRule="atLeast"/>
              <w:jc w:val="right"/>
              <w:rPr>
                <w:rFonts w:ascii="Arial" w:hAnsi="Arial"/>
                <w:b/>
                <w:color w:val="000000"/>
                <w:sz w:val="16"/>
                <w:lang w:eastAsia="en-US"/>
              </w:rPr>
            </w:pPr>
            <w:r w:rsidRPr="00821556">
              <w:rPr>
                <w:rFonts w:ascii="Arial" w:hAnsi="Arial"/>
                <w:b/>
                <w:color w:val="000000"/>
                <w:sz w:val="16"/>
                <w:lang w:eastAsia="en-US"/>
              </w:rPr>
              <w:t xml:space="preserve">Developmentally vulnerable on one </w:t>
            </w:r>
            <w:r>
              <w:rPr>
                <w:rFonts w:ascii="Arial" w:hAnsi="Arial"/>
                <w:b/>
                <w:color w:val="000000"/>
                <w:sz w:val="16"/>
                <w:lang w:eastAsia="en-US"/>
              </w:rPr>
              <w:br/>
            </w:r>
            <w:r w:rsidRPr="00821556">
              <w:rPr>
                <w:rFonts w:ascii="Arial" w:hAnsi="Arial"/>
                <w:b/>
                <w:color w:val="000000"/>
                <w:sz w:val="16"/>
                <w:lang w:eastAsia="en-US"/>
              </w:rPr>
              <w:t>or more domains</w:t>
            </w:r>
            <w:r>
              <w:rPr>
                <w:rFonts w:ascii="Arial" w:hAnsi="Arial"/>
                <w:b/>
                <w:color w:val="000000"/>
                <w:sz w:val="16"/>
                <w:lang w:eastAsia="en-US"/>
              </w:rPr>
              <w:br/>
              <w:t>Per cent</w:t>
            </w:r>
            <w:r>
              <w:rPr>
                <w:rFonts w:ascii="Arial" w:hAnsi="Arial"/>
                <w:b/>
                <w:color w:val="000000"/>
                <w:sz w:val="16"/>
                <w:lang w:eastAsia="en-US"/>
              </w:rPr>
              <w:br/>
              <w:t>2009</w:t>
            </w:r>
          </w:p>
        </w:tc>
        <w:tc>
          <w:tcPr>
            <w:tcW w:w="927" w:type="pct"/>
            <w:tcBorders>
              <w:top w:val="single" w:sz="4" w:space="0" w:color="auto"/>
              <w:left w:val="nil"/>
              <w:bottom w:val="single" w:sz="4" w:space="0" w:color="auto"/>
              <w:right w:val="nil"/>
            </w:tcBorders>
            <w:shd w:val="clear" w:color="auto" w:fill="auto"/>
          </w:tcPr>
          <w:p w:rsidR="006D3FA7" w:rsidRPr="00821556" w:rsidRDefault="006D3FA7" w:rsidP="0044507B">
            <w:pPr>
              <w:keepLines/>
              <w:tabs>
                <w:tab w:val="left" w:pos="198"/>
              </w:tabs>
              <w:spacing w:before="60" w:after="60" w:line="200" w:lineRule="atLeast"/>
              <w:jc w:val="right"/>
              <w:rPr>
                <w:rFonts w:ascii="Arial" w:hAnsi="Arial"/>
                <w:b/>
                <w:color w:val="000000"/>
                <w:sz w:val="16"/>
                <w:lang w:eastAsia="en-US"/>
              </w:rPr>
            </w:pPr>
            <w:r w:rsidRPr="00821556">
              <w:rPr>
                <w:rFonts w:ascii="Arial" w:hAnsi="Arial"/>
                <w:b/>
                <w:color w:val="000000"/>
                <w:sz w:val="16"/>
                <w:lang w:eastAsia="en-US"/>
              </w:rPr>
              <w:t xml:space="preserve">Developmentally vulnerable on one </w:t>
            </w:r>
            <w:r>
              <w:rPr>
                <w:rFonts w:ascii="Arial" w:hAnsi="Arial"/>
                <w:b/>
                <w:color w:val="000000"/>
                <w:sz w:val="16"/>
                <w:lang w:eastAsia="en-US"/>
              </w:rPr>
              <w:br/>
            </w:r>
            <w:r w:rsidRPr="00821556">
              <w:rPr>
                <w:rFonts w:ascii="Arial" w:hAnsi="Arial"/>
                <w:b/>
                <w:color w:val="000000"/>
                <w:sz w:val="16"/>
                <w:lang w:eastAsia="en-US"/>
              </w:rPr>
              <w:t>or more domains</w:t>
            </w:r>
            <w:r>
              <w:rPr>
                <w:rFonts w:ascii="Arial" w:hAnsi="Arial"/>
                <w:b/>
                <w:color w:val="000000"/>
                <w:sz w:val="16"/>
                <w:lang w:eastAsia="en-US"/>
              </w:rPr>
              <w:t xml:space="preserve"> Per cent</w:t>
            </w:r>
            <w:r>
              <w:rPr>
                <w:rFonts w:ascii="Arial" w:hAnsi="Arial"/>
                <w:b/>
                <w:color w:val="000000"/>
                <w:sz w:val="16"/>
                <w:lang w:eastAsia="en-US"/>
              </w:rPr>
              <w:br/>
              <w:t>2012</w:t>
            </w:r>
          </w:p>
        </w:tc>
        <w:tc>
          <w:tcPr>
            <w:tcW w:w="926" w:type="pct"/>
            <w:tcBorders>
              <w:top w:val="single" w:sz="4" w:space="0" w:color="auto"/>
              <w:left w:val="nil"/>
              <w:bottom w:val="single" w:sz="4" w:space="0" w:color="auto"/>
              <w:right w:val="nil"/>
            </w:tcBorders>
          </w:tcPr>
          <w:p w:rsidR="006D3FA7" w:rsidRPr="00821556" w:rsidRDefault="006D3FA7" w:rsidP="00244A07">
            <w:pPr>
              <w:keepLines/>
              <w:tabs>
                <w:tab w:val="left" w:pos="198"/>
              </w:tabs>
              <w:spacing w:before="60" w:after="60" w:line="200" w:lineRule="atLeast"/>
              <w:jc w:val="right"/>
              <w:rPr>
                <w:rFonts w:ascii="Arial" w:hAnsi="Arial"/>
                <w:b/>
                <w:color w:val="000000"/>
                <w:sz w:val="16"/>
                <w:lang w:eastAsia="en-US"/>
              </w:rPr>
            </w:pPr>
            <w:r w:rsidRPr="00821556">
              <w:rPr>
                <w:rFonts w:ascii="Arial" w:hAnsi="Arial"/>
                <w:b/>
                <w:color w:val="000000"/>
                <w:sz w:val="16"/>
                <w:lang w:eastAsia="en-US"/>
              </w:rPr>
              <w:t xml:space="preserve">Developmentally vulnerable on </w:t>
            </w:r>
            <w:r>
              <w:rPr>
                <w:rFonts w:ascii="Arial" w:hAnsi="Arial"/>
                <w:b/>
                <w:color w:val="000000"/>
                <w:sz w:val="16"/>
                <w:lang w:eastAsia="en-US"/>
              </w:rPr>
              <w:t>two</w:t>
            </w:r>
            <w:r w:rsidRPr="00821556">
              <w:rPr>
                <w:rFonts w:ascii="Arial" w:hAnsi="Arial"/>
                <w:b/>
                <w:color w:val="000000"/>
                <w:sz w:val="16"/>
                <w:lang w:eastAsia="en-US"/>
              </w:rPr>
              <w:t xml:space="preserve"> </w:t>
            </w:r>
            <w:r>
              <w:rPr>
                <w:rFonts w:ascii="Arial" w:hAnsi="Arial"/>
                <w:b/>
                <w:color w:val="000000"/>
                <w:sz w:val="16"/>
                <w:lang w:eastAsia="en-US"/>
              </w:rPr>
              <w:br/>
            </w:r>
            <w:r w:rsidRPr="00821556">
              <w:rPr>
                <w:rFonts w:ascii="Arial" w:hAnsi="Arial"/>
                <w:b/>
                <w:color w:val="000000"/>
                <w:sz w:val="16"/>
                <w:lang w:eastAsia="en-US"/>
              </w:rPr>
              <w:t>or more domains</w:t>
            </w:r>
            <w:r>
              <w:rPr>
                <w:rFonts w:ascii="Arial" w:hAnsi="Arial"/>
                <w:b/>
                <w:color w:val="000000"/>
                <w:sz w:val="16"/>
                <w:lang w:eastAsia="en-US"/>
              </w:rPr>
              <w:t xml:space="preserve"> Per cent</w:t>
            </w:r>
            <w:r>
              <w:rPr>
                <w:rFonts w:ascii="Arial" w:hAnsi="Arial"/>
                <w:b/>
                <w:color w:val="000000"/>
                <w:sz w:val="16"/>
                <w:lang w:eastAsia="en-US"/>
              </w:rPr>
              <w:br/>
              <w:t>2009</w:t>
            </w:r>
          </w:p>
        </w:tc>
        <w:tc>
          <w:tcPr>
            <w:tcW w:w="926" w:type="pct"/>
            <w:tcBorders>
              <w:top w:val="single" w:sz="4" w:space="0" w:color="auto"/>
              <w:left w:val="nil"/>
              <w:bottom w:val="single" w:sz="4" w:space="0" w:color="auto"/>
              <w:right w:val="nil"/>
            </w:tcBorders>
            <w:shd w:val="clear" w:color="auto" w:fill="auto"/>
          </w:tcPr>
          <w:p w:rsidR="006D3FA7" w:rsidRPr="00821556" w:rsidRDefault="006D3FA7" w:rsidP="00244A07">
            <w:pPr>
              <w:keepLines/>
              <w:tabs>
                <w:tab w:val="left" w:pos="198"/>
              </w:tabs>
              <w:spacing w:before="60" w:after="60" w:line="200" w:lineRule="atLeast"/>
              <w:jc w:val="right"/>
              <w:rPr>
                <w:rFonts w:ascii="Arial" w:hAnsi="Arial"/>
                <w:b/>
                <w:color w:val="000000"/>
                <w:sz w:val="16"/>
                <w:lang w:eastAsia="en-US"/>
              </w:rPr>
            </w:pPr>
            <w:r w:rsidRPr="00821556">
              <w:rPr>
                <w:rFonts w:ascii="Arial" w:hAnsi="Arial"/>
                <w:b/>
                <w:color w:val="000000"/>
                <w:sz w:val="16"/>
                <w:lang w:eastAsia="en-US"/>
              </w:rPr>
              <w:t xml:space="preserve">Developmentally vulnerable on </w:t>
            </w:r>
            <w:r>
              <w:rPr>
                <w:rFonts w:ascii="Arial" w:hAnsi="Arial"/>
                <w:b/>
                <w:color w:val="000000"/>
                <w:sz w:val="16"/>
                <w:lang w:eastAsia="en-US"/>
              </w:rPr>
              <w:t>two</w:t>
            </w:r>
            <w:r w:rsidRPr="00821556">
              <w:rPr>
                <w:rFonts w:ascii="Arial" w:hAnsi="Arial"/>
                <w:b/>
                <w:color w:val="000000"/>
                <w:sz w:val="16"/>
                <w:lang w:eastAsia="en-US"/>
              </w:rPr>
              <w:t xml:space="preserve"> </w:t>
            </w:r>
            <w:r>
              <w:rPr>
                <w:rFonts w:ascii="Arial" w:hAnsi="Arial"/>
                <w:b/>
                <w:color w:val="000000"/>
                <w:sz w:val="16"/>
                <w:lang w:eastAsia="en-US"/>
              </w:rPr>
              <w:br/>
            </w:r>
            <w:r w:rsidRPr="00821556">
              <w:rPr>
                <w:rFonts w:ascii="Arial" w:hAnsi="Arial"/>
                <w:b/>
                <w:color w:val="000000"/>
                <w:sz w:val="16"/>
                <w:lang w:eastAsia="en-US"/>
              </w:rPr>
              <w:t>or more domains</w:t>
            </w:r>
            <w:r>
              <w:rPr>
                <w:rFonts w:ascii="Arial" w:hAnsi="Arial"/>
                <w:b/>
                <w:color w:val="000000"/>
                <w:sz w:val="16"/>
                <w:lang w:eastAsia="en-US"/>
              </w:rPr>
              <w:br/>
              <w:t>Per cent</w:t>
            </w:r>
            <w:r>
              <w:rPr>
                <w:rFonts w:ascii="Arial" w:hAnsi="Arial"/>
                <w:b/>
                <w:color w:val="000000"/>
                <w:sz w:val="16"/>
                <w:lang w:eastAsia="en-US"/>
              </w:rPr>
              <w:br/>
              <w:t>2012</w:t>
            </w:r>
          </w:p>
        </w:tc>
      </w:tr>
      <w:tr w:rsidR="006D3FA7" w:rsidRPr="00821556" w:rsidTr="006D3FA7">
        <w:tc>
          <w:tcPr>
            <w:tcW w:w="1140" w:type="pct"/>
            <w:tcBorders>
              <w:top w:val="single" w:sz="4" w:space="0" w:color="auto"/>
              <w:right w:val="nil"/>
            </w:tcBorders>
            <w:shd w:val="clear" w:color="auto" w:fill="auto"/>
          </w:tcPr>
          <w:p w:rsidR="006D3FA7" w:rsidRPr="00821556" w:rsidRDefault="006D3FA7" w:rsidP="00135409">
            <w:pPr>
              <w:keepLines/>
              <w:tabs>
                <w:tab w:val="left" w:pos="198"/>
              </w:tabs>
              <w:spacing w:before="60" w:after="60" w:line="200" w:lineRule="atLeast"/>
              <w:rPr>
                <w:rFonts w:ascii="Arial" w:hAnsi="Arial"/>
                <w:color w:val="000000"/>
                <w:sz w:val="16"/>
                <w:lang w:eastAsia="en-US"/>
              </w:rPr>
            </w:pPr>
            <w:r w:rsidRPr="00821556">
              <w:rPr>
                <w:rFonts w:ascii="Arial" w:hAnsi="Arial"/>
                <w:color w:val="000000"/>
                <w:sz w:val="16"/>
                <w:lang w:eastAsia="en-US"/>
              </w:rPr>
              <w:t>Indigenous children</w:t>
            </w:r>
          </w:p>
        </w:tc>
        <w:tc>
          <w:tcPr>
            <w:tcW w:w="1080" w:type="pct"/>
            <w:tcBorders>
              <w:top w:val="single" w:sz="4" w:space="0" w:color="auto"/>
              <w:left w:val="nil"/>
              <w:bottom w:val="nil"/>
              <w:right w:val="nil"/>
            </w:tcBorders>
          </w:tcPr>
          <w:p w:rsidR="006D3FA7" w:rsidRDefault="006D3FA7"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47.4</w:t>
            </w:r>
          </w:p>
        </w:tc>
        <w:tc>
          <w:tcPr>
            <w:tcW w:w="927" w:type="pct"/>
            <w:tcBorders>
              <w:top w:val="single" w:sz="4" w:space="0" w:color="auto"/>
              <w:left w:val="nil"/>
              <w:bottom w:val="nil"/>
              <w:right w:val="nil"/>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43.2</w:t>
            </w:r>
          </w:p>
        </w:tc>
        <w:tc>
          <w:tcPr>
            <w:tcW w:w="926" w:type="pct"/>
            <w:tcBorders>
              <w:top w:val="single" w:sz="4" w:space="0" w:color="auto"/>
              <w:left w:val="nil"/>
              <w:bottom w:val="nil"/>
              <w:right w:val="nil"/>
            </w:tcBorders>
          </w:tcPr>
          <w:p w:rsidR="006D3FA7" w:rsidRDefault="006D3FA7"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29.6</w:t>
            </w:r>
          </w:p>
        </w:tc>
        <w:tc>
          <w:tcPr>
            <w:tcW w:w="926" w:type="pct"/>
            <w:tcBorders>
              <w:top w:val="single" w:sz="4" w:space="0" w:color="auto"/>
              <w:left w:val="nil"/>
              <w:bottom w:val="nil"/>
              <w:right w:val="nil"/>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26.0</w:t>
            </w:r>
          </w:p>
        </w:tc>
      </w:tr>
      <w:tr w:rsidR="006D3FA7" w:rsidRPr="00821556" w:rsidTr="006D3FA7">
        <w:tc>
          <w:tcPr>
            <w:tcW w:w="1140" w:type="pct"/>
            <w:tcBorders>
              <w:right w:val="nil"/>
            </w:tcBorders>
            <w:shd w:val="clear" w:color="auto" w:fill="auto"/>
          </w:tcPr>
          <w:p w:rsidR="006D3FA7" w:rsidRPr="00821556" w:rsidRDefault="006D3FA7" w:rsidP="00135409">
            <w:pPr>
              <w:keepLines/>
              <w:tabs>
                <w:tab w:val="left" w:pos="198"/>
              </w:tabs>
              <w:spacing w:before="60" w:after="60" w:line="200" w:lineRule="atLeast"/>
              <w:rPr>
                <w:rFonts w:ascii="Arial" w:hAnsi="Arial"/>
                <w:color w:val="000000"/>
                <w:sz w:val="16"/>
                <w:lang w:eastAsia="en-US"/>
              </w:rPr>
            </w:pPr>
            <w:r w:rsidRPr="00821556">
              <w:rPr>
                <w:rFonts w:ascii="Arial" w:hAnsi="Arial"/>
                <w:color w:val="000000"/>
                <w:sz w:val="16"/>
                <w:lang w:eastAsia="en-US"/>
              </w:rPr>
              <w:t>Non-Indigenous children</w:t>
            </w:r>
          </w:p>
        </w:tc>
        <w:tc>
          <w:tcPr>
            <w:tcW w:w="1080" w:type="pct"/>
            <w:tcBorders>
              <w:top w:val="nil"/>
              <w:left w:val="nil"/>
              <w:bottom w:val="nil"/>
              <w:right w:val="nil"/>
            </w:tcBorders>
          </w:tcPr>
          <w:p w:rsidR="006D3FA7" w:rsidRDefault="006D3FA7"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22.4</w:t>
            </w:r>
          </w:p>
        </w:tc>
        <w:tc>
          <w:tcPr>
            <w:tcW w:w="927" w:type="pct"/>
            <w:tcBorders>
              <w:top w:val="nil"/>
              <w:left w:val="nil"/>
              <w:bottom w:val="nil"/>
              <w:right w:val="nil"/>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20.9</w:t>
            </w:r>
          </w:p>
        </w:tc>
        <w:tc>
          <w:tcPr>
            <w:tcW w:w="926" w:type="pct"/>
            <w:tcBorders>
              <w:top w:val="nil"/>
              <w:left w:val="nil"/>
              <w:bottom w:val="nil"/>
              <w:right w:val="nil"/>
            </w:tcBorders>
          </w:tcPr>
          <w:p w:rsidR="006D3FA7" w:rsidRDefault="006D3FA7"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11.0</w:t>
            </w:r>
          </w:p>
        </w:tc>
        <w:tc>
          <w:tcPr>
            <w:tcW w:w="926" w:type="pct"/>
            <w:tcBorders>
              <w:top w:val="nil"/>
              <w:left w:val="nil"/>
              <w:bottom w:val="nil"/>
              <w:right w:val="nil"/>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10.0</w:t>
            </w:r>
          </w:p>
        </w:tc>
      </w:tr>
      <w:tr w:rsidR="006D3FA7" w:rsidRPr="00821556" w:rsidTr="006D3FA7">
        <w:tc>
          <w:tcPr>
            <w:tcW w:w="1140" w:type="pct"/>
            <w:tcBorders>
              <w:right w:val="nil"/>
            </w:tcBorders>
            <w:shd w:val="clear" w:color="auto" w:fill="auto"/>
          </w:tcPr>
          <w:p w:rsidR="006D3FA7" w:rsidRPr="00821556" w:rsidRDefault="006D3FA7" w:rsidP="00135409">
            <w:pPr>
              <w:keepLines/>
              <w:tabs>
                <w:tab w:val="left" w:pos="198"/>
              </w:tabs>
              <w:spacing w:before="60" w:after="60" w:line="200" w:lineRule="atLeast"/>
              <w:rPr>
                <w:rFonts w:ascii="Arial" w:hAnsi="Arial"/>
                <w:b/>
                <w:color w:val="000000"/>
                <w:sz w:val="16"/>
                <w:lang w:eastAsia="en-US"/>
              </w:rPr>
            </w:pPr>
            <w:r w:rsidRPr="00821556">
              <w:rPr>
                <w:rFonts w:ascii="Arial" w:hAnsi="Arial"/>
                <w:b/>
                <w:color w:val="000000"/>
                <w:sz w:val="16"/>
                <w:lang w:eastAsia="en-US"/>
              </w:rPr>
              <w:t xml:space="preserve">All children </w:t>
            </w:r>
          </w:p>
        </w:tc>
        <w:tc>
          <w:tcPr>
            <w:tcW w:w="1080" w:type="pct"/>
            <w:tcBorders>
              <w:top w:val="nil"/>
              <w:left w:val="nil"/>
              <w:bottom w:val="single" w:sz="4" w:space="0" w:color="auto"/>
              <w:right w:val="nil"/>
            </w:tcBorders>
          </w:tcPr>
          <w:p w:rsidR="006D3FA7"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23.6</w:t>
            </w:r>
          </w:p>
        </w:tc>
        <w:tc>
          <w:tcPr>
            <w:tcW w:w="927" w:type="pct"/>
            <w:tcBorders>
              <w:top w:val="nil"/>
              <w:left w:val="nil"/>
              <w:bottom w:val="single" w:sz="4" w:space="0" w:color="auto"/>
              <w:right w:val="nil"/>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22.0</w:t>
            </w:r>
          </w:p>
        </w:tc>
        <w:tc>
          <w:tcPr>
            <w:tcW w:w="926" w:type="pct"/>
            <w:tcBorders>
              <w:top w:val="nil"/>
              <w:left w:val="nil"/>
              <w:bottom w:val="single" w:sz="4" w:space="0" w:color="auto"/>
              <w:right w:val="nil"/>
            </w:tcBorders>
          </w:tcPr>
          <w:p w:rsidR="006D3FA7"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11.8</w:t>
            </w:r>
          </w:p>
        </w:tc>
        <w:tc>
          <w:tcPr>
            <w:tcW w:w="926" w:type="pct"/>
            <w:tcBorders>
              <w:top w:val="nil"/>
              <w:left w:val="nil"/>
              <w:bottom w:val="single" w:sz="4" w:space="0" w:color="auto"/>
              <w:right w:val="nil"/>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10.8</w:t>
            </w:r>
          </w:p>
        </w:tc>
      </w:tr>
    </w:tbl>
    <w:p w:rsidR="00EC1136" w:rsidRDefault="00EC1136" w:rsidP="00A6091A">
      <w:pPr>
        <w:pStyle w:val="StyleArial7ptBefore6pt"/>
        <w:rPr>
          <w:lang w:eastAsia="en-US"/>
        </w:rPr>
      </w:pPr>
      <w:r w:rsidRPr="00A57CA4">
        <w:rPr>
          <w:lang w:eastAsia="en-US"/>
        </w:rPr>
        <w:t>Source</w:t>
      </w:r>
      <w:r>
        <w:rPr>
          <w:lang w:eastAsia="en-US"/>
        </w:rPr>
        <w:t>s</w:t>
      </w:r>
      <w:r w:rsidRPr="00821556">
        <w:rPr>
          <w:lang w:eastAsia="en-US"/>
        </w:rPr>
        <w:t xml:space="preserve">: </w:t>
      </w:r>
      <w:r w:rsidR="00C77E18" w:rsidRPr="00C77E18">
        <w:rPr>
          <w:lang w:eastAsia="en-US"/>
        </w:rPr>
        <w:t>Centre for Community Child Health (CCCH) and Telethon Institute for Child Health Research (TICHR)</w:t>
      </w:r>
      <w:r>
        <w:rPr>
          <w:lang w:eastAsia="en-US"/>
        </w:rPr>
        <w:t xml:space="preserve"> 2009; DEEWR 2013</w:t>
      </w:r>
      <w:r w:rsidRPr="00821556">
        <w:rPr>
          <w:lang w:eastAsia="en-US"/>
        </w:rPr>
        <w:t>.</w:t>
      </w:r>
    </w:p>
    <w:p w:rsidR="00F0794D" w:rsidRPr="00084FFD" w:rsidRDefault="00F0794D" w:rsidP="00084FFD">
      <w:pPr>
        <w:pStyle w:val="Heading3"/>
      </w:pPr>
      <w:bookmarkStart w:id="81" w:name="_Toc400007696"/>
      <w:r w:rsidRPr="00821556">
        <w:t>Family economic situation</w:t>
      </w:r>
      <w:bookmarkEnd w:id="81"/>
    </w:p>
    <w:p w:rsidR="00EC1136" w:rsidRPr="006E4356" w:rsidRDefault="00EC1136" w:rsidP="004B3342">
      <w:pPr>
        <w:pStyle w:val="Heading4a"/>
      </w:pPr>
      <w:r w:rsidRPr="006E4356">
        <w:t>Indicator 0.8: Proportion of households with children aged 0</w:t>
      </w:r>
      <w:r w:rsidR="002A6F82" w:rsidRPr="006E4356">
        <w:t>–</w:t>
      </w:r>
      <w:r w:rsidRPr="006E4356">
        <w:t>14 years where at least 50% of gross household income is from government pensions and allowances</w:t>
      </w:r>
    </w:p>
    <w:p w:rsidR="00EC1136" w:rsidRPr="00CD2EF5" w:rsidRDefault="00EC1136" w:rsidP="00EC1136">
      <w:pPr>
        <w:rPr>
          <w:rFonts w:ascii="Calibri" w:hAnsi="Calibri" w:cs="Calibri"/>
          <w:sz w:val="24"/>
          <w:szCs w:val="24"/>
          <w:lang w:eastAsia="en-AU"/>
        </w:rPr>
      </w:pPr>
    </w:p>
    <w:p w:rsidR="00EC1136" w:rsidRDefault="00EC1136" w:rsidP="00EC1136">
      <w:pPr>
        <w:rPr>
          <w:rFonts w:ascii="Calibri" w:hAnsi="Calibri" w:cs="Calibri"/>
          <w:sz w:val="24"/>
          <w:szCs w:val="24"/>
          <w:lang w:eastAsia="en-AU"/>
        </w:rPr>
      </w:pPr>
      <w:r w:rsidRPr="00CD2EF5">
        <w:rPr>
          <w:rFonts w:ascii="Calibri" w:hAnsi="Calibri" w:cs="Calibri"/>
          <w:sz w:val="24"/>
          <w:szCs w:val="24"/>
          <w:lang w:eastAsia="en-AU"/>
        </w:rPr>
        <w:t xml:space="preserve">Reliance on income support is often associated with </w:t>
      </w:r>
      <w:r w:rsidR="00C14120" w:rsidRPr="00CD2EF5">
        <w:rPr>
          <w:rFonts w:ascii="Calibri" w:hAnsi="Calibri" w:cs="Calibri"/>
          <w:sz w:val="24"/>
          <w:szCs w:val="24"/>
          <w:lang w:eastAsia="en-AU"/>
        </w:rPr>
        <w:t>long</w:t>
      </w:r>
      <w:r w:rsidR="00C14120">
        <w:rPr>
          <w:rFonts w:ascii="Calibri" w:hAnsi="Calibri" w:cs="Calibri"/>
          <w:sz w:val="24"/>
          <w:szCs w:val="24"/>
          <w:lang w:eastAsia="en-AU"/>
        </w:rPr>
        <w:t>-</w:t>
      </w:r>
      <w:r w:rsidRPr="00CD2EF5">
        <w:rPr>
          <w:rFonts w:ascii="Calibri" w:hAnsi="Calibri" w:cs="Calibri"/>
          <w:sz w:val="24"/>
          <w:szCs w:val="24"/>
          <w:lang w:eastAsia="en-AU"/>
        </w:rPr>
        <w:t>term poverty and social exclusion. The extent and duration of income support varies across households</w:t>
      </w:r>
      <w:r w:rsidR="002A6F82">
        <w:rPr>
          <w:rFonts w:ascii="Calibri" w:hAnsi="Calibri" w:cs="Calibri"/>
          <w:sz w:val="24"/>
          <w:szCs w:val="24"/>
          <w:lang w:eastAsia="en-AU"/>
        </w:rPr>
        <w:t xml:space="preserve">: </w:t>
      </w:r>
      <w:r w:rsidRPr="00CD2EF5">
        <w:rPr>
          <w:rFonts w:ascii="Calibri" w:hAnsi="Calibri" w:cs="Calibri"/>
          <w:sz w:val="24"/>
          <w:szCs w:val="24"/>
          <w:lang w:eastAsia="en-AU"/>
        </w:rPr>
        <w:t xml:space="preserve">some receive income support for relatively short periods, while others are reliant for a longer duration. The highest level of reliance is found among lone parents with dependent children, </w:t>
      </w:r>
      <w:r w:rsidR="002A6F82">
        <w:rPr>
          <w:rFonts w:ascii="Calibri" w:hAnsi="Calibri" w:cs="Calibri"/>
          <w:sz w:val="24"/>
          <w:szCs w:val="24"/>
          <w:lang w:eastAsia="en-AU"/>
        </w:rPr>
        <w:t>where</w:t>
      </w:r>
      <w:r w:rsidR="002A6F82" w:rsidRPr="00CD2EF5">
        <w:rPr>
          <w:rFonts w:ascii="Calibri" w:hAnsi="Calibri" w:cs="Calibri"/>
          <w:sz w:val="24"/>
          <w:szCs w:val="24"/>
          <w:lang w:eastAsia="en-AU"/>
        </w:rPr>
        <w:t xml:space="preserve"> </w:t>
      </w:r>
      <w:r w:rsidRPr="00CD2EF5">
        <w:rPr>
          <w:rFonts w:ascii="Calibri" w:hAnsi="Calibri" w:cs="Calibri"/>
          <w:sz w:val="24"/>
          <w:szCs w:val="24"/>
          <w:lang w:eastAsia="en-AU"/>
        </w:rPr>
        <w:t>childrearing responsibilities often limit their ability to gain employment (</w:t>
      </w:r>
      <w:r w:rsidRPr="00645217">
        <w:rPr>
          <w:rFonts w:ascii="Calibri" w:hAnsi="Calibri" w:cs="Calibri"/>
          <w:sz w:val="24"/>
          <w:szCs w:val="24"/>
          <w:lang w:eastAsia="en-AU"/>
        </w:rPr>
        <w:t>Tseng &amp; Wilkins 2002</w:t>
      </w:r>
      <w:r w:rsidRPr="00CD2EF5">
        <w:rPr>
          <w:rFonts w:ascii="Calibri" w:hAnsi="Calibri" w:cs="Calibri"/>
          <w:sz w:val="24"/>
          <w:szCs w:val="24"/>
          <w:lang w:eastAsia="en-AU"/>
        </w:rPr>
        <w:t>).</w:t>
      </w:r>
    </w:p>
    <w:p w:rsidR="00EC1136" w:rsidRDefault="00EC1136" w:rsidP="00EC1136">
      <w:pPr>
        <w:rPr>
          <w:rFonts w:ascii="Calibri" w:hAnsi="Calibri" w:cs="Calibri"/>
          <w:sz w:val="24"/>
          <w:szCs w:val="24"/>
          <w:lang w:eastAsia="en-AU"/>
        </w:rPr>
      </w:pPr>
    </w:p>
    <w:p w:rsidR="00EC1136" w:rsidRDefault="00EC1136" w:rsidP="00EC1136">
      <w:pPr>
        <w:rPr>
          <w:rFonts w:ascii="Calibri" w:hAnsi="Calibri" w:cs="Calibri"/>
          <w:sz w:val="24"/>
          <w:szCs w:val="24"/>
          <w:lang w:eastAsia="en-AU"/>
        </w:rPr>
      </w:pPr>
      <w:r w:rsidRPr="008B7749">
        <w:rPr>
          <w:rFonts w:ascii="Calibri" w:hAnsi="Calibri" w:cs="Calibri"/>
          <w:sz w:val="24"/>
          <w:szCs w:val="24"/>
          <w:lang w:eastAsia="en-AU"/>
        </w:rPr>
        <w:t>In 20</w:t>
      </w:r>
      <w:r w:rsidR="000C2E3B">
        <w:rPr>
          <w:rFonts w:ascii="Calibri" w:hAnsi="Calibri" w:cs="Calibri"/>
          <w:sz w:val="24"/>
          <w:szCs w:val="24"/>
          <w:lang w:eastAsia="en-AU"/>
        </w:rPr>
        <w:t>11</w:t>
      </w:r>
      <w:r w:rsidRPr="008B7749">
        <w:rPr>
          <w:rFonts w:ascii="Calibri" w:hAnsi="Calibri" w:cs="Calibri"/>
          <w:sz w:val="24"/>
          <w:szCs w:val="24"/>
          <w:lang w:eastAsia="en-AU"/>
        </w:rPr>
        <w:t>–1</w:t>
      </w:r>
      <w:r w:rsidR="000C2E3B">
        <w:rPr>
          <w:rFonts w:ascii="Calibri" w:hAnsi="Calibri" w:cs="Calibri"/>
          <w:sz w:val="24"/>
          <w:szCs w:val="24"/>
          <w:lang w:eastAsia="en-AU"/>
        </w:rPr>
        <w:t>2</w:t>
      </w:r>
      <w:r>
        <w:rPr>
          <w:rFonts w:ascii="Calibri" w:hAnsi="Calibri" w:cs="Calibri"/>
          <w:sz w:val="24"/>
          <w:szCs w:val="24"/>
          <w:lang w:eastAsia="en-AU"/>
        </w:rPr>
        <w:t xml:space="preserve">, </w:t>
      </w:r>
      <w:r w:rsidR="000C2E3B" w:rsidRPr="000C2E3B">
        <w:rPr>
          <w:rFonts w:ascii="Calibri" w:hAnsi="Calibri" w:cs="Calibri"/>
          <w:sz w:val="24"/>
          <w:szCs w:val="24"/>
          <w:lang w:eastAsia="en-AU"/>
        </w:rPr>
        <w:t>16 per cent of households with dependent children aged 0</w:t>
      </w:r>
      <w:r w:rsidR="00945F81">
        <w:rPr>
          <w:rFonts w:ascii="Calibri" w:hAnsi="Calibri" w:cs="Calibri"/>
          <w:sz w:val="24"/>
          <w:szCs w:val="24"/>
          <w:lang w:eastAsia="en-AU"/>
        </w:rPr>
        <w:t xml:space="preserve"> to </w:t>
      </w:r>
      <w:r w:rsidR="000C2E3B" w:rsidRPr="000C2E3B">
        <w:rPr>
          <w:rFonts w:ascii="Calibri" w:hAnsi="Calibri" w:cs="Calibri"/>
          <w:sz w:val="24"/>
          <w:szCs w:val="24"/>
          <w:lang w:eastAsia="en-AU"/>
        </w:rPr>
        <w:t>14 years (an estimated 302</w:t>
      </w:r>
      <w:r w:rsidR="000C2E3B">
        <w:rPr>
          <w:rFonts w:ascii="Calibri" w:hAnsi="Calibri" w:cs="Calibri"/>
          <w:sz w:val="24"/>
          <w:szCs w:val="24"/>
          <w:lang w:eastAsia="en-AU"/>
        </w:rPr>
        <w:t> </w:t>
      </w:r>
      <w:r w:rsidR="000C2E3B" w:rsidRPr="000C2E3B">
        <w:rPr>
          <w:rFonts w:ascii="Calibri" w:hAnsi="Calibri" w:cs="Calibri"/>
          <w:sz w:val="24"/>
          <w:szCs w:val="24"/>
          <w:lang w:eastAsia="en-AU"/>
        </w:rPr>
        <w:t>000 households) received at least 50</w:t>
      </w:r>
      <w:r w:rsidR="000C2E3B">
        <w:rPr>
          <w:rFonts w:ascii="Calibri" w:hAnsi="Calibri" w:cs="Calibri"/>
          <w:sz w:val="24"/>
          <w:szCs w:val="24"/>
          <w:lang w:eastAsia="en-AU"/>
        </w:rPr>
        <w:t xml:space="preserve"> per cent</w:t>
      </w:r>
      <w:r w:rsidR="000C2E3B" w:rsidRPr="000C2E3B">
        <w:rPr>
          <w:rFonts w:ascii="Calibri" w:hAnsi="Calibri" w:cs="Calibri"/>
          <w:sz w:val="24"/>
          <w:szCs w:val="24"/>
          <w:lang w:eastAsia="en-AU"/>
        </w:rPr>
        <w:t xml:space="preserve"> of their gross household income from government pensions and allowances. Reliance on income support was more common among one</w:t>
      </w:r>
      <w:r w:rsidR="000C2E3B">
        <w:rPr>
          <w:rFonts w:ascii="Calibri" w:hAnsi="Calibri" w:cs="Calibri"/>
          <w:sz w:val="24"/>
          <w:szCs w:val="24"/>
          <w:lang w:eastAsia="en-AU"/>
        </w:rPr>
        <w:t>-</w:t>
      </w:r>
      <w:r w:rsidR="000C2E3B" w:rsidRPr="000C2E3B">
        <w:rPr>
          <w:rFonts w:ascii="Calibri" w:hAnsi="Calibri" w:cs="Calibri"/>
          <w:sz w:val="24"/>
          <w:szCs w:val="24"/>
          <w:lang w:eastAsia="en-AU"/>
        </w:rPr>
        <w:t xml:space="preserve">parent families, with government pensions and allowances contributing at least half the household income for 49 per cent of </w:t>
      </w:r>
      <w:r w:rsidR="00FA0E4A" w:rsidRPr="000C2E3B">
        <w:rPr>
          <w:rFonts w:ascii="Calibri" w:hAnsi="Calibri" w:cs="Calibri"/>
          <w:sz w:val="24"/>
          <w:szCs w:val="24"/>
          <w:lang w:eastAsia="en-AU"/>
        </w:rPr>
        <w:t>one</w:t>
      </w:r>
      <w:r w:rsidR="00FA0E4A">
        <w:rPr>
          <w:rFonts w:ascii="Calibri" w:hAnsi="Calibri" w:cs="Calibri"/>
          <w:sz w:val="24"/>
          <w:szCs w:val="24"/>
          <w:lang w:eastAsia="en-AU"/>
        </w:rPr>
        <w:t>-</w:t>
      </w:r>
      <w:r w:rsidR="000C2E3B" w:rsidRPr="000C2E3B">
        <w:rPr>
          <w:rFonts w:ascii="Calibri" w:hAnsi="Calibri" w:cs="Calibri"/>
          <w:sz w:val="24"/>
          <w:szCs w:val="24"/>
          <w:lang w:eastAsia="en-AU"/>
        </w:rPr>
        <w:t>parent families, compared to 8 per cent of couple families. Similar patterns were found in 2009–10.</w:t>
      </w:r>
      <w:r>
        <w:rPr>
          <w:rFonts w:ascii="Calibri" w:hAnsi="Calibri" w:cs="Calibri"/>
          <w:sz w:val="24"/>
          <w:szCs w:val="24"/>
          <w:lang w:eastAsia="en-AU"/>
        </w:rPr>
        <w:t xml:space="preserve"> </w:t>
      </w:r>
    </w:p>
    <w:p w:rsidR="00FA0E4A" w:rsidRDefault="00FA0E4A" w:rsidP="00EC1136">
      <w:pPr>
        <w:rPr>
          <w:rFonts w:ascii="Calibri" w:hAnsi="Calibri" w:cs="Calibri"/>
          <w:sz w:val="24"/>
          <w:szCs w:val="24"/>
          <w:lang w:eastAsia="en-AU"/>
        </w:rPr>
      </w:pPr>
    </w:p>
    <w:p w:rsidR="00FA0E4A" w:rsidRDefault="00FA0E4A" w:rsidP="00EC1136">
      <w:pPr>
        <w:rPr>
          <w:rFonts w:ascii="Calibri" w:hAnsi="Calibri" w:cs="Calibri"/>
          <w:sz w:val="24"/>
          <w:szCs w:val="24"/>
          <w:lang w:eastAsia="en-AU"/>
        </w:rPr>
      </w:pPr>
      <w:r w:rsidRPr="00FA0E4A">
        <w:rPr>
          <w:rFonts w:ascii="Calibri" w:hAnsi="Calibri" w:cs="Calibri"/>
          <w:sz w:val="24"/>
          <w:szCs w:val="24"/>
          <w:lang w:eastAsia="en-AU"/>
        </w:rPr>
        <w:t xml:space="preserve">The estimated proportion of </w:t>
      </w:r>
      <w:r w:rsidR="00C40165" w:rsidRPr="00FA0E4A">
        <w:rPr>
          <w:rFonts w:ascii="Calibri" w:hAnsi="Calibri" w:cs="Calibri"/>
          <w:sz w:val="24"/>
          <w:szCs w:val="24"/>
          <w:lang w:eastAsia="en-AU"/>
        </w:rPr>
        <w:t>one</w:t>
      </w:r>
      <w:r w:rsidR="00C40165">
        <w:rPr>
          <w:rFonts w:ascii="Calibri" w:hAnsi="Calibri" w:cs="Calibri"/>
          <w:sz w:val="24"/>
          <w:szCs w:val="24"/>
          <w:lang w:eastAsia="en-AU"/>
        </w:rPr>
        <w:t>-</w:t>
      </w:r>
      <w:r w:rsidRPr="00FA0E4A">
        <w:rPr>
          <w:rFonts w:ascii="Calibri" w:hAnsi="Calibri" w:cs="Calibri"/>
          <w:sz w:val="24"/>
          <w:szCs w:val="24"/>
          <w:lang w:eastAsia="en-AU"/>
        </w:rPr>
        <w:t>parent families with government pensions and allowances contributing at least half the household income declined from 60 per cent in 2009–10 to 49 per cent in 2011–12.</w:t>
      </w:r>
    </w:p>
    <w:p w:rsidR="00EC1136" w:rsidRDefault="00EC1136" w:rsidP="00EC1136">
      <w:pPr>
        <w:rPr>
          <w:rFonts w:ascii="Calibri" w:hAnsi="Calibri" w:cs="Calibri"/>
          <w:sz w:val="24"/>
          <w:szCs w:val="24"/>
          <w:lang w:eastAsia="en-AU"/>
        </w:rPr>
      </w:pPr>
    </w:p>
    <w:p w:rsidR="00492D4A" w:rsidRDefault="00492D4A" w:rsidP="00C73C17">
      <w:pPr>
        <w:pStyle w:val="Figure"/>
        <w:ind w:right="2527"/>
      </w:pPr>
      <w:bookmarkStart w:id="82" w:name="_Toc400010295"/>
      <w:r>
        <w:t xml:space="preserve">Table </w:t>
      </w:r>
      <w:fldSimple w:instr=" SEQ Table \* ARABIC ">
        <w:r w:rsidR="00BF1EC9">
          <w:rPr>
            <w:noProof/>
          </w:rPr>
          <w:t>9</w:t>
        </w:r>
      </w:fldSimple>
      <w:r>
        <w:t xml:space="preserve">: </w:t>
      </w:r>
      <w:r w:rsidRPr="00D6233F">
        <w:t>Contribution of government pensions and allowances to gross household income</w:t>
      </w:r>
      <w:r w:rsidR="00C73C17">
        <w:t xml:space="preserve"> </w:t>
      </w:r>
      <w:r>
        <w:t xml:space="preserve">among families with dependent children aged </w:t>
      </w:r>
      <w:r w:rsidRPr="00194453">
        <w:t xml:space="preserve">0–14 </w:t>
      </w:r>
      <w:proofErr w:type="gramStart"/>
      <w:r w:rsidRPr="00194453">
        <w:t>years</w:t>
      </w:r>
      <w:r w:rsidRPr="003C53CA">
        <w:rPr>
          <w:vertAlign w:val="superscript"/>
        </w:rPr>
        <w:t>(</w:t>
      </w:r>
      <w:proofErr w:type="gramEnd"/>
      <w:r w:rsidRPr="003C53CA">
        <w:rPr>
          <w:vertAlign w:val="superscript"/>
        </w:rPr>
        <w:t>a)</w:t>
      </w:r>
      <w:r w:rsidRPr="00821556">
        <w:t>, 20</w:t>
      </w:r>
      <w:r>
        <w:t>09–10 and 2011–12</w:t>
      </w:r>
      <w:bookmarkEnd w:id="82"/>
    </w:p>
    <w:tbl>
      <w:tblPr>
        <w:tblStyle w:val="TableGrid"/>
        <w:tblW w:w="41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9: Contribution of government pensions and allowances to gross household income among families with dependent children aged 0–14 years(a), 2009–10 and 2011–12, by percentage for one parent families, couple families and all households. "/>
      </w:tblPr>
      <w:tblGrid>
        <w:gridCol w:w="2088"/>
        <w:gridCol w:w="1134"/>
        <w:gridCol w:w="1135"/>
        <w:gridCol w:w="1137"/>
        <w:gridCol w:w="1135"/>
        <w:gridCol w:w="1135"/>
        <w:gridCol w:w="1133"/>
      </w:tblGrid>
      <w:tr w:rsidR="00D46E9A" w:rsidTr="00D46E9A">
        <w:trPr>
          <w:tblHeader/>
        </w:trPr>
        <w:tc>
          <w:tcPr>
            <w:tcW w:w="1173" w:type="pct"/>
            <w:tcBorders>
              <w:top w:val="single" w:sz="4" w:space="0" w:color="auto"/>
              <w:bottom w:val="single" w:sz="4" w:space="0" w:color="auto"/>
            </w:tcBorders>
          </w:tcPr>
          <w:p w:rsidR="00D46E9A" w:rsidRPr="002E336A" w:rsidRDefault="00D46E9A" w:rsidP="006A2889">
            <w:pPr>
              <w:keepLines/>
              <w:tabs>
                <w:tab w:val="left" w:pos="198"/>
              </w:tabs>
              <w:spacing w:before="60" w:after="60" w:line="200" w:lineRule="atLeast"/>
              <w:rPr>
                <w:rFonts w:ascii="Arial" w:hAnsi="Arial"/>
                <w:color w:val="000000"/>
                <w:sz w:val="16"/>
                <w:lang w:eastAsia="en-US"/>
              </w:rPr>
            </w:pPr>
          </w:p>
        </w:tc>
        <w:tc>
          <w:tcPr>
            <w:tcW w:w="637" w:type="pct"/>
            <w:tcBorders>
              <w:top w:val="single" w:sz="4" w:space="0" w:color="auto"/>
              <w:bottom w:val="single" w:sz="4" w:space="0" w:color="auto"/>
            </w:tcBorders>
            <w:vAlign w:val="bottom"/>
          </w:tcPr>
          <w:p w:rsidR="00D46E9A" w:rsidRPr="009B528A" w:rsidRDefault="00D46E9A" w:rsidP="00244A07">
            <w:pPr>
              <w:keepLines/>
              <w:spacing w:before="60" w:after="60" w:line="200" w:lineRule="atLeast"/>
              <w:jc w:val="center"/>
              <w:rPr>
                <w:rFonts w:ascii="Arial" w:hAnsi="Arial" w:cs="Arial"/>
                <w:b/>
                <w:color w:val="000000"/>
                <w:sz w:val="16"/>
                <w:szCs w:val="16"/>
              </w:rPr>
            </w:pPr>
            <w:r w:rsidRPr="00A77DA3">
              <w:rPr>
                <w:rFonts w:ascii="Arial" w:hAnsi="Arial" w:cs="Arial"/>
                <w:b/>
                <w:color w:val="000000"/>
                <w:sz w:val="16"/>
                <w:szCs w:val="16"/>
              </w:rPr>
              <w:t>2009–10</w:t>
            </w:r>
            <w:r>
              <w:rPr>
                <w:rFonts w:ascii="Arial" w:hAnsi="Arial" w:cs="Arial"/>
                <w:b/>
                <w:color w:val="000000"/>
                <w:sz w:val="16"/>
                <w:szCs w:val="16"/>
              </w:rPr>
              <w:br/>
              <w:t>Per cent of one parent family households</w:t>
            </w:r>
          </w:p>
        </w:tc>
        <w:tc>
          <w:tcPr>
            <w:tcW w:w="638" w:type="pct"/>
            <w:tcBorders>
              <w:top w:val="single" w:sz="4" w:space="0" w:color="auto"/>
              <w:bottom w:val="single" w:sz="4" w:space="0" w:color="auto"/>
            </w:tcBorders>
            <w:vAlign w:val="bottom"/>
          </w:tcPr>
          <w:p w:rsidR="00D46E9A" w:rsidRPr="009B528A" w:rsidRDefault="00D46E9A" w:rsidP="006A2889">
            <w:pPr>
              <w:keepLines/>
              <w:tabs>
                <w:tab w:val="left" w:pos="198"/>
              </w:tabs>
              <w:spacing w:before="60" w:after="60" w:line="200" w:lineRule="atLeast"/>
              <w:jc w:val="center"/>
              <w:rPr>
                <w:rFonts w:ascii="Arial" w:hAnsi="Arial" w:cs="Arial"/>
                <w:b/>
                <w:color w:val="000000"/>
                <w:sz w:val="16"/>
                <w:szCs w:val="16"/>
              </w:rPr>
            </w:pPr>
            <w:r w:rsidRPr="00A77DA3">
              <w:rPr>
                <w:rFonts w:ascii="Arial" w:hAnsi="Arial" w:cs="Arial"/>
                <w:b/>
                <w:color w:val="000000"/>
                <w:sz w:val="16"/>
                <w:szCs w:val="16"/>
              </w:rPr>
              <w:t>2011–12</w:t>
            </w:r>
            <w:r>
              <w:rPr>
                <w:rFonts w:ascii="Arial" w:hAnsi="Arial" w:cs="Arial"/>
                <w:b/>
                <w:color w:val="000000"/>
                <w:sz w:val="16"/>
                <w:szCs w:val="16"/>
              </w:rPr>
              <w:br/>
              <w:t>Per cent of one parent family households</w:t>
            </w:r>
          </w:p>
        </w:tc>
        <w:tc>
          <w:tcPr>
            <w:tcW w:w="639" w:type="pct"/>
            <w:tcBorders>
              <w:top w:val="single" w:sz="4" w:space="0" w:color="auto"/>
              <w:bottom w:val="single" w:sz="4" w:space="0" w:color="auto"/>
            </w:tcBorders>
            <w:vAlign w:val="bottom"/>
          </w:tcPr>
          <w:p w:rsidR="00D46E9A" w:rsidRPr="009B528A" w:rsidRDefault="00D46E9A" w:rsidP="006A2889">
            <w:pPr>
              <w:keepLines/>
              <w:tabs>
                <w:tab w:val="left" w:pos="198"/>
              </w:tabs>
              <w:spacing w:before="60" w:after="60" w:line="200" w:lineRule="atLeast"/>
              <w:jc w:val="center"/>
              <w:rPr>
                <w:rFonts w:ascii="Arial" w:hAnsi="Arial" w:cs="Arial"/>
                <w:b/>
                <w:color w:val="000000"/>
                <w:sz w:val="16"/>
                <w:szCs w:val="16"/>
              </w:rPr>
            </w:pPr>
            <w:r w:rsidRPr="00A77DA3">
              <w:rPr>
                <w:rFonts w:ascii="Arial" w:hAnsi="Arial" w:cs="Arial"/>
                <w:b/>
                <w:color w:val="000000"/>
                <w:sz w:val="16"/>
                <w:szCs w:val="16"/>
              </w:rPr>
              <w:t>2009–10</w:t>
            </w:r>
            <w:r>
              <w:rPr>
                <w:rFonts w:ascii="Arial" w:hAnsi="Arial" w:cs="Arial"/>
                <w:b/>
                <w:color w:val="000000"/>
                <w:sz w:val="16"/>
                <w:szCs w:val="16"/>
              </w:rPr>
              <w:br/>
              <w:t>Per cent of couple family households</w:t>
            </w:r>
          </w:p>
        </w:tc>
        <w:tc>
          <w:tcPr>
            <w:tcW w:w="638" w:type="pct"/>
            <w:tcBorders>
              <w:top w:val="single" w:sz="4" w:space="0" w:color="auto"/>
              <w:bottom w:val="single" w:sz="4" w:space="0" w:color="auto"/>
            </w:tcBorders>
            <w:vAlign w:val="bottom"/>
          </w:tcPr>
          <w:p w:rsidR="00D46E9A" w:rsidRPr="009B528A" w:rsidRDefault="00D46E9A" w:rsidP="006A2889">
            <w:pPr>
              <w:keepLines/>
              <w:tabs>
                <w:tab w:val="left" w:pos="198"/>
              </w:tabs>
              <w:spacing w:before="60" w:after="60" w:line="200" w:lineRule="atLeast"/>
              <w:jc w:val="center"/>
              <w:rPr>
                <w:rFonts w:ascii="Arial" w:hAnsi="Arial" w:cs="Arial"/>
                <w:b/>
                <w:color w:val="000000"/>
                <w:sz w:val="16"/>
                <w:szCs w:val="16"/>
              </w:rPr>
            </w:pPr>
            <w:r w:rsidRPr="00A77DA3">
              <w:rPr>
                <w:rFonts w:ascii="Arial" w:hAnsi="Arial" w:cs="Arial"/>
                <w:b/>
                <w:color w:val="000000"/>
                <w:sz w:val="16"/>
                <w:szCs w:val="16"/>
              </w:rPr>
              <w:t>2011–12</w:t>
            </w:r>
            <w:r>
              <w:rPr>
                <w:rFonts w:ascii="Arial" w:hAnsi="Arial" w:cs="Arial"/>
                <w:b/>
                <w:color w:val="000000"/>
                <w:sz w:val="16"/>
                <w:szCs w:val="16"/>
              </w:rPr>
              <w:br/>
              <w:t>Per cent of couple family households</w:t>
            </w:r>
          </w:p>
        </w:tc>
        <w:tc>
          <w:tcPr>
            <w:tcW w:w="638" w:type="pct"/>
            <w:tcBorders>
              <w:top w:val="single" w:sz="4" w:space="0" w:color="auto"/>
              <w:bottom w:val="single" w:sz="4" w:space="0" w:color="auto"/>
            </w:tcBorders>
            <w:vAlign w:val="bottom"/>
          </w:tcPr>
          <w:p w:rsidR="00D46E9A" w:rsidRPr="009B528A" w:rsidRDefault="00D46E9A" w:rsidP="006A2889">
            <w:pPr>
              <w:keepLines/>
              <w:tabs>
                <w:tab w:val="left" w:pos="198"/>
              </w:tabs>
              <w:spacing w:before="60" w:after="60" w:line="200" w:lineRule="atLeast"/>
              <w:jc w:val="center"/>
              <w:rPr>
                <w:rFonts w:ascii="Arial" w:hAnsi="Arial" w:cs="Arial"/>
                <w:b/>
                <w:color w:val="000000"/>
                <w:sz w:val="16"/>
                <w:szCs w:val="16"/>
              </w:rPr>
            </w:pPr>
            <w:r w:rsidRPr="00A77DA3">
              <w:rPr>
                <w:rFonts w:ascii="Arial" w:hAnsi="Arial" w:cs="Arial"/>
                <w:b/>
                <w:color w:val="000000"/>
                <w:sz w:val="16"/>
                <w:szCs w:val="16"/>
              </w:rPr>
              <w:t>2009–10</w:t>
            </w:r>
            <w:r>
              <w:rPr>
                <w:rFonts w:ascii="Arial" w:hAnsi="Arial" w:cs="Arial"/>
                <w:b/>
                <w:color w:val="000000"/>
                <w:sz w:val="16"/>
                <w:szCs w:val="16"/>
              </w:rPr>
              <w:br/>
              <w:t>Per cent of all households</w:t>
            </w:r>
          </w:p>
        </w:tc>
        <w:tc>
          <w:tcPr>
            <w:tcW w:w="638" w:type="pct"/>
            <w:tcBorders>
              <w:top w:val="single" w:sz="4" w:space="0" w:color="auto"/>
              <w:bottom w:val="single" w:sz="4" w:space="0" w:color="auto"/>
            </w:tcBorders>
            <w:vAlign w:val="bottom"/>
          </w:tcPr>
          <w:p w:rsidR="00D46E9A" w:rsidRPr="009B528A" w:rsidRDefault="00D46E9A" w:rsidP="006A2889">
            <w:pPr>
              <w:keepLines/>
              <w:tabs>
                <w:tab w:val="left" w:pos="198"/>
              </w:tabs>
              <w:spacing w:before="60" w:after="60" w:line="200" w:lineRule="atLeast"/>
              <w:jc w:val="center"/>
              <w:rPr>
                <w:rFonts w:ascii="Arial" w:hAnsi="Arial" w:cs="Arial"/>
                <w:b/>
                <w:color w:val="000000"/>
                <w:sz w:val="16"/>
                <w:szCs w:val="16"/>
              </w:rPr>
            </w:pPr>
            <w:r w:rsidRPr="00A77DA3">
              <w:rPr>
                <w:rFonts w:ascii="Arial" w:hAnsi="Arial" w:cs="Arial"/>
                <w:b/>
                <w:color w:val="000000"/>
                <w:sz w:val="16"/>
                <w:szCs w:val="16"/>
              </w:rPr>
              <w:t>2011–12</w:t>
            </w:r>
            <w:r>
              <w:rPr>
                <w:rFonts w:ascii="Arial" w:hAnsi="Arial" w:cs="Arial"/>
                <w:b/>
                <w:color w:val="000000"/>
                <w:sz w:val="16"/>
                <w:szCs w:val="16"/>
              </w:rPr>
              <w:br/>
              <w:t>Per cent of all households</w:t>
            </w:r>
          </w:p>
        </w:tc>
      </w:tr>
      <w:tr w:rsidR="00D46E9A" w:rsidTr="00D46E9A">
        <w:tc>
          <w:tcPr>
            <w:tcW w:w="1173" w:type="pct"/>
          </w:tcPr>
          <w:p w:rsidR="00D46E9A" w:rsidRPr="002E336A" w:rsidRDefault="00D46E9A" w:rsidP="006A2889">
            <w:pPr>
              <w:keepLines/>
              <w:tabs>
                <w:tab w:val="left" w:pos="198"/>
              </w:tabs>
              <w:spacing w:before="60" w:after="60" w:line="200" w:lineRule="atLeast"/>
              <w:rPr>
                <w:rFonts w:ascii="Arial" w:hAnsi="Arial"/>
                <w:color w:val="000000"/>
                <w:sz w:val="16"/>
                <w:lang w:eastAsia="en-US"/>
              </w:rPr>
            </w:pPr>
            <w:r w:rsidRPr="002E336A">
              <w:rPr>
                <w:rFonts w:ascii="Arial" w:hAnsi="Arial"/>
                <w:color w:val="000000"/>
                <w:sz w:val="16"/>
                <w:lang w:eastAsia="en-US"/>
              </w:rPr>
              <w:t xml:space="preserve">Nil or less than 1% </w:t>
            </w:r>
            <w:r w:rsidRPr="002E336A">
              <w:rPr>
                <w:rFonts w:ascii="Arial" w:hAnsi="Arial"/>
                <w:color w:val="000000"/>
                <w:sz w:val="16"/>
                <w:lang w:eastAsia="en-US"/>
              </w:rPr>
              <w:tab/>
            </w:r>
          </w:p>
        </w:tc>
        <w:tc>
          <w:tcPr>
            <w:tcW w:w="637" w:type="pct"/>
            <w:vAlign w:val="bottom"/>
          </w:tcPr>
          <w:p w:rsidR="00D46E9A" w:rsidRPr="002E336A" w:rsidRDefault="00D46E9A" w:rsidP="006A2889">
            <w:pPr>
              <w:keepLines/>
              <w:tabs>
                <w:tab w:val="left" w:pos="198"/>
              </w:tabs>
              <w:spacing w:before="60" w:after="60" w:line="200" w:lineRule="atLeast"/>
              <w:jc w:val="right"/>
              <w:rPr>
                <w:rFonts w:ascii="Arial" w:hAnsi="Arial"/>
                <w:color w:val="000000"/>
                <w:sz w:val="16"/>
                <w:lang w:eastAsia="en-US"/>
              </w:rPr>
            </w:pPr>
            <w:r>
              <w:rPr>
                <w:rFonts w:ascii="Arial" w:hAnsi="Arial" w:cs="Arial"/>
                <w:color w:val="000000"/>
                <w:sz w:val="16"/>
                <w:szCs w:val="16"/>
              </w:rPr>
              <w:t>4.3</w:t>
            </w:r>
          </w:p>
        </w:tc>
        <w:tc>
          <w:tcPr>
            <w:tcW w:w="638" w:type="pct"/>
            <w:vAlign w:val="bottom"/>
          </w:tcPr>
          <w:p w:rsidR="00D46E9A" w:rsidRDefault="00D46E9A" w:rsidP="006A2889">
            <w:pPr>
              <w:keepLines/>
              <w:tabs>
                <w:tab w:val="left" w:pos="198"/>
              </w:tabs>
              <w:spacing w:before="60" w:after="60" w:line="200" w:lineRule="atLeast"/>
              <w:jc w:val="right"/>
              <w:rPr>
                <w:rFonts w:ascii="Arial" w:hAnsi="Arial" w:cs="Arial"/>
                <w:color w:val="000000"/>
                <w:sz w:val="16"/>
                <w:szCs w:val="16"/>
              </w:rPr>
            </w:pPr>
            <w:r>
              <w:rPr>
                <w:rFonts w:ascii="Arial" w:hAnsi="Arial" w:cs="Arial"/>
                <w:color w:val="000000"/>
                <w:sz w:val="16"/>
                <w:szCs w:val="16"/>
              </w:rPr>
              <w:t>6.2</w:t>
            </w:r>
          </w:p>
        </w:tc>
        <w:tc>
          <w:tcPr>
            <w:tcW w:w="639" w:type="pct"/>
            <w:vAlign w:val="bottom"/>
          </w:tcPr>
          <w:p w:rsidR="00D46E9A" w:rsidRPr="006C56F8" w:rsidRDefault="00D46E9A" w:rsidP="006A2889">
            <w:pPr>
              <w:keepLines/>
              <w:tabs>
                <w:tab w:val="left" w:pos="198"/>
              </w:tabs>
              <w:spacing w:before="60" w:after="60" w:line="200" w:lineRule="atLeast"/>
              <w:jc w:val="right"/>
              <w:rPr>
                <w:rFonts w:ascii="Arial" w:hAnsi="Arial"/>
                <w:color w:val="000000"/>
                <w:sz w:val="16"/>
                <w:lang w:eastAsia="en-US"/>
              </w:rPr>
            </w:pPr>
            <w:r>
              <w:rPr>
                <w:rFonts w:ascii="Arial" w:hAnsi="Arial" w:cs="Arial"/>
                <w:color w:val="000000"/>
                <w:sz w:val="16"/>
                <w:szCs w:val="16"/>
              </w:rPr>
              <w:t>35.4</w:t>
            </w:r>
          </w:p>
        </w:tc>
        <w:tc>
          <w:tcPr>
            <w:tcW w:w="638" w:type="pct"/>
            <w:vAlign w:val="bottom"/>
          </w:tcPr>
          <w:p w:rsidR="00D46E9A" w:rsidRDefault="00D46E9A" w:rsidP="006A2889">
            <w:pPr>
              <w:keepLines/>
              <w:tabs>
                <w:tab w:val="left" w:pos="198"/>
              </w:tabs>
              <w:spacing w:before="60" w:after="60" w:line="200" w:lineRule="atLeast"/>
              <w:jc w:val="right"/>
              <w:rPr>
                <w:rFonts w:ascii="Arial" w:hAnsi="Arial" w:cs="Arial"/>
                <w:color w:val="000000"/>
                <w:sz w:val="16"/>
                <w:szCs w:val="16"/>
              </w:rPr>
            </w:pPr>
            <w:r>
              <w:rPr>
                <w:rFonts w:ascii="Arial" w:hAnsi="Arial" w:cs="Arial"/>
                <w:color w:val="000000"/>
                <w:sz w:val="16"/>
                <w:szCs w:val="16"/>
              </w:rPr>
              <w:t>41.6</w:t>
            </w:r>
          </w:p>
        </w:tc>
        <w:tc>
          <w:tcPr>
            <w:tcW w:w="638" w:type="pct"/>
            <w:vAlign w:val="bottom"/>
          </w:tcPr>
          <w:p w:rsidR="00D46E9A" w:rsidRPr="006C56F8" w:rsidRDefault="00D46E9A" w:rsidP="006A2889">
            <w:pPr>
              <w:keepLines/>
              <w:tabs>
                <w:tab w:val="left" w:pos="198"/>
              </w:tabs>
              <w:spacing w:before="60" w:after="60" w:line="200" w:lineRule="atLeast"/>
              <w:jc w:val="right"/>
              <w:rPr>
                <w:rFonts w:ascii="Arial" w:hAnsi="Arial"/>
                <w:color w:val="000000"/>
                <w:sz w:val="16"/>
                <w:lang w:eastAsia="en-US"/>
              </w:rPr>
            </w:pPr>
            <w:r>
              <w:rPr>
                <w:rFonts w:ascii="Arial" w:hAnsi="Arial" w:cs="Arial"/>
                <w:color w:val="000000"/>
                <w:sz w:val="16"/>
                <w:szCs w:val="16"/>
              </w:rPr>
              <w:t>28.3</w:t>
            </w:r>
          </w:p>
        </w:tc>
        <w:tc>
          <w:tcPr>
            <w:tcW w:w="638" w:type="pct"/>
            <w:vAlign w:val="bottom"/>
          </w:tcPr>
          <w:p w:rsidR="00D46E9A" w:rsidRDefault="00D46E9A" w:rsidP="006A2889">
            <w:pPr>
              <w:keepLines/>
              <w:tabs>
                <w:tab w:val="left" w:pos="198"/>
              </w:tabs>
              <w:spacing w:before="60" w:after="60" w:line="200" w:lineRule="atLeast"/>
              <w:jc w:val="right"/>
              <w:rPr>
                <w:rFonts w:ascii="Arial" w:hAnsi="Arial" w:cs="Arial"/>
                <w:color w:val="000000"/>
                <w:sz w:val="16"/>
                <w:szCs w:val="16"/>
              </w:rPr>
            </w:pPr>
            <w:r>
              <w:rPr>
                <w:rFonts w:ascii="Arial" w:hAnsi="Arial" w:cs="Arial"/>
                <w:color w:val="000000"/>
                <w:sz w:val="16"/>
                <w:szCs w:val="16"/>
              </w:rPr>
              <w:t>33.9</w:t>
            </w:r>
          </w:p>
        </w:tc>
      </w:tr>
      <w:tr w:rsidR="00D46E9A" w:rsidTr="00D46E9A">
        <w:tc>
          <w:tcPr>
            <w:tcW w:w="1173" w:type="pct"/>
          </w:tcPr>
          <w:p w:rsidR="00D46E9A" w:rsidRPr="002E336A" w:rsidRDefault="00D46E9A" w:rsidP="006A2889">
            <w:pPr>
              <w:keepLines/>
              <w:tabs>
                <w:tab w:val="left" w:pos="198"/>
              </w:tabs>
              <w:spacing w:before="60" w:after="60" w:line="200" w:lineRule="atLeast"/>
              <w:rPr>
                <w:rFonts w:ascii="Arial" w:hAnsi="Arial"/>
                <w:color w:val="000000"/>
                <w:sz w:val="16"/>
                <w:lang w:eastAsia="en-US"/>
              </w:rPr>
            </w:pPr>
            <w:r w:rsidRPr="002E336A">
              <w:rPr>
                <w:rFonts w:ascii="Arial" w:hAnsi="Arial"/>
                <w:color w:val="000000"/>
                <w:sz w:val="16"/>
                <w:lang w:eastAsia="en-US"/>
              </w:rPr>
              <w:t>1% to less than 20%</w:t>
            </w:r>
          </w:p>
        </w:tc>
        <w:tc>
          <w:tcPr>
            <w:tcW w:w="637" w:type="pct"/>
            <w:vAlign w:val="bottom"/>
          </w:tcPr>
          <w:p w:rsidR="00D46E9A" w:rsidRPr="002E336A" w:rsidRDefault="00D46E9A" w:rsidP="006A2889">
            <w:pPr>
              <w:keepLines/>
              <w:tabs>
                <w:tab w:val="left" w:pos="198"/>
              </w:tabs>
              <w:spacing w:before="60" w:after="60" w:line="200" w:lineRule="atLeast"/>
              <w:jc w:val="right"/>
              <w:rPr>
                <w:rFonts w:ascii="Arial" w:hAnsi="Arial"/>
                <w:color w:val="000000"/>
                <w:sz w:val="16"/>
                <w:lang w:eastAsia="en-US"/>
              </w:rPr>
            </w:pPr>
            <w:r>
              <w:rPr>
                <w:rFonts w:ascii="Arial" w:hAnsi="Arial" w:cs="Arial"/>
                <w:color w:val="000000"/>
                <w:sz w:val="16"/>
                <w:szCs w:val="16"/>
              </w:rPr>
              <w:t>15.3</w:t>
            </w:r>
          </w:p>
        </w:tc>
        <w:tc>
          <w:tcPr>
            <w:tcW w:w="638" w:type="pct"/>
            <w:vAlign w:val="bottom"/>
          </w:tcPr>
          <w:p w:rsidR="00D46E9A" w:rsidRDefault="00D46E9A" w:rsidP="006A2889">
            <w:pPr>
              <w:keepLines/>
              <w:tabs>
                <w:tab w:val="left" w:pos="198"/>
              </w:tabs>
              <w:spacing w:before="60" w:after="60" w:line="200" w:lineRule="atLeast"/>
              <w:jc w:val="right"/>
              <w:rPr>
                <w:rFonts w:ascii="Arial" w:hAnsi="Arial" w:cs="Arial"/>
                <w:color w:val="000000"/>
                <w:sz w:val="16"/>
                <w:szCs w:val="16"/>
              </w:rPr>
            </w:pPr>
            <w:r>
              <w:rPr>
                <w:rFonts w:ascii="Arial" w:hAnsi="Arial" w:cs="Arial"/>
                <w:color w:val="000000"/>
                <w:sz w:val="16"/>
                <w:szCs w:val="16"/>
              </w:rPr>
              <w:t>23.2</w:t>
            </w:r>
          </w:p>
        </w:tc>
        <w:tc>
          <w:tcPr>
            <w:tcW w:w="639" w:type="pct"/>
            <w:vAlign w:val="bottom"/>
          </w:tcPr>
          <w:p w:rsidR="00D46E9A" w:rsidRPr="006C56F8" w:rsidRDefault="00D46E9A" w:rsidP="006A2889">
            <w:pPr>
              <w:keepLines/>
              <w:tabs>
                <w:tab w:val="left" w:pos="198"/>
              </w:tabs>
              <w:spacing w:before="60" w:after="60" w:line="200" w:lineRule="atLeast"/>
              <w:jc w:val="right"/>
              <w:rPr>
                <w:rFonts w:ascii="Arial" w:hAnsi="Arial"/>
                <w:color w:val="000000"/>
                <w:sz w:val="16"/>
                <w:lang w:eastAsia="en-US"/>
              </w:rPr>
            </w:pPr>
            <w:r>
              <w:rPr>
                <w:rFonts w:ascii="Arial" w:hAnsi="Arial" w:cs="Arial"/>
                <w:color w:val="000000"/>
                <w:sz w:val="16"/>
                <w:szCs w:val="16"/>
              </w:rPr>
              <w:t>44.1</w:t>
            </w:r>
          </w:p>
        </w:tc>
        <w:tc>
          <w:tcPr>
            <w:tcW w:w="638" w:type="pct"/>
            <w:vAlign w:val="bottom"/>
          </w:tcPr>
          <w:p w:rsidR="00D46E9A" w:rsidRDefault="00D46E9A" w:rsidP="006A2889">
            <w:pPr>
              <w:keepLines/>
              <w:tabs>
                <w:tab w:val="left" w:pos="198"/>
              </w:tabs>
              <w:spacing w:before="60" w:after="60" w:line="200" w:lineRule="atLeast"/>
              <w:jc w:val="right"/>
              <w:rPr>
                <w:rFonts w:ascii="Arial" w:hAnsi="Arial" w:cs="Arial"/>
                <w:color w:val="000000"/>
                <w:sz w:val="16"/>
                <w:szCs w:val="16"/>
              </w:rPr>
            </w:pPr>
            <w:r>
              <w:rPr>
                <w:rFonts w:ascii="Arial" w:hAnsi="Arial" w:cs="Arial"/>
                <w:color w:val="000000"/>
                <w:sz w:val="16"/>
                <w:szCs w:val="16"/>
              </w:rPr>
              <w:t>37.2</w:t>
            </w:r>
          </w:p>
        </w:tc>
        <w:tc>
          <w:tcPr>
            <w:tcW w:w="638" w:type="pct"/>
            <w:vAlign w:val="bottom"/>
          </w:tcPr>
          <w:p w:rsidR="00D46E9A" w:rsidRPr="006C56F8" w:rsidRDefault="00D46E9A" w:rsidP="006A2889">
            <w:pPr>
              <w:keepLines/>
              <w:tabs>
                <w:tab w:val="left" w:pos="198"/>
              </w:tabs>
              <w:spacing w:before="60" w:after="60" w:line="200" w:lineRule="atLeast"/>
              <w:jc w:val="right"/>
              <w:rPr>
                <w:rFonts w:ascii="Arial" w:hAnsi="Arial"/>
                <w:color w:val="000000"/>
                <w:sz w:val="16"/>
                <w:lang w:eastAsia="en-US"/>
              </w:rPr>
            </w:pPr>
            <w:r>
              <w:rPr>
                <w:rFonts w:ascii="Arial" w:hAnsi="Arial" w:cs="Arial"/>
                <w:color w:val="000000"/>
                <w:sz w:val="16"/>
                <w:szCs w:val="16"/>
              </w:rPr>
              <w:t>38.8</w:t>
            </w:r>
          </w:p>
        </w:tc>
        <w:tc>
          <w:tcPr>
            <w:tcW w:w="638" w:type="pct"/>
            <w:vAlign w:val="bottom"/>
          </w:tcPr>
          <w:p w:rsidR="00D46E9A" w:rsidRDefault="00D46E9A" w:rsidP="006A2889">
            <w:pPr>
              <w:keepLines/>
              <w:tabs>
                <w:tab w:val="left" w:pos="198"/>
              </w:tabs>
              <w:spacing w:before="60" w:after="60" w:line="200" w:lineRule="atLeast"/>
              <w:jc w:val="right"/>
              <w:rPr>
                <w:rFonts w:ascii="Arial" w:hAnsi="Arial" w:cs="Arial"/>
                <w:color w:val="000000"/>
                <w:sz w:val="16"/>
                <w:szCs w:val="16"/>
              </w:rPr>
            </w:pPr>
            <w:r>
              <w:rPr>
                <w:rFonts w:ascii="Arial" w:hAnsi="Arial" w:cs="Arial"/>
                <w:color w:val="000000"/>
                <w:sz w:val="16"/>
                <w:szCs w:val="16"/>
              </w:rPr>
              <w:t>34.9</w:t>
            </w:r>
          </w:p>
        </w:tc>
      </w:tr>
      <w:tr w:rsidR="00D46E9A" w:rsidTr="00D46E9A">
        <w:tc>
          <w:tcPr>
            <w:tcW w:w="1173" w:type="pct"/>
          </w:tcPr>
          <w:p w:rsidR="00D46E9A" w:rsidRPr="002E336A" w:rsidRDefault="00D46E9A" w:rsidP="006A2889">
            <w:pPr>
              <w:keepLines/>
              <w:tabs>
                <w:tab w:val="left" w:pos="198"/>
              </w:tabs>
              <w:spacing w:before="60" w:after="60" w:line="200" w:lineRule="atLeast"/>
              <w:rPr>
                <w:rFonts w:ascii="Arial" w:hAnsi="Arial"/>
                <w:color w:val="000000"/>
                <w:sz w:val="16"/>
                <w:lang w:eastAsia="en-US"/>
              </w:rPr>
            </w:pPr>
            <w:r w:rsidRPr="002E336A">
              <w:rPr>
                <w:rFonts w:ascii="Arial" w:hAnsi="Arial"/>
                <w:color w:val="000000"/>
                <w:sz w:val="16"/>
                <w:lang w:eastAsia="en-US"/>
              </w:rPr>
              <w:t>20% to less than 50%</w:t>
            </w:r>
          </w:p>
        </w:tc>
        <w:tc>
          <w:tcPr>
            <w:tcW w:w="637" w:type="pct"/>
            <w:vAlign w:val="bottom"/>
          </w:tcPr>
          <w:p w:rsidR="00D46E9A" w:rsidRPr="002E336A" w:rsidRDefault="00D46E9A" w:rsidP="006A2889">
            <w:pPr>
              <w:keepLines/>
              <w:tabs>
                <w:tab w:val="left" w:pos="198"/>
              </w:tabs>
              <w:spacing w:before="60" w:after="60" w:line="200" w:lineRule="atLeast"/>
              <w:jc w:val="right"/>
              <w:rPr>
                <w:rFonts w:ascii="Arial" w:hAnsi="Arial"/>
                <w:color w:val="000000"/>
                <w:sz w:val="16"/>
                <w:lang w:eastAsia="en-US"/>
              </w:rPr>
            </w:pPr>
            <w:r>
              <w:rPr>
                <w:rFonts w:ascii="Arial" w:hAnsi="Arial" w:cs="Arial"/>
                <w:color w:val="000000"/>
                <w:sz w:val="16"/>
                <w:szCs w:val="16"/>
              </w:rPr>
              <w:t>20.5</w:t>
            </w:r>
          </w:p>
        </w:tc>
        <w:tc>
          <w:tcPr>
            <w:tcW w:w="638" w:type="pct"/>
            <w:vAlign w:val="bottom"/>
          </w:tcPr>
          <w:p w:rsidR="00D46E9A" w:rsidRDefault="00D46E9A" w:rsidP="006A2889">
            <w:pPr>
              <w:keepLines/>
              <w:tabs>
                <w:tab w:val="left" w:pos="198"/>
              </w:tabs>
              <w:spacing w:before="60" w:after="60" w:line="200" w:lineRule="atLeast"/>
              <w:jc w:val="right"/>
              <w:rPr>
                <w:rFonts w:ascii="Arial" w:hAnsi="Arial" w:cs="Arial"/>
                <w:color w:val="000000"/>
                <w:sz w:val="16"/>
                <w:szCs w:val="16"/>
              </w:rPr>
            </w:pPr>
            <w:r>
              <w:rPr>
                <w:rFonts w:ascii="Arial" w:hAnsi="Arial" w:cs="Arial"/>
                <w:color w:val="000000"/>
                <w:sz w:val="16"/>
                <w:szCs w:val="16"/>
              </w:rPr>
              <w:t>21.3</w:t>
            </w:r>
          </w:p>
        </w:tc>
        <w:tc>
          <w:tcPr>
            <w:tcW w:w="639" w:type="pct"/>
            <w:vAlign w:val="bottom"/>
          </w:tcPr>
          <w:p w:rsidR="00D46E9A" w:rsidRPr="006C56F8" w:rsidRDefault="00D46E9A" w:rsidP="006A2889">
            <w:pPr>
              <w:keepLines/>
              <w:tabs>
                <w:tab w:val="left" w:pos="198"/>
              </w:tabs>
              <w:spacing w:before="60" w:after="60" w:line="200" w:lineRule="atLeast"/>
              <w:jc w:val="right"/>
              <w:rPr>
                <w:rFonts w:ascii="Arial" w:hAnsi="Arial"/>
                <w:color w:val="000000"/>
                <w:sz w:val="16"/>
                <w:lang w:eastAsia="en-US"/>
              </w:rPr>
            </w:pPr>
            <w:r>
              <w:rPr>
                <w:rFonts w:ascii="Arial" w:hAnsi="Arial" w:cs="Arial"/>
                <w:color w:val="000000"/>
                <w:sz w:val="16"/>
                <w:szCs w:val="16"/>
              </w:rPr>
              <w:t>12.5</w:t>
            </w:r>
          </w:p>
        </w:tc>
        <w:tc>
          <w:tcPr>
            <w:tcW w:w="638" w:type="pct"/>
            <w:vAlign w:val="bottom"/>
          </w:tcPr>
          <w:p w:rsidR="00D46E9A" w:rsidRDefault="00D46E9A" w:rsidP="006A2889">
            <w:pPr>
              <w:keepLines/>
              <w:tabs>
                <w:tab w:val="left" w:pos="198"/>
              </w:tabs>
              <w:spacing w:before="60" w:after="60" w:line="200" w:lineRule="atLeast"/>
              <w:jc w:val="right"/>
              <w:rPr>
                <w:rFonts w:ascii="Arial" w:hAnsi="Arial" w:cs="Arial"/>
                <w:color w:val="000000"/>
                <w:sz w:val="16"/>
                <w:szCs w:val="16"/>
              </w:rPr>
            </w:pPr>
            <w:r>
              <w:rPr>
                <w:rFonts w:ascii="Arial" w:hAnsi="Arial" w:cs="Arial"/>
                <w:color w:val="000000"/>
                <w:sz w:val="16"/>
                <w:szCs w:val="16"/>
              </w:rPr>
              <w:t>13.1</w:t>
            </w:r>
          </w:p>
        </w:tc>
        <w:tc>
          <w:tcPr>
            <w:tcW w:w="638" w:type="pct"/>
            <w:vAlign w:val="bottom"/>
          </w:tcPr>
          <w:p w:rsidR="00D46E9A" w:rsidRPr="006C56F8" w:rsidRDefault="00D46E9A" w:rsidP="006A2889">
            <w:pPr>
              <w:keepLines/>
              <w:tabs>
                <w:tab w:val="left" w:pos="198"/>
              </w:tabs>
              <w:spacing w:before="60" w:after="60" w:line="200" w:lineRule="atLeast"/>
              <w:jc w:val="right"/>
              <w:rPr>
                <w:rFonts w:ascii="Arial" w:hAnsi="Arial"/>
                <w:color w:val="000000"/>
                <w:sz w:val="16"/>
                <w:lang w:eastAsia="en-US"/>
              </w:rPr>
            </w:pPr>
            <w:r>
              <w:rPr>
                <w:rFonts w:ascii="Arial" w:hAnsi="Arial" w:cs="Arial"/>
                <w:color w:val="000000"/>
                <w:sz w:val="16"/>
                <w:szCs w:val="16"/>
              </w:rPr>
              <w:t>14.8</w:t>
            </w:r>
          </w:p>
        </w:tc>
        <w:tc>
          <w:tcPr>
            <w:tcW w:w="638" w:type="pct"/>
            <w:vAlign w:val="bottom"/>
          </w:tcPr>
          <w:p w:rsidR="00D46E9A" w:rsidRDefault="00D46E9A" w:rsidP="006A2889">
            <w:pPr>
              <w:keepLines/>
              <w:tabs>
                <w:tab w:val="left" w:pos="198"/>
              </w:tabs>
              <w:spacing w:before="60" w:after="60" w:line="200" w:lineRule="atLeast"/>
              <w:jc w:val="right"/>
              <w:rPr>
                <w:rFonts w:ascii="Arial" w:hAnsi="Arial" w:cs="Arial"/>
                <w:color w:val="000000"/>
                <w:sz w:val="16"/>
                <w:szCs w:val="16"/>
              </w:rPr>
            </w:pPr>
            <w:r>
              <w:rPr>
                <w:rFonts w:ascii="Arial" w:hAnsi="Arial" w:cs="Arial"/>
                <w:color w:val="000000"/>
                <w:sz w:val="16"/>
                <w:szCs w:val="16"/>
              </w:rPr>
              <w:t>15.2</w:t>
            </w:r>
          </w:p>
        </w:tc>
      </w:tr>
      <w:tr w:rsidR="00D46E9A" w:rsidTr="00D46E9A">
        <w:tc>
          <w:tcPr>
            <w:tcW w:w="1173" w:type="pct"/>
          </w:tcPr>
          <w:p w:rsidR="00D46E9A" w:rsidRPr="002E336A" w:rsidRDefault="00D46E9A" w:rsidP="006A2889">
            <w:pPr>
              <w:keepLines/>
              <w:tabs>
                <w:tab w:val="left" w:pos="198"/>
              </w:tabs>
              <w:spacing w:before="60" w:after="60" w:line="200" w:lineRule="atLeast"/>
              <w:rPr>
                <w:rFonts w:ascii="Arial" w:hAnsi="Arial"/>
                <w:color w:val="000000"/>
                <w:sz w:val="16"/>
                <w:lang w:eastAsia="en-US"/>
              </w:rPr>
            </w:pPr>
            <w:r w:rsidRPr="002E336A">
              <w:rPr>
                <w:rFonts w:ascii="Arial" w:hAnsi="Arial"/>
                <w:color w:val="000000"/>
                <w:sz w:val="16"/>
                <w:lang w:eastAsia="en-US"/>
              </w:rPr>
              <w:t>50% to less than 90%</w:t>
            </w:r>
          </w:p>
        </w:tc>
        <w:tc>
          <w:tcPr>
            <w:tcW w:w="637" w:type="pct"/>
            <w:vAlign w:val="bottom"/>
          </w:tcPr>
          <w:p w:rsidR="00D46E9A" w:rsidRPr="002E336A" w:rsidRDefault="00D46E9A" w:rsidP="006A2889">
            <w:pPr>
              <w:keepLines/>
              <w:tabs>
                <w:tab w:val="left" w:pos="198"/>
              </w:tabs>
              <w:spacing w:before="60" w:after="60" w:line="200" w:lineRule="atLeast"/>
              <w:jc w:val="right"/>
              <w:rPr>
                <w:rFonts w:ascii="Arial" w:hAnsi="Arial"/>
                <w:color w:val="000000"/>
                <w:sz w:val="16"/>
                <w:lang w:eastAsia="en-US"/>
              </w:rPr>
            </w:pPr>
            <w:r>
              <w:rPr>
                <w:rFonts w:ascii="Arial" w:hAnsi="Arial" w:cs="Arial"/>
                <w:color w:val="000000"/>
                <w:sz w:val="16"/>
                <w:szCs w:val="16"/>
              </w:rPr>
              <w:t>25.4</w:t>
            </w:r>
          </w:p>
        </w:tc>
        <w:tc>
          <w:tcPr>
            <w:tcW w:w="638" w:type="pct"/>
            <w:vAlign w:val="bottom"/>
          </w:tcPr>
          <w:p w:rsidR="00D46E9A" w:rsidRDefault="00D46E9A" w:rsidP="006A2889">
            <w:pPr>
              <w:keepLines/>
              <w:tabs>
                <w:tab w:val="left" w:pos="198"/>
              </w:tabs>
              <w:spacing w:before="60" w:after="60" w:line="200" w:lineRule="atLeast"/>
              <w:jc w:val="right"/>
              <w:rPr>
                <w:rFonts w:ascii="Arial" w:hAnsi="Arial" w:cs="Arial"/>
                <w:color w:val="000000"/>
                <w:sz w:val="16"/>
                <w:szCs w:val="16"/>
              </w:rPr>
            </w:pPr>
            <w:r>
              <w:rPr>
                <w:rFonts w:ascii="Arial" w:hAnsi="Arial" w:cs="Arial"/>
                <w:color w:val="000000"/>
                <w:sz w:val="16"/>
                <w:szCs w:val="16"/>
              </w:rPr>
              <w:t>23.9</w:t>
            </w:r>
          </w:p>
        </w:tc>
        <w:tc>
          <w:tcPr>
            <w:tcW w:w="639" w:type="pct"/>
            <w:vAlign w:val="bottom"/>
          </w:tcPr>
          <w:p w:rsidR="00D46E9A" w:rsidRPr="006C56F8" w:rsidRDefault="00D46E9A" w:rsidP="006A2889">
            <w:pPr>
              <w:keepLines/>
              <w:tabs>
                <w:tab w:val="left" w:pos="198"/>
              </w:tabs>
              <w:spacing w:before="60" w:after="60" w:line="200" w:lineRule="atLeast"/>
              <w:jc w:val="right"/>
              <w:rPr>
                <w:rFonts w:ascii="Arial" w:hAnsi="Arial"/>
                <w:color w:val="000000"/>
                <w:sz w:val="16"/>
                <w:lang w:eastAsia="en-US"/>
              </w:rPr>
            </w:pPr>
            <w:r>
              <w:rPr>
                <w:rFonts w:ascii="Arial" w:hAnsi="Arial" w:cs="Arial"/>
                <w:color w:val="000000"/>
                <w:sz w:val="16"/>
                <w:szCs w:val="16"/>
              </w:rPr>
              <w:t>3.4</w:t>
            </w:r>
          </w:p>
        </w:tc>
        <w:tc>
          <w:tcPr>
            <w:tcW w:w="638" w:type="pct"/>
            <w:vAlign w:val="bottom"/>
          </w:tcPr>
          <w:p w:rsidR="00D46E9A" w:rsidRDefault="00D46E9A" w:rsidP="006A2889">
            <w:pPr>
              <w:keepLines/>
              <w:tabs>
                <w:tab w:val="left" w:pos="198"/>
              </w:tabs>
              <w:spacing w:before="60" w:after="60" w:line="200" w:lineRule="atLeast"/>
              <w:jc w:val="right"/>
              <w:rPr>
                <w:rFonts w:ascii="Arial" w:hAnsi="Arial" w:cs="Arial"/>
                <w:color w:val="000000"/>
                <w:sz w:val="16"/>
                <w:szCs w:val="16"/>
              </w:rPr>
            </w:pPr>
            <w:r>
              <w:rPr>
                <w:rFonts w:ascii="Arial" w:hAnsi="Arial" w:cs="Arial"/>
                <w:color w:val="000000"/>
                <w:sz w:val="16"/>
                <w:szCs w:val="16"/>
              </w:rPr>
              <w:t>3.5</w:t>
            </w:r>
          </w:p>
        </w:tc>
        <w:tc>
          <w:tcPr>
            <w:tcW w:w="638" w:type="pct"/>
            <w:vAlign w:val="bottom"/>
          </w:tcPr>
          <w:p w:rsidR="00D46E9A" w:rsidRPr="006C56F8" w:rsidRDefault="00D46E9A" w:rsidP="006A2889">
            <w:pPr>
              <w:keepLines/>
              <w:tabs>
                <w:tab w:val="left" w:pos="198"/>
              </w:tabs>
              <w:spacing w:before="60" w:after="60" w:line="200" w:lineRule="atLeast"/>
              <w:jc w:val="right"/>
              <w:rPr>
                <w:rFonts w:ascii="Arial" w:hAnsi="Arial"/>
                <w:color w:val="000000"/>
                <w:sz w:val="16"/>
                <w:lang w:eastAsia="en-US"/>
              </w:rPr>
            </w:pPr>
            <w:r>
              <w:rPr>
                <w:rFonts w:ascii="Arial" w:hAnsi="Arial" w:cs="Arial"/>
                <w:color w:val="000000"/>
                <w:sz w:val="16"/>
                <w:szCs w:val="16"/>
              </w:rPr>
              <w:t>7.9</w:t>
            </w:r>
          </w:p>
        </w:tc>
        <w:tc>
          <w:tcPr>
            <w:tcW w:w="638" w:type="pct"/>
            <w:vAlign w:val="bottom"/>
          </w:tcPr>
          <w:p w:rsidR="00D46E9A" w:rsidRDefault="00D46E9A" w:rsidP="006A2889">
            <w:pPr>
              <w:keepLines/>
              <w:tabs>
                <w:tab w:val="left" w:pos="198"/>
              </w:tabs>
              <w:spacing w:before="60" w:after="60" w:line="200" w:lineRule="atLeast"/>
              <w:jc w:val="right"/>
              <w:rPr>
                <w:rFonts w:ascii="Arial" w:hAnsi="Arial" w:cs="Arial"/>
                <w:color w:val="000000"/>
                <w:sz w:val="16"/>
                <w:szCs w:val="16"/>
              </w:rPr>
            </w:pPr>
            <w:r>
              <w:rPr>
                <w:rFonts w:ascii="Arial" w:hAnsi="Arial" w:cs="Arial"/>
                <w:color w:val="000000"/>
                <w:sz w:val="16"/>
                <w:szCs w:val="16"/>
              </w:rPr>
              <w:t>7.5</w:t>
            </w:r>
          </w:p>
        </w:tc>
      </w:tr>
      <w:tr w:rsidR="00D46E9A" w:rsidTr="00D46E9A">
        <w:tc>
          <w:tcPr>
            <w:tcW w:w="1173" w:type="pct"/>
          </w:tcPr>
          <w:p w:rsidR="00D46E9A" w:rsidRPr="002E336A" w:rsidRDefault="00D46E9A" w:rsidP="006A2889">
            <w:pPr>
              <w:keepLines/>
              <w:tabs>
                <w:tab w:val="left" w:pos="198"/>
              </w:tabs>
              <w:spacing w:before="60" w:after="60" w:line="200" w:lineRule="atLeast"/>
              <w:rPr>
                <w:rFonts w:ascii="Arial" w:hAnsi="Arial"/>
                <w:color w:val="000000"/>
                <w:sz w:val="16"/>
                <w:lang w:eastAsia="en-US"/>
              </w:rPr>
            </w:pPr>
            <w:r w:rsidRPr="002E336A">
              <w:rPr>
                <w:rFonts w:ascii="Arial" w:hAnsi="Arial"/>
                <w:color w:val="000000"/>
                <w:sz w:val="16"/>
                <w:lang w:eastAsia="en-US"/>
              </w:rPr>
              <w:t>90% and over</w:t>
            </w:r>
          </w:p>
        </w:tc>
        <w:tc>
          <w:tcPr>
            <w:tcW w:w="637" w:type="pct"/>
            <w:vAlign w:val="bottom"/>
          </w:tcPr>
          <w:p w:rsidR="00D46E9A" w:rsidRPr="002E336A" w:rsidRDefault="00D46E9A" w:rsidP="006A2889">
            <w:pPr>
              <w:keepLines/>
              <w:tabs>
                <w:tab w:val="left" w:pos="198"/>
              </w:tabs>
              <w:spacing w:before="60" w:after="60" w:line="200" w:lineRule="atLeast"/>
              <w:jc w:val="right"/>
              <w:rPr>
                <w:rFonts w:ascii="Arial" w:hAnsi="Arial"/>
                <w:color w:val="000000"/>
                <w:sz w:val="16"/>
                <w:lang w:eastAsia="en-US"/>
              </w:rPr>
            </w:pPr>
            <w:r>
              <w:rPr>
                <w:rFonts w:ascii="Arial" w:hAnsi="Arial" w:cs="Arial"/>
                <w:color w:val="000000"/>
                <w:sz w:val="16"/>
                <w:szCs w:val="16"/>
              </w:rPr>
              <w:t>34.3</w:t>
            </w:r>
          </w:p>
        </w:tc>
        <w:tc>
          <w:tcPr>
            <w:tcW w:w="638" w:type="pct"/>
            <w:vAlign w:val="bottom"/>
          </w:tcPr>
          <w:p w:rsidR="00D46E9A" w:rsidRDefault="00D46E9A" w:rsidP="006A2889">
            <w:pPr>
              <w:keepLines/>
              <w:tabs>
                <w:tab w:val="left" w:pos="198"/>
              </w:tabs>
              <w:spacing w:before="60" w:after="60" w:line="200" w:lineRule="atLeast"/>
              <w:jc w:val="right"/>
              <w:rPr>
                <w:rFonts w:ascii="Arial" w:hAnsi="Arial" w:cs="Arial"/>
                <w:color w:val="000000"/>
                <w:sz w:val="16"/>
                <w:szCs w:val="16"/>
              </w:rPr>
            </w:pPr>
            <w:r>
              <w:rPr>
                <w:rFonts w:ascii="Arial" w:hAnsi="Arial" w:cs="Arial"/>
                <w:color w:val="000000"/>
                <w:sz w:val="16"/>
                <w:szCs w:val="16"/>
              </w:rPr>
              <w:t>24.9</w:t>
            </w:r>
          </w:p>
        </w:tc>
        <w:tc>
          <w:tcPr>
            <w:tcW w:w="639" w:type="pct"/>
            <w:vAlign w:val="bottom"/>
          </w:tcPr>
          <w:p w:rsidR="00D46E9A" w:rsidRPr="006C56F8" w:rsidRDefault="00D46E9A" w:rsidP="006A2889">
            <w:pPr>
              <w:keepLines/>
              <w:tabs>
                <w:tab w:val="left" w:pos="198"/>
              </w:tabs>
              <w:spacing w:before="60" w:after="60" w:line="200" w:lineRule="atLeast"/>
              <w:jc w:val="right"/>
              <w:rPr>
                <w:rFonts w:ascii="Arial" w:hAnsi="Arial"/>
                <w:color w:val="000000"/>
                <w:sz w:val="16"/>
                <w:lang w:eastAsia="en-US"/>
              </w:rPr>
            </w:pPr>
            <w:r>
              <w:rPr>
                <w:rFonts w:ascii="Arial" w:hAnsi="Arial" w:cs="Arial"/>
                <w:color w:val="000000"/>
                <w:sz w:val="16"/>
                <w:szCs w:val="16"/>
              </w:rPr>
              <w:t>4.1</w:t>
            </w:r>
          </w:p>
        </w:tc>
        <w:tc>
          <w:tcPr>
            <w:tcW w:w="638" w:type="pct"/>
            <w:vAlign w:val="bottom"/>
          </w:tcPr>
          <w:p w:rsidR="00D46E9A" w:rsidRDefault="00D46E9A" w:rsidP="006A2889">
            <w:pPr>
              <w:keepLines/>
              <w:tabs>
                <w:tab w:val="left" w:pos="198"/>
              </w:tabs>
              <w:spacing w:before="60" w:after="60" w:line="200" w:lineRule="atLeast"/>
              <w:jc w:val="right"/>
              <w:rPr>
                <w:rFonts w:ascii="Arial" w:hAnsi="Arial" w:cs="Arial"/>
                <w:sz w:val="16"/>
                <w:szCs w:val="16"/>
              </w:rPr>
            </w:pPr>
            <w:r>
              <w:rPr>
                <w:rFonts w:ascii="Arial" w:hAnsi="Arial" w:cs="Arial"/>
                <w:color w:val="000000"/>
                <w:sz w:val="16"/>
                <w:szCs w:val="16"/>
              </w:rPr>
              <w:t>4.4</w:t>
            </w:r>
          </w:p>
        </w:tc>
        <w:tc>
          <w:tcPr>
            <w:tcW w:w="638" w:type="pct"/>
            <w:vAlign w:val="bottom"/>
          </w:tcPr>
          <w:p w:rsidR="00D46E9A" w:rsidRPr="006C56F8" w:rsidRDefault="00D46E9A" w:rsidP="006A2889">
            <w:pPr>
              <w:keepLines/>
              <w:tabs>
                <w:tab w:val="left" w:pos="198"/>
              </w:tabs>
              <w:spacing w:before="60" w:after="60" w:line="200" w:lineRule="atLeast"/>
              <w:jc w:val="right"/>
              <w:rPr>
                <w:rFonts w:ascii="Arial" w:hAnsi="Arial"/>
                <w:color w:val="000000"/>
                <w:sz w:val="16"/>
                <w:lang w:eastAsia="en-US"/>
              </w:rPr>
            </w:pPr>
            <w:r>
              <w:rPr>
                <w:rFonts w:ascii="Arial" w:hAnsi="Arial" w:cs="Arial"/>
                <w:sz w:val="16"/>
                <w:szCs w:val="16"/>
              </w:rPr>
              <w:t>9.7</w:t>
            </w:r>
          </w:p>
        </w:tc>
        <w:tc>
          <w:tcPr>
            <w:tcW w:w="638" w:type="pct"/>
            <w:vAlign w:val="bottom"/>
          </w:tcPr>
          <w:p w:rsidR="00D46E9A" w:rsidRDefault="00D46E9A" w:rsidP="006A2889">
            <w:pPr>
              <w:keepLines/>
              <w:tabs>
                <w:tab w:val="left" w:pos="198"/>
              </w:tabs>
              <w:spacing w:before="60" w:after="60" w:line="200" w:lineRule="atLeast"/>
              <w:jc w:val="right"/>
              <w:rPr>
                <w:rFonts w:ascii="Arial" w:hAnsi="Arial" w:cs="Arial"/>
                <w:sz w:val="16"/>
                <w:szCs w:val="16"/>
              </w:rPr>
            </w:pPr>
            <w:r>
              <w:rPr>
                <w:rFonts w:ascii="Arial" w:hAnsi="Arial" w:cs="Arial"/>
                <w:sz w:val="16"/>
                <w:szCs w:val="16"/>
              </w:rPr>
              <w:t>8.2</w:t>
            </w:r>
          </w:p>
        </w:tc>
      </w:tr>
      <w:tr w:rsidR="00D46E9A" w:rsidTr="00D46E9A">
        <w:tc>
          <w:tcPr>
            <w:tcW w:w="1173" w:type="pct"/>
          </w:tcPr>
          <w:p w:rsidR="00D46E9A" w:rsidRPr="008D24BD" w:rsidRDefault="00D46E9A" w:rsidP="006A2889">
            <w:pPr>
              <w:keepLines/>
              <w:tabs>
                <w:tab w:val="left" w:pos="198"/>
              </w:tabs>
              <w:spacing w:before="60" w:after="60" w:line="200" w:lineRule="atLeast"/>
              <w:rPr>
                <w:rFonts w:ascii="Arial" w:hAnsi="Arial"/>
                <w:i/>
                <w:color w:val="000000"/>
                <w:sz w:val="16"/>
                <w:lang w:eastAsia="en-US"/>
              </w:rPr>
            </w:pPr>
            <w:r w:rsidRPr="008D24BD">
              <w:rPr>
                <w:rFonts w:ascii="Arial" w:hAnsi="Arial"/>
                <w:i/>
                <w:color w:val="000000"/>
                <w:sz w:val="16"/>
                <w:lang w:eastAsia="en-US"/>
              </w:rPr>
              <w:t>At least 50%</w:t>
            </w:r>
          </w:p>
        </w:tc>
        <w:tc>
          <w:tcPr>
            <w:tcW w:w="637" w:type="pct"/>
            <w:vAlign w:val="bottom"/>
          </w:tcPr>
          <w:p w:rsidR="00D46E9A" w:rsidRPr="00CC5030" w:rsidRDefault="00D46E9A" w:rsidP="006A2889">
            <w:pPr>
              <w:keepLines/>
              <w:tabs>
                <w:tab w:val="left" w:pos="198"/>
              </w:tabs>
              <w:spacing w:before="60" w:after="60" w:line="200" w:lineRule="atLeast"/>
              <w:jc w:val="right"/>
              <w:rPr>
                <w:rFonts w:ascii="Arial" w:hAnsi="Arial"/>
                <w:i/>
                <w:sz w:val="16"/>
                <w:lang w:eastAsia="en-US"/>
              </w:rPr>
            </w:pPr>
            <w:r w:rsidRPr="00CC5030">
              <w:rPr>
                <w:rFonts w:ascii="Arial" w:hAnsi="Arial" w:cs="Arial"/>
                <w:i/>
                <w:sz w:val="16"/>
                <w:szCs w:val="16"/>
              </w:rPr>
              <w:t>59.7</w:t>
            </w:r>
          </w:p>
        </w:tc>
        <w:tc>
          <w:tcPr>
            <w:tcW w:w="638" w:type="pct"/>
          </w:tcPr>
          <w:p w:rsidR="00D46E9A" w:rsidRPr="00CC5030" w:rsidRDefault="00D46E9A" w:rsidP="006A2889">
            <w:pPr>
              <w:keepLines/>
              <w:tabs>
                <w:tab w:val="left" w:pos="198"/>
              </w:tabs>
              <w:spacing w:before="60" w:after="60" w:line="200" w:lineRule="atLeast"/>
              <w:jc w:val="right"/>
              <w:rPr>
                <w:rFonts w:ascii="Arial" w:hAnsi="Arial" w:cs="Arial"/>
                <w:i/>
                <w:sz w:val="16"/>
                <w:szCs w:val="16"/>
              </w:rPr>
            </w:pPr>
            <w:r>
              <w:rPr>
                <w:rFonts w:ascii="Arial" w:hAnsi="Arial" w:cs="Arial"/>
                <w:i/>
                <w:sz w:val="16"/>
                <w:szCs w:val="16"/>
              </w:rPr>
              <w:t>48.8</w:t>
            </w:r>
          </w:p>
        </w:tc>
        <w:tc>
          <w:tcPr>
            <w:tcW w:w="639" w:type="pct"/>
          </w:tcPr>
          <w:p w:rsidR="00D46E9A" w:rsidRPr="00CC5030" w:rsidRDefault="00D46E9A" w:rsidP="006A2889">
            <w:pPr>
              <w:keepLines/>
              <w:tabs>
                <w:tab w:val="left" w:pos="198"/>
              </w:tabs>
              <w:spacing w:before="60" w:after="60" w:line="200" w:lineRule="atLeast"/>
              <w:jc w:val="right"/>
              <w:rPr>
                <w:rFonts w:ascii="Arial" w:hAnsi="Arial"/>
                <w:i/>
                <w:sz w:val="16"/>
                <w:lang w:eastAsia="en-US"/>
              </w:rPr>
            </w:pPr>
            <w:r w:rsidRPr="00CC5030">
              <w:rPr>
                <w:rFonts w:ascii="Arial" w:hAnsi="Arial" w:cs="Arial"/>
                <w:i/>
                <w:sz w:val="16"/>
                <w:szCs w:val="16"/>
              </w:rPr>
              <w:t>7.5</w:t>
            </w:r>
          </w:p>
        </w:tc>
        <w:tc>
          <w:tcPr>
            <w:tcW w:w="638" w:type="pct"/>
          </w:tcPr>
          <w:p w:rsidR="00D46E9A" w:rsidRPr="00CC5030" w:rsidRDefault="00D46E9A" w:rsidP="006A2889">
            <w:pPr>
              <w:keepLines/>
              <w:tabs>
                <w:tab w:val="left" w:pos="198"/>
              </w:tabs>
              <w:spacing w:before="60" w:after="60" w:line="200" w:lineRule="atLeast"/>
              <w:jc w:val="right"/>
              <w:rPr>
                <w:rFonts w:ascii="Arial" w:hAnsi="Arial" w:cs="Arial"/>
                <w:i/>
                <w:sz w:val="16"/>
                <w:szCs w:val="16"/>
              </w:rPr>
            </w:pPr>
            <w:r>
              <w:rPr>
                <w:rFonts w:ascii="Arial" w:hAnsi="Arial" w:cs="Arial"/>
                <w:i/>
                <w:sz w:val="16"/>
                <w:szCs w:val="16"/>
              </w:rPr>
              <w:t>7.9</w:t>
            </w:r>
          </w:p>
        </w:tc>
        <w:tc>
          <w:tcPr>
            <w:tcW w:w="638" w:type="pct"/>
          </w:tcPr>
          <w:p w:rsidR="00D46E9A" w:rsidRPr="00CC5030" w:rsidRDefault="00D46E9A" w:rsidP="006A2889">
            <w:pPr>
              <w:keepLines/>
              <w:tabs>
                <w:tab w:val="left" w:pos="198"/>
              </w:tabs>
              <w:spacing w:before="60" w:after="60" w:line="200" w:lineRule="atLeast"/>
              <w:jc w:val="right"/>
              <w:rPr>
                <w:rFonts w:ascii="Arial" w:hAnsi="Arial"/>
                <w:i/>
                <w:sz w:val="16"/>
                <w:lang w:eastAsia="en-US"/>
              </w:rPr>
            </w:pPr>
            <w:r w:rsidRPr="00CC5030">
              <w:rPr>
                <w:rFonts w:ascii="Arial" w:hAnsi="Arial" w:cs="Arial"/>
                <w:i/>
                <w:sz w:val="16"/>
                <w:szCs w:val="16"/>
              </w:rPr>
              <w:t>17.6</w:t>
            </w:r>
          </w:p>
        </w:tc>
        <w:tc>
          <w:tcPr>
            <w:tcW w:w="638" w:type="pct"/>
          </w:tcPr>
          <w:p w:rsidR="00D46E9A" w:rsidRPr="00CC5030" w:rsidRDefault="00D46E9A" w:rsidP="006A2889">
            <w:pPr>
              <w:keepLines/>
              <w:tabs>
                <w:tab w:val="left" w:pos="198"/>
              </w:tabs>
              <w:spacing w:before="60" w:after="60" w:line="200" w:lineRule="atLeast"/>
              <w:jc w:val="right"/>
              <w:rPr>
                <w:rFonts w:ascii="Arial" w:hAnsi="Arial" w:cs="Arial"/>
                <w:i/>
                <w:sz w:val="16"/>
                <w:szCs w:val="16"/>
              </w:rPr>
            </w:pPr>
            <w:r>
              <w:rPr>
                <w:rFonts w:ascii="Arial" w:hAnsi="Arial" w:cs="Arial"/>
                <w:i/>
                <w:sz w:val="16"/>
                <w:szCs w:val="16"/>
              </w:rPr>
              <w:t>15.7</w:t>
            </w:r>
          </w:p>
        </w:tc>
      </w:tr>
      <w:tr w:rsidR="00D46E9A" w:rsidTr="00D46E9A">
        <w:tc>
          <w:tcPr>
            <w:tcW w:w="1173" w:type="pct"/>
            <w:tcBorders>
              <w:bottom w:val="single" w:sz="4" w:space="0" w:color="auto"/>
            </w:tcBorders>
          </w:tcPr>
          <w:p w:rsidR="00D46E9A" w:rsidRPr="006C56F8" w:rsidRDefault="00D46E9A" w:rsidP="006A2889">
            <w:pPr>
              <w:keepLines/>
              <w:tabs>
                <w:tab w:val="left" w:pos="198"/>
              </w:tabs>
              <w:spacing w:before="60" w:after="60" w:line="200" w:lineRule="atLeast"/>
              <w:rPr>
                <w:rFonts w:ascii="Arial" w:hAnsi="Arial"/>
                <w:b/>
                <w:color w:val="000000"/>
                <w:sz w:val="16"/>
                <w:lang w:eastAsia="en-US"/>
              </w:rPr>
            </w:pPr>
            <w:r w:rsidRPr="006C56F8">
              <w:rPr>
                <w:rFonts w:ascii="Arial" w:hAnsi="Arial"/>
                <w:b/>
                <w:color w:val="000000"/>
                <w:sz w:val="16"/>
                <w:lang w:eastAsia="en-US"/>
              </w:rPr>
              <w:t>Total</w:t>
            </w:r>
          </w:p>
        </w:tc>
        <w:tc>
          <w:tcPr>
            <w:tcW w:w="637" w:type="pct"/>
            <w:tcBorders>
              <w:bottom w:val="single" w:sz="4" w:space="0" w:color="auto"/>
            </w:tcBorders>
          </w:tcPr>
          <w:p w:rsidR="00D46E9A" w:rsidRPr="00451C29" w:rsidRDefault="00D46E9A" w:rsidP="006A288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100.0</w:t>
            </w:r>
          </w:p>
        </w:tc>
        <w:tc>
          <w:tcPr>
            <w:tcW w:w="638" w:type="pct"/>
            <w:tcBorders>
              <w:bottom w:val="single" w:sz="4" w:space="0" w:color="auto"/>
            </w:tcBorders>
          </w:tcPr>
          <w:p w:rsidR="00D46E9A" w:rsidRDefault="00D46E9A" w:rsidP="006A288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100.0</w:t>
            </w:r>
          </w:p>
        </w:tc>
        <w:tc>
          <w:tcPr>
            <w:tcW w:w="639" w:type="pct"/>
            <w:tcBorders>
              <w:bottom w:val="single" w:sz="4" w:space="0" w:color="auto"/>
            </w:tcBorders>
          </w:tcPr>
          <w:p w:rsidR="00D46E9A" w:rsidRPr="00451C29" w:rsidRDefault="00D46E9A" w:rsidP="006A288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100.0</w:t>
            </w:r>
          </w:p>
        </w:tc>
        <w:tc>
          <w:tcPr>
            <w:tcW w:w="638" w:type="pct"/>
            <w:tcBorders>
              <w:bottom w:val="single" w:sz="4" w:space="0" w:color="auto"/>
            </w:tcBorders>
          </w:tcPr>
          <w:p w:rsidR="00D46E9A" w:rsidRDefault="00D46E9A" w:rsidP="006A288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100.0</w:t>
            </w:r>
          </w:p>
        </w:tc>
        <w:tc>
          <w:tcPr>
            <w:tcW w:w="638" w:type="pct"/>
            <w:tcBorders>
              <w:bottom w:val="single" w:sz="4" w:space="0" w:color="auto"/>
            </w:tcBorders>
          </w:tcPr>
          <w:p w:rsidR="00D46E9A" w:rsidRPr="00451C29" w:rsidRDefault="00D46E9A" w:rsidP="006A288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100.0</w:t>
            </w:r>
          </w:p>
        </w:tc>
        <w:tc>
          <w:tcPr>
            <w:tcW w:w="638" w:type="pct"/>
            <w:tcBorders>
              <w:bottom w:val="single" w:sz="4" w:space="0" w:color="auto"/>
            </w:tcBorders>
          </w:tcPr>
          <w:p w:rsidR="00D46E9A" w:rsidRDefault="00D46E9A" w:rsidP="006A288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100.0</w:t>
            </w:r>
          </w:p>
        </w:tc>
      </w:tr>
      <w:tr w:rsidR="00D46E9A" w:rsidTr="00D46E9A">
        <w:tc>
          <w:tcPr>
            <w:tcW w:w="1173" w:type="pct"/>
            <w:tcBorders>
              <w:top w:val="single" w:sz="4" w:space="0" w:color="auto"/>
              <w:bottom w:val="single" w:sz="4" w:space="0" w:color="auto"/>
            </w:tcBorders>
          </w:tcPr>
          <w:p w:rsidR="00D46E9A" w:rsidRPr="00BF0B24" w:rsidRDefault="00D46E9A" w:rsidP="00BF0B24">
            <w:pPr>
              <w:keepLines/>
              <w:tabs>
                <w:tab w:val="left" w:pos="198"/>
              </w:tabs>
              <w:spacing w:before="60" w:after="60" w:line="200" w:lineRule="atLeast"/>
              <w:rPr>
                <w:rFonts w:ascii="Arial" w:hAnsi="Arial"/>
                <w:b/>
                <w:color w:val="000000"/>
                <w:sz w:val="16"/>
                <w:lang w:eastAsia="en-US"/>
              </w:rPr>
            </w:pPr>
            <w:r>
              <w:rPr>
                <w:rFonts w:ascii="Arial" w:hAnsi="Arial"/>
                <w:b/>
                <w:color w:val="000000"/>
                <w:sz w:val="16"/>
                <w:lang w:eastAsia="en-US"/>
              </w:rPr>
              <w:t>Estimated n</w:t>
            </w:r>
            <w:r w:rsidRPr="00BF0B24">
              <w:rPr>
                <w:rFonts w:ascii="Arial" w:hAnsi="Arial"/>
                <w:b/>
                <w:color w:val="000000"/>
                <w:sz w:val="16"/>
                <w:lang w:eastAsia="en-US"/>
              </w:rPr>
              <w:t>umber of households</w:t>
            </w:r>
            <w:r>
              <w:rPr>
                <w:rFonts w:ascii="Arial" w:hAnsi="Arial"/>
                <w:b/>
                <w:color w:val="000000"/>
                <w:sz w:val="16"/>
                <w:lang w:eastAsia="en-US"/>
              </w:rPr>
              <w:t xml:space="preserve"> in population</w:t>
            </w:r>
          </w:p>
        </w:tc>
        <w:tc>
          <w:tcPr>
            <w:tcW w:w="637" w:type="pct"/>
            <w:tcBorders>
              <w:top w:val="single" w:sz="4" w:space="0" w:color="auto"/>
              <w:bottom w:val="single" w:sz="4" w:space="0" w:color="auto"/>
            </w:tcBorders>
            <w:vAlign w:val="bottom"/>
          </w:tcPr>
          <w:p w:rsidR="00D46E9A" w:rsidRPr="009B528A" w:rsidRDefault="00D46E9A" w:rsidP="003F4913">
            <w:pPr>
              <w:keepLines/>
              <w:spacing w:before="60" w:after="60" w:line="200" w:lineRule="atLeast"/>
              <w:jc w:val="center"/>
              <w:rPr>
                <w:rFonts w:ascii="Arial" w:hAnsi="Arial" w:cs="Arial"/>
                <w:b/>
                <w:color w:val="000000"/>
                <w:sz w:val="16"/>
                <w:szCs w:val="16"/>
              </w:rPr>
            </w:pPr>
            <w:r w:rsidRPr="00A77DA3">
              <w:rPr>
                <w:rFonts w:ascii="Arial" w:hAnsi="Arial" w:cs="Arial"/>
                <w:b/>
                <w:color w:val="000000"/>
                <w:sz w:val="16"/>
                <w:szCs w:val="16"/>
              </w:rPr>
              <w:t>2009–10</w:t>
            </w:r>
          </w:p>
        </w:tc>
        <w:tc>
          <w:tcPr>
            <w:tcW w:w="638" w:type="pct"/>
            <w:tcBorders>
              <w:top w:val="single" w:sz="4" w:space="0" w:color="auto"/>
              <w:bottom w:val="single" w:sz="4" w:space="0" w:color="auto"/>
            </w:tcBorders>
            <w:vAlign w:val="bottom"/>
          </w:tcPr>
          <w:p w:rsidR="00D46E9A" w:rsidRPr="009B528A" w:rsidRDefault="00D46E9A" w:rsidP="003F4913">
            <w:pPr>
              <w:keepLines/>
              <w:tabs>
                <w:tab w:val="left" w:pos="198"/>
              </w:tabs>
              <w:spacing w:before="60" w:after="60" w:line="200" w:lineRule="atLeast"/>
              <w:jc w:val="center"/>
              <w:rPr>
                <w:rFonts w:ascii="Arial" w:hAnsi="Arial" w:cs="Arial"/>
                <w:b/>
                <w:color w:val="000000"/>
                <w:sz w:val="16"/>
                <w:szCs w:val="16"/>
              </w:rPr>
            </w:pPr>
            <w:r w:rsidRPr="00A77DA3">
              <w:rPr>
                <w:rFonts w:ascii="Arial" w:hAnsi="Arial" w:cs="Arial"/>
                <w:b/>
                <w:color w:val="000000"/>
                <w:sz w:val="16"/>
                <w:szCs w:val="16"/>
              </w:rPr>
              <w:t>2011–12</w:t>
            </w:r>
          </w:p>
        </w:tc>
        <w:tc>
          <w:tcPr>
            <w:tcW w:w="639" w:type="pct"/>
            <w:tcBorders>
              <w:top w:val="single" w:sz="4" w:space="0" w:color="auto"/>
              <w:bottom w:val="single" w:sz="4" w:space="0" w:color="auto"/>
            </w:tcBorders>
            <w:vAlign w:val="bottom"/>
          </w:tcPr>
          <w:p w:rsidR="00D46E9A" w:rsidRPr="009B528A" w:rsidRDefault="00D46E9A" w:rsidP="003F4913">
            <w:pPr>
              <w:keepLines/>
              <w:tabs>
                <w:tab w:val="left" w:pos="198"/>
              </w:tabs>
              <w:spacing w:before="60" w:after="60" w:line="200" w:lineRule="atLeast"/>
              <w:jc w:val="center"/>
              <w:rPr>
                <w:rFonts w:ascii="Arial" w:hAnsi="Arial" w:cs="Arial"/>
                <w:b/>
                <w:color w:val="000000"/>
                <w:sz w:val="16"/>
                <w:szCs w:val="16"/>
              </w:rPr>
            </w:pPr>
            <w:r w:rsidRPr="00A77DA3">
              <w:rPr>
                <w:rFonts w:ascii="Arial" w:hAnsi="Arial" w:cs="Arial"/>
                <w:b/>
                <w:color w:val="000000"/>
                <w:sz w:val="16"/>
                <w:szCs w:val="16"/>
              </w:rPr>
              <w:t>2009–10</w:t>
            </w:r>
          </w:p>
        </w:tc>
        <w:tc>
          <w:tcPr>
            <w:tcW w:w="638" w:type="pct"/>
            <w:tcBorders>
              <w:top w:val="single" w:sz="4" w:space="0" w:color="auto"/>
              <w:bottom w:val="single" w:sz="4" w:space="0" w:color="auto"/>
            </w:tcBorders>
            <w:vAlign w:val="bottom"/>
          </w:tcPr>
          <w:p w:rsidR="00D46E9A" w:rsidRPr="009B528A" w:rsidRDefault="00D46E9A" w:rsidP="003F4913">
            <w:pPr>
              <w:keepLines/>
              <w:tabs>
                <w:tab w:val="left" w:pos="198"/>
              </w:tabs>
              <w:spacing w:before="60" w:after="60" w:line="200" w:lineRule="atLeast"/>
              <w:jc w:val="center"/>
              <w:rPr>
                <w:rFonts w:ascii="Arial" w:hAnsi="Arial" w:cs="Arial"/>
                <w:b/>
                <w:color w:val="000000"/>
                <w:sz w:val="16"/>
                <w:szCs w:val="16"/>
              </w:rPr>
            </w:pPr>
            <w:r w:rsidRPr="00A77DA3">
              <w:rPr>
                <w:rFonts w:ascii="Arial" w:hAnsi="Arial" w:cs="Arial"/>
                <w:b/>
                <w:color w:val="000000"/>
                <w:sz w:val="16"/>
                <w:szCs w:val="16"/>
              </w:rPr>
              <w:t>2011–12</w:t>
            </w:r>
          </w:p>
        </w:tc>
        <w:tc>
          <w:tcPr>
            <w:tcW w:w="638" w:type="pct"/>
            <w:tcBorders>
              <w:top w:val="single" w:sz="4" w:space="0" w:color="auto"/>
              <w:bottom w:val="single" w:sz="4" w:space="0" w:color="auto"/>
            </w:tcBorders>
            <w:vAlign w:val="bottom"/>
          </w:tcPr>
          <w:p w:rsidR="00D46E9A" w:rsidRPr="009B528A" w:rsidRDefault="00D46E9A" w:rsidP="003F4913">
            <w:pPr>
              <w:keepLines/>
              <w:tabs>
                <w:tab w:val="left" w:pos="198"/>
              </w:tabs>
              <w:spacing w:before="60" w:after="60" w:line="200" w:lineRule="atLeast"/>
              <w:jc w:val="center"/>
              <w:rPr>
                <w:rFonts w:ascii="Arial" w:hAnsi="Arial" w:cs="Arial"/>
                <w:b/>
                <w:color w:val="000000"/>
                <w:sz w:val="16"/>
                <w:szCs w:val="16"/>
              </w:rPr>
            </w:pPr>
            <w:r w:rsidRPr="00A77DA3">
              <w:rPr>
                <w:rFonts w:ascii="Arial" w:hAnsi="Arial" w:cs="Arial"/>
                <w:b/>
                <w:color w:val="000000"/>
                <w:sz w:val="16"/>
                <w:szCs w:val="16"/>
              </w:rPr>
              <w:t>2009–10</w:t>
            </w:r>
          </w:p>
        </w:tc>
        <w:tc>
          <w:tcPr>
            <w:tcW w:w="638" w:type="pct"/>
            <w:tcBorders>
              <w:top w:val="single" w:sz="4" w:space="0" w:color="auto"/>
              <w:bottom w:val="single" w:sz="4" w:space="0" w:color="auto"/>
            </w:tcBorders>
            <w:vAlign w:val="bottom"/>
          </w:tcPr>
          <w:p w:rsidR="00D46E9A" w:rsidRPr="009B528A" w:rsidRDefault="00D46E9A" w:rsidP="003F4913">
            <w:pPr>
              <w:keepLines/>
              <w:tabs>
                <w:tab w:val="left" w:pos="198"/>
              </w:tabs>
              <w:spacing w:before="60" w:after="60" w:line="200" w:lineRule="atLeast"/>
              <w:jc w:val="center"/>
              <w:rPr>
                <w:rFonts w:ascii="Arial" w:hAnsi="Arial" w:cs="Arial"/>
                <w:b/>
                <w:color w:val="000000"/>
                <w:sz w:val="16"/>
                <w:szCs w:val="16"/>
              </w:rPr>
            </w:pPr>
            <w:r w:rsidRPr="00A77DA3">
              <w:rPr>
                <w:rFonts w:ascii="Arial" w:hAnsi="Arial" w:cs="Arial"/>
                <w:b/>
                <w:color w:val="000000"/>
                <w:sz w:val="16"/>
                <w:szCs w:val="16"/>
              </w:rPr>
              <w:t>2011–12</w:t>
            </w:r>
          </w:p>
        </w:tc>
      </w:tr>
      <w:tr w:rsidR="00D46E9A" w:rsidTr="00D46E9A">
        <w:tc>
          <w:tcPr>
            <w:tcW w:w="1173" w:type="pct"/>
            <w:tcBorders>
              <w:bottom w:val="single" w:sz="4" w:space="0" w:color="auto"/>
            </w:tcBorders>
          </w:tcPr>
          <w:p w:rsidR="00D46E9A" w:rsidRPr="003C53CA" w:rsidRDefault="00D46E9A" w:rsidP="006A2889">
            <w:pPr>
              <w:keepLines/>
              <w:tabs>
                <w:tab w:val="left" w:pos="198"/>
              </w:tabs>
              <w:spacing w:before="60" w:after="60" w:line="200" w:lineRule="atLeast"/>
              <w:rPr>
                <w:rFonts w:ascii="Arial" w:hAnsi="Arial"/>
                <w:color w:val="000000"/>
                <w:sz w:val="16"/>
                <w:lang w:eastAsia="en-US"/>
              </w:rPr>
            </w:pPr>
          </w:p>
        </w:tc>
        <w:tc>
          <w:tcPr>
            <w:tcW w:w="637" w:type="pct"/>
            <w:tcBorders>
              <w:bottom w:val="single" w:sz="4" w:space="0" w:color="auto"/>
            </w:tcBorders>
          </w:tcPr>
          <w:p w:rsidR="00D46E9A" w:rsidRPr="003C53CA" w:rsidRDefault="00D46E9A" w:rsidP="00D041BC">
            <w:pPr>
              <w:keepLines/>
              <w:tabs>
                <w:tab w:val="left" w:pos="198"/>
              </w:tabs>
              <w:spacing w:before="60" w:after="60" w:line="200" w:lineRule="atLeast"/>
              <w:jc w:val="right"/>
              <w:rPr>
                <w:rFonts w:ascii="Arial" w:hAnsi="Arial"/>
                <w:color w:val="000000"/>
                <w:sz w:val="16"/>
                <w:lang w:eastAsia="en-US"/>
              </w:rPr>
            </w:pPr>
            <w:r w:rsidRPr="003C53CA">
              <w:rPr>
                <w:rFonts w:ascii="Arial" w:hAnsi="Arial" w:cs="Arial"/>
                <w:color w:val="000000"/>
                <w:sz w:val="16"/>
                <w:szCs w:val="16"/>
              </w:rPr>
              <w:t>344</w:t>
            </w:r>
            <w:r>
              <w:rPr>
                <w:rFonts w:ascii="Arial" w:hAnsi="Arial" w:cs="Arial"/>
                <w:color w:val="000000"/>
                <w:sz w:val="16"/>
                <w:szCs w:val="16"/>
              </w:rPr>
              <w:t> </w:t>
            </w:r>
            <w:r w:rsidRPr="003C53CA">
              <w:rPr>
                <w:rFonts w:ascii="Arial" w:hAnsi="Arial" w:cs="Arial"/>
                <w:color w:val="000000"/>
                <w:sz w:val="16"/>
                <w:szCs w:val="16"/>
              </w:rPr>
              <w:t>000</w:t>
            </w:r>
          </w:p>
        </w:tc>
        <w:tc>
          <w:tcPr>
            <w:tcW w:w="638" w:type="pct"/>
            <w:tcBorders>
              <w:bottom w:val="single" w:sz="4" w:space="0" w:color="auto"/>
            </w:tcBorders>
          </w:tcPr>
          <w:p w:rsidR="00D46E9A" w:rsidRPr="003C53CA" w:rsidRDefault="00D46E9A" w:rsidP="00D041BC">
            <w:pPr>
              <w:keepLines/>
              <w:tabs>
                <w:tab w:val="left" w:pos="198"/>
              </w:tabs>
              <w:spacing w:before="60" w:after="60" w:line="200" w:lineRule="atLeast"/>
              <w:jc w:val="right"/>
              <w:rPr>
                <w:rFonts w:ascii="Arial" w:hAnsi="Arial" w:cs="Arial"/>
                <w:color w:val="000000"/>
                <w:sz w:val="16"/>
                <w:szCs w:val="16"/>
              </w:rPr>
            </w:pPr>
            <w:r>
              <w:rPr>
                <w:rFonts w:ascii="Arial" w:hAnsi="Arial" w:cs="Arial"/>
                <w:color w:val="000000"/>
                <w:sz w:val="16"/>
                <w:szCs w:val="16"/>
              </w:rPr>
              <w:t>344 000</w:t>
            </w:r>
          </w:p>
        </w:tc>
        <w:tc>
          <w:tcPr>
            <w:tcW w:w="639" w:type="pct"/>
            <w:tcBorders>
              <w:bottom w:val="single" w:sz="4" w:space="0" w:color="auto"/>
            </w:tcBorders>
          </w:tcPr>
          <w:p w:rsidR="00D46E9A" w:rsidRPr="003C53CA" w:rsidRDefault="00D46E9A" w:rsidP="00D041BC">
            <w:pPr>
              <w:keepLines/>
              <w:tabs>
                <w:tab w:val="left" w:pos="198"/>
              </w:tabs>
              <w:spacing w:before="60" w:after="60" w:line="200" w:lineRule="atLeast"/>
              <w:jc w:val="right"/>
              <w:rPr>
                <w:rFonts w:ascii="Arial" w:hAnsi="Arial"/>
                <w:color w:val="000000"/>
                <w:sz w:val="16"/>
                <w:lang w:eastAsia="en-US"/>
              </w:rPr>
            </w:pPr>
            <w:r w:rsidRPr="003C53CA">
              <w:rPr>
                <w:rFonts w:ascii="Arial" w:hAnsi="Arial" w:cs="Arial"/>
                <w:color w:val="000000"/>
                <w:sz w:val="16"/>
                <w:szCs w:val="16"/>
              </w:rPr>
              <w:t>1</w:t>
            </w:r>
            <w:r>
              <w:rPr>
                <w:rFonts w:ascii="Arial" w:hAnsi="Arial" w:cs="Arial"/>
                <w:color w:val="000000"/>
                <w:sz w:val="16"/>
                <w:szCs w:val="16"/>
              </w:rPr>
              <w:t>  </w:t>
            </w:r>
            <w:r w:rsidRPr="003C53CA">
              <w:rPr>
                <w:rFonts w:ascii="Arial" w:hAnsi="Arial" w:cs="Arial"/>
                <w:color w:val="000000"/>
                <w:sz w:val="16"/>
                <w:szCs w:val="16"/>
              </w:rPr>
              <w:t>439</w:t>
            </w:r>
            <w:r>
              <w:rPr>
                <w:rFonts w:ascii="Arial" w:hAnsi="Arial" w:cs="Arial"/>
                <w:color w:val="000000"/>
                <w:sz w:val="16"/>
                <w:szCs w:val="16"/>
              </w:rPr>
              <w:t>  </w:t>
            </w:r>
            <w:r w:rsidRPr="003C53CA">
              <w:rPr>
                <w:rFonts w:ascii="Arial" w:hAnsi="Arial" w:cs="Arial"/>
                <w:color w:val="000000"/>
                <w:sz w:val="16"/>
                <w:szCs w:val="16"/>
              </w:rPr>
              <w:t>000</w:t>
            </w:r>
          </w:p>
        </w:tc>
        <w:tc>
          <w:tcPr>
            <w:tcW w:w="638" w:type="pct"/>
            <w:tcBorders>
              <w:bottom w:val="single" w:sz="4" w:space="0" w:color="auto"/>
            </w:tcBorders>
          </w:tcPr>
          <w:p w:rsidR="00D46E9A" w:rsidRPr="003C53CA" w:rsidRDefault="00D46E9A" w:rsidP="00D041BC">
            <w:pPr>
              <w:keepLines/>
              <w:tabs>
                <w:tab w:val="left" w:pos="198"/>
              </w:tabs>
              <w:spacing w:before="60" w:after="60" w:line="200" w:lineRule="atLeast"/>
              <w:jc w:val="right"/>
              <w:rPr>
                <w:rFonts w:ascii="Arial" w:hAnsi="Arial" w:cs="Arial"/>
                <w:color w:val="000000"/>
                <w:sz w:val="16"/>
                <w:szCs w:val="16"/>
              </w:rPr>
            </w:pPr>
            <w:r>
              <w:rPr>
                <w:rFonts w:ascii="Arial" w:hAnsi="Arial" w:cs="Arial"/>
                <w:color w:val="000000"/>
                <w:sz w:val="16"/>
                <w:szCs w:val="16"/>
              </w:rPr>
              <w:t>1  495  000</w:t>
            </w:r>
          </w:p>
        </w:tc>
        <w:tc>
          <w:tcPr>
            <w:tcW w:w="638" w:type="pct"/>
            <w:tcBorders>
              <w:bottom w:val="single" w:sz="4" w:space="0" w:color="auto"/>
            </w:tcBorders>
          </w:tcPr>
          <w:p w:rsidR="00D46E9A" w:rsidRPr="003C53CA" w:rsidRDefault="00D46E9A" w:rsidP="00D041BC">
            <w:pPr>
              <w:keepLines/>
              <w:tabs>
                <w:tab w:val="left" w:pos="198"/>
              </w:tabs>
              <w:spacing w:before="60" w:after="60" w:line="200" w:lineRule="atLeast"/>
              <w:jc w:val="right"/>
              <w:rPr>
                <w:rFonts w:ascii="Arial" w:hAnsi="Arial"/>
                <w:color w:val="000000"/>
                <w:sz w:val="16"/>
                <w:lang w:eastAsia="en-US"/>
              </w:rPr>
            </w:pPr>
            <w:r w:rsidRPr="003C53CA">
              <w:rPr>
                <w:rFonts w:ascii="Arial" w:hAnsi="Arial" w:cs="Arial"/>
                <w:color w:val="000000"/>
                <w:sz w:val="16"/>
                <w:szCs w:val="16"/>
              </w:rPr>
              <w:t>1</w:t>
            </w:r>
            <w:r>
              <w:rPr>
                <w:rFonts w:ascii="Arial" w:hAnsi="Arial" w:cs="Arial"/>
                <w:color w:val="000000"/>
                <w:sz w:val="16"/>
                <w:szCs w:val="16"/>
              </w:rPr>
              <w:t> </w:t>
            </w:r>
            <w:r w:rsidRPr="003C53CA">
              <w:rPr>
                <w:rFonts w:ascii="Arial" w:hAnsi="Arial" w:cs="Arial"/>
                <w:color w:val="000000"/>
                <w:sz w:val="16"/>
                <w:szCs w:val="16"/>
              </w:rPr>
              <w:t>856</w:t>
            </w:r>
            <w:r>
              <w:rPr>
                <w:rFonts w:ascii="Arial" w:hAnsi="Arial" w:cs="Arial"/>
                <w:color w:val="000000"/>
                <w:sz w:val="16"/>
                <w:szCs w:val="16"/>
              </w:rPr>
              <w:t> </w:t>
            </w:r>
            <w:r w:rsidRPr="003C53CA">
              <w:rPr>
                <w:rFonts w:ascii="Arial" w:hAnsi="Arial" w:cs="Arial"/>
                <w:color w:val="000000"/>
                <w:sz w:val="16"/>
                <w:szCs w:val="16"/>
              </w:rPr>
              <w:t>000</w:t>
            </w:r>
          </w:p>
        </w:tc>
        <w:tc>
          <w:tcPr>
            <w:tcW w:w="638" w:type="pct"/>
            <w:tcBorders>
              <w:bottom w:val="single" w:sz="4" w:space="0" w:color="auto"/>
            </w:tcBorders>
          </w:tcPr>
          <w:p w:rsidR="00D46E9A" w:rsidRPr="003C53CA" w:rsidRDefault="00D46E9A" w:rsidP="00D041BC">
            <w:pPr>
              <w:keepLines/>
              <w:tabs>
                <w:tab w:val="left" w:pos="198"/>
              </w:tabs>
              <w:spacing w:before="60" w:after="60" w:line="200" w:lineRule="atLeast"/>
              <w:jc w:val="right"/>
              <w:rPr>
                <w:rFonts w:ascii="Arial" w:hAnsi="Arial" w:cs="Arial"/>
                <w:color w:val="000000"/>
                <w:sz w:val="16"/>
                <w:szCs w:val="16"/>
              </w:rPr>
            </w:pPr>
            <w:r>
              <w:rPr>
                <w:rFonts w:ascii="Arial" w:hAnsi="Arial" w:cs="Arial"/>
                <w:color w:val="000000"/>
                <w:sz w:val="16"/>
                <w:szCs w:val="16"/>
              </w:rPr>
              <w:t>1 925 000</w:t>
            </w:r>
          </w:p>
        </w:tc>
      </w:tr>
    </w:tbl>
    <w:p w:rsidR="00492D4A" w:rsidRPr="00641E74" w:rsidRDefault="007C7008" w:rsidP="00A6091A">
      <w:pPr>
        <w:pStyle w:val="StyleArial7ptBefore6pt"/>
      </w:pPr>
      <w:r>
        <w:t>(a)</w:t>
      </w:r>
      <w:r w:rsidR="00492D4A" w:rsidRPr="00641E74">
        <w:tab/>
        <w:t>Includes all children aged 0</w:t>
      </w:r>
      <w:r w:rsidR="00945F81" w:rsidRPr="00641E74">
        <w:t xml:space="preserve"> to </w:t>
      </w:r>
      <w:r w:rsidR="00492D4A" w:rsidRPr="00641E74">
        <w:t>14 years. Dependent full-time students aged 15</w:t>
      </w:r>
      <w:r w:rsidR="00945F81" w:rsidRPr="00641E74">
        <w:t xml:space="preserve"> to </w:t>
      </w:r>
      <w:r w:rsidR="00492D4A" w:rsidRPr="00641E74">
        <w:t xml:space="preserve">24 years are excluded. </w:t>
      </w:r>
    </w:p>
    <w:p w:rsidR="00492D4A" w:rsidRPr="00641E74" w:rsidRDefault="00492D4A" w:rsidP="00A6091A">
      <w:pPr>
        <w:pStyle w:val="StyleArial7ptBefore6pt"/>
      </w:pPr>
      <w:r w:rsidRPr="00641E74">
        <w:t>(b)</w:t>
      </w:r>
      <w:r w:rsidRPr="00641E74">
        <w:tab/>
        <w:t>Includes multiple family households.</w:t>
      </w:r>
    </w:p>
    <w:p w:rsidR="00492D4A" w:rsidRPr="00641E74" w:rsidRDefault="00492D4A" w:rsidP="00A6091A">
      <w:pPr>
        <w:pStyle w:val="StyleArial7ptBefore6pt"/>
      </w:pPr>
      <w:r w:rsidRPr="00641E74">
        <w:t>Notes</w:t>
      </w:r>
    </w:p>
    <w:p w:rsidR="00492D4A" w:rsidRPr="00641E74" w:rsidRDefault="00492D4A" w:rsidP="00A6091A">
      <w:pPr>
        <w:pStyle w:val="StyleArial7ptBefore6pt"/>
      </w:pPr>
      <w:r w:rsidRPr="00641E74">
        <w:t>1.</w:t>
      </w:r>
      <w:r w:rsidRPr="00641E74">
        <w:tab/>
        <w:t>Percentages in tables may not add to 100 due to rounding.</w:t>
      </w:r>
    </w:p>
    <w:p w:rsidR="00492D4A" w:rsidRPr="00641E74" w:rsidRDefault="00492D4A" w:rsidP="00A6091A">
      <w:pPr>
        <w:pStyle w:val="StyleArial7ptBefore6pt"/>
      </w:pPr>
      <w:r w:rsidRPr="00641E74">
        <w:t>2.</w:t>
      </w:r>
      <w:r w:rsidRPr="00641E74">
        <w:tab/>
        <w:t xml:space="preserve">Data on Indigenous status are not available from the </w:t>
      </w:r>
      <w:r w:rsidR="00C14120" w:rsidRPr="00641E74">
        <w:t>Australian Bureau of Statistics (</w:t>
      </w:r>
      <w:r w:rsidRPr="00641E74">
        <w:t>ABS</w:t>
      </w:r>
      <w:r w:rsidR="00C14120" w:rsidRPr="00641E74">
        <w:t>)</w:t>
      </w:r>
      <w:r w:rsidRPr="00641E74">
        <w:t xml:space="preserve"> 2009–10 or 2011–12 Surveys of Income and Housing. </w:t>
      </w:r>
    </w:p>
    <w:p w:rsidR="00492D4A" w:rsidRPr="00641E74" w:rsidRDefault="00492D4A" w:rsidP="00A6091A">
      <w:pPr>
        <w:pStyle w:val="StyleArial7ptBefore6pt"/>
      </w:pPr>
      <w:r w:rsidRPr="00641E74">
        <w:t>Source</w:t>
      </w:r>
      <w:r w:rsidR="00C40165" w:rsidRPr="00641E74">
        <w:t>s</w:t>
      </w:r>
      <w:r w:rsidRPr="00641E74">
        <w:t>: AIHW analysis of ABS 2011 (unpublished data) and ABS 2013a (unpublished data).</w:t>
      </w:r>
    </w:p>
    <w:p w:rsidR="00CC7472" w:rsidRPr="00356B6E" w:rsidRDefault="00F86762" w:rsidP="00B940CF">
      <w:pPr>
        <w:pStyle w:val="Heading1"/>
      </w:pPr>
      <w:r w:rsidRPr="00821556">
        <w:rPr>
          <w:rFonts w:ascii="Calibri" w:hAnsi="Calibri" w:cs="Calibri"/>
          <w:b/>
          <w:bCs/>
          <w:sz w:val="26"/>
          <w:szCs w:val="26"/>
        </w:rPr>
        <w:br w:type="page"/>
      </w:r>
      <w:bookmarkStart w:id="83" w:name="_Toc400007697"/>
      <w:bookmarkStart w:id="84" w:name="_Toc400711473"/>
      <w:r w:rsidR="00CC7472">
        <w:t>Chapter three: Outcome 1</w:t>
      </w:r>
      <w:r w:rsidR="00CC7472">
        <w:noBreakHyphen/>
        <w:t>Children live in safe and supportive families and communities</w:t>
      </w:r>
      <w:bookmarkEnd w:id="83"/>
      <w:bookmarkEnd w:id="84"/>
    </w:p>
    <w:p w:rsidR="00520D0F" w:rsidRPr="00B71ABA" w:rsidRDefault="00754A9B" w:rsidP="003C36AD">
      <w:pPr>
        <w:pBdr>
          <w:top w:val="single" w:sz="4" w:space="1" w:color="auto"/>
          <w:left w:val="single" w:sz="4" w:space="4" w:color="auto"/>
          <w:bottom w:val="single" w:sz="4" w:space="1" w:color="auto"/>
          <w:right w:val="single" w:sz="4" w:space="4" w:color="auto"/>
        </w:pBdr>
        <w:ind w:left="851" w:right="1960" w:firstLine="1"/>
        <w:jc w:val="center"/>
      </w:pPr>
      <w:r w:rsidRPr="00B22FF7">
        <w:rPr>
          <w:rFonts w:ascii="Arial" w:hAnsi="Arial" w:cs="Arial"/>
          <w:sz w:val="28"/>
          <w:szCs w:val="28"/>
        </w:rPr>
        <w:t>C</w:t>
      </w:r>
      <w:r w:rsidR="001309AB" w:rsidRPr="00B22FF7">
        <w:rPr>
          <w:rFonts w:ascii="Arial" w:hAnsi="Arial" w:cs="Arial"/>
          <w:sz w:val="28"/>
          <w:szCs w:val="28"/>
        </w:rPr>
        <w:t xml:space="preserve">ommunities </w:t>
      </w:r>
      <w:r w:rsidR="00893681" w:rsidRPr="00B22FF7">
        <w:rPr>
          <w:rFonts w:ascii="Arial" w:hAnsi="Arial" w:cs="Arial"/>
          <w:sz w:val="28"/>
          <w:szCs w:val="28"/>
        </w:rPr>
        <w:t>are child</w:t>
      </w:r>
      <w:r w:rsidR="00EE309B" w:rsidRPr="00B22FF7">
        <w:rPr>
          <w:rFonts w:ascii="Arial" w:hAnsi="Arial" w:cs="Arial"/>
          <w:sz w:val="28"/>
          <w:szCs w:val="28"/>
        </w:rPr>
        <w:t xml:space="preserve"> </w:t>
      </w:r>
      <w:r w:rsidR="00893681" w:rsidRPr="00B22FF7">
        <w:rPr>
          <w:rFonts w:ascii="Arial" w:hAnsi="Arial" w:cs="Arial"/>
          <w:sz w:val="28"/>
          <w:szCs w:val="28"/>
        </w:rPr>
        <w:t>friendly.</w:t>
      </w:r>
      <w:r w:rsidR="003B4864" w:rsidRPr="00B22FF7">
        <w:rPr>
          <w:rFonts w:ascii="Arial" w:hAnsi="Arial" w:cs="Arial"/>
          <w:sz w:val="28"/>
          <w:szCs w:val="28"/>
        </w:rPr>
        <w:t xml:space="preserve"> </w:t>
      </w:r>
      <w:r w:rsidR="00893681" w:rsidRPr="00B22FF7">
        <w:rPr>
          <w:rFonts w:ascii="Arial" w:hAnsi="Arial" w:cs="Arial"/>
          <w:sz w:val="28"/>
          <w:szCs w:val="28"/>
        </w:rPr>
        <w:t>F</w:t>
      </w:r>
      <w:r w:rsidR="00D07A67" w:rsidRPr="00B22FF7">
        <w:rPr>
          <w:rFonts w:ascii="Arial" w:hAnsi="Arial" w:cs="Arial"/>
          <w:sz w:val="28"/>
          <w:szCs w:val="28"/>
        </w:rPr>
        <w:t>amilies care for children, value their wellbeing and participation and are supported in their caring role.</w:t>
      </w:r>
    </w:p>
    <w:p w:rsidR="00AC7977" w:rsidRPr="00A127A9" w:rsidRDefault="00AC7977" w:rsidP="003C36AD">
      <w:pPr>
        <w:pStyle w:val="Heading2"/>
      </w:pPr>
      <w:bookmarkStart w:id="85" w:name="_Toc400007698"/>
      <w:bookmarkStart w:id="86" w:name="_Toc400711474"/>
      <w:r w:rsidRPr="00A127A9">
        <w:t>Overview</w:t>
      </w:r>
      <w:bookmarkEnd w:id="85"/>
      <w:bookmarkEnd w:id="86"/>
    </w:p>
    <w:p w:rsidR="00AC7977" w:rsidRDefault="00CB6A5C" w:rsidP="00A44550">
      <w:pPr>
        <w:rPr>
          <w:rFonts w:ascii="Calibri" w:hAnsi="Calibri" w:cs="Calibri"/>
          <w:sz w:val="24"/>
          <w:szCs w:val="24"/>
        </w:rPr>
      </w:pPr>
      <w:r w:rsidRPr="00CB6A5C">
        <w:rPr>
          <w:rFonts w:ascii="Calibri" w:hAnsi="Calibri" w:cs="Calibri"/>
          <w:sz w:val="24"/>
          <w:szCs w:val="24"/>
        </w:rPr>
        <w:t xml:space="preserve">Under the Second Action Plan, a number of </w:t>
      </w:r>
      <w:r w:rsidR="00EC5572" w:rsidRPr="00B27E44">
        <w:rPr>
          <w:rFonts w:ascii="Calibri" w:hAnsi="Calibri" w:cs="Calibri"/>
          <w:sz w:val="24"/>
          <w:szCs w:val="24"/>
        </w:rPr>
        <w:t>National Priorities</w:t>
      </w:r>
      <w:r w:rsidRPr="00CB6A5C">
        <w:rPr>
          <w:rFonts w:ascii="Calibri" w:hAnsi="Calibri" w:cs="Calibri"/>
          <w:sz w:val="24"/>
          <w:szCs w:val="24"/>
        </w:rPr>
        <w:t xml:space="preserve"> have been identified against </w:t>
      </w:r>
      <w:r w:rsidR="00AC7977" w:rsidRPr="00CB6A5C">
        <w:rPr>
          <w:rFonts w:ascii="Calibri" w:hAnsi="Calibri" w:cs="Calibri"/>
          <w:sz w:val="24"/>
          <w:szCs w:val="24"/>
        </w:rPr>
        <w:t xml:space="preserve">Outcome 1 to provide a wide range of effective support services for children, families and </w:t>
      </w:r>
      <w:r w:rsidR="009C2AE9" w:rsidRPr="00CB6A5C">
        <w:rPr>
          <w:rFonts w:ascii="Calibri" w:hAnsi="Calibri" w:cs="Calibri"/>
          <w:sz w:val="24"/>
          <w:szCs w:val="24"/>
        </w:rPr>
        <w:t>carers.</w:t>
      </w:r>
      <w:r>
        <w:rPr>
          <w:rFonts w:ascii="Calibri" w:hAnsi="Calibri" w:cs="Calibri"/>
          <w:sz w:val="24"/>
          <w:szCs w:val="24"/>
        </w:rPr>
        <w:t xml:space="preserve"> These </w:t>
      </w:r>
      <w:r w:rsidR="00535BBD">
        <w:rPr>
          <w:rFonts w:ascii="Calibri" w:hAnsi="Calibri" w:cs="Calibri"/>
          <w:sz w:val="24"/>
          <w:szCs w:val="24"/>
        </w:rPr>
        <w:t>are</w:t>
      </w:r>
      <w:r>
        <w:rPr>
          <w:rFonts w:ascii="Calibri" w:hAnsi="Calibri" w:cs="Calibri"/>
          <w:sz w:val="24"/>
          <w:szCs w:val="24"/>
        </w:rPr>
        <w:t>:</w:t>
      </w:r>
    </w:p>
    <w:p w:rsidR="00CB6A5C" w:rsidRDefault="00F31CF5" w:rsidP="002A6F82">
      <w:pPr>
        <w:pStyle w:val="ListBullet"/>
      </w:pPr>
      <w:r>
        <w:t>Advocating Nationally for Children and Young P</w:t>
      </w:r>
      <w:r w:rsidR="00CB6A5C">
        <w:t>eople</w:t>
      </w:r>
    </w:p>
    <w:p w:rsidR="00B84D58" w:rsidRDefault="002A6F82" w:rsidP="002A6F82">
      <w:pPr>
        <w:pStyle w:val="ListBullet3"/>
      </w:pPr>
      <w:r>
        <w:t xml:space="preserve">This supports </w:t>
      </w:r>
      <w:r w:rsidR="00B84D58">
        <w:t>the establishment of the National Children’s Commissioner</w:t>
      </w:r>
      <w:r w:rsidR="00535BBD">
        <w:t xml:space="preserve"> and</w:t>
      </w:r>
      <w:r w:rsidR="00B84D58">
        <w:t xml:space="preserve"> education initiatives to improve awareness of children’s rights amongst the broader community. </w:t>
      </w:r>
    </w:p>
    <w:p w:rsidR="00B84D58" w:rsidRDefault="00F31CF5" w:rsidP="002A6F82">
      <w:pPr>
        <w:pStyle w:val="ListBullet"/>
      </w:pPr>
      <w:r>
        <w:t>Early C</w:t>
      </w:r>
      <w:r w:rsidR="00B84D58">
        <w:t>hildhood</w:t>
      </w:r>
    </w:p>
    <w:p w:rsidR="00CB6A5C" w:rsidRDefault="002A6F82" w:rsidP="002A6F82">
      <w:pPr>
        <w:pStyle w:val="ListBullet3"/>
      </w:pPr>
      <w:r>
        <w:t xml:space="preserve">This explores </w:t>
      </w:r>
      <w:r w:rsidR="00B22FF7">
        <w:t>opportunities to provide</w:t>
      </w:r>
      <w:r w:rsidR="00CB6A5C">
        <w:t xml:space="preserve"> quality early childhood experiences</w:t>
      </w:r>
      <w:r w:rsidR="00B22FF7">
        <w:t xml:space="preserve"> for vulnerable and at-risk children</w:t>
      </w:r>
      <w:r w:rsidR="00535BBD">
        <w:t xml:space="preserve">, with an emphasis on identifying </w:t>
      </w:r>
      <w:r>
        <w:t>opportunities</w:t>
      </w:r>
      <w:r w:rsidR="00B84D58">
        <w:t xml:space="preserve"> to link with the National Partnerships on Early Childhood Education and Indigenous Early Childhood Development and the National Quality Framework for Early Childhood Education and Care</w:t>
      </w:r>
      <w:r w:rsidR="00535BBD">
        <w:t>.</w:t>
      </w:r>
    </w:p>
    <w:p w:rsidR="00535BBD" w:rsidRDefault="00535BBD" w:rsidP="002A6F82">
      <w:pPr>
        <w:pStyle w:val="ListBullet"/>
      </w:pPr>
      <w:r>
        <w:t>Education</w:t>
      </w:r>
    </w:p>
    <w:p w:rsidR="00CB6A5C" w:rsidRDefault="00E847E2" w:rsidP="002A6F82">
      <w:pPr>
        <w:pStyle w:val="ListBullet3"/>
      </w:pPr>
      <w:r>
        <w:t xml:space="preserve">This focuses </w:t>
      </w:r>
      <w:r w:rsidR="00535BBD">
        <w:t>on i</w:t>
      </w:r>
      <w:r w:rsidR="00CB6A5C">
        <w:t>mproving educational outcomes for children and young people in care</w:t>
      </w:r>
      <w:r w:rsidR="00535BBD">
        <w:t>, particularly looking for opportunities to link with the National Partnership Agreement on Low Socio-Economic Status School Communities, the National Partnership Agreement on Empowering Local Schools and the National Partnership Agreement for More Support for Students with Disabilities.</w:t>
      </w:r>
    </w:p>
    <w:p w:rsidR="00535BBD" w:rsidRDefault="00F31CF5" w:rsidP="002A6F82">
      <w:pPr>
        <w:pStyle w:val="ListBullet"/>
      </w:pPr>
      <w:r>
        <w:t>Community and B</w:t>
      </w:r>
      <w:r w:rsidR="00535BBD">
        <w:t>usiness</w:t>
      </w:r>
    </w:p>
    <w:p w:rsidR="00CB6A5C" w:rsidRPr="00CB6A5C" w:rsidRDefault="00E847E2" w:rsidP="002A6F82">
      <w:pPr>
        <w:pStyle w:val="ListBullet3"/>
      </w:pPr>
      <w:r>
        <w:t xml:space="preserve">This encourages </w:t>
      </w:r>
      <w:r w:rsidR="00B22FF7">
        <w:t xml:space="preserve">greater community </w:t>
      </w:r>
      <w:r w:rsidR="00CB6A5C">
        <w:t>and business</w:t>
      </w:r>
      <w:r w:rsidR="00B22FF7">
        <w:t xml:space="preserve"> engagement in the protection and wellbeing of children</w:t>
      </w:r>
      <w:r w:rsidR="00535BBD">
        <w:t>, including supporting the community to better tackle issues critical to the safety and wellbeing of Australia’s children</w:t>
      </w:r>
      <w:r w:rsidR="00996FBD">
        <w:t>,</w:t>
      </w:r>
      <w:r w:rsidR="00535BBD">
        <w:t xml:space="preserve"> such as domestic and family violence and sexual abuse.</w:t>
      </w:r>
    </w:p>
    <w:p w:rsidR="00B22FF7" w:rsidRDefault="00B22FF7" w:rsidP="00DB5004">
      <w:pPr>
        <w:rPr>
          <w:rFonts w:ascii="Calibri" w:hAnsi="Calibri" w:cs="Calibri"/>
          <w:sz w:val="24"/>
          <w:szCs w:val="24"/>
        </w:rPr>
      </w:pPr>
    </w:p>
    <w:p w:rsidR="00F7146D" w:rsidRDefault="004D0BDE" w:rsidP="006B20C5">
      <w:pPr>
        <w:rPr>
          <w:rFonts w:ascii="Calibri" w:hAnsi="Calibri"/>
          <w:sz w:val="24"/>
          <w:szCs w:val="24"/>
        </w:rPr>
      </w:pPr>
      <w:r w:rsidRPr="00821556">
        <w:rPr>
          <w:rFonts w:ascii="Calibri" w:hAnsi="Calibri" w:cs="Calibri"/>
          <w:sz w:val="24"/>
          <w:szCs w:val="24"/>
        </w:rPr>
        <w:t>The actions taken by each jurisdiction</w:t>
      </w:r>
      <w:r>
        <w:rPr>
          <w:rFonts w:ascii="Calibri" w:hAnsi="Calibri" w:cs="Calibri"/>
          <w:sz w:val="24"/>
          <w:szCs w:val="24"/>
        </w:rPr>
        <w:t xml:space="preserve"> </w:t>
      </w:r>
      <w:r w:rsidRPr="00684F8F">
        <w:rPr>
          <w:rFonts w:ascii="Calibri" w:hAnsi="Calibri" w:cs="Calibri"/>
          <w:sz w:val="24"/>
          <w:szCs w:val="24"/>
        </w:rPr>
        <w:t>under these National Priorities</w:t>
      </w:r>
      <w:r>
        <w:rPr>
          <w:rFonts w:ascii="Calibri" w:hAnsi="Calibri" w:cs="Calibri"/>
          <w:sz w:val="24"/>
          <w:szCs w:val="24"/>
        </w:rPr>
        <w:t>, together with other supporting actions,</w:t>
      </w:r>
      <w:r>
        <w:rPr>
          <w:rFonts w:ascii="Calibri" w:hAnsi="Calibri" w:cs="Calibri"/>
          <w:color w:val="FF0000"/>
          <w:sz w:val="24"/>
          <w:szCs w:val="24"/>
        </w:rPr>
        <w:t xml:space="preserve"> </w:t>
      </w:r>
      <w:r w:rsidRPr="00821556">
        <w:rPr>
          <w:rFonts w:ascii="Calibri" w:hAnsi="Calibri" w:cs="Calibri"/>
          <w:sz w:val="24"/>
          <w:szCs w:val="24"/>
        </w:rPr>
        <w:t>are described in detail below.</w:t>
      </w:r>
      <w:r>
        <w:rPr>
          <w:rFonts w:ascii="Calibri" w:hAnsi="Calibri" w:cs="Calibri"/>
          <w:sz w:val="24"/>
          <w:szCs w:val="24"/>
        </w:rPr>
        <w:t xml:space="preserve"> Th</w:t>
      </w:r>
      <w:r w:rsidR="00814F59">
        <w:rPr>
          <w:rFonts w:ascii="Calibri" w:hAnsi="Calibri" w:cs="Calibri"/>
          <w:sz w:val="24"/>
          <w:szCs w:val="24"/>
        </w:rPr>
        <w:t>is</w:t>
      </w:r>
      <w:r>
        <w:rPr>
          <w:rFonts w:ascii="Calibri" w:hAnsi="Calibri" w:cs="Calibri"/>
          <w:sz w:val="24"/>
          <w:szCs w:val="24"/>
        </w:rPr>
        <w:t xml:space="preserve"> </w:t>
      </w:r>
      <w:r w:rsidR="008D421A">
        <w:rPr>
          <w:rFonts w:ascii="Calibri" w:hAnsi="Calibri" w:cs="Calibri"/>
          <w:sz w:val="24"/>
          <w:szCs w:val="24"/>
        </w:rPr>
        <w:t>c</w:t>
      </w:r>
      <w:r>
        <w:rPr>
          <w:rFonts w:ascii="Calibri" w:hAnsi="Calibri" w:cs="Calibri"/>
          <w:sz w:val="24"/>
          <w:szCs w:val="24"/>
        </w:rPr>
        <w:t xml:space="preserve">hapter concludes with a report on performance against the </w:t>
      </w:r>
      <w:r w:rsidR="00F7146D">
        <w:rPr>
          <w:rFonts w:ascii="Calibri" w:hAnsi="Calibri"/>
          <w:sz w:val="24"/>
          <w:szCs w:val="24"/>
        </w:rPr>
        <w:t>two</w:t>
      </w:r>
      <w:r w:rsidR="00F7146D" w:rsidRPr="00F7146D">
        <w:rPr>
          <w:rFonts w:ascii="Calibri" w:hAnsi="Calibri"/>
          <w:sz w:val="24"/>
          <w:szCs w:val="24"/>
        </w:rPr>
        <w:t xml:space="preserve"> indicators </w:t>
      </w:r>
      <w:r w:rsidR="00814F59">
        <w:rPr>
          <w:rFonts w:ascii="Calibri" w:hAnsi="Calibri"/>
          <w:sz w:val="24"/>
          <w:szCs w:val="24"/>
        </w:rPr>
        <w:t xml:space="preserve">used </w:t>
      </w:r>
      <w:r w:rsidR="00F7146D" w:rsidRPr="00F7146D">
        <w:rPr>
          <w:rFonts w:ascii="Calibri" w:hAnsi="Calibri"/>
          <w:sz w:val="24"/>
          <w:szCs w:val="24"/>
        </w:rPr>
        <w:t xml:space="preserve">to measure progress towards </w:t>
      </w:r>
      <w:r w:rsidR="007B79E6">
        <w:rPr>
          <w:rFonts w:ascii="Calibri" w:hAnsi="Calibri"/>
          <w:sz w:val="24"/>
          <w:szCs w:val="24"/>
        </w:rPr>
        <w:t>Outcome 1</w:t>
      </w:r>
      <w:r>
        <w:rPr>
          <w:rFonts w:ascii="Calibri" w:hAnsi="Calibri"/>
          <w:sz w:val="24"/>
          <w:szCs w:val="24"/>
        </w:rPr>
        <w:t>, namely</w:t>
      </w:r>
      <w:r w:rsidR="00F7146D" w:rsidRPr="00F7146D">
        <w:rPr>
          <w:rFonts w:ascii="Calibri" w:hAnsi="Calibri"/>
          <w:sz w:val="24"/>
          <w:szCs w:val="24"/>
        </w:rPr>
        <w:t>:</w:t>
      </w:r>
    </w:p>
    <w:p w:rsidR="007B79E6" w:rsidRDefault="007B79E6" w:rsidP="00814F59">
      <w:pPr>
        <w:pStyle w:val="ListBullet"/>
      </w:pPr>
      <w:r>
        <w:t>Family functioning</w:t>
      </w:r>
    </w:p>
    <w:p w:rsidR="007B79E6" w:rsidRDefault="007B79E6" w:rsidP="00814F59">
      <w:pPr>
        <w:pStyle w:val="ListBullet"/>
      </w:pPr>
      <w:r>
        <w:t>Perceived safety</w:t>
      </w:r>
      <w:r w:rsidR="004D0BDE">
        <w:t>.</w:t>
      </w:r>
    </w:p>
    <w:p w:rsidR="004D0BDE" w:rsidRPr="004E56D5" w:rsidRDefault="004D0BDE" w:rsidP="004E56D5"/>
    <w:p w:rsidR="005D078C" w:rsidRPr="004E56D5" w:rsidRDefault="005D078C" w:rsidP="004E56D5">
      <w:r w:rsidRPr="004E56D5">
        <w:br w:type="page"/>
      </w:r>
    </w:p>
    <w:p w:rsidR="00121421" w:rsidRPr="00121421" w:rsidRDefault="00744679" w:rsidP="00F62628">
      <w:pPr>
        <w:pStyle w:val="Heading2"/>
      </w:pPr>
      <w:bookmarkStart w:id="87" w:name="_Toc400007699"/>
      <w:bookmarkStart w:id="88" w:name="_Toc400711475"/>
      <w:r>
        <w:t xml:space="preserve">Australian, state and territory government </w:t>
      </w:r>
      <w:r w:rsidR="00121421">
        <w:t>activities</w:t>
      </w:r>
      <w:bookmarkEnd w:id="87"/>
      <w:bookmarkEnd w:id="88"/>
    </w:p>
    <w:p w:rsidR="00936500" w:rsidRPr="005D078C" w:rsidRDefault="00936500" w:rsidP="005D078C">
      <w:pPr>
        <w:pStyle w:val="Heading3"/>
      </w:pPr>
      <w:bookmarkStart w:id="89" w:name="_Toc400007700"/>
      <w:r w:rsidRPr="005D078C">
        <w:t>Australian Government</w:t>
      </w:r>
      <w:bookmarkEnd w:id="89"/>
    </w:p>
    <w:p w:rsidR="00F31CF5" w:rsidRPr="00114242" w:rsidRDefault="00F31CF5" w:rsidP="00D92BEA">
      <w:pPr>
        <w:pStyle w:val="Heading4"/>
      </w:pPr>
      <w:r w:rsidRPr="00114242">
        <w:t>Advocating Nationally for Children and Young People</w:t>
      </w:r>
    </w:p>
    <w:p w:rsidR="00F31CF5" w:rsidRPr="00481588" w:rsidRDefault="00F31CF5" w:rsidP="00F31CF5">
      <w:pPr>
        <w:rPr>
          <w:rFonts w:ascii="Calibri" w:hAnsi="Calibri" w:cs="Calibri"/>
          <w:sz w:val="24"/>
          <w:szCs w:val="24"/>
        </w:rPr>
      </w:pPr>
      <w:r w:rsidRPr="00481588">
        <w:rPr>
          <w:rFonts w:ascii="Calibri" w:hAnsi="Calibri" w:cs="Calibri"/>
          <w:sz w:val="24"/>
          <w:szCs w:val="24"/>
        </w:rPr>
        <w:t xml:space="preserve">In February 2013, Ms Megan Mitchell was announced as Australia’s </w:t>
      </w:r>
      <w:r w:rsidRPr="0009423E">
        <w:rPr>
          <w:rFonts w:ascii="Calibri" w:hAnsi="Calibri" w:cs="Calibri"/>
          <w:sz w:val="24"/>
          <w:szCs w:val="24"/>
        </w:rPr>
        <w:t>first</w:t>
      </w:r>
      <w:r w:rsidRPr="00481588">
        <w:rPr>
          <w:rFonts w:ascii="Calibri" w:hAnsi="Calibri" w:cs="Calibri"/>
          <w:sz w:val="24"/>
          <w:szCs w:val="24"/>
        </w:rPr>
        <w:t>-ever National Children’s Commissioner</w:t>
      </w:r>
      <w:r w:rsidR="0009423E">
        <w:rPr>
          <w:rFonts w:ascii="Calibri" w:hAnsi="Calibri" w:cs="Calibri"/>
          <w:sz w:val="24"/>
          <w:szCs w:val="24"/>
        </w:rPr>
        <w:t xml:space="preserve"> and</w:t>
      </w:r>
      <w:r w:rsidRPr="00481588">
        <w:rPr>
          <w:rFonts w:ascii="Calibri" w:hAnsi="Calibri" w:cs="Calibri"/>
          <w:sz w:val="24"/>
          <w:szCs w:val="24"/>
        </w:rPr>
        <w:t xml:space="preserve"> dedicated advocate for children and young people at the </w:t>
      </w:r>
      <w:r w:rsidR="009A5060">
        <w:rPr>
          <w:rFonts w:ascii="Calibri" w:hAnsi="Calibri" w:cs="Calibri"/>
          <w:sz w:val="24"/>
          <w:szCs w:val="24"/>
        </w:rPr>
        <w:t>national</w:t>
      </w:r>
      <w:r w:rsidR="009A5060" w:rsidRPr="00481588">
        <w:rPr>
          <w:rFonts w:ascii="Calibri" w:hAnsi="Calibri" w:cs="Calibri"/>
          <w:sz w:val="24"/>
          <w:szCs w:val="24"/>
        </w:rPr>
        <w:t xml:space="preserve"> </w:t>
      </w:r>
      <w:r w:rsidRPr="00481588">
        <w:rPr>
          <w:rFonts w:ascii="Calibri" w:hAnsi="Calibri" w:cs="Calibri"/>
          <w:sz w:val="24"/>
          <w:szCs w:val="24"/>
        </w:rPr>
        <w:t>level.</w:t>
      </w:r>
      <w:r w:rsidR="00FF071F">
        <w:rPr>
          <w:rFonts w:ascii="Calibri" w:hAnsi="Calibri" w:cs="Calibri"/>
          <w:sz w:val="24"/>
          <w:szCs w:val="24"/>
        </w:rPr>
        <w:t xml:space="preserve"> </w:t>
      </w:r>
      <w:r w:rsidRPr="00481588">
        <w:rPr>
          <w:rFonts w:ascii="Calibri" w:hAnsi="Calibri" w:cs="Calibri"/>
          <w:sz w:val="24"/>
          <w:szCs w:val="24"/>
        </w:rPr>
        <w:t>Ms Mitchell was appointed for a period of five years and commenced her term in March 2013.</w:t>
      </w:r>
    </w:p>
    <w:p w:rsidR="00F31CF5" w:rsidRPr="00481588" w:rsidRDefault="00F31CF5" w:rsidP="00F31CF5">
      <w:pPr>
        <w:rPr>
          <w:rFonts w:ascii="Calibri" w:hAnsi="Calibri" w:cs="Calibri"/>
          <w:sz w:val="24"/>
          <w:szCs w:val="24"/>
        </w:rPr>
      </w:pPr>
    </w:p>
    <w:p w:rsidR="00F31CF5" w:rsidRPr="00481588" w:rsidRDefault="00F31CF5" w:rsidP="00F31CF5">
      <w:pPr>
        <w:rPr>
          <w:rFonts w:ascii="Calibri" w:hAnsi="Calibri" w:cs="Calibri"/>
          <w:sz w:val="24"/>
          <w:szCs w:val="24"/>
        </w:rPr>
      </w:pPr>
      <w:r w:rsidRPr="00481588">
        <w:rPr>
          <w:rFonts w:ascii="Calibri" w:hAnsi="Calibri" w:cs="Calibri"/>
          <w:sz w:val="24"/>
          <w:szCs w:val="24"/>
        </w:rPr>
        <w:t>The National Children’s Commissioner will promote public discussion and awareness of issues affecting children, conduct research and education programs and consult directly with children and representative organisations.</w:t>
      </w:r>
    </w:p>
    <w:p w:rsidR="00F31CF5" w:rsidRPr="00481588" w:rsidRDefault="00F31CF5" w:rsidP="00F31CF5">
      <w:pPr>
        <w:rPr>
          <w:rFonts w:ascii="Calibri" w:hAnsi="Calibri" w:cs="Calibri"/>
          <w:sz w:val="24"/>
          <w:szCs w:val="24"/>
        </w:rPr>
      </w:pPr>
    </w:p>
    <w:p w:rsidR="00F31CF5" w:rsidRPr="00481588" w:rsidRDefault="00F31CF5" w:rsidP="00F31CF5">
      <w:pPr>
        <w:rPr>
          <w:rFonts w:ascii="Calibri" w:hAnsi="Calibri" w:cs="Calibri"/>
          <w:sz w:val="24"/>
          <w:szCs w:val="24"/>
        </w:rPr>
      </w:pPr>
      <w:r w:rsidRPr="00481588">
        <w:rPr>
          <w:rFonts w:ascii="Calibri" w:hAnsi="Calibri" w:cs="Calibri"/>
          <w:sz w:val="24"/>
          <w:szCs w:val="24"/>
        </w:rPr>
        <w:t>The National Children’s Commissioner will also examine relevant Commonwealth legislation, policies and programs that relate to children’s rights, wellbeing and development, as well as national or cross</w:t>
      </w:r>
      <w:r w:rsidRPr="00481588">
        <w:rPr>
          <w:rFonts w:ascii="Calibri" w:hAnsi="Calibri" w:cs="Calibri"/>
          <w:sz w:val="24"/>
          <w:szCs w:val="24"/>
        </w:rPr>
        <w:noBreakHyphen/>
        <w:t>jurisdictional matters that would benefit from national leadership.</w:t>
      </w:r>
    </w:p>
    <w:p w:rsidR="00F31CF5" w:rsidRDefault="00F31CF5" w:rsidP="00F31CF5">
      <w:pPr>
        <w:rPr>
          <w:rFonts w:ascii="Calibri" w:hAnsi="Calibri" w:cs="Calibri"/>
          <w:sz w:val="24"/>
          <w:szCs w:val="24"/>
        </w:rPr>
      </w:pPr>
    </w:p>
    <w:p w:rsidR="00F31CF5" w:rsidRPr="00A4126A" w:rsidRDefault="00F31CF5" w:rsidP="00F31CF5">
      <w:pPr>
        <w:rPr>
          <w:rFonts w:ascii="Calibri" w:hAnsi="Calibri" w:cs="Calibri"/>
          <w:sz w:val="24"/>
          <w:szCs w:val="24"/>
        </w:rPr>
      </w:pPr>
      <w:r w:rsidRPr="00481588">
        <w:rPr>
          <w:rFonts w:ascii="Calibri" w:hAnsi="Calibri" w:cs="Calibri"/>
          <w:sz w:val="24"/>
          <w:szCs w:val="24"/>
        </w:rPr>
        <w:t xml:space="preserve">As stipulated under the </w:t>
      </w:r>
      <w:r w:rsidRPr="00AE7DB5">
        <w:rPr>
          <w:rFonts w:ascii="Calibri" w:hAnsi="Calibri" w:cs="Calibri"/>
          <w:i/>
          <w:sz w:val="24"/>
          <w:szCs w:val="24"/>
        </w:rPr>
        <w:t>Australian Human Rights Commission Amendment (National Children’s Commissioner) Act 2012</w:t>
      </w:r>
      <w:r w:rsidRPr="00481588">
        <w:rPr>
          <w:rFonts w:ascii="Calibri" w:hAnsi="Calibri" w:cs="Calibri"/>
          <w:sz w:val="24"/>
          <w:szCs w:val="24"/>
        </w:rPr>
        <w:t>, the National Children’s Commissioner is required to submit annual reports to Parliament on the exercise and enjoyment of human rights by children in Australia.</w:t>
      </w:r>
    </w:p>
    <w:p w:rsidR="00F31CF5" w:rsidRPr="00481588" w:rsidRDefault="00F31CF5" w:rsidP="00F31CF5">
      <w:pPr>
        <w:rPr>
          <w:rFonts w:ascii="Calibri" w:hAnsi="Calibri" w:cs="Calibri"/>
          <w:sz w:val="24"/>
          <w:szCs w:val="24"/>
        </w:rPr>
      </w:pPr>
    </w:p>
    <w:p w:rsidR="00F31CF5" w:rsidRDefault="00F31CF5" w:rsidP="00F31CF5">
      <w:pPr>
        <w:rPr>
          <w:rFonts w:ascii="Calibri" w:hAnsi="Calibri" w:cs="Calibri"/>
          <w:sz w:val="24"/>
          <w:szCs w:val="24"/>
        </w:rPr>
      </w:pPr>
      <w:r w:rsidRPr="00481588">
        <w:rPr>
          <w:rFonts w:ascii="Calibri" w:hAnsi="Calibri" w:cs="Calibri"/>
          <w:sz w:val="24"/>
          <w:szCs w:val="24"/>
        </w:rPr>
        <w:t>In June 2013, the N</w:t>
      </w:r>
      <w:r w:rsidR="003105F9">
        <w:rPr>
          <w:rFonts w:ascii="Calibri" w:hAnsi="Calibri" w:cs="Calibri"/>
          <w:sz w:val="24"/>
          <w:szCs w:val="24"/>
        </w:rPr>
        <w:t>ational Children’s Commissioner</w:t>
      </w:r>
      <w:r w:rsidRPr="00481588">
        <w:rPr>
          <w:rFonts w:ascii="Calibri" w:hAnsi="Calibri" w:cs="Calibri"/>
          <w:sz w:val="24"/>
          <w:szCs w:val="24"/>
        </w:rPr>
        <w:t xml:space="preserve"> launched the Big Banter listening tour. The Big Banter will see the National Children’s Commissioner travel to all Australian states and territories to listen </w:t>
      </w:r>
      <w:r w:rsidR="004921FB">
        <w:rPr>
          <w:rFonts w:ascii="Calibri" w:hAnsi="Calibri" w:cs="Calibri"/>
          <w:sz w:val="24"/>
          <w:szCs w:val="24"/>
        </w:rPr>
        <w:t xml:space="preserve">to, </w:t>
      </w:r>
      <w:r w:rsidRPr="00481588">
        <w:rPr>
          <w:rFonts w:ascii="Calibri" w:hAnsi="Calibri" w:cs="Calibri"/>
          <w:sz w:val="24"/>
          <w:szCs w:val="24"/>
        </w:rPr>
        <w:t>and learn directly from</w:t>
      </w:r>
      <w:r w:rsidR="004921FB">
        <w:rPr>
          <w:rFonts w:ascii="Calibri" w:hAnsi="Calibri" w:cs="Calibri"/>
          <w:sz w:val="24"/>
          <w:szCs w:val="24"/>
        </w:rPr>
        <w:t>,</w:t>
      </w:r>
      <w:r w:rsidRPr="00481588">
        <w:rPr>
          <w:rFonts w:ascii="Calibri" w:hAnsi="Calibri" w:cs="Calibri"/>
          <w:sz w:val="24"/>
          <w:szCs w:val="24"/>
        </w:rPr>
        <w:t xml:space="preserve"> children and young people themselves and their advocates. Feedback from the Big Banter will help the National Children’s Commissioner understand what is important to children and young people and help identify priorities for her role.</w:t>
      </w:r>
    </w:p>
    <w:p w:rsidR="00F31CF5" w:rsidRPr="00D92BEA" w:rsidRDefault="00D92BEA" w:rsidP="00D92BEA">
      <w:pPr>
        <w:pStyle w:val="Heading4"/>
        <w:rPr>
          <w:lang w:val="en-AU"/>
        </w:rPr>
      </w:pPr>
      <w:r>
        <w:t>Early Childhood</w:t>
      </w:r>
    </w:p>
    <w:p w:rsidR="00F31CF5" w:rsidRDefault="00F31CF5" w:rsidP="00F31CF5">
      <w:pPr>
        <w:rPr>
          <w:rFonts w:ascii="Calibri" w:hAnsi="Calibri" w:cs="Calibri"/>
          <w:sz w:val="24"/>
          <w:szCs w:val="24"/>
        </w:rPr>
      </w:pPr>
      <w:r w:rsidRPr="00481588">
        <w:rPr>
          <w:rFonts w:ascii="Calibri" w:hAnsi="Calibri" w:cs="Calibri"/>
          <w:sz w:val="24"/>
          <w:szCs w:val="24"/>
        </w:rPr>
        <w:t>In April 2013, the Australian Government released the</w:t>
      </w:r>
      <w:r w:rsidR="00DC4622">
        <w:rPr>
          <w:rFonts w:ascii="Calibri" w:hAnsi="Calibri" w:cs="Calibri"/>
          <w:sz w:val="24"/>
          <w:szCs w:val="24"/>
        </w:rPr>
        <w:t xml:space="preserve"> </w:t>
      </w:r>
      <w:r w:rsidR="00FF071F">
        <w:rPr>
          <w:rFonts w:ascii="Calibri" w:hAnsi="Calibri" w:cs="Calibri"/>
          <w:sz w:val="24"/>
          <w:szCs w:val="24"/>
        </w:rPr>
        <w:t xml:space="preserve">AEDI for 2012. </w:t>
      </w:r>
      <w:r w:rsidRPr="00481588">
        <w:rPr>
          <w:rFonts w:ascii="Calibri" w:hAnsi="Calibri" w:cs="Calibri"/>
          <w:sz w:val="24"/>
          <w:szCs w:val="24"/>
        </w:rPr>
        <w:t xml:space="preserve">Methodology and planning for identifying communities where children are at risk </w:t>
      </w:r>
      <w:r w:rsidR="004921FB">
        <w:rPr>
          <w:rFonts w:ascii="Calibri" w:hAnsi="Calibri" w:cs="Calibri"/>
          <w:sz w:val="24"/>
          <w:szCs w:val="24"/>
        </w:rPr>
        <w:t>are</w:t>
      </w:r>
      <w:r w:rsidR="004921FB" w:rsidRPr="00481588">
        <w:rPr>
          <w:rFonts w:ascii="Calibri" w:hAnsi="Calibri" w:cs="Calibri"/>
          <w:sz w:val="24"/>
          <w:szCs w:val="24"/>
        </w:rPr>
        <w:t xml:space="preserve"> </w:t>
      </w:r>
      <w:r w:rsidRPr="00481588">
        <w:rPr>
          <w:rFonts w:ascii="Calibri" w:hAnsi="Calibri" w:cs="Calibri"/>
          <w:sz w:val="24"/>
          <w:szCs w:val="24"/>
        </w:rPr>
        <w:t>underway.</w:t>
      </w:r>
      <w:r w:rsidR="00D26B57">
        <w:rPr>
          <w:rFonts w:ascii="Calibri" w:hAnsi="Calibri" w:cs="Calibri"/>
          <w:sz w:val="24"/>
          <w:szCs w:val="24"/>
        </w:rPr>
        <w:t xml:space="preserve"> </w:t>
      </w:r>
      <w:r w:rsidRPr="00481588">
        <w:rPr>
          <w:rFonts w:ascii="Calibri" w:hAnsi="Calibri" w:cs="Calibri"/>
          <w:sz w:val="24"/>
          <w:szCs w:val="24"/>
        </w:rPr>
        <w:t>Results from the 2012 AEDI will help inform this work.</w:t>
      </w:r>
      <w:r w:rsidR="00FF071F">
        <w:rPr>
          <w:rFonts w:ascii="Calibri" w:hAnsi="Calibri" w:cs="Calibri"/>
          <w:sz w:val="24"/>
          <w:szCs w:val="24"/>
        </w:rPr>
        <w:t xml:space="preserve"> </w:t>
      </w:r>
      <w:r w:rsidRPr="00481588">
        <w:rPr>
          <w:rFonts w:ascii="Calibri" w:hAnsi="Calibri" w:cs="Calibri"/>
          <w:sz w:val="24"/>
          <w:szCs w:val="24"/>
        </w:rPr>
        <w:t xml:space="preserve">The identification of communities where children are at risk will enable more targeted supports </w:t>
      </w:r>
      <w:r w:rsidR="004921FB">
        <w:rPr>
          <w:rFonts w:ascii="Calibri" w:hAnsi="Calibri" w:cs="Calibri"/>
          <w:sz w:val="24"/>
          <w:szCs w:val="24"/>
        </w:rPr>
        <w:t xml:space="preserve">to be put into place, </w:t>
      </w:r>
      <w:r w:rsidRPr="00481588">
        <w:rPr>
          <w:rFonts w:ascii="Calibri" w:hAnsi="Calibri" w:cs="Calibri"/>
          <w:sz w:val="24"/>
          <w:szCs w:val="24"/>
        </w:rPr>
        <w:t>to improve child wellbeing and development.</w:t>
      </w:r>
    </w:p>
    <w:p w:rsidR="00F31CF5" w:rsidRPr="00D92BEA" w:rsidRDefault="00F31CF5" w:rsidP="00F31CF5">
      <w:pPr>
        <w:rPr>
          <w:rFonts w:ascii="Calibri" w:hAnsi="Calibri" w:cs="Calibri"/>
          <w:sz w:val="24"/>
          <w:szCs w:val="24"/>
        </w:rPr>
      </w:pPr>
    </w:p>
    <w:p w:rsidR="00F31CF5" w:rsidRPr="00644A1E" w:rsidRDefault="00F31CF5" w:rsidP="00F31CF5">
      <w:pPr>
        <w:rPr>
          <w:rFonts w:ascii="Calibri" w:hAnsi="Calibri" w:cs="Calibri"/>
          <w:sz w:val="24"/>
          <w:szCs w:val="24"/>
        </w:rPr>
      </w:pPr>
      <w:r w:rsidRPr="00644A1E">
        <w:rPr>
          <w:rFonts w:ascii="Calibri" w:hAnsi="Calibri" w:cs="Calibri"/>
          <w:sz w:val="24"/>
          <w:szCs w:val="24"/>
        </w:rPr>
        <w:t xml:space="preserve">Through the National Partnership Agreement on Indigenous Early Childhood Development, the Australian Government is providing $292.62 million for the establishment of 38 </w:t>
      </w:r>
      <w:r w:rsidR="006B230E">
        <w:rPr>
          <w:rFonts w:ascii="Calibri" w:hAnsi="Calibri" w:cs="Calibri"/>
          <w:sz w:val="24"/>
          <w:szCs w:val="24"/>
        </w:rPr>
        <w:t>CFCs</w:t>
      </w:r>
      <w:r w:rsidRPr="00644A1E">
        <w:rPr>
          <w:rFonts w:ascii="Calibri" w:hAnsi="Calibri" w:cs="Calibri"/>
          <w:sz w:val="24"/>
          <w:szCs w:val="24"/>
        </w:rPr>
        <w:t xml:space="preserve"> across Australia by June 2014.</w:t>
      </w:r>
      <w:r w:rsidR="00D26B57">
        <w:rPr>
          <w:rFonts w:ascii="Calibri" w:hAnsi="Calibri" w:cs="Calibri"/>
          <w:sz w:val="24"/>
          <w:szCs w:val="24"/>
        </w:rPr>
        <w:t xml:space="preserve"> </w:t>
      </w:r>
      <w:r w:rsidRPr="00644A1E">
        <w:rPr>
          <w:rFonts w:ascii="Calibri" w:hAnsi="Calibri" w:cs="Calibri"/>
          <w:sz w:val="24"/>
          <w:szCs w:val="24"/>
        </w:rPr>
        <w:t>These are being implemented in partnership with state and territory governments.</w:t>
      </w:r>
      <w:r w:rsidR="00D26B57">
        <w:rPr>
          <w:rFonts w:ascii="Calibri" w:hAnsi="Calibri" w:cs="Calibri"/>
          <w:sz w:val="24"/>
          <w:szCs w:val="24"/>
        </w:rPr>
        <w:t xml:space="preserve"> </w:t>
      </w:r>
      <w:r w:rsidRPr="00644A1E">
        <w:rPr>
          <w:rFonts w:ascii="Calibri" w:hAnsi="Calibri" w:cs="Calibri"/>
          <w:sz w:val="24"/>
          <w:szCs w:val="24"/>
        </w:rPr>
        <w:t>All centres are scheduled to be completed and operating before June 2014.</w:t>
      </w:r>
    </w:p>
    <w:p w:rsidR="00F31CF5" w:rsidRPr="00D92BEA" w:rsidRDefault="00D92BEA" w:rsidP="00D92BEA">
      <w:pPr>
        <w:pStyle w:val="Heading4"/>
        <w:rPr>
          <w:lang w:val="en-AU"/>
        </w:rPr>
      </w:pPr>
      <w:r>
        <w:t>Education</w:t>
      </w:r>
    </w:p>
    <w:p w:rsidR="00F31CF5" w:rsidRDefault="00F31CF5" w:rsidP="00F31CF5">
      <w:pPr>
        <w:rPr>
          <w:rFonts w:ascii="Calibri" w:hAnsi="Calibri" w:cs="Calibri"/>
          <w:sz w:val="24"/>
          <w:szCs w:val="24"/>
          <w:lang w:val="en-US"/>
        </w:rPr>
      </w:pPr>
      <w:r w:rsidRPr="00644A1E">
        <w:rPr>
          <w:rFonts w:ascii="Calibri" w:hAnsi="Calibri" w:cs="Calibri"/>
          <w:sz w:val="24"/>
          <w:szCs w:val="24"/>
          <w:lang w:val="en-US"/>
        </w:rPr>
        <w:t xml:space="preserve">AIHW </w:t>
      </w:r>
      <w:r w:rsidR="00EB3547">
        <w:rPr>
          <w:rFonts w:ascii="Calibri" w:hAnsi="Calibri" w:cs="Calibri"/>
          <w:sz w:val="24"/>
          <w:szCs w:val="24"/>
          <w:lang w:val="en-US"/>
        </w:rPr>
        <w:t xml:space="preserve">recommended </w:t>
      </w:r>
      <w:r w:rsidRPr="00644A1E">
        <w:rPr>
          <w:rFonts w:ascii="Calibri" w:hAnsi="Calibri" w:cs="Calibri"/>
          <w:sz w:val="24"/>
          <w:szCs w:val="24"/>
          <w:lang w:val="en-US"/>
        </w:rPr>
        <w:t>in its report</w:t>
      </w:r>
      <w:r w:rsidR="004921FB">
        <w:rPr>
          <w:rFonts w:ascii="Calibri" w:hAnsi="Calibri" w:cs="Calibri"/>
          <w:sz w:val="24"/>
          <w:szCs w:val="24"/>
          <w:lang w:val="en-US"/>
        </w:rPr>
        <w:t>,</w:t>
      </w:r>
      <w:r w:rsidRPr="00644A1E">
        <w:rPr>
          <w:rFonts w:ascii="Calibri" w:hAnsi="Calibri" w:cs="Calibri"/>
          <w:sz w:val="24"/>
          <w:szCs w:val="24"/>
          <w:lang w:val="en-US"/>
        </w:rPr>
        <w:t xml:space="preserve"> </w:t>
      </w:r>
      <w:r w:rsidRPr="00EB3547">
        <w:rPr>
          <w:rFonts w:ascii="Calibri" w:hAnsi="Calibri" w:cs="Calibri"/>
          <w:i/>
          <w:sz w:val="24"/>
          <w:szCs w:val="24"/>
          <w:lang w:val="en-US"/>
        </w:rPr>
        <w:t>Development of an Ongoing Educational Outcomes National Data Collection on the Educational Outcomes of Children in Child Protection Services</w:t>
      </w:r>
      <w:r w:rsidR="00345C45">
        <w:rPr>
          <w:rFonts w:ascii="Calibri" w:hAnsi="Calibri" w:cs="Calibri"/>
          <w:sz w:val="24"/>
          <w:szCs w:val="24"/>
          <w:lang w:val="en-US"/>
        </w:rPr>
        <w:t xml:space="preserve"> (AIHW 2012d)</w:t>
      </w:r>
      <w:r w:rsidR="00EB3547">
        <w:rPr>
          <w:rFonts w:ascii="Calibri" w:hAnsi="Calibri" w:cs="Calibri"/>
          <w:sz w:val="24"/>
          <w:szCs w:val="24"/>
          <w:lang w:val="en-US"/>
        </w:rPr>
        <w:t>,</w:t>
      </w:r>
      <w:r w:rsidRPr="00644A1E">
        <w:rPr>
          <w:rFonts w:ascii="Calibri" w:hAnsi="Calibri" w:cs="Calibri"/>
          <w:sz w:val="24"/>
          <w:szCs w:val="24"/>
          <w:lang w:val="en-US"/>
        </w:rPr>
        <w:t xml:space="preserve"> that national reporting on the educational outcomes of children in care can best </w:t>
      </w:r>
      <w:r w:rsidR="00FB10B7">
        <w:rPr>
          <w:rFonts w:ascii="Calibri" w:hAnsi="Calibri" w:cs="Calibri"/>
          <w:sz w:val="24"/>
          <w:szCs w:val="24"/>
          <w:lang w:val="en-US"/>
        </w:rPr>
        <w:t xml:space="preserve">be </w:t>
      </w:r>
      <w:r w:rsidRPr="00644A1E">
        <w:rPr>
          <w:rFonts w:ascii="Calibri" w:hAnsi="Calibri" w:cs="Calibri"/>
          <w:sz w:val="24"/>
          <w:szCs w:val="24"/>
          <w:lang w:val="en-US"/>
        </w:rPr>
        <w:t>achieved with th</w:t>
      </w:r>
      <w:r w:rsidR="00EB3547">
        <w:rPr>
          <w:rFonts w:ascii="Calibri" w:hAnsi="Calibri" w:cs="Calibri"/>
          <w:sz w:val="24"/>
          <w:szCs w:val="24"/>
          <w:lang w:val="en-US"/>
        </w:rPr>
        <w:t>e implementation of a national education m</w:t>
      </w:r>
      <w:r w:rsidRPr="00644A1E">
        <w:rPr>
          <w:rFonts w:ascii="Calibri" w:hAnsi="Calibri" w:cs="Calibri"/>
          <w:sz w:val="24"/>
          <w:szCs w:val="24"/>
          <w:lang w:val="en-US"/>
        </w:rPr>
        <w:t>odule for linkage with the CP NMDS.</w:t>
      </w:r>
      <w:r w:rsidR="00EB3547">
        <w:rPr>
          <w:rFonts w:ascii="Calibri" w:hAnsi="Calibri" w:cs="Calibri"/>
          <w:sz w:val="24"/>
          <w:szCs w:val="24"/>
          <w:lang w:val="en-US"/>
        </w:rPr>
        <w:t xml:space="preserve"> </w:t>
      </w:r>
    </w:p>
    <w:p w:rsidR="00814F59" w:rsidRPr="00644A1E" w:rsidRDefault="00814F59" w:rsidP="00F31CF5">
      <w:pPr>
        <w:rPr>
          <w:rFonts w:ascii="Calibri" w:hAnsi="Calibri" w:cs="Calibri"/>
          <w:sz w:val="24"/>
          <w:szCs w:val="24"/>
        </w:rPr>
      </w:pPr>
    </w:p>
    <w:p w:rsidR="00F31CF5" w:rsidRPr="00644A1E" w:rsidRDefault="004E3924" w:rsidP="00F31CF5">
      <w:pPr>
        <w:rPr>
          <w:rFonts w:ascii="Calibri" w:hAnsi="Calibri" w:cs="Calibri"/>
          <w:sz w:val="24"/>
          <w:szCs w:val="24"/>
        </w:rPr>
      </w:pPr>
      <w:proofErr w:type="gramStart"/>
      <w:r>
        <w:rPr>
          <w:rFonts w:ascii="Calibri" w:hAnsi="Calibri" w:cs="Calibri"/>
          <w:sz w:val="24"/>
          <w:szCs w:val="24"/>
        </w:rPr>
        <w:t>Creating</w:t>
      </w:r>
      <w:r w:rsidR="00F31CF5" w:rsidRPr="00644A1E">
        <w:rPr>
          <w:rFonts w:ascii="Calibri" w:hAnsi="Calibri" w:cs="Calibri"/>
          <w:sz w:val="24"/>
          <w:szCs w:val="24"/>
        </w:rPr>
        <w:t xml:space="preserve"> a national linked dataset on the educational activity and outcomes of children while in child protection services</w:t>
      </w:r>
      <w:r>
        <w:rPr>
          <w:rFonts w:ascii="Calibri" w:hAnsi="Calibri" w:cs="Calibri"/>
          <w:sz w:val="24"/>
          <w:szCs w:val="24"/>
        </w:rPr>
        <w:t xml:space="preserve"> would</w:t>
      </w:r>
      <w:r w:rsidR="00F31CF5" w:rsidRPr="00644A1E">
        <w:rPr>
          <w:rFonts w:ascii="Calibri" w:hAnsi="Calibri" w:cs="Calibri"/>
          <w:sz w:val="24"/>
          <w:szCs w:val="24"/>
        </w:rPr>
        <w:t xml:space="preserve"> allow ongoing and longitudinal monitoring of their academic progress</w:t>
      </w:r>
      <w:r>
        <w:rPr>
          <w:rFonts w:ascii="Calibri" w:hAnsi="Calibri" w:cs="Calibri"/>
          <w:sz w:val="24"/>
          <w:szCs w:val="24"/>
        </w:rPr>
        <w:t>,</w:t>
      </w:r>
      <w:r w:rsidR="00F31CF5" w:rsidRPr="00644A1E">
        <w:rPr>
          <w:rFonts w:ascii="Calibri" w:hAnsi="Calibri" w:cs="Calibri"/>
          <w:sz w:val="24"/>
          <w:szCs w:val="24"/>
        </w:rPr>
        <w:t xml:space="preserve"> to better inform policy, practice and planning of activities to support these children.</w:t>
      </w:r>
      <w:proofErr w:type="gramEnd"/>
    </w:p>
    <w:p w:rsidR="00F31CF5" w:rsidRPr="00644A1E" w:rsidRDefault="00F31CF5" w:rsidP="00F31CF5">
      <w:pPr>
        <w:rPr>
          <w:rFonts w:ascii="Calibri" w:hAnsi="Calibri" w:cs="Calibri"/>
          <w:iCs/>
          <w:sz w:val="24"/>
          <w:szCs w:val="24"/>
        </w:rPr>
      </w:pPr>
    </w:p>
    <w:p w:rsidR="00F31CF5" w:rsidRPr="00644A1E" w:rsidRDefault="00AA214F" w:rsidP="00F31CF5">
      <w:pPr>
        <w:rPr>
          <w:rFonts w:ascii="Calibri" w:hAnsi="Calibri" w:cs="Calibri"/>
          <w:sz w:val="24"/>
          <w:szCs w:val="24"/>
        </w:rPr>
      </w:pPr>
      <w:r>
        <w:rPr>
          <w:rFonts w:ascii="Calibri" w:hAnsi="Calibri" w:cs="Calibri"/>
          <w:iCs/>
          <w:sz w:val="24"/>
          <w:szCs w:val="24"/>
        </w:rPr>
        <w:t>AIHW is now developing a national education module for linkage with the CP NMDS.</w:t>
      </w:r>
    </w:p>
    <w:p w:rsidR="00F31CF5" w:rsidRDefault="00F31CF5" w:rsidP="00F31CF5">
      <w:pPr>
        <w:rPr>
          <w:rFonts w:ascii="Calibri" w:hAnsi="Calibri" w:cs="Calibri"/>
          <w:sz w:val="24"/>
          <w:szCs w:val="24"/>
        </w:rPr>
      </w:pPr>
    </w:p>
    <w:p w:rsidR="00F31CF5" w:rsidRPr="00644A1E" w:rsidRDefault="00F334FA" w:rsidP="00F31CF5">
      <w:pPr>
        <w:rPr>
          <w:rFonts w:ascii="Calibri" w:hAnsi="Calibri" w:cs="Calibri"/>
          <w:sz w:val="24"/>
          <w:szCs w:val="24"/>
        </w:rPr>
      </w:pPr>
      <w:r>
        <w:rPr>
          <w:rFonts w:ascii="Calibri" w:hAnsi="Calibri" w:cs="Calibri"/>
          <w:sz w:val="24"/>
          <w:szCs w:val="24"/>
        </w:rPr>
        <w:t>The Australian Child Wellbeing Project (formerly known as t</w:t>
      </w:r>
      <w:r w:rsidR="00F31CF5" w:rsidRPr="00644A1E">
        <w:rPr>
          <w:rFonts w:ascii="Calibri" w:hAnsi="Calibri" w:cs="Calibri"/>
          <w:sz w:val="24"/>
          <w:szCs w:val="24"/>
        </w:rPr>
        <w:t>he Middle Years Project</w:t>
      </w:r>
      <w:r>
        <w:rPr>
          <w:rFonts w:ascii="Calibri" w:hAnsi="Calibri" w:cs="Calibri"/>
          <w:sz w:val="24"/>
          <w:szCs w:val="24"/>
        </w:rPr>
        <w:t>)</w:t>
      </w:r>
      <w:r w:rsidR="00C55DFD">
        <w:rPr>
          <w:rFonts w:ascii="Calibri" w:hAnsi="Calibri" w:cs="Calibri"/>
          <w:sz w:val="24"/>
          <w:szCs w:val="24"/>
        </w:rPr>
        <w:t xml:space="preserve">, </w:t>
      </w:r>
      <w:r w:rsidR="00F31CF5" w:rsidRPr="00644A1E">
        <w:rPr>
          <w:rFonts w:ascii="Calibri" w:hAnsi="Calibri" w:cs="Calibri"/>
          <w:i/>
          <w:sz w:val="24"/>
          <w:szCs w:val="24"/>
        </w:rPr>
        <w:t xml:space="preserve">Are the Kids Alright? Understanding the Wellbeing of Australian Children in their Middle </w:t>
      </w:r>
      <w:proofErr w:type="gramStart"/>
      <w:r w:rsidR="00F31CF5" w:rsidRPr="00644A1E">
        <w:rPr>
          <w:rFonts w:ascii="Calibri" w:hAnsi="Calibri" w:cs="Calibri"/>
          <w:i/>
          <w:sz w:val="24"/>
          <w:szCs w:val="24"/>
        </w:rPr>
        <w:t>Years</w:t>
      </w:r>
      <w:r>
        <w:rPr>
          <w:rFonts w:ascii="Calibri" w:hAnsi="Calibri" w:cs="Calibri"/>
          <w:sz w:val="24"/>
          <w:szCs w:val="24"/>
        </w:rPr>
        <w:t>,</w:t>
      </w:r>
      <w:proofErr w:type="gramEnd"/>
      <w:r w:rsidR="00F31CF5" w:rsidRPr="00644A1E">
        <w:rPr>
          <w:rFonts w:ascii="Calibri" w:hAnsi="Calibri" w:cs="Calibri"/>
          <w:sz w:val="24"/>
          <w:szCs w:val="24"/>
        </w:rPr>
        <w:t xml:space="preserve"> </w:t>
      </w:r>
      <w:r w:rsidR="00EB3547" w:rsidRPr="00835CCF">
        <w:rPr>
          <w:rFonts w:ascii="Calibri" w:hAnsi="Calibri" w:cs="Calibri"/>
          <w:sz w:val="24"/>
          <w:szCs w:val="24"/>
        </w:rPr>
        <w:t xml:space="preserve">is being </w:t>
      </w:r>
      <w:r w:rsidR="00F9488E" w:rsidRPr="00835CCF">
        <w:rPr>
          <w:rFonts w:ascii="Calibri" w:hAnsi="Calibri" w:cs="Calibri"/>
          <w:sz w:val="24"/>
          <w:szCs w:val="24"/>
        </w:rPr>
        <w:t xml:space="preserve">led by a research team at the Social Policy Research Centre at the University of New South Wales and the School of Social Policy </w:t>
      </w:r>
      <w:r w:rsidR="00BE0F2A" w:rsidRPr="00835CCF">
        <w:rPr>
          <w:rFonts w:ascii="Calibri" w:hAnsi="Calibri" w:cs="Calibri"/>
          <w:sz w:val="24"/>
          <w:szCs w:val="24"/>
        </w:rPr>
        <w:t>Stud</w:t>
      </w:r>
      <w:r w:rsidR="00F9488E" w:rsidRPr="00835CCF">
        <w:rPr>
          <w:rFonts w:ascii="Calibri" w:hAnsi="Calibri" w:cs="Calibri"/>
          <w:sz w:val="24"/>
          <w:szCs w:val="24"/>
        </w:rPr>
        <w:t>ies at Flinders University</w:t>
      </w:r>
      <w:r w:rsidR="00BE0F2A" w:rsidRPr="00835CCF">
        <w:rPr>
          <w:rFonts w:ascii="Calibri" w:hAnsi="Calibri" w:cs="Calibri"/>
          <w:sz w:val="24"/>
          <w:szCs w:val="24"/>
        </w:rPr>
        <w:t>, South Australia</w:t>
      </w:r>
      <w:r w:rsidR="00F9488E" w:rsidRPr="00835CCF">
        <w:rPr>
          <w:rFonts w:ascii="Calibri" w:hAnsi="Calibri" w:cs="Calibri"/>
          <w:sz w:val="24"/>
          <w:szCs w:val="24"/>
        </w:rPr>
        <w:t>.</w:t>
      </w:r>
      <w:r w:rsidR="00A43557">
        <w:rPr>
          <w:rFonts w:ascii="Calibri" w:hAnsi="Calibri" w:cs="Calibri"/>
          <w:sz w:val="24"/>
          <w:szCs w:val="24"/>
        </w:rPr>
        <w:t xml:space="preserve"> </w:t>
      </w:r>
      <w:r w:rsidR="00F9488E" w:rsidRPr="00835CCF">
        <w:rPr>
          <w:rFonts w:ascii="Calibri" w:hAnsi="Calibri" w:cs="Calibri"/>
          <w:sz w:val="24"/>
          <w:szCs w:val="24"/>
        </w:rPr>
        <w:t>This project</w:t>
      </w:r>
      <w:r w:rsidR="00835CCF">
        <w:rPr>
          <w:rFonts w:ascii="Calibri" w:hAnsi="Calibri" w:cs="Calibri"/>
          <w:sz w:val="24"/>
          <w:szCs w:val="24"/>
        </w:rPr>
        <w:t xml:space="preserve"> </w:t>
      </w:r>
      <w:r w:rsidR="00F31CF5" w:rsidRPr="00835CCF">
        <w:rPr>
          <w:rFonts w:ascii="Calibri" w:hAnsi="Calibri" w:cs="Calibri"/>
          <w:sz w:val="24"/>
          <w:szCs w:val="24"/>
        </w:rPr>
        <w:t>aims</w:t>
      </w:r>
      <w:r w:rsidR="00F31CF5" w:rsidRPr="00644A1E">
        <w:rPr>
          <w:rFonts w:ascii="Calibri" w:hAnsi="Calibri" w:cs="Calibri"/>
          <w:sz w:val="24"/>
          <w:szCs w:val="24"/>
        </w:rPr>
        <w:t xml:space="preserve"> to be the first major nationally representative and internationally comparable study of wellbeing among children in their middle years (8</w:t>
      </w:r>
      <w:r w:rsidR="00456B67">
        <w:rPr>
          <w:rFonts w:ascii="Calibri" w:hAnsi="Calibri" w:cs="Calibri"/>
          <w:sz w:val="24"/>
          <w:szCs w:val="24"/>
        </w:rPr>
        <w:t>–</w:t>
      </w:r>
      <w:r w:rsidR="00F31CF5" w:rsidRPr="00644A1E">
        <w:rPr>
          <w:rFonts w:ascii="Calibri" w:hAnsi="Calibri" w:cs="Calibri"/>
          <w:sz w:val="24"/>
          <w:szCs w:val="24"/>
        </w:rPr>
        <w:t>14 year olds).</w:t>
      </w:r>
    </w:p>
    <w:p w:rsidR="00F31CF5" w:rsidRPr="00644A1E" w:rsidRDefault="00F31CF5" w:rsidP="00F31CF5">
      <w:pPr>
        <w:rPr>
          <w:rFonts w:ascii="Calibri" w:hAnsi="Calibri" w:cs="Calibri"/>
          <w:sz w:val="24"/>
          <w:szCs w:val="24"/>
        </w:rPr>
      </w:pPr>
    </w:p>
    <w:p w:rsidR="00F31CF5" w:rsidRDefault="00F31CF5" w:rsidP="00F31CF5">
      <w:pPr>
        <w:rPr>
          <w:rFonts w:ascii="Calibri" w:hAnsi="Calibri" w:cs="Calibri"/>
          <w:sz w:val="24"/>
          <w:szCs w:val="24"/>
        </w:rPr>
      </w:pPr>
      <w:r w:rsidRPr="00644A1E">
        <w:rPr>
          <w:rFonts w:ascii="Calibri" w:hAnsi="Calibri" w:cs="Calibri"/>
          <w:sz w:val="24"/>
          <w:szCs w:val="24"/>
        </w:rPr>
        <w:t>This study will produce the evidence base to support the design of effective policies and services to promote:</w:t>
      </w:r>
    </w:p>
    <w:p w:rsidR="00F31CF5" w:rsidRPr="00644A1E" w:rsidRDefault="00F31CF5" w:rsidP="00456B67">
      <w:pPr>
        <w:pStyle w:val="ListBullet"/>
      </w:pPr>
      <w:r w:rsidRPr="00644A1E">
        <w:t>general child wellbeing, especially among children experiencing disadvantage</w:t>
      </w:r>
    </w:p>
    <w:p w:rsidR="00F31CF5" w:rsidRPr="00644A1E" w:rsidRDefault="00F31CF5" w:rsidP="00456B67">
      <w:pPr>
        <w:pStyle w:val="ListBullet"/>
      </w:pPr>
      <w:proofErr w:type="gramStart"/>
      <w:r w:rsidRPr="00644A1E">
        <w:t>equal</w:t>
      </w:r>
      <w:proofErr w:type="gramEnd"/>
      <w:r w:rsidRPr="00644A1E">
        <w:t xml:space="preserve"> opportunities and outcomes for disadvantaged children.</w:t>
      </w:r>
    </w:p>
    <w:p w:rsidR="00F31CF5" w:rsidRPr="00644A1E" w:rsidRDefault="00F31CF5" w:rsidP="00F31CF5">
      <w:pPr>
        <w:rPr>
          <w:rFonts w:ascii="Calibri" w:hAnsi="Calibri" w:cs="Calibri"/>
          <w:sz w:val="24"/>
          <w:szCs w:val="24"/>
        </w:rPr>
      </w:pPr>
    </w:p>
    <w:p w:rsidR="00F31CF5" w:rsidRPr="00644A1E" w:rsidRDefault="00F31CF5" w:rsidP="00F31CF5">
      <w:pPr>
        <w:rPr>
          <w:rFonts w:ascii="Calibri" w:hAnsi="Calibri" w:cs="Calibri"/>
          <w:sz w:val="24"/>
          <w:szCs w:val="24"/>
        </w:rPr>
      </w:pPr>
      <w:r w:rsidRPr="00644A1E">
        <w:rPr>
          <w:rFonts w:ascii="Calibri" w:hAnsi="Calibri" w:cs="Calibri"/>
          <w:sz w:val="24"/>
          <w:szCs w:val="24"/>
        </w:rPr>
        <w:t>The key difference between this study and others is its focus on children’s conceptualisations of wellbeing and their perceptions of their own wellbeing.</w:t>
      </w:r>
    </w:p>
    <w:p w:rsidR="00F31CF5" w:rsidRPr="00644A1E" w:rsidRDefault="00F31CF5" w:rsidP="00F31CF5">
      <w:pPr>
        <w:rPr>
          <w:rFonts w:ascii="Calibri" w:hAnsi="Calibri" w:cs="Calibri"/>
          <w:sz w:val="24"/>
          <w:szCs w:val="24"/>
        </w:rPr>
      </w:pPr>
    </w:p>
    <w:p w:rsidR="00F31CF5" w:rsidRPr="00644A1E" w:rsidRDefault="00F31CF5" w:rsidP="00F31CF5">
      <w:pPr>
        <w:rPr>
          <w:rFonts w:ascii="Calibri" w:hAnsi="Calibri" w:cs="Calibri"/>
          <w:sz w:val="24"/>
          <w:szCs w:val="24"/>
        </w:rPr>
      </w:pPr>
      <w:r w:rsidRPr="00644A1E">
        <w:rPr>
          <w:rFonts w:ascii="Calibri" w:hAnsi="Calibri" w:cs="Calibri"/>
          <w:sz w:val="24"/>
          <w:szCs w:val="24"/>
        </w:rPr>
        <w:t>Special focus will be given to disadvantaged children in six groups, to account for differences in understanding children. These groups are</w:t>
      </w:r>
      <w:r w:rsidR="00456B67">
        <w:rPr>
          <w:rFonts w:ascii="Calibri" w:hAnsi="Calibri" w:cs="Calibri"/>
          <w:sz w:val="24"/>
          <w:szCs w:val="24"/>
        </w:rPr>
        <w:t>:</w:t>
      </w:r>
      <w:r w:rsidRPr="00644A1E">
        <w:rPr>
          <w:rFonts w:ascii="Calibri" w:hAnsi="Calibri" w:cs="Calibri"/>
          <w:sz w:val="24"/>
          <w:szCs w:val="24"/>
        </w:rPr>
        <w:t xml:space="preserve"> Indigenous young people</w:t>
      </w:r>
      <w:r w:rsidR="00456B67">
        <w:rPr>
          <w:rFonts w:ascii="Calibri" w:hAnsi="Calibri" w:cs="Calibri"/>
          <w:sz w:val="24"/>
          <w:szCs w:val="24"/>
        </w:rPr>
        <w:t>;</w:t>
      </w:r>
      <w:r w:rsidRPr="00644A1E">
        <w:rPr>
          <w:rFonts w:ascii="Calibri" w:hAnsi="Calibri" w:cs="Calibri"/>
          <w:sz w:val="24"/>
          <w:szCs w:val="24"/>
        </w:rPr>
        <w:t xml:space="preserve"> </w:t>
      </w:r>
      <w:r w:rsidR="005D1306">
        <w:rPr>
          <w:rFonts w:ascii="Calibri" w:hAnsi="Calibri" w:cs="Calibri"/>
          <w:sz w:val="24"/>
          <w:szCs w:val="24"/>
        </w:rPr>
        <w:t xml:space="preserve">CALD </w:t>
      </w:r>
      <w:r w:rsidRPr="00644A1E">
        <w:rPr>
          <w:rFonts w:ascii="Calibri" w:hAnsi="Calibri" w:cs="Calibri"/>
          <w:sz w:val="24"/>
          <w:szCs w:val="24"/>
        </w:rPr>
        <w:t>young people</w:t>
      </w:r>
      <w:r w:rsidR="00456B67">
        <w:rPr>
          <w:rFonts w:ascii="Calibri" w:hAnsi="Calibri" w:cs="Calibri"/>
          <w:sz w:val="24"/>
          <w:szCs w:val="24"/>
        </w:rPr>
        <w:t>;</w:t>
      </w:r>
      <w:r w:rsidRPr="00644A1E">
        <w:rPr>
          <w:rFonts w:ascii="Calibri" w:hAnsi="Calibri" w:cs="Calibri"/>
          <w:sz w:val="24"/>
          <w:szCs w:val="24"/>
        </w:rPr>
        <w:t xml:space="preserve"> young people with disability</w:t>
      </w:r>
      <w:r w:rsidR="00456B67">
        <w:rPr>
          <w:rFonts w:ascii="Calibri" w:hAnsi="Calibri" w:cs="Calibri"/>
          <w:sz w:val="24"/>
          <w:szCs w:val="24"/>
        </w:rPr>
        <w:t>;</w:t>
      </w:r>
      <w:r w:rsidRPr="00644A1E">
        <w:rPr>
          <w:rFonts w:ascii="Calibri" w:hAnsi="Calibri" w:cs="Calibri"/>
          <w:sz w:val="24"/>
          <w:szCs w:val="24"/>
        </w:rPr>
        <w:t xml:space="preserve"> young people in rural and regional areas</w:t>
      </w:r>
      <w:r w:rsidR="00456B67">
        <w:rPr>
          <w:rFonts w:ascii="Calibri" w:hAnsi="Calibri" w:cs="Calibri"/>
          <w:sz w:val="24"/>
          <w:szCs w:val="24"/>
        </w:rPr>
        <w:t>;</w:t>
      </w:r>
      <w:r w:rsidRPr="00644A1E">
        <w:rPr>
          <w:rFonts w:ascii="Calibri" w:hAnsi="Calibri" w:cs="Calibri"/>
          <w:sz w:val="24"/>
          <w:szCs w:val="24"/>
        </w:rPr>
        <w:t xml:space="preserve"> economically disadvantaged young people</w:t>
      </w:r>
      <w:r w:rsidR="00456B67">
        <w:rPr>
          <w:rFonts w:ascii="Calibri" w:hAnsi="Calibri" w:cs="Calibri"/>
          <w:sz w:val="24"/>
          <w:szCs w:val="24"/>
        </w:rPr>
        <w:t>;</w:t>
      </w:r>
      <w:r w:rsidRPr="00644A1E">
        <w:rPr>
          <w:rFonts w:ascii="Calibri" w:hAnsi="Calibri" w:cs="Calibri"/>
          <w:sz w:val="24"/>
          <w:szCs w:val="24"/>
        </w:rPr>
        <w:t xml:space="preserve"> and young people in out-of-home care. </w:t>
      </w:r>
    </w:p>
    <w:p w:rsidR="00F31CF5" w:rsidRPr="00644A1E" w:rsidRDefault="00F31CF5" w:rsidP="00F31CF5">
      <w:pPr>
        <w:rPr>
          <w:rFonts w:ascii="Calibri" w:hAnsi="Calibri" w:cs="Calibri"/>
          <w:sz w:val="24"/>
          <w:szCs w:val="24"/>
        </w:rPr>
      </w:pPr>
    </w:p>
    <w:p w:rsidR="00F31CF5" w:rsidRPr="00644A1E" w:rsidRDefault="00F31CF5" w:rsidP="00F31CF5">
      <w:pPr>
        <w:rPr>
          <w:rFonts w:ascii="Calibri" w:hAnsi="Calibri" w:cs="Calibri"/>
          <w:sz w:val="24"/>
          <w:szCs w:val="24"/>
        </w:rPr>
      </w:pPr>
      <w:r w:rsidRPr="00644A1E">
        <w:rPr>
          <w:rFonts w:ascii="Calibri" w:hAnsi="Calibri" w:cs="Calibri"/>
          <w:sz w:val="24"/>
          <w:szCs w:val="24"/>
        </w:rPr>
        <w:t>One of the aims of this study is to fill the knowledge gap on the crucial middle years of childhood</w:t>
      </w:r>
      <w:r w:rsidR="00456B67">
        <w:rPr>
          <w:rFonts w:ascii="Calibri" w:hAnsi="Calibri" w:cs="Calibri"/>
          <w:sz w:val="24"/>
          <w:szCs w:val="24"/>
        </w:rPr>
        <w:t>,</w:t>
      </w:r>
      <w:r w:rsidRPr="00644A1E">
        <w:rPr>
          <w:rFonts w:ascii="Calibri" w:hAnsi="Calibri" w:cs="Calibri"/>
          <w:sz w:val="24"/>
          <w:szCs w:val="24"/>
        </w:rPr>
        <w:t xml:space="preserve"> when children transit from primary to secondary school and into adolescence. The results of the study are being released in </w:t>
      </w:r>
      <w:r w:rsidR="00456B67">
        <w:rPr>
          <w:rFonts w:ascii="Calibri" w:hAnsi="Calibri" w:cs="Calibri"/>
          <w:sz w:val="24"/>
          <w:szCs w:val="24"/>
        </w:rPr>
        <w:t>five</w:t>
      </w:r>
      <w:r w:rsidR="00456B67" w:rsidRPr="00644A1E">
        <w:rPr>
          <w:rFonts w:ascii="Calibri" w:hAnsi="Calibri" w:cs="Calibri"/>
          <w:sz w:val="24"/>
          <w:szCs w:val="24"/>
        </w:rPr>
        <w:t xml:space="preserve"> </w:t>
      </w:r>
      <w:r w:rsidRPr="00644A1E">
        <w:rPr>
          <w:rFonts w:ascii="Calibri" w:hAnsi="Calibri" w:cs="Calibri"/>
          <w:sz w:val="24"/>
          <w:szCs w:val="24"/>
        </w:rPr>
        <w:t xml:space="preserve">phased reports. The Phase One report </w:t>
      </w:r>
      <w:r w:rsidR="00BE0F2A">
        <w:rPr>
          <w:rFonts w:ascii="Calibri" w:hAnsi="Calibri" w:cs="Calibri"/>
          <w:sz w:val="24"/>
          <w:szCs w:val="24"/>
        </w:rPr>
        <w:t>was</w:t>
      </w:r>
      <w:r w:rsidRPr="00644A1E">
        <w:rPr>
          <w:rFonts w:ascii="Calibri" w:hAnsi="Calibri" w:cs="Calibri"/>
          <w:sz w:val="24"/>
          <w:szCs w:val="24"/>
        </w:rPr>
        <w:t xml:space="preserve"> released publicly in</w:t>
      </w:r>
      <w:r w:rsidR="00BE0F2A">
        <w:rPr>
          <w:rFonts w:ascii="Calibri" w:hAnsi="Calibri" w:cs="Calibri"/>
          <w:sz w:val="24"/>
          <w:szCs w:val="24"/>
        </w:rPr>
        <w:t xml:space="preserve"> September 2013 and is available at</w:t>
      </w:r>
      <w:r w:rsidR="00202252">
        <w:rPr>
          <w:rFonts w:ascii="Calibri" w:hAnsi="Calibri" w:cs="Calibri"/>
          <w:sz w:val="24"/>
          <w:szCs w:val="24"/>
        </w:rPr>
        <w:t xml:space="preserve"> the website for the </w:t>
      </w:r>
      <w:hyperlink r:id="rId22" w:history="1">
        <w:r w:rsidR="00202252">
          <w:rPr>
            <w:rStyle w:val="Hyperlink"/>
            <w:rFonts w:ascii="Calibri" w:hAnsi="Calibri" w:cs="Calibri"/>
            <w:sz w:val="24"/>
            <w:szCs w:val="24"/>
          </w:rPr>
          <w:t>Australian Wellbeing Project</w:t>
        </w:r>
      </w:hyperlink>
      <w:r w:rsidR="00C3315D">
        <w:rPr>
          <w:rFonts w:ascii="Calibri" w:hAnsi="Calibri" w:cs="Calibri"/>
          <w:sz w:val="24"/>
          <w:szCs w:val="24"/>
        </w:rPr>
        <w:t>.</w:t>
      </w:r>
    </w:p>
    <w:p w:rsidR="00F31CF5" w:rsidRPr="00644A1E" w:rsidRDefault="00F31CF5" w:rsidP="00F31CF5">
      <w:pPr>
        <w:rPr>
          <w:rFonts w:ascii="Calibri" w:hAnsi="Calibri" w:cs="Calibri"/>
          <w:sz w:val="24"/>
          <w:szCs w:val="24"/>
        </w:rPr>
      </w:pPr>
    </w:p>
    <w:p w:rsidR="00F31CF5" w:rsidRDefault="00F31CF5" w:rsidP="00F31CF5">
      <w:pPr>
        <w:rPr>
          <w:rFonts w:ascii="Calibri" w:hAnsi="Calibri" w:cs="Calibri"/>
          <w:sz w:val="24"/>
          <w:szCs w:val="24"/>
        </w:rPr>
      </w:pPr>
      <w:r w:rsidRPr="00644A1E">
        <w:rPr>
          <w:rFonts w:ascii="Calibri" w:hAnsi="Calibri" w:cs="Calibri"/>
          <w:sz w:val="24"/>
          <w:szCs w:val="24"/>
        </w:rPr>
        <w:t xml:space="preserve">The aim of the Phase One report is to feed into survey design that </w:t>
      </w:r>
      <w:r w:rsidR="00C936FE">
        <w:rPr>
          <w:rFonts w:ascii="Calibri" w:hAnsi="Calibri" w:cs="Calibri"/>
          <w:sz w:val="24"/>
          <w:szCs w:val="24"/>
        </w:rPr>
        <w:t>forms</w:t>
      </w:r>
      <w:r w:rsidR="00C936FE" w:rsidRPr="00644A1E">
        <w:rPr>
          <w:rFonts w:ascii="Calibri" w:hAnsi="Calibri" w:cs="Calibri"/>
          <w:sz w:val="24"/>
          <w:szCs w:val="24"/>
        </w:rPr>
        <w:t xml:space="preserve"> </w:t>
      </w:r>
      <w:r w:rsidRPr="00644A1E">
        <w:rPr>
          <w:rFonts w:ascii="Calibri" w:hAnsi="Calibri" w:cs="Calibri"/>
          <w:sz w:val="24"/>
          <w:szCs w:val="24"/>
        </w:rPr>
        <w:t>the next stage of</w:t>
      </w:r>
      <w:r w:rsidR="00EB3547">
        <w:rPr>
          <w:rFonts w:ascii="Calibri" w:hAnsi="Calibri" w:cs="Calibri"/>
          <w:sz w:val="24"/>
          <w:szCs w:val="24"/>
        </w:rPr>
        <w:t xml:space="preserve"> the research</w:t>
      </w:r>
      <w:r w:rsidRPr="00644A1E">
        <w:rPr>
          <w:rFonts w:ascii="Calibri" w:hAnsi="Calibri" w:cs="Calibri"/>
          <w:sz w:val="24"/>
          <w:szCs w:val="24"/>
        </w:rPr>
        <w:t xml:space="preserve"> and also </w:t>
      </w:r>
      <w:r w:rsidR="00456B67">
        <w:rPr>
          <w:rFonts w:ascii="Calibri" w:hAnsi="Calibri" w:cs="Calibri"/>
          <w:sz w:val="24"/>
          <w:szCs w:val="24"/>
        </w:rPr>
        <w:t xml:space="preserve">to </w:t>
      </w:r>
      <w:r w:rsidRPr="00644A1E">
        <w:rPr>
          <w:rFonts w:ascii="Calibri" w:hAnsi="Calibri" w:cs="Calibri"/>
          <w:sz w:val="24"/>
          <w:szCs w:val="24"/>
        </w:rPr>
        <w:t>explore</w:t>
      </w:r>
      <w:r w:rsidR="00C936FE">
        <w:rPr>
          <w:rFonts w:ascii="Calibri" w:hAnsi="Calibri" w:cs="Calibri"/>
          <w:sz w:val="24"/>
          <w:szCs w:val="24"/>
        </w:rPr>
        <w:t>,</w:t>
      </w:r>
      <w:r w:rsidRPr="00644A1E">
        <w:rPr>
          <w:rFonts w:ascii="Calibri" w:hAnsi="Calibri" w:cs="Calibri"/>
          <w:sz w:val="24"/>
          <w:szCs w:val="24"/>
        </w:rPr>
        <w:t xml:space="preserve"> in an open-ended way</w:t>
      </w:r>
      <w:r w:rsidR="00C936FE">
        <w:rPr>
          <w:rFonts w:ascii="Calibri" w:hAnsi="Calibri" w:cs="Calibri"/>
          <w:sz w:val="24"/>
          <w:szCs w:val="24"/>
        </w:rPr>
        <w:t>,</w:t>
      </w:r>
      <w:r w:rsidRPr="00644A1E">
        <w:rPr>
          <w:rFonts w:ascii="Calibri" w:hAnsi="Calibri" w:cs="Calibri"/>
          <w:sz w:val="24"/>
          <w:szCs w:val="24"/>
        </w:rPr>
        <w:t xml:space="preserve"> the dimensions of wellbeing seen as important by children from the six marginalised groups as well as children in the mainstream.</w:t>
      </w:r>
    </w:p>
    <w:p w:rsidR="002621AE" w:rsidRPr="00D92BEA" w:rsidRDefault="00D92BEA" w:rsidP="00D92BEA">
      <w:pPr>
        <w:pStyle w:val="Heading4"/>
        <w:rPr>
          <w:lang w:val="en-AU"/>
        </w:rPr>
      </w:pPr>
      <w:r>
        <w:t>Community and Business</w:t>
      </w:r>
    </w:p>
    <w:p w:rsidR="005F6349" w:rsidRPr="00DC1B19" w:rsidRDefault="005F6349" w:rsidP="005F6349">
      <w:pPr>
        <w:rPr>
          <w:rStyle w:val="StyleBodyCalibri12pt"/>
          <w:rFonts w:eastAsia="Calibri"/>
        </w:rPr>
      </w:pPr>
      <w:r w:rsidRPr="00DC1B19">
        <w:rPr>
          <w:rStyle w:val="StyleBodyCalibri12pt"/>
          <w:rFonts w:eastAsia="Calibri"/>
        </w:rPr>
        <w:t>An Indigenous community leaders’ workshop was held in Cairns on 7 June 2013. The purpose of the workshop was to identify a range of practical actions to support the wellbeing and safety of children and young people in Aboriginal and Torres Strait Islander communities from an Indigenous perspective. The workshop was grounded on the concept that Aboriginal and Torres Strait Islander leaders and communities know best the challenges they face and have key insights into how preventative supports can be provided effectively.</w:t>
      </w:r>
      <w:r w:rsidR="003B40B3" w:rsidRPr="00DC1B19">
        <w:rPr>
          <w:rStyle w:val="StyleBodyCalibri12pt"/>
          <w:rFonts w:eastAsia="Calibri"/>
        </w:rPr>
        <w:t xml:space="preserve"> </w:t>
      </w:r>
      <w:r w:rsidRPr="00DC1B19">
        <w:rPr>
          <w:rStyle w:val="StyleBodyCalibri12pt"/>
          <w:rFonts w:eastAsia="Calibri"/>
        </w:rPr>
        <w:t>The workshop reinforces the Government’s commitment to engaging with Aboriginal and Torres Strait Islander leaders and people of influence regarding the care and wellbeing of Aboriginal and Torres Strait Islander children.</w:t>
      </w:r>
    </w:p>
    <w:p w:rsidR="007B6F56" w:rsidRPr="00DC1B19" w:rsidRDefault="007B6F56" w:rsidP="00A623C2">
      <w:pPr>
        <w:rPr>
          <w:rStyle w:val="StyleBodyCalibri12pt"/>
          <w:rFonts w:eastAsia="Calibri"/>
        </w:rPr>
      </w:pPr>
    </w:p>
    <w:p w:rsidR="003B40B3" w:rsidRPr="00DC1B19" w:rsidRDefault="003B40B3" w:rsidP="00E77AEC">
      <w:pPr>
        <w:rPr>
          <w:rStyle w:val="StyleBodyCalibri12pt"/>
          <w:rFonts w:eastAsia="Calibri"/>
        </w:rPr>
      </w:pPr>
      <w:r w:rsidRPr="00DC1B19">
        <w:rPr>
          <w:rStyle w:val="StyleBodyCalibri12pt"/>
          <w:rFonts w:eastAsia="Calibri"/>
        </w:rPr>
        <w:t>A national workshop engaging community leaders from CALD communities will be held in late 2013 to explore opportunities to work more closely with new and emerging communities to enhance their understanding of, and build support for,</w:t>
      </w:r>
      <w:r w:rsidR="00D02BB1" w:rsidRPr="00DC1B19">
        <w:rPr>
          <w:rStyle w:val="StyleBodyCalibri12pt"/>
          <w:rFonts w:eastAsia="Calibri"/>
        </w:rPr>
        <w:t xml:space="preserve"> </w:t>
      </w:r>
      <w:r w:rsidRPr="00DC1B19">
        <w:rPr>
          <w:rStyle w:val="StyleBodyCalibri12pt"/>
          <w:rFonts w:eastAsia="Calibri"/>
        </w:rPr>
        <w:t xml:space="preserve">protecting children and young people. </w:t>
      </w:r>
      <w:r w:rsidR="00067BB2" w:rsidRPr="00DC1B19">
        <w:rPr>
          <w:rStyle w:val="StyleBodyCalibri12pt"/>
          <w:rFonts w:eastAsia="Calibri"/>
        </w:rPr>
        <w:t>The workshop will provide an opportunity to identify and share key issues and challenges</w:t>
      </w:r>
      <w:r w:rsidR="009F52CC" w:rsidRPr="00DC1B19">
        <w:rPr>
          <w:rStyle w:val="StyleBodyCalibri12pt"/>
          <w:rFonts w:eastAsia="Calibri"/>
        </w:rPr>
        <w:t xml:space="preserve"> for children from CALD backgrounds</w:t>
      </w:r>
      <w:r w:rsidR="00067BB2" w:rsidRPr="00DC1B19">
        <w:rPr>
          <w:rStyle w:val="StyleBodyCalibri12pt"/>
          <w:rFonts w:eastAsia="Calibri"/>
        </w:rPr>
        <w:t xml:space="preserve"> </w:t>
      </w:r>
      <w:r w:rsidR="009F52CC" w:rsidRPr="00DC1B19">
        <w:rPr>
          <w:rStyle w:val="StyleBodyCalibri12pt"/>
          <w:rFonts w:eastAsia="Calibri"/>
        </w:rPr>
        <w:t>who are at risk of entering</w:t>
      </w:r>
      <w:r w:rsidR="00D02BB1" w:rsidRPr="00DC1B19">
        <w:rPr>
          <w:rStyle w:val="StyleBodyCalibri12pt"/>
          <w:rFonts w:eastAsia="Calibri"/>
        </w:rPr>
        <w:t>,</w:t>
      </w:r>
      <w:r w:rsidR="009F52CC" w:rsidRPr="00DC1B19">
        <w:rPr>
          <w:rStyle w:val="StyleBodyCalibri12pt"/>
          <w:rFonts w:eastAsia="Calibri"/>
        </w:rPr>
        <w:t xml:space="preserve"> or coming into contact with</w:t>
      </w:r>
      <w:r w:rsidR="00D02BB1" w:rsidRPr="00DC1B19">
        <w:rPr>
          <w:rStyle w:val="StyleBodyCalibri12pt"/>
          <w:rFonts w:eastAsia="Calibri"/>
        </w:rPr>
        <w:t>,</w:t>
      </w:r>
      <w:r w:rsidR="009F52CC" w:rsidRPr="00DC1B19">
        <w:rPr>
          <w:rStyle w:val="StyleBodyCalibri12pt"/>
          <w:rFonts w:eastAsia="Calibri"/>
        </w:rPr>
        <w:t xml:space="preserve"> the child protection system </w:t>
      </w:r>
      <w:r w:rsidR="00067BB2" w:rsidRPr="00DC1B19">
        <w:rPr>
          <w:rStyle w:val="StyleBodyCalibri12pt"/>
          <w:rFonts w:eastAsia="Calibri"/>
        </w:rPr>
        <w:t xml:space="preserve">and </w:t>
      </w:r>
      <w:r w:rsidR="00D02BB1" w:rsidRPr="00DC1B19">
        <w:rPr>
          <w:rStyle w:val="StyleBodyCalibri12pt"/>
          <w:rFonts w:eastAsia="Calibri"/>
        </w:rPr>
        <w:t xml:space="preserve">to </w:t>
      </w:r>
      <w:r w:rsidR="009F52CC" w:rsidRPr="00DC1B19">
        <w:rPr>
          <w:rStyle w:val="StyleBodyCalibri12pt"/>
          <w:rFonts w:eastAsia="Calibri"/>
        </w:rPr>
        <w:t xml:space="preserve">discuss </w:t>
      </w:r>
      <w:r w:rsidR="00067BB2" w:rsidRPr="00DC1B19">
        <w:rPr>
          <w:rStyle w:val="StyleBodyCalibri12pt"/>
          <w:rFonts w:eastAsia="Calibri"/>
        </w:rPr>
        <w:t xml:space="preserve">research being undertaken </w:t>
      </w:r>
      <w:r w:rsidR="009F52CC" w:rsidRPr="00DC1B19">
        <w:rPr>
          <w:rStyle w:val="StyleBodyCalibri12pt"/>
          <w:rFonts w:eastAsia="Calibri"/>
        </w:rPr>
        <w:t>in this area</w:t>
      </w:r>
      <w:r w:rsidR="00067BB2" w:rsidRPr="00DC1B19">
        <w:rPr>
          <w:rStyle w:val="StyleBodyCalibri12pt"/>
          <w:rFonts w:eastAsia="Calibri"/>
        </w:rPr>
        <w:t>.</w:t>
      </w:r>
    </w:p>
    <w:p w:rsidR="00E77AEC" w:rsidRPr="00DC1B19" w:rsidRDefault="00E77AEC" w:rsidP="00E77AEC">
      <w:pPr>
        <w:rPr>
          <w:rStyle w:val="StyleBodyCalibri12pt"/>
          <w:rFonts w:eastAsia="Calibri"/>
        </w:rPr>
      </w:pPr>
    </w:p>
    <w:p w:rsidR="001365FC" w:rsidRPr="00DC1B19" w:rsidRDefault="001365FC" w:rsidP="00E77AEC">
      <w:pPr>
        <w:rPr>
          <w:rStyle w:val="StyleBodyCalibri12pt"/>
          <w:rFonts w:eastAsia="Calibri"/>
        </w:rPr>
      </w:pPr>
      <w:r w:rsidRPr="00DC1B19">
        <w:rPr>
          <w:rStyle w:val="StyleBodyCalibri12pt"/>
          <w:rFonts w:eastAsia="Calibri"/>
        </w:rPr>
        <w:t>In 2012</w:t>
      </w:r>
      <w:r w:rsidR="00C936FE" w:rsidRPr="00DC1B19">
        <w:rPr>
          <w:rStyle w:val="StyleBodyCalibri12pt"/>
          <w:rFonts w:eastAsia="Calibri"/>
        </w:rPr>
        <w:t>–</w:t>
      </w:r>
      <w:r w:rsidRPr="00DC1B19">
        <w:rPr>
          <w:rStyle w:val="StyleBodyCalibri12pt"/>
          <w:rFonts w:eastAsia="Calibri"/>
        </w:rPr>
        <w:t xml:space="preserve">13, the </w:t>
      </w:r>
      <w:r w:rsidR="00C936FE" w:rsidRPr="00DC1B19">
        <w:rPr>
          <w:rStyle w:val="StyleBodyCalibri12pt"/>
          <w:rFonts w:eastAsia="Calibri"/>
        </w:rPr>
        <w:t xml:space="preserve">Australian Government </w:t>
      </w:r>
      <w:r w:rsidRPr="00DC1B19">
        <w:rPr>
          <w:rStyle w:val="StyleBodyCalibri12pt"/>
          <w:rFonts w:eastAsia="Calibri"/>
        </w:rPr>
        <w:t>funded the Centre for Refugee Research at the University of New South Wales to translate a series of three booklets</w:t>
      </w:r>
      <w:r w:rsidR="00C936FE" w:rsidRPr="00DC1B19">
        <w:rPr>
          <w:rStyle w:val="StyleBodyCalibri12pt"/>
          <w:rFonts w:eastAsia="Calibri"/>
        </w:rPr>
        <w:t>—</w:t>
      </w:r>
      <w:r w:rsidRPr="000433CA">
        <w:rPr>
          <w:rStyle w:val="StyleBodyCalibri12ptItalic"/>
          <w:rFonts w:eastAsia="Calibri"/>
        </w:rPr>
        <w:t>The Rights of Children in Australia</w:t>
      </w:r>
      <w:r w:rsidRPr="00DC1B19">
        <w:rPr>
          <w:rStyle w:val="StyleBodyCalibri12pt"/>
          <w:rFonts w:eastAsia="Calibri"/>
        </w:rPr>
        <w:t xml:space="preserve">; </w:t>
      </w:r>
      <w:r w:rsidRPr="000433CA">
        <w:rPr>
          <w:rStyle w:val="StyleBodyCalibri12ptItalic"/>
          <w:rFonts w:eastAsia="Calibri"/>
        </w:rPr>
        <w:t>Human Rights in Australia</w:t>
      </w:r>
      <w:r w:rsidRPr="00DC1B19">
        <w:rPr>
          <w:rStyle w:val="StyleBodyCalibri12pt"/>
          <w:rFonts w:eastAsia="Calibri"/>
        </w:rPr>
        <w:t xml:space="preserve">; and </w:t>
      </w:r>
      <w:r w:rsidRPr="000433CA">
        <w:rPr>
          <w:rStyle w:val="StyleBodyCalibri12ptItalic"/>
          <w:rFonts w:eastAsia="Calibri"/>
        </w:rPr>
        <w:t>Women’s Rights in Australia</w:t>
      </w:r>
      <w:r w:rsidR="00C936FE" w:rsidRPr="00DC1B19">
        <w:rPr>
          <w:rStyle w:val="StyleBodyCalibri12pt"/>
          <w:rFonts w:eastAsia="Calibri"/>
        </w:rPr>
        <w:t>—</w:t>
      </w:r>
      <w:r w:rsidRPr="00DC1B19">
        <w:rPr>
          <w:rStyle w:val="StyleBodyCalibri12pt"/>
          <w:rFonts w:eastAsia="Calibri"/>
        </w:rPr>
        <w:t>into eight community languages.</w:t>
      </w:r>
      <w:r w:rsidR="00D26B57" w:rsidRPr="00DC1B19">
        <w:rPr>
          <w:rStyle w:val="StyleBodyCalibri12pt"/>
          <w:rFonts w:eastAsia="Calibri"/>
        </w:rPr>
        <w:t xml:space="preserve"> </w:t>
      </w:r>
      <w:r w:rsidRPr="00DC1B19">
        <w:rPr>
          <w:rStyle w:val="StyleBodyCalibri12pt"/>
          <w:rFonts w:eastAsia="Calibri"/>
        </w:rPr>
        <w:t>These booklets are part of a training package to assist newly arrived refugees to understand how human rights conventions are applied in Australia and what they mean to family life.</w:t>
      </w:r>
      <w:r w:rsidR="003552BB" w:rsidRPr="00323D87">
        <w:rPr>
          <w:rFonts w:asciiTheme="minorHAnsi" w:eastAsia="Calibri" w:hAnsiTheme="minorHAnsi" w:cs="Arial"/>
          <w:color w:val="FF0000"/>
          <w:sz w:val="24"/>
          <w:szCs w:val="24"/>
          <w:lang w:eastAsia="en-US"/>
        </w:rPr>
        <w:t xml:space="preserve"> </w:t>
      </w:r>
      <w:r w:rsidR="005D529D" w:rsidRPr="00DC1B19">
        <w:rPr>
          <w:rStyle w:val="StyleBodyCalibri12pt"/>
          <w:rFonts w:eastAsia="Calibri"/>
        </w:rPr>
        <w:t xml:space="preserve">Once completed, these booklets will be available </w:t>
      </w:r>
      <w:r w:rsidR="008D287F">
        <w:rPr>
          <w:rStyle w:val="StyleBodyCalibri12pt"/>
          <w:rFonts w:eastAsia="Calibri"/>
        </w:rPr>
        <w:t xml:space="preserve">at </w:t>
      </w:r>
      <w:r w:rsidR="005D529D" w:rsidRPr="00DC1B19">
        <w:rPr>
          <w:rStyle w:val="StyleBodyCalibri12pt"/>
          <w:rFonts w:eastAsia="Calibri"/>
        </w:rPr>
        <w:t xml:space="preserve">websites of the </w:t>
      </w:r>
      <w:hyperlink r:id="rId23" w:history="1">
        <w:r w:rsidR="00202252">
          <w:rPr>
            <w:rStyle w:val="Hyperlink"/>
            <w:rFonts w:asciiTheme="minorHAnsi" w:eastAsia="Calibri" w:hAnsiTheme="minorHAnsi" w:cs="Arial"/>
            <w:sz w:val="24"/>
            <w:szCs w:val="24"/>
            <w:lang w:eastAsia="en-US"/>
          </w:rPr>
          <w:t>Centre for Refugee Research</w:t>
        </w:r>
      </w:hyperlink>
      <w:r w:rsidR="008D287F">
        <w:rPr>
          <w:rStyle w:val="Hyperlink"/>
          <w:rFonts w:asciiTheme="minorHAnsi" w:eastAsia="Calibri" w:hAnsiTheme="minorHAnsi" w:cs="Arial"/>
          <w:sz w:val="24"/>
          <w:szCs w:val="24"/>
          <w:lang w:eastAsia="en-US"/>
        </w:rPr>
        <w:t xml:space="preserve"> </w:t>
      </w:r>
      <w:r w:rsidR="005D529D" w:rsidRPr="00DC1B19">
        <w:rPr>
          <w:rStyle w:val="StyleBodyCalibri12pt"/>
          <w:rFonts w:eastAsia="Calibri"/>
        </w:rPr>
        <w:t xml:space="preserve">and the </w:t>
      </w:r>
      <w:hyperlink r:id="rId24" w:history="1">
        <w:r w:rsidR="008D287F">
          <w:rPr>
            <w:rStyle w:val="Hyperlink"/>
            <w:rFonts w:asciiTheme="minorHAnsi" w:eastAsia="Calibri" w:hAnsiTheme="minorHAnsi" w:cs="Arial"/>
            <w:sz w:val="24"/>
            <w:szCs w:val="24"/>
            <w:lang w:eastAsia="en-US"/>
          </w:rPr>
          <w:t xml:space="preserve">Australian </w:t>
        </w:r>
        <w:proofErr w:type="spellStart"/>
        <w:r w:rsidR="008D287F">
          <w:rPr>
            <w:rStyle w:val="Hyperlink"/>
            <w:rFonts w:asciiTheme="minorHAnsi" w:eastAsia="Calibri" w:hAnsiTheme="minorHAnsi" w:cs="Arial"/>
            <w:sz w:val="24"/>
            <w:szCs w:val="24"/>
            <w:lang w:eastAsia="en-US"/>
          </w:rPr>
          <w:t>Multiultural</w:t>
        </w:r>
        <w:proofErr w:type="spellEnd"/>
        <w:r w:rsidR="008D287F">
          <w:rPr>
            <w:rStyle w:val="Hyperlink"/>
            <w:rFonts w:asciiTheme="minorHAnsi" w:eastAsia="Calibri" w:hAnsiTheme="minorHAnsi" w:cs="Arial"/>
            <w:sz w:val="24"/>
            <w:szCs w:val="24"/>
            <w:lang w:eastAsia="en-US"/>
          </w:rPr>
          <w:t xml:space="preserve"> Education Services</w:t>
        </w:r>
      </w:hyperlink>
      <w:r w:rsidR="005D529D" w:rsidRPr="00DC1B19">
        <w:rPr>
          <w:rStyle w:val="StyleBodyCalibri12pt"/>
          <w:rFonts w:eastAsia="Calibri"/>
        </w:rPr>
        <w:t>.</w:t>
      </w:r>
    </w:p>
    <w:p w:rsidR="006C1A5D" w:rsidRPr="00DC1B19" w:rsidRDefault="006C1A5D" w:rsidP="003552BB">
      <w:pPr>
        <w:rPr>
          <w:rStyle w:val="StyleBodyCalibri12pt"/>
          <w:rFonts w:eastAsia="Calibri"/>
        </w:rPr>
      </w:pPr>
    </w:p>
    <w:p w:rsidR="00DB404C" w:rsidRPr="00DC1B19" w:rsidRDefault="001365FC" w:rsidP="005E67E8">
      <w:pPr>
        <w:rPr>
          <w:rStyle w:val="StyleBodyCalibri12pt"/>
          <w:rFonts w:eastAsia="Calibri"/>
        </w:rPr>
      </w:pPr>
      <w:r w:rsidRPr="00DC1B19">
        <w:rPr>
          <w:rStyle w:val="StyleBodyCalibri12pt"/>
          <w:rFonts w:eastAsia="Calibri"/>
        </w:rPr>
        <w:t>The Coalition is working closely with the non-government</w:t>
      </w:r>
      <w:r w:rsidR="00DB404C" w:rsidRPr="00DC1B19">
        <w:rPr>
          <w:rStyle w:val="StyleBodyCalibri12pt"/>
          <w:rFonts w:eastAsia="Calibri"/>
        </w:rPr>
        <w:t>,</w:t>
      </w:r>
      <w:r w:rsidRPr="00DC1B19">
        <w:rPr>
          <w:rStyle w:val="StyleBodyCalibri12pt"/>
          <w:rFonts w:eastAsia="Calibri"/>
        </w:rPr>
        <w:t xml:space="preserve"> community </w:t>
      </w:r>
      <w:r w:rsidR="00DB404C" w:rsidRPr="00DC1B19">
        <w:rPr>
          <w:rStyle w:val="StyleBodyCalibri12pt"/>
          <w:rFonts w:eastAsia="Calibri"/>
        </w:rPr>
        <w:t xml:space="preserve">and research </w:t>
      </w:r>
      <w:r w:rsidRPr="00DC1B19">
        <w:rPr>
          <w:rStyle w:val="StyleBodyCalibri12pt"/>
          <w:rFonts w:eastAsia="Calibri"/>
        </w:rPr>
        <w:t>sectors to encourage greater community awareness, support and action to ensure that protecting Australia’s children is truly everyone’s business.</w:t>
      </w:r>
      <w:r w:rsidR="00D26B57" w:rsidRPr="00DC1B19">
        <w:rPr>
          <w:rStyle w:val="StyleBodyCalibri12pt"/>
          <w:rFonts w:eastAsia="Calibri"/>
        </w:rPr>
        <w:t xml:space="preserve"> </w:t>
      </w:r>
      <w:r w:rsidR="00DB404C" w:rsidRPr="00DC1B19">
        <w:rPr>
          <w:rStyle w:val="StyleBodyCalibri12pt"/>
          <w:rFonts w:eastAsia="Calibri"/>
        </w:rPr>
        <w:t>On behalf of t</w:t>
      </w:r>
      <w:r w:rsidRPr="00DC1B19">
        <w:rPr>
          <w:rStyle w:val="StyleBodyCalibri12pt"/>
          <w:rFonts w:eastAsia="Calibri"/>
        </w:rPr>
        <w:t>he Coalition</w:t>
      </w:r>
      <w:r w:rsidR="00DB404C" w:rsidRPr="00DC1B19">
        <w:rPr>
          <w:rStyle w:val="StyleBodyCalibri12pt"/>
          <w:rFonts w:eastAsia="Calibri"/>
        </w:rPr>
        <w:t xml:space="preserve">, Families Australia and the </w:t>
      </w:r>
      <w:r w:rsidR="00631492" w:rsidRPr="00DC1B19">
        <w:rPr>
          <w:rStyle w:val="StyleBodyCalibri12pt"/>
          <w:rFonts w:eastAsia="Calibri"/>
        </w:rPr>
        <w:t xml:space="preserve">ACCP </w:t>
      </w:r>
      <w:r w:rsidR="00853C61" w:rsidRPr="00DC1B19">
        <w:rPr>
          <w:rStyle w:val="StyleBodyCalibri12pt"/>
          <w:rFonts w:eastAsia="Calibri"/>
        </w:rPr>
        <w:t xml:space="preserve">are planning to </w:t>
      </w:r>
      <w:r w:rsidR="009A5060" w:rsidRPr="00DC1B19">
        <w:rPr>
          <w:rStyle w:val="StyleBodyCalibri12pt"/>
          <w:rFonts w:eastAsia="Calibri"/>
        </w:rPr>
        <w:t>collaborate</w:t>
      </w:r>
      <w:r w:rsidRPr="00DC1B19">
        <w:rPr>
          <w:rStyle w:val="StyleBodyCalibri12pt"/>
          <w:rFonts w:eastAsia="Calibri"/>
        </w:rPr>
        <w:t xml:space="preserve"> with </w:t>
      </w:r>
      <w:r w:rsidR="00DB404C" w:rsidRPr="00DC1B19">
        <w:rPr>
          <w:rStyle w:val="StyleBodyCalibri12pt"/>
          <w:rFonts w:eastAsia="Calibri"/>
        </w:rPr>
        <w:t xml:space="preserve">a range of </w:t>
      </w:r>
      <w:r w:rsidR="00DA385A" w:rsidRPr="00DC1B19">
        <w:rPr>
          <w:rStyle w:val="StyleBodyCalibri12pt"/>
          <w:rFonts w:eastAsia="Calibri"/>
        </w:rPr>
        <w:t>community</w:t>
      </w:r>
      <w:r w:rsidR="00DB404C" w:rsidRPr="00DC1B19">
        <w:rPr>
          <w:rStyle w:val="StyleBodyCalibri12pt"/>
          <w:rFonts w:eastAsia="Calibri"/>
        </w:rPr>
        <w:t xml:space="preserve"> organisations, academics</w:t>
      </w:r>
      <w:r w:rsidRPr="00DC1B19">
        <w:rPr>
          <w:rStyle w:val="StyleBodyCalibri12pt"/>
          <w:rFonts w:eastAsia="Calibri"/>
        </w:rPr>
        <w:t xml:space="preserve"> and </w:t>
      </w:r>
      <w:r w:rsidR="00DB404C" w:rsidRPr="00DC1B19">
        <w:rPr>
          <w:rStyle w:val="StyleBodyCalibri12pt"/>
          <w:rFonts w:eastAsia="Calibri"/>
        </w:rPr>
        <w:t xml:space="preserve">local </w:t>
      </w:r>
      <w:r w:rsidRPr="00DC1B19">
        <w:rPr>
          <w:rStyle w:val="StyleBodyCalibri12pt"/>
          <w:rFonts w:eastAsia="Calibri"/>
        </w:rPr>
        <w:t>communit</w:t>
      </w:r>
      <w:r w:rsidR="00DB404C" w:rsidRPr="00DC1B19">
        <w:rPr>
          <w:rStyle w:val="StyleBodyCalibri12pt"/>
          <w:rFonts w:eastAsia="Calibri"/>
        </w:rPr>
        <w:t>ies across the country</w:t>
      </w:r>
      <w:r w:rsidR="00853C61" w:rsidRPr="00DC1B19">
        <w:rPr>
          <w:rStyle w:val="StyleBodyCalibri12pt"/>
          <w:rFonts w:eastAsia="Calibri"/>
        </w:rPr>
        <w:t xml:space="preserve"> to deliver additional Child Aware initiatives. Through these </w:t>
      </w:r>
      <w:r w:rsidR="00FD0355" w:rsidRPr="00DC1B19">
        <w:rPr>
          <w:rStyle w:val="StyleBodyCalibri12pt"/>
          <w:rFonts w:eastAsia="Calibri"/>
        </w:rPr>
        <w:t>initiatives</w:t>
      </w:r>
      <w:r w:rsidR="00853C61" w:rsidRPr="00DC1B19">
        <w:rPr>
          <w:rStyle w:val="StyleBodyCalibri12pt"/>
          <w:rFonts w:eastAsia="Calibri"/>
        </w:rPr>
        <w:t>, organisations, academics and local communities and businesses</w:t>
      </w:r>
      <w:r w:rsidRPr="00DC1B19">
        <w:rPr>
          <w:rStyle w:val="StyleBodyCalibri12pt"/>
          <w:rFonts w:eastAsia="Calibri"/>
        </w:rPr>
        <w:t xml:space="preserve"> </w:t>
      </w:r>
      <w:r w:rsidR="00853C61" w:rsidRPr="00DC1B19">
        <w:rPr>
          <w:rStyle w:val="StyleBodyCalibri12pt"/>
          <w:rFonts w:eastAsia="Calibri"/>
        </w:rPr>
        <w:t xml:space="preserve">will be asked </w:t>
      </w:r>
      <w:r w:rsidR="00DB404C" w:rsidRPr="00DC1B19">
        <w:rPr>
          <w:rStyle w:val="StyleBodyCalibri12pt"/>
          <w:rFonts w:eastAsia="Calibri"/>
        </w:rPr>
        <w:t xml:space="preserve">to think, act and promote </w:t>
      </w:r>
      <w:r w:rsidR="006D0C2C" w:rsidRPr="00DC1B19">
        <w:rPr>
          <w:rStyle w:val="StyleBodyCalibri12pt"/>
          <w:rFonts w:eastAsia="Calibri"/>
        </w:rPr>
        <w:t>Child Aware</w:t>
      </w:r>
      <w:r w:rsidR="00DB404C" w:rsidRPr="00DC1B19">
        <w:rPr>
          <w:rStyle w:val="StyleBodyCalibri12pt"/>
          <w:rFonts w:eastAsia="Calibri"/>
        </w:rPr>
        <w:t>.</w:t>
      </w:r>
      <w:r w:rsidR="00A43557" w:rsidRPr="00DC1B19">
        <w:rPr>
          <w:rStyle w:val="StyleBodyCalibri12pt"/>
          <w:rFonts w:eastAsia="Calibri"/>
        </w:rPr>
        <w:t xml:space="preserve"> </w:t>
      </w:r>
      <w:r w:rsidR="00DB404C" w:rsidRPr="00DC1B19">
        <w:rPr>
          <w:rStyle w:val="StyleBodyCalibri12pt"/>
          <w:rFonts w:eastAsia="Calibri"/>
        </w:rPr>
        <w:t xml:space="preserve">The Coalition envisages that new </w:t>
      </w:r>
      <w:r w:rsidR="00DA385A" w:rsidRPr="00DC1B19">
        <w:rPr>
          <w:rStyle w:val="StyleBodyCalibri12pt"/>
          <w:rFonts w:eastAsia="Calibri"/>
        </w:rPr>
        <w:t>Child Aware</w:t>
      </w:r>
      <w:r w:rsidR="00DB404C" w:rsidRPr="00DC1B19">
        <w:rPr>
          <w:rStyle w:val="StyleBodyCalibri12pt"/>
          <w:rFonts w:eastAsia="Calibri"/>
        </w:rPr>
        <w:t xml:space="preserve"> projects will enable local communities and organisations to tap into and actively promote child wellbeing and safety</w:t>
      </w:r>
      <w:r w:rsidR="009F68DF" w:rsidRPr="00DC1B19">
        <w:rPr>
          <w:rStyle w:val="StyleBodyCalibri12pt"/>
          <w:rFonts w:eastAsia="Calibri"/>
        </w:rPr>
        <w:t>,</w:t>
      </w:r>
      <w:r w:rsidR="00DB404C" w:rsidRPr="00DC1B19">
        <w:rPr>
          <w:rStyle w:val="StyleBodyCalibri12pt"/>
          <w:rFonts w:eastAsia="Calibri"/>
        </w:rPr>
        <w:t xml:space="preserve"> building on and reinforcing the groundswell of interest in </w:t>
      </w:r>
      <w:r w:rsidR="0016379C" w:rsidRPr="00DC1B19">
        <w:rPr>
          <w:rStyle w:val="StyleBodyCalibri12pt"/>
          <w:rFonts w:eastAsia="Calibri"/>
        </w:rPr>
        <w:t>Child Aware initiatives</w:t>
      </w:r>
      <w:r w:rsidR="00853C61" w:rsidRPr="00DC1B19">
        <w:rPr>
          <w:rStyle w:val="StyleBodyCalibri12pt"/>
          <w:rFonts w:eastAsia="Calibri"/>
        </w:rPr>
        <w:t xml:space="preserve"> generated through the Child Aware Approaches funding round and conference discussed in Chapter </w:t>
      </w:r>
      <w:r w:rsidR="00850467" w:rsidRPr="00DC1B19">
        <w:rPr>
          <w:rStyle w:val="StyleBodyCalibri12pt"/>
          <w:rFonts w:eastAsia="Calibri"/>
        </w:rPr>
        <w:t>four</w:t>
      </w:r>
      <w:r w:rsidR="00DB404C" w:rsidRPr="00DC1B19">
        <w:rPr>
          <w:rStyle w:val="StyleBodyCalibri12pt"/>
          <w:rFonts w:eastAsia="Calibri"/>
        </w:rPr>
        <w:t>.</w:t>
      </w:r>
    </w:p>
    <w:p w:rsidR="00DB404C" w:rsidRPr="00DC1B19" w:rsidRDefault="00DB404C" w:rsidP="005E67E8">
      <w:pPr>
        <w:rPr>
          <w:rStyle w:val="StyleBodyCalibri12pt"/>
          <w:rFonts w:eastAsia="Calibri"/>
        </w:rPr>
      </w:pPr>
    </w:p>
    <w:p w:rsidR="005E67E8" w:rsidRPr="00DC1B19" w:rsidRDefault="003B40B3" w:rsidP="005E67E8">
      <w:pPr>
        <w:rPr>
          <w:rStyle w:val="StyleBodyCalibri12pt"/>
          <w:rFonts w:eastAsia="Calibri"/>
        </w:rPr>
      </w:pPr>
      <w:r w:rsidRPr="00DC1B19">
        <w:rPr>
          <w:rStyle w:val="StyleBodyCalibri12pt"/>
          <w:rFonts w:eastAsia="Calibri"/>
        </w:rPr>
        <w:t>As part of the Child Aware Approaches initiatives, the Coalition is taking the lead in exploring opportunities to recognise and promote outstanding work in child protection, early intervention and targeted services.</w:t>
      </w:r>
      <w:r w:rsidR="00CF7ADC" w:rsidRPr="00CF7ADC">
        <w:rPr>
          <w:rFonts w:asciiTheme="minorHAnsi" w:eastAsia="Calibri" w:hAnsiTheme="minorHAnsi" w:cs="Arial"/>
          <w:color w:val="FF0000"/>
          <w:sz w:val="24"/>
          <w:szCs w:val="24"/>
          <w:lang w:eastAsia="en-US"/>
        </w:rPr>
        <w:br/>
      </w:r>
    </w:p>
    <w:p w:rsidR="000D199E" w:rsidRPr="00DC1B19" w:rsidRDefault="005F6349" w:rsidP="00671C20">
      <w:pPr>
        <w:rPr>
          <w:rStyle w:val="StyleBodyCalibri12pt"/>
          <w:rFonts w:eastAsia="Calibri"/>
        </w:rPr>
      </w:pPr>
      <w:r w:rsidRPr="00DC1B19">
        <w:rPr>
          <w:rStyle w:val="StyleBodyCalibri12pt"/>
          <w:rFonts w:eastAsia="Calibri"/>
        </w:rPr>
        <w:t xml:space="preserve">The Coalition is </w:t>
      </w:r>
      <w:r w:rsidR="005E67E8" w:rsidRPr="00DC1B19">
        <w:rPr>
          <w:rStyle w:val="StyleBodyCalibri12pt"/>
          <w:rFonts w:eastAsia="Calibri"/>
        </w:rPr>
        <w:t xml:space="preserve">also </w:t>
      </w:r>
      <w:r w:rsidRPr="00DC1B19">
        <w:rPr>
          <w:rStyle w:val="StyleBodyCalibri12pt"/>
          <w:rFonts w:eastAsia="Calibri"/>
        </w:rPr>
        <w:t>exploring opportunities to engage business and the corporate sector in the protection and wellbeing of children</w:t>
      </w:r>
      <w:r w:rsidR="005E67E8" w:rsidRPr="00DC1B19">
        <w:rPr>
          <w:rStyle w:val="StyleBodyCalibri12pt"/>
          <w:rFonts w:eastAsia="Calibri"/>
        </w:rPr>
        <w:t>, aiming to</w:t>
      </w:r>
      <w:r w:rsidRPr="00DC1B19">
        <w:rPr>
          <w:rStyle w:val="StyleBodyCalibri12pt"/>
          <w:rFonts w:eastAsia="Calibri"/>
        </w:rPr>
        <w:t xml:space="preserve"> </w:t>
      </w:r>
      <w:r w:rsidR="009F68DF" w:rsidRPr="00DC1B19">
        <w:rPr>
          <w:rStyle w:val="StyleBodyCalibri12pt"/>
          <w:rFonts w:eastAsia="Calibri"/>
        </w:rPr>
        <w:t xml:space="preserve">involve </w:t>
      </w:r>
      <w:r w:rsidRPr="00DC1B19">
        <w:rPr>
          <w:rStyle w:val="StyleBodyCalibri12pt"/>
          <w:rFonts w:eastAsia="Calibri"/>
        </w:rPr>
        <w:t xml:space="preserve">business in the development and implementation of Child Aware Local Communities and Child Aware Organisations. </w:t>
      </w:r>
    </w:p>
    <w:p w:rsidR="008711BC" w:rsidRDefault="008711BC" w:rsidP="00671C20">
      <w:pPr>
        <w:rPr>
          <w:rFonts w:ascii="Calibri" w:hAnsi="Calibri" w:cs="Calibri"/>
          <w:sz w:val="24"/>
          <w:szCs w:val="24"/>
        </w:rPr>
      </w:pPr>
    </w:p>
    <w:p w:rsidR="001365FC" w:rsidRDefault="001365FC" w:rsidP="00671C20">
      <w:pPr>
        <w:rPr>
          <w:rFonts w:ascii="Calibri" w:hAnsi="Calibri" w:cs="Calibri"/>
          <w:sz w:val="24"/>
          <w:szCs w:val="24"/>
        </w:rPr>
      </w:pPr>
      <w:r w:rsidRPr="001365FC">
        <w:rPr>
          <w:rFonts w:ascii="Calibri" w:hAnsi="Calibri" w:cs="Calibri"/>
          <w:sz w:val="24"/>
          <w:szCs w:val="24"/>
        </w:rPr>
        <w:t xml:space="preserve">The </w:t>
      </w:r>
      <w:r w:rsidR="008B0F1D">
        <w:rPr>
          <w:rFonts w:ascii="Calibri" w:hAnsi="Calibri" w:cs="Calibri"/>
          <w:sz w:val="24"/>
          <w:szCs w:val="24"/>
        </w:rPr>
        <w:t>Australian Government</w:t>
      </w:r>
      <w:r w:rsidR="008B0F1D" w:rsidRPr="001365FC">
        <w:rPr>
          <w:rFonts w:ascii="Calibri" w:hAnsi="Calibri" w:cs="Calibri"/>
          <w:sz w:val="24"/>
          <w:szCs w:val="24"/>
        </w:rPr>
        <w:t xml:space="preserve"> </w:t>
      </w:r>
      <w:r w:rsidRPr="001365FC">
        <w:rPr>
          <w:rFonts w:ascii="Calibri" w:hAnsi="Calibri" w:cs="Calibri"/>
          <w:sz w:val="24"/>
          <w:szCs w:val="24"/>
        </w:rPr>
        <w:t xml:space="preserve">continues to support </w:t>
      </w:r>
      <w:r w:rsidR="00C033C8">
        <w:rPr>
          <w:rFonts w:ascii="Calibri" w:hAnsi="Calibri" w:cs="Calibri"/>
          <w:sz w:val="24"/>
          <w:szCs w:val="24"/>
        </w:rPr>
        <w:t xml:space="preserve">NAPCAN </w:t>
      </w:r>
      <w:r w:rsidRPr="001365FC">
        <w:rPr>
          <w:rFonts w:ascii="Calibri" w:hAnsi="Calibri" w:cs="Calibri"/>
          <w:sz w:val="24"/>
          <w:szCs w:val="24"/>
        </w:rPr>
        <w:t>to deliver National Child Protection Week</w:t>
      </w:r>
      <w:r w:rsidR="008B0F1D">
        <w:rPr>
          <w:rFonts w:ascii="Calibri" w:hAnsi="Calibri" w:cs="Calibri"/>
          <w:sz w:val="24"/>
          <w:szCs w:val="24"/>
        </w:rPr>
        <w:t>,</w:t>
      </w:r>
      <w:r w:rsidRPr="001365FC">
        <w:rPr>
          <w:rFonts w:ascii="Calibri" w:hAnsi="Calibri" w:cs="Calibri"/>
          <w:sz w:val="24"/>
          <w:szCs w:val="24"/>
        </w:rPr>
        <w:t xml:space="preserve"> </w:t>
      </w:r>
      <w:r w:rsidR="008B0F1D">
        <w:rPr>
          <w:rFonts w:ascii="Calibri" w:hAnsi="Calibri" w:cs="Calibri"/>
          <w:sz w:val="24"/>
          <w:szCs w:val="24"/>
        </w:rPr>
        <w:t xml:space="preserve">in order </w:t>
      </w:r>
      <w:r w:rsidRPr="001365FC">
        <w:rPr>
          <w:rFonts w:ascii="Calibri" w:hAnsi="Calibri" w:cs="Calibri"/>
          <w:sz w:val="24"/>
          <w:szCs w:val="24"/>
        </w:rPr>
        <w:t>to increase awareness and understanding of the importance of primary prevention in dealing with the challenges of child abuse and neglect in Australia.</w:t>
      </w:r>
    </w:p>
    <w:p w:rsidR="00671C20" w:rsidRPr="001365FC" w:rsidRDefault="00671C20" w:rsidP="00671C20">
      <w:pPr>
        <w:rPr>
          <w:rFonts w:ascii="Calibri" w:hAnsi="Calibri" w:cs="Calibri"/>
          <w:sz w:val="24"/>
          <w:szCs w:val="24"/>
        </w:rPr>
      </w:pPr>
    </w:p>
    <w:p w:rsidR="001365FC" w:rsidRDefault="001365FC" w:rsidP="001365FC">
      <w:pPr>
        <w:rPr>
          <w:rFonts w:ascii="Calibri" w:hAnsi="Calibri" w:cs="Calibri"/>
          <w:sz w:val="24"/>
          <w:szCs w:val="24"/>
        </w:rPr>
      </w:pPr>
      <w:r w:rsidRPr="001365FC">
        <w:rPr>
          <w:rFonts w:ascii="Calibri" w:hAnsi="Calibri" w:cs="Calibri"/>
          <w:sz w:val="24"/>
          <w:szCs w:val="24"/>
        </w:rPr>
        <w:t>As part of National Child Protection Weeks in September 2013 and 2014, NAPCAN will present ‘Play Your Part Awards for Outstanding Prevention</w:t>
      </w:r>
      <w:r w:rsidR="008B0F1D">
        <w:rPr>
          <w:rFonts w:ascii="Calibri" w:hAnsi="Calibri" w:cs="Calibri"/>
          <w:sz w:val="24"/>
          <w:szCs w:val="24"/>
        </w:rPr>
        <w:t xml:space="preserve"> Initiative</w:t>
      </w:r>
      <w:r w:rsidRPr="001365FC">
        <w:rPr>
          <w:rFonts w:ascii="Calibri" w:hAnsi="Calibri" w:cs="Calibri"/>
          <w:sz w:val="24"/>
          <w:szCs w:val="24"/>
        </w:rPr>
        <w:t xml:space="preserve">’ to recipients across Australia to recognise individuals, communities and organisations </w:t>
      </w:r>
      <w:r w:rsidR="008B0F1D">
        <w:rPr>
          <w:rFonts w:ascii="Calibri" w:hAnsi="Calibri" w:cs="Calibri"/>
          <w:sz w:val="24"/>
          <w:szCs w:val="24"/>
        </w:rPr>
        <w:t>who</w:t>
      </w:r>
      <w:r w:rsidR="008B0F1D" w:rsidRPr="001365FC">
        <w:rPr>
          <w:rFonts w:ascii="Calibri" w:hAnsi="Calibri" w:cs="Calibri"/>
          <w:sz w:val="24"/>
          <w:szCs w:val="24"/>
        </w:rPr>
        <w:t xml:space="preserve"> </w:t>
      </w:r>
      <w:r w:rsidRPr="001365FC">
        <w:rPr>
          <w:rFonts w:ascii="Calibri" w:hAnsi="Calibri" w:cs="Calibri"/>
          <w:sz w:val="24"/>
          <w:szCs w:val="24"/>
        </w:rPr>
        <w:t>have played their part in creating safer communities for children and young people.</w:t>
      </w:r>
      <w:r w:rsidR="00D26B57">
        <w:rPr>
          <w:rFonts w:ascii="Calibri" w:hAnsi="Calibri" w:cs="Calibri"/>
          <w:sz w:val="24"/>
          <w:szCs w:val="24"/>
        </w:rPr>
        <w:t xml:space="preserve"> </w:t>
      </w:r>
      <w:r w:rsidRPr="001365FC">
        <w:rPr>
          <w:rFonts w:ascii="Calibri" w:hAnsi="Calibri" w:cs="Calibri"/>
          <w:sz w:val="24"/>
          <w:szCs w:val="24"/>
        </w:rPr>
        <w:t>These awards build an honour roll to showcase exemplary and successful initiatives that contribute to preventing child abuse and neglect.</w:t>
      </w:r>
    </w:p>
    <w:p w:rsidR="005F6349" w:rsidRDefault="005F6349" w:rsidP="00DB5004">
      <w:pPr>
        <w:rPr>
          <w:rFonts w:ascii="Calibri" w:hAnsi="Calibri" w:cs="Calibri"/>
          <w:sz w:val="24"/>
          <w:szCs w:val="24"/>
        </w:rPr>
      </w:pPr>
    </w:p>
    <w:p w:rsidR="001365FC" w:rsidRDefault="005F6349" w:rsidP="00DB5004">
      <w:pPr>
        <w:rPr>
          <w:rFonts w:ascii="Calibri" w:hAnsi="Calibri" w:cs="Calibri"/>
          <w:sz w:val="24"/>
          <w:szCs w:val="24"/>
        </w:rPr>
      </w:pPr>
      <w:r w:rsidRPr="005F6349">
        <w:rPr>
          <w:rFonts w:ascii="Calibri" w:hAnsi="Calibri" w:cs="Calibri"/>
          <w:sz w:val="24"/>
          <w:szCs w:val="24"/>
        </w:rPr>
        <w:t>The Australian Government is also developing a Communication Plan for the Second Action Plan</w:t>
      </w:r>
      <w:r w:rsidR="00B174AA">
        <w:rPr>
          <w:rFonts w:ascii="Calibri" w:hAnsi="Calibri" w:cs="Calibri"/>
          <w:sz w:val="24"/>
          <w:szCs w:val="24"/>
        </w:rPr>
        <w:t>,</w:t>
      </w:r>
      <w:r w:rsidRPr="005F6349">
        <w:rPr>
          <w:rFonts w:ascii="Calibri" w:hAnsi="Calibri" w:cs="Calibri"/>
          <w:sz w:val="24"/>
          <w:szCs w:val="24"/>
        </w:rPr>
        <w:t xml:space="preserve"> in consultation with states</w:t>
      </w:r>
      <w:r w:rsidR="008A50D1">
        <w:rPr>
          <w:rFonts w:ascii="Calibri" w:hAnsi="Calibri" w:cs="Calibri"/>
          <w:sz w:val="24"/>
          <w:szCs w:val="24"/>
        </w:rPr>
        <w:t>,</w:t>
      </w:r>
      <w:r w:rsidRPr="005F6349">
        <w:rPr>
          <w:rFonts w:ascii="Calibri" w:hAnsi="Calibri" w:cs="Calibri"/>
          <w:sz w:val="24"/>
          <w:szCs w:val="24"/>
        </w:rPr>
        <w:t xml:space="preserve"> territories</w:t>
      </w:r>
      <w:r w:rsidR="008A50D1">
        <w:rPr>
          <w:rFonts w:ascii="Calibri" w:hAnsi="Calibri" w:cs="Calibri"/>
          <w:sz w:val="24"/>
          <w:szCs w:val="24"/>
        </w:rPr>
        <w:t xml:space="preserve"> and the Coalition</w:t>
      </w:r>
      <w:r w:rsidRPr="005F6349">
        <w:rPr>
          <w:rFonts w:ascii="Calibri" w:hAnsi="Calibri" w:cs="Calibri"/>
          <w:sz w:val="24"/>
          <w:szCs w:val="24"/>
        </w:rPr>
        <w:t>. The Communication Plan will provide stakeholders with a consistent and coordinated communication approach to promote the goals, actions and key messages of the National Framework and the Second Action Plan more broadly across the community. The community and business sectors are key target groups in the Communication Plan.</w:t>
      </w:r>
    </w:p>
    <w:p w:rsidR="008A50D1" w:rsidRDefault="008A50D1" w:rsidP="00DB5004">
      <w:pPr>
        <w:rPr>
          <w:rFonts w:ascii="Calibri" w:hAnsi="Calibri" w:cs="Calibri"/>
          <w:sz w:val="24"/>
          <w:szCs w:val="24"/>
        </w:rPr>
      </w:pPr>
    </w:p>
    <w:p w:rsidR="008A50D1" w:rsidRDefault="008A50D1" w:rsidP="00DB5004">
      <w:pPr>
        <w:rPr>
          <w:rFonts w:ascii="Calibri" w:hAnsi="Calibri" w:cs="Calibri"/>
          <w:sz w:val="24"/>
          <w:szCs w:val="24"/>
        </w:rPr>
      </w:pPr>
      <w:r>
        <w:rPr>
          <w:rFonts w:ascii="Calibri" w:hAnsi="Calibri" w:cs="Calibri"/>
          <w:sz w:val="24"/>
          <w:szCs w:val="24"/>
        </w:rPr>
        <w:t xml:space="preserve">In addition to this work, </w:t>
      </w:r>
      <w:r w:rsidRPr="008A50D1">
        <w:rPr>
          <w:rFonts w:ascii="Calibri" w:hAnsi="Calibri" w:cs="Calibri"/>
          <w:sz w:val="24"/>
          <w:szCs w:val="24"/>
        </w:rPr>
        <w:t>a nation</w:t>
      </w:r>
      <w:r w:rsidR="00F84FAC">
        <w:rPr>
          <w:rFonts w:ascii="Calibri" w:hAnsi="Calibri" w:cs="Calibri"/>
          <w:sz w:val="24"/>
          <w:szCs w:val="24"/>
        </w:rPr>
        <w:t xml:space="preserve">al approach to media engagement will be developed </w:t>
      </w:r>
      <w:r w:rsidRPr="008A50D1">
        <w:rPr>
          <w:rFonts w:ascii="Calibri" w:hAnsi="Calibri" w:cs="Calibri"/>
          <w:sz w:val="24"/>
          <w:szCs w:val="24"/>
        </w:rPr>
        <w:t xml:space="preserve">under the </w:t>
      </w:r>
      <w:r w:rsidRPr="006D0C2C">
        <w:rPr>
          <w:rFonts w:ascii="Calibri" w:hAnsi="Calibri" w:cs="Calibri"/>
          <w:i/>
          <w:sz w:val="24"/>
          <w:szCs w:val="24"/>
        </w:rPr>
        <w:t xml:space="preserve">National Plan to Reduce Violence against Women </w:t>
      </w:r>
      <w:r w:rsidR="00F84FAC" w:rsidRPr="006D0C2C">
        <w:rPr>
          <w:rFonts w:ascii="Calibri" w:hAnsi="Calibri" w:cs="Calibri"/>
          <w:i/>
          <w:sz w:val="24"/>
          <w:szCs w:val="24"/>
        </w:rPr>
        <w:t>and their Children 2010–2022</w:t>
      </w:r>
      <w:r w:rsidR="00F84FAC">
        <w:rPr>
          <w:rFonts w:ascii="Calibri" w:hAnsi="Calibri" w:cs="Calibri"/>
          <w:sz w:val="24"/>
          <w:szCs w:val="24"/>
        </w:rPr>
        <w:t>.</w:t>
      </w:r>
      <w:r w:rsidR="00A43557">
        <w:rPr>
          <w:rFonts w:ascii="Calibri" w:hAnsi="Calibri" w:cs="Calibri"/>
          <w:sz w:val="24"/>
          <w:szCs w:val="24"/>
        </w:rPr>
        <w:t xml:space="preserve"> </w:t>
      </w:r>
      <w:r w:rsidR="00F84FAC">
        <w:rPr>
          <w:rFonts w:ascii="Calibri" w:hAnsi="Calibri" w:cs="Calibri"/>
          <w:sz w:val="24"/>
          <w:szCs w:val="24"/>
        </w:rPr>
        <w:t>The purpose of this work is</w:t>
      </w:r>
      <w:r w:rsidRPr="008A50D1">
        <w:rPr>
          <w:rFonts w:ascii="Calibri" w:hAnsi="Calibri" w:cs="Calibri"/>
          <w:sz w:val="24"/>
          <w:szCs w:val="24"/>
        </w:rPr>
        <w:t xml:space="preserve"> to achieve appropriate reporting of child abuse and neglect an</w:t>
      </w:r>
      <w:r w:rsidR="00F84FAC">
        <w:rPr>
          <w:rFonts w:ascii="Calibri" w:hAnsi="Calibri" w:cs="Calibri"/>
          <w:sz w:val="24"/>
          <w:szCs w:val="24"/>
        </w:rPr>
        <w:t>d to promote positive messaging</w:t>
      </w:r>
      <w:r w:rsidRPr="008A50D1">
        <w:rPr>
          <w:rFonts w:ascii="Calibri" w:hAnsi="Calibri" w:cs="Calibri"/>
          <w:sz w:val="24"/>
          <w:szCs w:val="24"/>
        </w:rPr>
        <w:t xml:space="preserve"> around child </w:t>
      </w:r>
      <w:r w:rsidR="008711BC">
        <w:rPr>
          <w:rFonts w:ascii="Calibri" w:hAnsi="Calibri" w:cs="Calibri"/>
          <w:sz w:val="24"/>
          <w:szCs w:val="24"/>
        </w:rPr>
        <w:t>safety and wellbeing</w:t>
      </w:r>
      <w:r w:rsidRPr="008A50D1">
        <w:rPr>
          <w:rFonts w:ascii="Calibri" w:hAnsi="Calibri" w:cs="Calibri"/>
          <w:sz w:val="24"/>
          <w:szCs w:val="24"/>
        </w:rPr>
        <w:t>.</w:t>
      </w:r>
    </w:p>
    <w:p w:rsidR="00AC7977" w:rsidRDefault="000E71A9" w:rsidP="0068248F">
      <w:pPr>
        <w:pStyle w:val="Heading3"/>
      </w:pPr>
      <w:bookmarkStart w:id="90" w:name="_Toc400007701"/>
      <w:r w:rsidRPr="00821556">
        <w:t>Australian</w:t>
      </w:r>
      <w:r w:rsidR="00AC7977" w:rsidRPr="00821556">
        <w:t xml:space="preserve"> C</w:t>
      </w:r>
      <w:r w:rsidRPr="00821556">
        <w:t>apital</w:t>
      </w:r>
      <w:r w:rsidR="00AC7977" w:rsidRPr="00821556">
        <w:t xml:space="preserve"> T</w:t>
      </w:r>
      <w:r w:rsidRPr="00821556">
        <w:t>erritory</w:t>
      </w:r>
      <w:bookmarkEnd w:id="90"/>
    </w:p>
    <w:p w:rsidR="00856FA8" w:rsidRPr="00D92BEA" w:rsidRDefault="00D92BEA" w:rsidP="00D92BEA">
      <w:pPr>
        <w:pStyle w:val="Heading4"/>
        <w:rPr>
          <w:lang w:val="en-AU"/>
        </w:rPr>
      </w:pPr>
      <w:r>
        <w:t>Community and Business</w:t>
      </w:r>
    </w:p>
    <w:p w:rsidR="00404E0F" w:rsidRPr="00404E0F" w:rsidRDefault="00404E0F" w:rsidP="00404E0F">
      <w:pPr>
        <w:rPr>
          <w:rFonts w:ascii="Calibri" w:hAnsi="Calibri" w:cs="Calibri"/>
          <w:sz w:val="24"/>
          <w:szCs w:val="24"/>
        </w:rPr>
      </w:pPr>
      <w:r w:rsidRPr="00404E0F">
        <w:rPr>
          <w:rFonts w:ascii="Calibri" w:hAnsi="Calibri" w:cs="Calibri"/>
          <w:sz w:val="24"/>
          <w:szCs w:val="24"/>
        </w:rPr>
        <w:t xml:space="preserve">The ACT </w:t>
      </w:r>
      <w:r w:rsidR="002A614A">
        <w:rPr>
          <w:rFonts w:ascii="Calibri" w:hAnsi="Calibri" w:cs="Calibri"/>
          <w:sz w:val="24"/>
          <w:szCs w:val="24"/>
        </w:rPr>
        <w:t>Government is</w:t>
      </w:r>
      <w:r w:rsidRPr="00404E0F">
        <w:rPr>
          <w:rFonts w:ascii="Calibri" w:hAnsi="Calibri" w:cs="Calibri"/>
          <w:sz w:val="24"/>
          <w:szCs w:val="24"/>
        </w:rPr>
        <w:t xml:space="preserve"> committed to encouraging diversity and meeting the needs of all cultures within the community. </w:t>
      </w:r>
      <w:r w:rsidR="00C13D91">
        <w:rPr>
          <w:rFonts w:ascii="Calibri" w:hAnsi="Calibri" w:cs="Calibri"/>
          <w:sz w:val="24"/>
          <w:szCs w:val="24"/>
        </w:rPr>
        <w:t xml:space="preserve">Through </w:t>
      </w:r>
      <w:r w:rsidR="002A614A">
        <w:rPr>
          <w:rFonts w:ascii="Calibri" w:hAnsi="Calibri" w:cs="Calibri"/>
          <w:sz w:val="24"/>
          <w:szCs w:val="24"/>
        </w:rPr>
        <w:t xml:space="preserve">ACT </w:t>
      </w:r>
      <w:r w:rsidR="00533153">
        <w:rPr>
          <w:rFonts w:ascii="Calibri" w:hAnsi="Calibri" w:cs="Calibri"/>
          <w:sz w:val="24"/>
          <w:szCs w:val="24"/>
        </w:rPr>
        <w:t>CFC</w:t>
      </w:r>
      <w:r w:rsidR="002A614A">
        <w:rPr>
          <w:rFonts w:ascii="Calibri" w:hAnsi="Calibri" w:cs="Calibri"/>
          <w:sz w:val="24"/>
          <w:szCs w:val="24"/>
        </w:rPr>
        <w:t>s</w:t>
      </w:r>
      <w:r w:rsidR="00C13D91">
        <w:rPr>
          <w:rFonts w:ascii="Calibri" w:hAnsi="Calibri" w:cs="Calibri"/>
          <w:sz w:val="24"/>
          <w:szCs w:val="24"/>
        </w:rPr>
        <w:t>, it</w:t>
      </w:r>
      <w:r w:rsidRPr="00404E0F">
        <w:rPr>
          <w:rFonts w:ascii="Calibri" w:hAnsi="Calibri" w:cs="Calibri"/>
          <w:sz w:val="24"/>
          <w:szCs w:val="24"/>
        </w:rPr>
        <w:t xml:space="preserve"> facilitate</w:t>
      </w:r>
      <w:r w:rsidR="006D0C2C">
        <w:rPr>
          <w:rFonts w:ascii="Calibri" w:hAnsi="Calibri" w:cs="Calibri"/>
          <w:sz w:val="24"/>
          <w:szCs w:val="24"/>
        </w:rPr>
        <w:t>s</w:t>
      </w:r>
      <w:r w:rsidRPr="00404E0F">
        <w:rPr>
          <w:rFonts w:ascii="Calibri" w:hAnsi="Calibri" w:cs="Calibri"/>
          <w:sz w:val="24"/>
          <w:szCs w:val="24"/>
        </w:rPr>
        <w:t xml:space="preserve"> culture-specific groups</w:t>
      </w:r>
      <w:r w:rsidR="008B0F1D">
        <w:rPr>
          <w:rFonts w:ascii="Calibri" w:hAnsi="Calibri" w:cs="Calibri"/>
          <w:sz w:val="24"/>
          <w:szCs w:val="24"/>
        </w:rPr>
        <w:t>,</w:t>
      </w:r>
      <w:r w:rsidRPr="00404E0F">
        <w:rPr>
          <w:rFonts w:ascii="Calibri" w:hAnsi="Calibri" w:cs="Calibri"/>
          <w:sz w:val="24"/>
          <w:szCs w:val="24"/>
        </w:rPr>
        <w:t xml:space="preserve"> with the aim </w:t>
      </w:r>
      <w:r w:rsidR="008B0F1D">
        <w:rPr>
          <w:rFonts w:ascii="Calibri" w:hAnsi="Calibri" w:cs="Calibri"/>
          <w:sz w:val="24"/>
          <w:szCs w:val="24"/>
        </w:rPr>
        <w:t>of</w:t>
      </w:r>
      <w:r w:rsidR="008B0F1D" w:rsidRPr="00404E0F">
        <w:rPr>
          <w:rFonts w:ascii="Calibri" w:hAnsi="Calibri" w:cs="Calibri"/>
          <w:sz w:val="24"/>
          <w:szCs w:val="24"/>
        </w:rPr>
        <w:t xml:space="preserve"> </w:t>
      </w:r>
      <w:r w:rsidRPr="00404E0F">
        <w:rPr>
          <w:rFonts w:ascii="Calibri" w:hAnsi="Calibri" w:cs="Calibri"/>
          <w:sz w:val="24"/>
          <w:szCs w:val="24"/>
        </w:rPr>
        <w:t>assist</w:t>
      </w:r>
      <w:r w:rsidR="008B0F1D">
        <w:rPr>
          <w:rFonts w:ascii="Calibri" w:hAnsi="Calibri" w:cs="Calibri"/>
          <w:sz w:val="24"/>
          <w:szCs w:val="24"/>
        </w:rPr>
        <w:t>ing</w:t>
      </w:r>
      <w:r w:rsidRPr="00404E0F">
        <w:rPr>
          <w:rFonts w:ascii="Calibri" w:hAnsi="Calibri" w:cs="Calibri"/>
          <w:sz w:val="24"/>
          <w:szCs w:val="24"/>
        </w:rPr>
        <w:t xml:space="preserve"> multicultural families (with children in the birth</w:t>
      </w:r>
      <w:r w:rsidR="008B0F1D">
        <w:rPr>
          <w:rFonts w:ascii="Calibri" w:hAnsi="Calibri" w:cs="Calibri"/>
          <w:sz w:val="24"/>
          <w:szCs w:val="24"/>
        </w:rPr>
        <w:t xml:space="preserve"> to </w:t>
      </w:r>
      <w:r w:rsidRPr="00404E0F">
        <w:rPr>
          <w:rFonts w:ascii="Calibri" w:hAnsi="Calibri" w:cs="Calibri"/>
          <w:sz w:val="24"/>
          <w:szCs w:val="24"/>
        </w:rPr>
        <w:t xml:space="preserve">5 years age group) to settle into the community. Families are provided with information and access to a variety of support services as well as support in nurturing their child’s development through play. For example, the Gungahlin </w:t>
      </w:r>
      <w:r w:rsidR="00533153">
        <w:rPr>
          <w:rFonts w:ascii="Calibri" w:hAnsi="Calibri" w:cs="Calibri"/>
          <w:sz w:val="24"/>
          <w:szCs w:val="24"/>
        </w:rPr>
        <w:t>CFC</w:t>
      </w:r>
      <w:r w:rsidRPr="00404E0F">
        <w:rPr>
          <w:rFonts w:ascii="Calibri" w:hAnsi="Calibri" w:cs="Calibri"/>
          <w:sz w:val="24"/>
          <w:szCs w:val="24"/>
        </w:rPr>
        <w:t xml:space="preserve"> delivers parenting groups for the Mon and Karen Burmese communities and the </w:t>
      </w:r>
      <w:proofErr w:type="spellStart"/>
      <w:r w:rsidRPr="00404E0F">
        <w:rPr>
          <w:rFonts w:ascii="Calibri" w:hAnsi="Calibri" w:cs="Calibri"/>
          <w:sz w:val="24"/>
          <w:szCs w:val="24"/>
        </w:rPr>
        <w:t>Atfaal</w:t>
      </w:r>
      <w:proofErr w:type="spellEnd"/>
      <w:r w:rsidRPr="00404E0F">
        <w:rPr>
          <w:rFonts w:ascii="Calibri" w:hAnsi="Calibri" w:cs="Calibri"/>
          <w:sz w:val="24"/>
          <w:szCs w:val="24"/>
        </w:rPr>
        <w:t xml:space="preserve"> playgroup for Muslim families. The West Belconnen </w:t>
      </w:r>
      <w:r w:rsidR="00533153">
        <w:rPr>
          <w:rFonts w:ascii="Calibri" w:hAnsi="Calibri" w:cs="Calibri"/>
          <w:sz w:val="24"/>
          <w:szCs w:val="24"/>
        </w:rPr>
        <w:t>CFC</w:t>
      </w:r>
      <w:r w:rsidRPr="00404E0F">
        <w:rPr>
          <w:rFonts w:ascii="Calibri" w:hAnsi="Calibri" w:cs="Calibri"/>
          <w:sz w:val="24"/>
          <w:szCs w:val="24"/>
        </w:rPr>
        <w:t xml:space="preserve"> delivers parenting groups for the South Sudanese community</w:t>
      </w:r>
      <w:r w:rsidR="008B0F1D">
        <w:rPr>
          <w:rFonts w:ascii="Calibri" w:hAnsi="Calibri" w:cs="Calibri"/>
          <w:sz w:val="24"/>
          <w:szCs w:val="24"/>
        </w:rPr>
        <w:t>,</w:t>
      </w:r>
      <w:r w:rsidRPr="00404E0F">
        <w:rPr>
          <w:rFonts w:ascii="Calibri" w:hAnsi="Calibri" w:cs="Calibri"/>
          <w:sz w:val="24"/>
          <w:szCs w:val="24"/>
        </w:rPr>
        <w:t xml:space="preserve"> and the Tuggeranong </w:t>
      </w:r>
      <w:r w:rsidR="00533153">
        <w:rPr>
          <w:rFonts w:ascii="Calibri" w:hAnsi="Calibri" w:cs="Calibri"/>
          <w:sz w:val="24"/>
          <w:szCs w:val="24"/>
        </w:rPr>
        <w:t>CFC</w:t>
      </w:r>
      <w:r w:rsidRPr="00404E0F">
        <w:rPr>
          <w:rFonts w:ascii="Calibri" w:hAnsi="Calibri" w:cs="Calibri"/>
          <w:sz w:val="24"/>
          <w:szCs w:val="24"/>
        </w:rPr>
        <w:t xml:space="preserve"> delivers multicultural playgroups. </w:t>
      </w:r>
    </w:p>
    <w:p w:rsidR="00404E0F" w:rsidRPr="00404E0F" w:rsidRDefault="00404E0F" w:rsidP="00404E0F">
      <w:pPr>
        <w:rPr>
          <w:rFonts w:ascii="Calibri" w:hAnsi="Calibri" w:cs="Calibri"/>
          <w:sz w:val="24"/>
          <w:szCs w:val="24"/>
        </w:rPr>
      </w:pPr>
    </w:p>
    <w:p w:rsidR="00404E0F" w:rsidRDefault="00404E0F" w:rsidP="00404E0F">
      <w:pPr>
        <w:rPr>
          <w:rFonts w:ascii="Calibri" w:hAnsi="Calibri" w:cs="Calibri"/>
          <w:sz w:val="24"/>
          <w:szCs w:val="24"/>
        </w:rPr>
      </w:pPr>
      <w:r w:rsidRPr="00404E0F">
        <w:rPr>
          <w:rFonts w:ascii="Calibri" w:hAnsi="Calibri" w:cs="Calibri"/>
          <w:sz w:val="24"/>
          <w:szCs w:val="24"/>
        </w:rPr>
        <w:t xml:space="preserve">As part of the ACT Child, Youth and Family Services Program, </w:t>
      </w:r>
      <w:r w:rsidR="002C3200">
        <w:rPr>
          <w:rFonts w:ascii="Calibri" w:hAnsi="Calibri" w:cs="Calibri"/>
          <w:sz w:val="24"/>
          <w:szCs w:val="24"/>
        </w:rPr>
        <w:t>CALD</w:t>
      </w:r>
      <w:r w:rsidRPr="00404E0F">
        <w:rPr>
          <w:rFonts w:ascii="Calibri" w:hAnsi="Calibri" w:cs="Calibri"/>
          <w:sz w:val="24"/>
          <w:szCs w:val="24"/>
        </w:rPr>
        <w:t xml:space="preserve"> services are provided for people with a migrant or refugee background. The services aim to strengthen family and social relationships, address </w:t>
      </w:r>
      <w:r w:rsidR="00324D61">
        <w:rPr>
          <w:rFonts w:ascii="Calibri" w:hAnsi="Calibri" w:cs="Calibri"/>
          <w:sz w:val="24"/>
          <w:szCs w:val="24"/>
        </w:rPr>
        <w:t>intergenerational</w:t>
      </w:r>
      <w:r w:rsidR="00324D61" w:rsidRPr="00404E0F">
        <w:rPr>
          <w:rFonts w:ascii="Calibri" w:hAnsi="Calibri" w:cs="Calibri"/>
          <w:sz w:val="24"/>
          <w:szCs w:val="24"/>
        </w:rPr>
        <w:t xml:space="preserve"> </w:t>
      </w:r>
      <w:r w:rsidRPr="00404E0F">
        <w:rPr>
          <w:rFonts w:ascii="Calibri" w:hAnsi="Calibri" w:cs="Calibri"/>
          <w:sz w:val="24"/>
          <w:szCs w:val="24"/>
        </w:rPr>
        <w:t>conflict and promote engagement with mainstream services. Service providers use outreach models</w:t>
      </w:r>
      <w:r w:rsidR="008B0F1D">
        <w:rPr>
          <w:rFonts w:ascii="Calibri" w:hAnsi="Calibri" w:cs="Calibri"/>
          <w:sz w:val="24"/>
          <w:szCs w:val="24"/>
        </w:rPr>
        <w:t>,</w:t>
      </w:r>
      <w:r w:rsidRPr="00404E0F">
        <w:rPr>
          <w:rFonts w:ascii="Calibri" w:hAnsi="Calibri" w:cs="Calibri"/>
          <w:sz w:val="24"/>
          <w:szCs w:val="24"/>
        </w:rPr>
        <w:t xml:space="preserve"> including case management, therapeutic services and group programs. They also build strong partnerships with related community services and promote and improve cultural</w:t>
      </w:r>
      <w:r w:rsidR="008B0F1D">
        <w:rPr>
          <w:rFonts w:ascii="Calibri" w:hAnsi="Calibri" w:cs="Calibri"/>
          <w:sz w:val="24"/>
          <w:szCs w:val="24"/>
        </w:rPr>
        <w:t>ly</w:t>
      </w:r>
      <w:r w:rsidRPr="00404E0F">
        <w:rPr>
          <w:rFonts w:ascii="Calibri" w:hAnsi="Calibri" w:cs="Calibri"/>
          <w:sz w:val="24"/>
          <w:szCs w:val="24"/>
        </w:rPr>
        <w:t xml:space="preserve"> competent practice across the service system.</w:t>
      </w:r>
    </w:p>
    <w:p w:rsidR="00F31CF5" w:rsidRDefault="00404E0F" w:rsidP="00D92BEA">
      <w:pPr>
        <w:pStyle w:val="Heading4"/>
      </w:pPr>
      <w:r w:rsidRPr="00404E0F">
        <w:t xml:space="preserve">Other </w:t>
      </w:r>
      <w:r w:rsidR="00F31CF5">
        <w:t>Supporting Actions</w:t>
      </w:r>
    </w:p>
    <w:p w:rsidR="00404E0F" w:rsidRDefault="00404E0F" w:rsidP="00404E0F">
      <w:pPr>
        <w:rPr>
          <w:rFonts w:ascii="Calibri" w:hAnsi="Calibri" w:cs="Calibri"/>
          <w:sz w:val="24"/>
          <w:szCs w:val="24"/>
        </w:rPr>
      </w:pPr>
      <w:r w:rsidRPr="00404E0F">
        <w:rPr>
          <w:rFonts w:ascii="Calibri" w:hAnsi="Calibri" w:cs="Calibri"/>
          <w:sz w:val="24"/>
          <w:szCs w:val="24"/>
        </w:rPr>
        <w:t>The ACT</w:t>
      </w:r>
      <w:r w:rsidR="00854893">
        <w:rPr>
          <w:rFonts w:ascii="Calibri" w:hAnsi="Calibri" w:cs="Calibri"/>
          <w:sz w:val="24"/>
          <w:szCs w:val="24"/>
        </w:rPr>
        <w:t xml:space="preserve"> Government</w:t>
      </w:r>
      <w:r w:rsidRPr="00404E0F">
        <w:rPr>
          <w:rFonts w:ascii="Calibri" w:hAnsi="Calibri" w:cs="Calibri"/>
          <w:sz w:val="24"/>
          <w:szCs w:val="24"/>
        </w:rPr>
        <w:t xml:space="preserve"> is committed to strengthening the capacity of families to support children</w:t>
      </w:r>
      <w:r w:rsidR="008B0F1D">
        <w:rPr>
          <w:rFonts w:ascii="Calibri" w:hAnsi="Calibri" w:cs="Calibri"/>
          <w:sz w:val="24"/>
          <w:szCs w:val="24"/>
        </w:rPr>
        <w:t>,</w:t>
      </w:r>
      <w:r w:rsidRPr="00404E0F">
        <w:rPr>
          <w:rFonts w:ascii="Calibri" w:hAnsi="Calibri" w:cs="Calibri"/>
          <w:sz w:val="24"/>
          <w:szCs w:val="24"/>
        </w:rPr>
        <w:t xml:space="preserve"> which is part of </w:t>
      </w:r>
      <w:r w:rsidR="00854893">
        <w:rPr>
          <w:rFonts w:ascii="Calibri" w:hAnsi="Calibri" w:cs="Calibri"/>
          <w:sz w:val="24"/>
          <w:szCs w:val="24"/>
        </w:rPr>
        <w:t>its</w:t>
      </w:r>
      <w:r w:rsidRPr="00404E0F">
        <w:rPr>
          <w:rFonts w:ascii="Calibri" w:hAnsi="Calibri" w:cs="Calibri"/>
          <w:sz w:val="24"/>
          <w:szCs w:val="24"/>
        </w:rPr>
        <w:t xml:space="preserve"> strategic focus on early intervention and prevention services. For example, the ACT </w:t>
      </w:r>
      <w:r w:rsidR="00854893">
        <w:rPr>
          <w:rFonts w:ascii="Calibri" w:hAnsi="Calibri" w:cs="Calibri"/>
          <w:sz w:val="24"/>
          <w:szCs w:val="24"/>
        </w:rPr>
        <w:t xml:space="preserve">Government </w:t>
      </w:r>
      <w:r w:rsidRPr="00404E0F">
        <w:rPr>
          <w:rFonts w:ascii="Calibri" w:hAnsi="Calibri" w:cs="Calibri"/>
          <w:sz w:val="24"/>
          <w:szCs w:val="24"/>
        </w:rPr>
        <w:t xml:space="preserve">delivers a range of therapeutic, counselling, case management, child health and parenting services through the Gungahlin, Belconnen and Tuggeranong </w:t>
      </w:r>
      <w:r w:rsidR="00533153">
        <w:rPr>
          <w:rFonts w:ascii="Calibri" w:hAnsi="Calibri" w:cs="Calibri"/>
          <w:sz w:val="24"/>
          <w:szCs w:val="24"/>
        </w:rPr>
        <w:t>CFC</w:t>
      </w:r>
      <w:r w:rsidRPr="00404E0F">
        <w:rPr>
          <w:rFonts w:ascii="Calibri" w:hAnsi="Calibri" w:cs="Calibri"/>
          <w:sz w:val="24"/>
          <w:szCs w:val="24"/>
        </w:rPr>
        <w:t>s. Such services reduce the entry into</w:t>
      </w:r>
      <w:r w:rsidR="00DA385A">
        <w:rPr>
          <w:rFonts w:ascii="Calibri" w:hAnsi="Calibri" w:cs="Calibri"/>
          <w:sz w:val="24"/>
          <w:szCs w:val="24"/>
        </w:rPr>
        <w:t xml:space="preserve"> </w:t>
      </w:r>
      <w:r w:rsidRPr="00404E0F">
        <w:rPr>
          <w:rFonts w:ascii="Calibri" w:hAnsi="Calibri" w:cs="Calibri"/>
          <w:sz w:val="24"/>
          <w:szCs w:val="24"/>
        </w:rPr>
        <w:t xml:space="preserve">the statutory/tertiary system. Many of these programs </w:t>
      </w:r>
      <w:r w:rsidR="00324D61">
        <w:rPr>
          <w:rFonts w:ascii="Calibri" w:hAnsi="Calibri" w:cs="Calibri"/>
          <w:sz w:val="24"/>
          <w:szCs w:val="24"/>
        </w:rPr>
        <w:t>are</w:t>
      </w:r>
      <w:r w:rsidR="00324D61" w:rsidRPr="00404E0F">
        <w:rPr>
          <w:rFonts w:ascii="Calibri" w:hAnsi="Calibri" w:cs="Calibri"/>
          <w:sz w:val="24"/>
          <w:szCs w:val="24"/>
        </w:rPr>
        <w:t xml:space="preserve"> </w:t>
      </w:r>
      <w:r w:rsidRPr="00404E0F">
        <w:rPr>
          <w:rFonts w:ascii="Calibri" w:hAnsi="Calibri" w:cs="Calibri"/>
          <w:sz w:val="24"/>
          <w:szCs w:val="24"/>
        </w:rPr>
        <w:t>delivered in partnerships between government and the community sector. These services included:</w:t>
      </w:r>
    </w:p>
    <w:p w:rsidR="00404E0F" w:rsidRPr="00404E0F" w:rsidRDefault="00404E0F" w:rsidP="00A623C2">
      <w:pPr>
        <w:pStyle w:val="ListBullet"/>
      </w:pPr>
      <w:r w:rsidRPr="00404E0F">
        <w:t>group work programs</w:t>
      </w:r>
    </w:p>
    <w:p w:rsidR="00404E0F" w:rsidRPr="00404E0F" w:rsidRDefault="00404E0F" w:rsidP="00A623C2">
      <w:pPr>
        <w:pStyle w:val="ListBullet"/>
      </w:pPr>
      <w:r w:rsidRPr="00404E0F">
        <w:t>community development activities</w:t>
      </w:r>
    </w:p>
    <w:p w:rsidR="00404E0F" w:rsidRPr="00404E0F" w:rsidRDefault="00404E0F" w:rsidP="00A623C2">
      <w:pPr>
        <w:pStyle w:val="ListBullet"/>
      </w:pPr>
      <w:proofErr w:type="gramStart"/>
      <w:r w:rsidRPr="00404E0F">
        <w:t>programs</w:t>
      </w:r>
      <w:proofErr w:type="gramEnd"/>
      <w:r w:rsidRPr="00404E0F">
        <w:t xml:space="preserve"> for children with disability. </w:t>
      </w:r>
    </w:p>
    <w:p w:rsidR="00404E0F" w:rsidRPr="00404E0F" w:rsidRDefault="00404E0F" w:rsidP="00404E0F">
      <w:pPr>
        <w:rPr>
          <w:rFonts w:ascii="Calibri" w:hAnsi="Calibri" w:cs="Calibri"/>
          <w:sz w:val="24"/>
          <w:szCs w:val="24"/>
        </w:rPr>
      </w:pPr>
    </w:p>
    <w:p w:rsidR="00404E0F" w:rsidRDefault="00404E0F" w:rsidP="00404E0F">
      <w:pPr>
        <w:rPr>
          <w:rFonts w:ascii="Calibri" w:hAnsi="Calibri" w:cs="Calibri"/>
          <w:sz w:val="24"/>
          <w:szCs w:val="24"/>
        </w:rPr>
      </w:pPr>
      <w:r w:rsidRPr="00404E0F">
        <w:rPr>
          <w:rFonts w:ascii="Calibri" w:hAnsi="Calibri" w:cs="Calibri"/>
          <w:sz w:val="24"/>
          <w:szCs w:val="24"/>
        </w:rPr>
        <w:t xml:space="preserve">The ACT Child, Youth and Family Services Program </w:t>
      </w:r>
      <w:proofErr w:type="gramStart"/>
      <w:r w:rsidRPr="00404E0F">
        <w:rPr>
          <w:rFonts w:ascii="Calibri" w:hAnsi="Calibri" w:cs="Calibri"/>
          <w:sz w:val="24"/>
          <w:szCs w:val="24"/>
        </w:rPr>
        <w:t>provides</w:t>
      </w:r>
      <w:proofErr w:type="gramEnd"/>
      <w:r w:rsidRPr="00404E0F">
        <w:rPr>
          <w:rFonts w:ascii="Calibri" w:hAnsi="Calibri" w:cs="Calibri"/>
          <w:sz w:val="24"/>
          <w:szCs w:val="24"/>
        </w:rPr>
        <w:t xml:space="preserve"> targeted services to vulnerable children, young people and their families. The primary goal is to improve the lives of the most vulnerable members of the ACT</w:t>
      </w:r>
      <w:r w:rsidR="00163D51">
        <w:rPr>
          <w:rFonts w:ascii="Calibri" w:hAnsi="Calibri" w:cs="Calibri"/>
          <w:sz w:val="24"/>
          <w:szCs w:val="24"/>
        </w:rPr>
        <w:t>,</w:t>
      </w:r>
      <w:r w:rsidRPr="00404E0F">
        <w:rPr>
          <w:rFonts w:ascii="Calibri" w:hAnsi="Calibri" w:cs="Calibri"/>
          <w:sz w:val="24"/>
          <w:szCs w:val="24"/>
        </w:rPr>
        <w:t xml:space="preserve"> to enable them to reach their potential, make a contribution and share the benefits of the ACT community. The program enhances service delivery and support by providing a centralised intake service and referral to </w:t>
      </w:r>
      <w:r w:rsidR="00324D61">
        <w:rPr>
          <w:rFonts w:ascii="Calibri" w:hAnsi="Calibri" w:cs="Calibri"/>
          <w:sz w:val="24"/>
          <w:szCs w:val="24"/>
        </w:rPr>
        <w:t>service</w:t>
      </w:r>
      <w:r w:rsidRPr="00404E0F">
        <w:rPr>
          <w:rFonts w:ascii="Calibri" w:hAnsi="Calibri" w:cs="Calibri"/>
          <w:sz w:val="24"/>
          <w:szCs w:val="24"/>
        </w:rPr>
        <w:t xml:space="preserve"> networks across the ACT.</w:t>
      </w:r>
    </w:p>
    <w:p w:rsidR="00404E0F" w:rsidRDefault="00404E0F" w:rsidP="00404E0F">
      <w:pPr>
        <w:rPr>
          <w:rFonts w:ascii="Calibri" w:hAnsi="Calibri" w:cs="Calibri"/>
          <w:sz w:val="24"/>
          <w:szCs w:val="24"/>
        </w:rPr>
      </w:pPr>
    </w:p>
    <w:p w:rsidR="002C09D5" w:rsidRDefault="002C09D5" w:rsidP="00404E0F">
      <w:pPr>
        <w:rPr>
          <w:rFonts w:ascii="Calibri" w:hAnsi="Calibri" w:cs="Calibri"/>
          <w:sz w:val="24"/>
          <w:szCs w:val="24"/>
        </w:rPr>
      </w:pPr>
      <w:r w:rsidRPr="002C09D5">
        <w:rPr>
          <w:rFonts w:ascii="Calibri" w:hAnsi="Calibri" w:cs="Calibri"/>
          <w:sz w:val="24"/>
          <w:szCs w:val="24"/>
        </w:rPr>
        <w:t>In April 2013</w:t>
      </w:r>
      <w:r w:rsidR="00835CCF">
        <w:rPr>
          <w:rFonts w:ascii="Calibri" w:hAnsi="Calibri" w:cs="Calibri"/>
          <w:sz w:val="24"/>
          <w:szCs w:val="24"/>
        </w:rPr>
        <w:t>,</w:t>
      </w:r>
      <w:r w:rsidRPr="002C09D5">
        <w:rPr>
          <w:rFonts w:ascii="Calibri" w:hAnsi="Calibri" w:cs="Calibri"/>
          <w:sz w:val="24"/>
          <w:szCs w:val="24"/>
        </w:rPr>
        <w:t xml:space="preserve"> the Tuggeranong </w:t>
      </w:r>
      <w:r w:rsidR="00533153">
        <w:rPr>
          <w:rFonts w:ascii="Calibri" w:hAnsi="Calibri" w:cs="Calibri"/>
          <w:sz w:val="24"/>
          <w:szCs w:val="24"/>
        </w:rPr>
        <w:t>CFC</w:t>
      </w:r>
      <w:r w:rsidRPr="002C09D5">
        <w:rPr>
          <w:rFonts w:ascii="Calibri" w:hAnsi="Calibri" w:cs="Calibri"/>
          <w:sz w:val="24"/>
          <w:szCs w:val="24"/>
        </w:rPr>
        <w:t xml:space="preserve">, in partnership with Care and Protection Services, </w:t>
      </w:r>
      <w:proofErr w:type="spellStart"/>
      <w:r w:rsidRPr="002C09D5">
        <w:rPr>
          <w:rFonts w:ascii="Calibri" w:hAnsi="Calibri" w:cs="Calibri"/>
          <w:sz w:val="24"/>
          <w:szCs w:val="24"/>
        </w:rPr>
        <w:t>Marymead</w:t>
      </w:r>
      <w:proofErr w:type="spellEnd"/>
      <w:r w:rsidRPr="002C09D5">
        <w:rPr>
          <w:rFonts w:ascii="Calibri" w:hAnsi="Calibri" w:cs="Calibri"/>
          <w:sz w:val="24"/>
          <w:szCs w:val="24"/>
        </w:rPr>
        <w:t xml:space="preserve"> </w:t>
      </w:r>
      <w:r w:rsidR="00533153">
        <w:rPr>
          <w:rFonts w:ascii="Calibri" w:hAnsi="Calibri" w:cs="Calibri"/>
          <w:sz w:val="24"/>
          <w:szCs w:val="24"/>
        </w:rPr>
        <w:t>CFC</w:t>
      </w:r>
      <w:r w:rsidRPr="002C09D5">
        <w:rPr>
          <w:rFonts w:ascii="Calibri" w:hAnsi="Calibri" w:cs="Calibri"/>
          <w:sz w:val="24"/>
          <w:szCs w:val="24"/>
        </w:rPr>
        <w:t xml:space="preserve"> and the Education and Training Directorate, commenced a pilot of Parent Child Interaction Therapy (PCIT). PCIT is an evidence</w:t>
      </w:r>
      <w:r w:rsidR="00835CCF">
        <w:rPr>
          <w:rFonts w:ascii="Calibri" w:hAnsi="Calibri" w:cs="Calibri"/>
          <w:sz w:val="24"/>
          <w:szCs w:val="24"/>
        </w:rPr>
        <w:t>-</w:t>
      </w:r>
      <w:r w:rsidRPr="002C09D5">
        <w:rPr>
          <w:rFonts w:ascii="Calibri" w:hAnsi="Calibri" w:cs="Calibri"/>
          <w:sz w:val="24"/>
          <w:szCs w:val="24"/>
        </w:rPr>
        <w:t>based treatment for children aged 3 to 7 years who demonstrate serious behaviour problems. The program has an emphasis on improving the quality of the parent</w:t>
      </w:r>
      <w:r w:rsidR="00835CCF">
        <w:rPr>
          <w:rFonts w:ascii="Calibri" w:hAnsi="Calibri" w:cs="Calibri"/>
          <w:sz w:val="24"/>
          <w:szCs w:val="24"/>
        </w:rPr>
        <w:t>–</w:t>
      </w:r>
      <w:r w:rsidRPr="002C09D5">
        <w:rPr>
          <w:rFonts w:ascii="Calibri" w:hAnsi="Calibri" w:cs="Calibri"/>
          <w:sz w:val="24"/>
          <w:szCs w:val="24"/>
        </w:rPr>
        <w:t>child relationship and changing parent</w:t>
      </w:r>
      <w:r w:rsidR="00835CCF">
        <w:rPr>
          <w:rFonts w:ascii="Calibri" w:hAnsi="Calibri" w:cs="Calibri"/>
          <w:sz w:val="24"/>
          <w:szCs w:val="24"/>
        </w:rPr>
        <w:t>–</w:t>
      </w:r>
      <w:r w:rsidRPr="002C09D5">
        <w:rPr>
          <w:rFonts w:ascii="Calibri" w:hAnsi="Calibri" w:cs="Calibri"/>
          <w:sz w:val="24"/>
          <w:szCs w:val="24"/>
        </w:rPr>
        <w:t>child interactions. PCIT has proven to be beneficial for children who have experienced abuse, who are demonstrating anxious behaviours or who have disruptive or externalising problem behaviours.</w:t>
      </w:r>
    </w:p>
    <w:p w:rsidR="00AC7977" w:rsidRDefault="004F1BA8" w:rsidP="0068248F">
      <w:pPr>
        <w:pStyle w:val="Heading3"/>
      </w:pPr>
      <w:bookmarkStart w:id="91" w:name="_Toc400007702"/>
      <w:r w:rsidRPr="00821556">
        <w:t>New South Wales</w:t>
      </w:r>
      <w:bookmarkEnd w:id="91"/>
    </w:p>
    <w:p w:rsidR="00856FA8" w:rsidRPr="00733BC1" w:rsidRDefault="006245EF" w:rsidP="00D92BEA">
      <w:pPr>
        <w:pStyle w:val="Heading4"/>
      </w:pPr>
      <w:r>
        <w:t>Education</w:t>
      </w:r>
    </w:p>
    <w:p w:rsidR="004004DF" w:rsidRPr="004004DF" w:rsidRDefault="004004DF" w:rsidP="004004DF">
      <w:pPr>
        <w:rPr>
          <w:rFonts w:ascii="Calibri" w:hAnsi="Calibri"/>
          <w:sz w:val="24"/>
        </w:rPr>
      </w:pPr>
      <w:r w:rsidRPr="004004DF">
        <w:rPr>
          <w:rFonts w:ascii="Calibri" w:hAnsi="Calibri"/>
          <w:sz w:val="24"/>
        </w:rPr>
        <w:t>The NSW Departmen</w:t>
      </w:r>
      <w:r w:rsidR="000441F5">
        <w:rPr>
          <w:rFonts w:ascii="Calibri" w:hAnsi="Calibri"/>
          <w:sz w:val="24"/>
        </w:rPr>
        <w:t xml:space="preserve">t of Education and Communities </w:t>
      </w:r>
      <w:r w:rsidRPr="004004DF">
        <w:rPr>
          <w:rFonts w:ascii="Calibri" w:hAnsi="Calibri"/>
          <w:sz w:val="24"/>
        </w:rPr>
        <w:t>supports young people in out-of-home care through personalised learning and support, with an emphasis on the quality of the lear</w:t>
      </w:r>
      <w:r w:rsidR="005C708D">
        <w:rPr>
          <w:rFonts w:ascii="Calibri" w:hAnsi="Calibri"/>
          <w:sz w:val="24"/>
        </w:rPr>
        <w:t>n</w:t>
      </w:r>
      <w:r w:rsidRPr="004004DF">
        <w:rPr>
          <w:rFonts w:ascii="Calibri" w:hAnsi="Calibri"/>
          <w:sz w:val="24"/>
        </w:rPr>
        <w:t xml:space="preserve">ing experience and the relationships and connectedness forged with students and their </w:t>
      </w:r>
      <w:proofErr w:type="spellStart"/>
      <w:r w:rsidRPr="004004DF">
        <w:rPr>
          <w:rFonts w:ascii="Calibri" w:hAnsi="Calibri"/>
          <w:sz w:val="24"/>
        </w:rPr>
        <w:t>carers</w:t>
      </w:r>
      <w:proofErr w:type="spellEnd"/>
      <w:r w:rsidRPr="004004DF">
        <w:rPr>
          <w:rFonts w:ascii="Calibri" w:hAnsi="Calibri"/>
          <w:sz w:val="24"/>
        </w:rPr>
        <w:t>. Learning and support considerations include literacy and numeracy, communication, social and emotional supports, health ca</w:t>
      </w:r>
      <w:r w:rsidR="006245EF">
        <w:rPr>
          <w:rFonts w:ascii="Calibri" w:hAnsi="Calibri"/>
          <w:sz w:val="24"/>
        </w:rPr>
        <w:t>re needs and behaviour support.</w:t>
      </w:r>
    </w:p>
    <w:p w:rsidR="004004DF" w:rsidRDefault="004004DF" w:rsidP="00DB5004">
      <w:pPr>
        <w:rPr>
          <w:rFonts w:ascii="Calibri" w:hAnsi="Calibri"/>
          <w:sz w:val="24"/>
        </w:rPr>
      </w:pPr>
    </w:p>
    <w:p w:rsidR="009A6D1E" w:rsidRDefault="004004DF" w:rsidP="00DB5004">
      <w:pPr>
        <w:rPr>
          <w:rFonts w:ascii="Calibri" w:hAnsi="Calibri"/>
          <w:sz w:val="24"/>
        </w:rPr>
      </w:pPr>
      <w:r w:rsidRPr="004004DF">
        <w:rPr>
          <w:rFonts w:ascii="Calibri" w:hAnsi="Calibri"/>
          <w:sz w:val="24"/>
        </w:rPr>
        <w:t>To support schools, families and students to resolve attendance issues, the Department of Education and Communities continues to provide 110 Home School Liaison Officers and 26 Aboriginal Student Liaison Officers.</w:t>
      </w:r>
    </w:p>
    <w:p w:rsidR="004004DF" w:rsidRDefault="004004DF" w:rsidP="00DB5004">
      <w:pPr>
        <w:rPr>
          <w:rFonts w:ascii="Calibri" w:hAnsi="Calibri"/>
          <w:sz w:val="24"/>
        </w:rPr>
      </w:pPr>
    </w:p>
    <w:p w:rsidR="009A6D1E" w:rsidRPr="009A6D1E" w:rsidRDefault="009A6D1E" w:rsidP="009A6D1E">
      <w:pPr>
        <w:rPr>
          <w:rFonts w:ascii="Calibri" w:hAnsi="Calibri"/>
          <w:sz w:val="24"/>
        </w:rPr>
      </w:pPr>
      <w:r w:rsidRPr="009A6D1E">
        <w:rPr>
          <w:rFonts w:ascii="Calibri" w:hAnsi="Calibri"/>
          <w:sz w:val="24"/>
        </w:rPr>
        <w:t xml:space="preserve">The Department of Education and Communities is currently coordinating an interagency early intervention trial </w:t>
      </w:r>
      <w:r w:rsidR="004004DF">
        <w:rPr>
          <w:rFonts w:ascii="Calibri" w:hAnsi="Calibri"/>
          <w:sz w:val="24"/>
        </w:rPr>
        <w:t>in two locations</w:t>
      </w:r>
      <w:r w:rsidR="005C708D">
        <w:rPr>
          <w:rFonts w:ascii="Calibri" w:hAnsi="Calibri"/>
          <w:sz w:val="24"/>
        </w:rPr>
        <w:t>,</w:t>
      </w:r>
      <w:r w:rsidR="004004DF">
        <w:rPr>
          <w:rFonts w:ascii="Calibri" w:hAnsi="Calibri"/>
          <w:sz w:val="24"/>
        </w:rPr>
        <w:t xml:space="preserve"> </w:t>
      </w:r>
      <w:r w:rsidRPr="009A6D1E">
        <w:rPr>
          <w:rFonts w:ascii="Calibri" w:hAnsi="Calibri"/>
          <w:sz w:val="24"/>
        </w:rPr>
        <w:t>to support families where school attendance issues may be emerging. The trial aims to provide appropriate support to families to prevent school attendance issues from becoming chronic.</w:t>
      </w:r>
    </w:p>
    <w:p w:rsidR="001C6A73" w:rsidRDefault="00471E83" w:rsidP="00D92BEA">
      <w:pPr>
        <w:pStyle w:val="Heading4"/>
      </w:pPr>
      <w:r>
        <w:t>Community and Business</w:t>
      </w:r>
    </w:p>
    <w:p w:rsidR="004004DF" w:rsidRDefault="00854893" w:rsidP="001C6A73">
      <w:pPr>
        <w:rPr>
          <w:rFonts w:ascii="Calibri" w:hAnsi="Calibri"/>
          <w:sz w:val="24"/>
        </w:rPr>
      </w:pPr>
      <w:r>
        <w:rPr>
          <w:rFonts w:ascii="Calibri" w:hAnsi="Calibri"/>
          <w:sz w:val="24"/>
        </w:rPr>
        <w:t xml:space="preserve">The </w:t>
      </w:r>
      <w:r w:rsidR="001C6A73" w:rsidRPr="001C6A73">
        <w:rPr>
          <w:rFonts w:ascii="Calibri" w:hAnsi="Calibri"/>
          <w:sz w:val="24"/>
        </w:rPr>
        <w:t xml:space="preserve">NSW </w:t>
      </w:r>
      <w:r>
        <w:rPr>
          <w:rFonts w:ascii="Calibri" w:hAnsi="Calibri"/>
          <w:sz w:val="24"/>
        </w:rPr>
        <w:t xml:space="preserve">Government </w:t>
      </w:r>
      <w:r w:rsidR="001C6A73" w:rsidRPr="001C6A73">
        <w:rPr>
          <w:rFonts w:ascii="Calibri" w:hAnsi="Calibri"/>
          <w:sz w:val="24"/>
        </w:rPr>
        <w:t>continues to explore innovative ways to engage business in the protection and wellbeing of children.</w:t>
      </w:r>
      <w:r w:rsidR="004004DF" w:rsidRPr="004004DF">
        <w:rPr>
          <w:rFonts w:ascii="Calibri" w:hAnsi="Calibri"/>
          <w:sz w:val="24"/>
        </w:rPr>
        <w:t xml:space="preserve"> In an Australian first, FACS signed agreements for two social benefit bonds in the area of</w:t>
      </w:r>
      <w:r w:rsidR="005C708D">
        <w:rPr>
          <w:rFonts w:ascii="Calibri" w:hAnsi="Calibri"/>
          <w:sz w:val="24"/>
        </w:rPr>
        <w:t xml:space="preserve"> out-of-home care</w:t>
      </w:r>
      <w:r w:rsidR="004004DF" w:rsidRPr="004004DF">
        <w:rPr>
          <w:rFonts w:ascii="Calibri" w:hAnsi="Calibri"/>
          <w:sz w:val="24"/>
        </w:rPr>
        <w:t>.</w:t>
      </w:r>
      <w:r w:rsidR="000441F5">
        <w:rPr>
          <w:rFonts w:ascii="Calibri" w:hAnsi="Calibri"/>
          <w:sz w:val="24"/>
        </w:rPr>
        <w:t xml:space="preserve"> </w:t>
      </w:r>
      <w:r w:rsidR="004004DF" w:rsidRPr="004004DF">
        <w:rPr>
          <w:rFonts w:ascii="Calibri" w:hAnsi="Calibri"/>
          <w:sz w:val="24"/>
        </w:rPr>
        <w:t>Social benefit bonds provide a new source of funding by partnering with social investors.</w:t>
      </w:r>
    </w:p>
    <w:p w:rsidR="005C708D" w:rsidRDefault="005C708D" w:rsidP="001C6A73">
      <w:pPr>
        <w:rPr>
          <w:rFonts w:ascii="Calibri" w:hAnsi="Calibri"/>
          <w:sz w:val="24"/>
        </w:rPr>
      </w:pPr>
    </w:p>
    <w:p w:rsidR="001C6A73" w:rsidRPr="001C6A73" w:rsidRDefault="004004DF" w:rsidP="001C6A73">
      <w:pPr>
        <w:rPr>
          <w:rFonts w:ascii="Calibri" w:hAnsi="Calibri"/>
          <w:sz w:val="24"/>
        </w:rPr>
      </w:pPr>
      <w:r w:rsidRPr="004004DF">
        <w:rPr>
          <w:rFonts w:ascii="Calibri" w:hAnsi="Calibri"/>
          <w:sz w:val="24"/>
        </w:rPr>
        <w:t xml:space="preserve">The </w:t>
      </w:r>
      <w:proofErr w:type="spellStart"/>
      <w:r w:rsidRPr="004004DF">
        <w:rPr>
          <w:rFonts w:ascii="Calibri" w:hAnsi="Calibri"/>
          <w:sz w:val="24"/>
        </w:rPr>
        <w:t>Newpin</w:t>
      </w:r>
      <w:proofErr w:type="spellEnd"/>
      <w:r w:rsidRPr="004004DF">
        <w:rPr>
          <w:rFonts w:ascii="Calibri" w:hAnsi="Calibri"/>
          <w:sz w:val="24"/>
        </w:rPr>
        <w:t xml:space="preserve"> Social Benefit Bond, which commenced on</w:t>
      </w:r>
      <w:r w:rsidR="00216807">
        <w:rPr>
          <w:rFonts w:ascii="Calibri" w:hAnsi="Calibri"/>
          <w:sz w:val="24"/>
        </w:rPr>
        <w:t xml:space="preserve"> </w:t>
      </w:r>
      <w:r w:rsidRPr="004004DF">
        <w:rPr>
          <w:rFonts w:ascii="Calibri" w:hAnsi="Calibri"/>
          <w:sz w:val="24"/>
        </w:rPr>
        <w:t xml:space="preserve">1 July 2013, raised $7 million in private capital for </w:t>
      </w:r>
      <w:proofErr w:type="spellStart"/>
      <w:r w:rsidRPr="004004DF">
        <w:rPr>
          <w:rFonts w:ascii="Calibri" w:hAnsi="Calibri"/>
          <w:sz w:val="24"/>
        </w:rPr>
        <w:t>UnitingCare</w:t>
      </w:r>
      <w:proofErr w:type="spellEnd"/>
      <w:r w:rsidRPr="004004DF">
        <w:rPr>
          <w:rFonts w:ascii="Calibri" w:hAnsi="Calibri"/>
          <w:sz w:val="24"/>
        </w:rPr>
        <w:t xml:space="preserve"> Burnside’s </w:t>
      </w:r>
      <w:proofErr w:type="spellStart"/>
      <w:r w:rsidRPr="004004DF">
        <w:rPr>
          <w:rFonts w:ascii="Calibri" w:hAnsi="Calibri"/>
          <w:sz w:val="24"/>
        </w:rPr>
        <w:t>Newpin</w:t>
      </w:r>
      <w:proofErr w:type="spellEnd"/>
      <w:r w:rsidRPr="004004DF">
        <w:rPr>
          <w:rFonts w:ascii="Calibri" w:hAnsi="Calibri"/>
          <w:sz w:val="24"/>
        </w:rPr>
        <w:t xml:space="preserve"> program. </w:t>
      </w:r>
      <w:proofErr w:type="spellStart"/>
      <w:r w:rsidRPr="004004DF">
        <w:rPr>
          <w:rFonts w:ascii="Calibri" w:hAnsi="Calibri"/>
          <w:sz w:val="24"/>
        </w:rPr>
        <w:t>Newpin</w:t>
      </w:r>
      <w:proofErr w:type="spellEnd"/>
      <w:r w:rsidRPr="004004DF">
        <w:rPr>
          <w:rFonts w:ascii="Calibri" w:hAnsi="Calibri"/>
          <w:sz w:val="24"/>
        </w:rPr>
        <w:t xml:space="preserve"> aims to build positive parent</w:t>
      </w:r>
      <w:r w:rsidR="00216807">
        <w:rPr>
          <w:rFonts w:ascii="Calibri" w:hAnsi="Calibri"/>
          <w:sz w:val="24"/>
        </w:rPr>
        <w:t>–</w:t>
      </w:r>
      <w:r w:rsidRPr="004004DF">
        <w:rPr>
          <w:rFonts w:ascii="Calibri" w:hAnsi="Calibri"/>
          <w:sz w:val="24"/>
        </w:rPr>
        <w:t xml:space="preserve">child relationships to support the return of children from </w:t>
      </w:r>
      <w:r w:rsidR="005C708D">
        <w:rPr>
          <w:rFonts w:ascii="Calibri" w:hAnsi="Calibri"/>
          <w:sz w:val="24"/>
        </w:rPr>
        <w:t>out-of-home care</w:t>
      </w:r>
      <w:r w:rsidRPr="004004DF">
        <w:rPr>
          <w:rFonts w:ascii="Calibri" w:hAnsi="Calibri"/>
          <w:sz w:val="24"/>
        </w:rPr>
        <w:t xml:space="preserve"> to their families or </w:t>
      </w:r>
      <w:r w:rsidR="005C708D">
        <w:rPr>
          <w:rFonts w:ascii="Calibri" w:hAnsi="Calibri"/>
          <w:sz w:val="24"/>
        </w:rPr>
        <w:t xml:space="preserve">to </w:t>
      </w:r>
      <w:r w:rsidRPr="004004DF">
        <w:rPr>
          <w:rFonts w:ascii="Calibri" w:hAnsi="Calibri"/>
          <w:sz w:val="24"/>
        </w:rPr>
        <w:t xml:space="preserve">prevent them </w:t>
      </w:r>
      <w:r w:rsidR="005C708D">
        <w:rPr>
          <w:rFonts w:ascii="Calibri" w:hAnsi="Calibri"/>
          <w:sz w:val="24"/>
        </w:rPr>
        <w:t>from</w:t>
      </w:r>
      <w:r w:rsidRPr="004004DF">
        <w:rPr>
          <w:rFonts w:ascii="Calibri" w:hAnsi="Calibri"/>
          <w:sz w:val="24"/>
        </w:rPr>
        <w:t xml:space="preserve"> entering care. The bond is currently funding four existing </w:t>
      </w:r>
      <w:proofErr w:type="spellStart"/>
      <w:r w:rsidRPr="004004DF">
        <w:rPr>
          <w:rFonts w:ascii="Calibri" w:hAnsi="Calibri"/>
          <w:sz w:val="24"/>
        </w:rPr>
        <w:t>Newpin</w:t>
      </w:r>
      <w:proofErr w:type="spellEnd"/>
      <w:r w:rsidRPr="004004DF">
        <w:rPr>
          <w:rFonts w:ascii="Calibri" w:hAnsi="Calibri"/>
          <w:sz w:val="24"/>
        </w:rPr>
        <w:t xml:space="preserve"> Centres in Western Sydney. The program is expected to be rolled out to a further </w:t>
      </w:r>
      <w:r w:rsidR="005C708D">
        <w:rPr>
          <w:rFonts w:ascii="Calibri" w:hAnsi="Calibri"/>
          <w:sz w:val="24"/>
        </w:rPr>
        <w:t>six</w:t>
      </w:r>
      <w:r w:rsidRPr="004004DF">
        <w:rPr>
          <w:rFonts w:ascii="Calibri" w:hAnsi="Calibri"/>
          <w:sz w:val="24"/>
        </w:rPr>
        <w:t xml:space="preserve"> locations during the life of the </w:t>
      </w:r>
      <w:r w:rsidR="005C708D">
        <w:rPr>
          <w:rFonts w:ascii="Calibri" w:hAnsi="Calibri"/>
          <w:sz w:val="24"/>
        </w:rPr>
        <w:t>seven-</w:t>
      </w:r>
      <w:r w:rsidRPr="004004DF">
        <w:rPr>
          <w:rFonts w:ascii="Calibri" w:hAnsi="Calibri"/>
          <w:sz w:val="24"/>
        </w:rPr>
        <w:t>year bond.</w:t>
      </w:r>
      <w:r w:rsidR="00A973E8">
        <w:rPr>
          <w:rFonts w:ascii="Calibri" w:hAnsi="Calibri"/>
          <w:sz w:val="24"/>
        </w:rPr>
        <w:t xml:space="preserve"> </w:t>
      </w:r>
    </w:p>
    <w:p w:rsidR="004004DF" w:rsidRDefault="004004DF" w:rsidP="001C6A73">
      <w:pPr>
        <w:rPr>
          <w:rFonts w:ascii="Calibri" w:hAnsi="Calibri"/>
          <w:sz w:val="24"/>
        </w:rPr>
      </w:pPr>
    </w:p>
    <w:p w:rsidR="004004DF" w:rsidRDefault="004004DF" w:rsidP="001C6A73">
      <w:pPr>
        <w:rPr>
          <w:rFonts w:ascii="Calibri" w:hAnsi="Calibri"/>
          <w:sz w:val="24"/>
        </w:rPr>
      </w:pPr>
      <w:r w:rsidRPr="004004DF">
        <w:rPr>
          <w:rFonts w:ascii="Calibri" w:hAnsi="Calibri"/>
          <w:sz w:val="24"/>
        </w:rPr>
        <w:t xml:space="preserve">The Benevolent Society (TBS) Social Benefit Bond is a $10 million bond over a </w:t>
      </w:r>
      <w:r w:rsidR="00216807">
        <w:rPr>
          <w:rFonts w:ascii="Calibri" w:hAnsi="Calibri"/>
          <w:sz w:val="24"/>
        </w:rPr>
        <w:t>five</w:t>
      </w:r>
      <w:r w:rsidR="005C708D">
        <w:rPr>
          <w:rFonts w:ascii="Calibri" w:hAnsi="Calibri"/>
          <w:sz w:val="24"/>
        </w:rPr>
        <w:t>-</w:t>
      </w:r>
      <w:r w:rsidRPr="004004DF">
        <w:rPr>
          <w:rFonts w:ascii="Calibri" w:hAnsi="Calibri"/>
          <w:sz w:val="24"/>
        </w:rPr>
        <w:t>year period. The bond is funding TBS’s Resilient Families program</w:t>
      </w:r>
      <w:r w:rsidR="005C708D">
        <w:rPr>
          <w:rFonts w:ascii="Calibri" w:hAnsi="Calibri"/>
          <w:sz w:val="24"/>
        </w:rPr>
        <w:t>,</w:t>
      </w:r>
      <w:r w:rsidRPr="004004DF">
        <w:rPr>
          <w:rFonts w:ascii="Calibri" w:hAnsi="Calibri"/>
          <w:sz w:val="24"/>
        </w:rPr>
        <w:t xml:space="preserve"> which works with vulnerable families in Central and South West Sydney to address risk issues and</w:t>
      </w:r>
      <w:r w:rsidR="00A973E8">
        <w:rPr>
          <w:rFonts w:ascii="Calibri" w:hAnsi="Calibri"/>
          <w:sz w:val="24"/>
        </w:rPr>
        <w:t xml:space="preserve"> </w:t>
      </w:r>
      <w:r w:rsidR="005C708D">
        <w:rPr>
          <w:rFonts w:ascii="Calibri" w:hAnsi="Calibri"/>
          <w:sz w:val="24"/>
        </w:rPr>
        <w:t xml:space="preserve">to </w:t>
      </w:r>
      <w:r w:rsidRPr="004004DF">
        <w:rPr>
          <w:rFonts w:ascii="Calibri" w:hAnsi="Calibri"/>
          <w:sz w:val="24"/>
        </w:rPr>
        <w:t>prevent children from entering care.</w:t>
      </w:r>
      <w:r w:rsidR="00A973E8">
        <w:rPr>
          <w:rFonts w:ascii="Calibri" w:hAnsi="Calibri"/>
          <w:sz w:val="24"/>
        </w:rPr>
        <w:t xml:space="preserve"> </w:t>
      </w:r>
      <w:r w:rsidRPr="004004DF">
        <w:rPr>
          <w:rFonts w:ascii="Calibri" w:hAnsi="Calibri"/>
          <w:sz w:val="24"/>
        </w:rPr>
        <w:t>Resilient Families is an intensive support service based on the Homebuilders program</w:t>
      </w:r>
      <w:r w:rsidR="005C708D">
        <w:rPr>
          <w:rFonts w:ascii="Calibri" w:hAnsi="Calibri"/>
          <w:sz w:val="24"/>
        </w:rPr>
        <w:t>,</w:t>
      </w:r>
      <w:r w:rsidRPr="004004DF">
        <w:rPr>
          <w:rFonts w:ascii="Calibri" w:hAnsi="Calibri"/>
          <w:sz w:val="24"/>
        </w:rPr>
        <w:t xml:space="preserve"> which has been proven to achieve positive</w:t>
      </w:r>
      <w:r w:rsidR="00A973E8">
        <w:rPr>
          <w:rFonts w:ascii="Calibri" w:hAnsi="Calibri"/>
          <w:sz w:val="24"/>
        </w:rPr>
        <w:t xml:space="preserve"> </w:t>
      </w:r>
      <w:r w:rsidRPr="004004DF">
        <w:rPr>
          <w:rFonts w:ascii="Calibri" w:hAnsi="Calibri"/>
          <w:sz w:val="24"/>
        </w:rPr>
        <w:t>results for most at-risk families.</w:t>
      </w:r>
      <w:r w:rsidR="00A973E8">
        <w:rPr>
          <w:rFonts w:ascii="Calibri" w:hAnsi="Calibri"/>
          <w:sz w:val="24"/>
        </w:rPr>
        <w:t xml:space="preserve"> </w:t>
      </w:r>
      <w:r w:rsidRPr="004004DF">
        <w:rPr>
          <w:rFonts w:ascii="Calibri" w:hAnsi="Calibri"/>
          <w:sz w:val="24"/>
        </w:rPr>
        <w:t>Referrals under the TBS Social Benef</w:t>
      </w:r>
      <w:r w:rsidR="005C708D">
        <w:rPr>
          <w:rFonts w:ascii="Calibri" w:hAnsi="Calibri"/>
          <w:sz w:val="24"/>
        </w:rPr>
        <w:t>i</w:t>
      </w:r>
      <w:r w:rsidRPr="004004DF">
        <w:rPr>
          <w:rFonts w:ascii="Calibri" w:hAnsi="Calibri"/>
          <w:sz w:val="24"/>
        </w:rPr>
        <w:t>t Bond commenced on 8 October 2013.</w:t>
      </w:r>
    </w:p>
    <w:p w:rsidR="001C6A73" w:rsidRPr="001C6A73" w:rsidRDefault="001C6A73" w:rsidP="001C6A73">
      <w:pPr>
        <w:rPr>
          <w:rFonts w:ascii="Calibri" w:hAnsi="Calibri"/>
          <w:sz w:val="24"/>
        </w:rPr>
      </w:pPr>
    </w:p>
    <w:p w:rsidR="001C6A73" w:rsidRPr="001C6A73" w:rsidRDefault="001C6A73" w:rsidP="001C6A73">
      <w:pPr>
        <w:rPr>
          <w:rFonts w:ascii="Calibri" w:hAnsi="Calibri"/>
          <w:sz w:val="24"/>
        </w:rPr>
      </w:pPr>
      <w:r w:rsidRPr="001C6A73">
        <w:rPr>
          <w:rFonts w:ascii="Calibri" w:hAnsi="Calibri"/>
          <w:sz w:val="24"/>
        </w:rPr>
        <w:t xml:space="preserve">The NSW Government continues to </w:t>
      </w:r>
      <w:r w:rsidR="008475D4">
        <w:rPr>
          <w:rFonts w:ascii="Calibri" w:hAnsi="Calibri"/>
          <w:sz w:val="24"/>
        </w:rPr>
        <w:t xml:space="preserve">assist and </w:t>
      </w:r>
      <w:r w:rsidRPr="001C6A73">
        <w:rPr>
          <w:rFonts w:ascii="Calibri" w:hAnsi="Calibri"/>
          <w:sz w:val="24"/>
        </w:rPr>
        <w:t xml:space="preserve">strengthen families and communities to ensure </w:t>
      </w:r>
      <w:r w:rsidR="00352CBD">
        <w:rPr>
          <w:rFonts w:ascii="Calibri" w:hAnsi="Calibri"/>
          <w:sz w:val="24"/>
        </w:rPr>
        <w:t xml:space="preserve">that </w:t>
      </w:r>
      <w:r w:rsidRPr="001C6A73">
        <w:rPr>
          <w:rFonts w:ascii="Calibri" w:hAnsi="Calibri"/>
          <w:sz w:val="24"/>
        </w:rPr>
        <w:t xml:space="preserve">children are safe and supported. </w:t>
      </w:r>
    </w:p>
    <w:p w:rsidR="001C6A73" w:rsidRPr="001C6A73" w:rsidRDefault="001C6A73" w:rsidP="001C6A73">
      <w:pPr>
        <w:rPr>
          <w:rFonts w:ascii="Calibri" w:hAnsi="Calibri"/>
          <w:sz w:val="24"/>
        </w:rPr>
      </w:pPr>
    </w:p>
    <w:p w:rsidR="001C6A73" w:rsidRDefault="001C6A73" w:rsidP="001C6A73">
      <w:pPr>
        <w:rPr>
          <w:rFonts w:ascii="Calibri" w:hAnsi="Calibri"/>
          <w:sz w:val="24"/>
        </w:rPr>
      </w:pPr>
      <w:r w:rsidRPr="001C6A73">
        <w:rPr>
          <w:rFonts w:ascii="Calibri" w:hAnsi="Calibri"/>
          <w:sz w:val="24"/>
        </w:rPr>
        <w:t>Community Builders continues to strengthen communities across NSW and connect disadvantaged members with their broader community.</w:t>
      </w:r>
      <w:r w:rsidR="00D26B57">
        <w:rPr>
          <w:rFonts w:ascii="Calibri" w:hAnsi="Calibri"/>
          <w:sz w:val="24"/>
        </w:rPr>
        <w:t xml:space="preserve"> </w:t>
      </w:r>
      <w:r w:rsidRPr="001C6A73">
        <w:rPr>
          <w:rFonts w:ascii="Calibri" w:hAnsi="Calibri"/>
          <w:sz w:val="24"/>
        </w:rPr>
        <w:t>It does this by providing prevention services and projects that build community capacity and enhance participation, cohesion and social inclusion.</w:t>
      </w:r>
    </w:p>
    <w:p w:rsidR="00854893" w:rsidRPr="001C6A73" w:rsidRDefault="00854893" w:rsidP="001C6A73">
      <w:pPr>
        <w:rPr>
          <w:rFonts w:ascii="Calibri" w:hAnsi="Calibri"/>
          <w:sz w:val="24"/>
        </w:rPr>
      </w:pPr>
    </w:p>
    <w:p w:rsidR="00B32812" w:rsidRPr="00B32812" w:rsidRDefault="00B32812" w:rsidP="00B32812">
      <w:pPr>
        <w:rPr>
          <w:rFonts w:ascii="Calibri" w:hAnsi="Calibri"/>
          <w:sz w:val="24"/>
        </w:rPr>
      </w:pPr>
      <w:r w:rsidRPr="00B32812">
        <w:rPr>
          <w:rFonts w:ascii="Calibri" w:hAnsi="Calibri"/>
          <w:sz w:val="24"/>
        </w:rPr>
        <w:t>In 2012</w:t>
      </w:r>
      <w:r w:rsidR="008475D4">
        <w:rPr>
          <w:rFonts w:ascii="Calibri" w:hAnsi="Calibri"/>
          <w:sz w:val="24"/>
        </w:rPr>
        <w:t>–</w:t>
      </w:r>
      <w:r w:rsidRPr="00B32812">
        <w:rPr>
          <w:rFonts w:ascii="Calibri" w:hAnsi="Calibri"/>
          <w:sz w:val="24"/>
        </w:rPr>
        <w:t>13</w:t>
      </w:r>
      <w:r w:rsidR="008475D4">
        <w:rPr>
          <w:rFonts w:ascii="Calibri" w:hAnsi="Calibri"/>
          <w:sz w:val="24"/>
        </w:rPr>
        <w:t>,</w:t>
      </w:r>
      <w:r w:rsidRPr="00B32812">
        <w:rPr>
          <w:rFonts w:ascii="Calibri" w:hAnsi="Calibri"/>
          <w:sz w:val="24"/>
        </w:rPr>
        <w:t xml:space="preserve"> Community Builders Renewable funded services allocated over $41</w:t>
      </w:r>
      <w:r w:rsidR="008475D4">
        <w:rPr>
          <w:rFonts w:ascii="Calibri" w:hAnsi="Calibri"/>
          <w:sz w:val="24"/>
        </w:rPr>
        <w:t xml:space="preserve"> million</w:t>
      </w:r>
      <w:r w:rsidRPr="00B32812">
        <w:rPr>
          <w:rFonts w:ascii="Calibri" w:hAnsi="Calibri"/>
          <w:sz w:val="24"/>
        </w:rPr>
        <w:t xml:space="preserve"> to 394 services across the state.</w:t>
      </w:r>
      <w:r w:rsidR="00A43557">
        <w:rPr>
          <w:rFonts w:ascii="Calibri" w:hAnsi="Calibri"/>
          <w:sz w:val="24"/>
        </w:rPr>
        <w:t xml:space="preserve"> </w:t>
      </w:r>
      <w:r w:rsidRPr="00B32812">
        <w:rPr>
          <w:rFonts w:ascii="Calibri" w:hAnsi="Calibri"/>
          <w:sz w:val="24"/>
        </w:rPr>
        <w:t>Outcomes data shows the following results:</w:t>
      </w:r>
    </w:p>
    <w:p w:rsidR="00B32812" w:rsidRPr="00B32812" w:rsidRDefault="00B32812" w:rsidP="008475D4">
      <w:pPr>
        <w:pStyle w:val="ListBullet"/>
      </w:pPr>
      <w:r w:rsidRPr="00B32812">
        <w:t>91% of participants reported increased community skills</w:t>
      </w:r>
    </w:p>
    <w:p w:rsidR="00B32812" w:rsidRPr="00B32812" w:rsidRDefault="00B32812" w:rsidP="008475D4">
      <w:pPr>
        <w:pStyle w:val="ListBullet"/>
      </w:pPr>
      <w:r w:rsidRPr="00B32812">
        <w:t>90% reported increased participation/capacity to participate</w:t>
      </w:r>
    </w:p>
    <w:p w:rsidR="00B32812" w:rsidRPr="00B32812" w:rsidRDefault="00B32812" w:rsidP="008475D4">
      <w:pPr>
        <w:pStyle w:val="ListBullet"/>
      </w:pPr>
      <w:r w:rsidRPr="00B32812">
        <w:t>83% reported increased use of other services.</w:t>
      </w:r>
    </w:p>
    <w:p w:rsidR="00B32812" w:rsidRPr="00B32812" w:rsidRDefault="00B32812" w:rsidP="00B32812">
      <w:pPr>
        <w:rPr>
          <w:rFonts w:ascii="Calibri" w:hAnsi="Calibri"/>
          <w:sz w:val="24"/>
        </w:rPr>
      </w:pPr>
    </w:p>
    <w:p w:rsidR="00B32812" w:rsidRPr="00B32812" w:rsidRDefault="00B32812" w:rsidP="00B32812">
      <w:pPr>
        <w:rPr>
          <w:rFonts w:ascii="Calibri" w:hAnsi="Calibri"/>
          <w:sz w:val="24"/>
        </w:rPr>
      </w:pPr>
      <w:r w:rsidRPr="00B32812">
        <w:rPr>
          <w:rFonts w:ascii="Calibri" w:hAnsi="Calibri"/>
          <w:sz w:val="24"/>
        </w:rPr>
        <w:t>In 2012</w:t>
      </w:r>
      <w:r w:rsidR="008475D4">
        <w:rPr>
          <w:rFonts w:ascii="Calibri" w:hAnsi="Calibri"/>
          <w:sz w:val="24"/>
        </w:rPr>
        <w:t>–</w:t>
      </w:r>
      <w:r w:rsidRPr="00B32812">
        <w:rPr>
          <w:rFonts w:ascii="Calibri" w:hAnsi="Calibri"/>
          <w:sz w:val="24"/>
        </w:rPr>
        <w:t>13</w:t>
      </w:r>
      <w:r w:rsidR="008475D4">
        <w:rPr>
          <w:rFonts w:ascii="Calibri" w:hAnsi="Calibri"/>
          <w:sz w:val="24"/>
        </w:rPr>
        <w:t>,</w:t>
      </w:r>
      <w:r w:rsidRPr="00B32812">
        <w:rPr>
          <w:rFonts w:ascii="Calibri" w:hAnsi="Calibri"/>
          <w:sz w:val="24"/>
        </w:rPr>
        <w:t xml:space="preserve"> Community Builders Fixed Term funded 120 fixed</w:t>
      </w:r>
      <w:r w:rsidR="008475D4">
        <w:rPr>
          <w:rFonts w:ascii="Calibri" w:hAnsi="Calibri"/>
          <w:sz w:val="24"/>
        </w:rPr>
        <w:t>-</w:t>
      </w:r>
      <w:r w:rsidRPr="00B32812">
        <w:rPr>
          <w:rFonts w:ascii="Calibri" w:hAnsi="Calibri"/>
          <w:sz w:val="24"/>
        </w:rPr>
        <w:t>term projects (lasting from one to three years) to a total of $8.6</w:t>
      </w:r>
      <w:r w:rsidR="008475D4">
        <w:rPr>
          <w:rFonts w:ascii="Calibri" w:hAnsi="Calibri"/>
          <w:sz w:val="24"/>
        </w:rPr>
        <w:t xml:space="preserve"> million</w:t>
      </w:r>
      <w:r w:rsidRPr="00B32812">
        <w:rPr>
          <w:rFonts w:ascii="Calibri" w:hAnsi="Calibri"/>
          <w:sz w:val="24"/>
        </w:rPr>
        <w:t>.</w:t>
      </w:r>
      <w:r w:rsidR="00A43557">
        <w:rPr>
          <w:rFonts w:ascii="Calibri" w:hAnsi="Calibri"/>
          <w:sz w:val="24"/>
        </w:rPr>
        <w:t xml:space="preserve"> </w:t>
      </w:r>
      <w:r w:rsidRPr="00B32812">
        <w:rPr>
          <w:rFonts w:ascii="Calibri" w:hAnsi="Calibri"/>
          <w:sz w:val="24"/>
        </w:rPr>
        <w:t>Outcomes data shows the following results:</w:t>
      </w:r>
    </w:p>
    <w:p w:rsidR="00B32812" w:rsidRPr="00B32812" w:rsidRDefault="00B32812" w:rsidP="008475D4">
      <w:pPr>
        <w:pStyle w:val="ListBullet"/>
      </w:pPr>
      <w:r w:rsidRPr="00B32812">
        <w:t>93% of participants reported increased community skills</w:t>
      </w:r>
    </w:p>
    <w:p w:rsidR="00B32812" w:rsidRPr="00B32812" w:rsidRDefault="00B32812" w:rsidP="008475D4">
      <w:pPr>
        <w:pStyle w:val="ListBullet"/>
      </w:pPr>
      <w:r w:rsidRPr="00B32812">
        <w:t>87% reported increased participation/capacity to participate</w:t>
      </w:r>
    </w:p>
    <w:p w:rsidR="00B32812" w:rsidRPr="00B32812" w:rsidRDefault="00B32812" w:rsidP="009F64DE">
      <w:pPr>
        <w:pStyle w:val="ListBullet"/>
        <w:ind w:left="357" w:hanging="357"/>
      </w:pPr>
      <w:r w:rsidRPr="00B32812">
        <w:t>89% reported increased connections.</w:t>
      </w:r>
    </w:p>
    <w:p w:rsidR="001C6A73" w:rsidRPr="001C6A73" w:rsidRDefault="001C6A73" w:rsidP="001C6A73">
      <w:pPr>
        <w:rPr>
          <w:rFonts w:ascii="Calibri" w:hAnsi="Calibri"/>
          <w:sz w:val="24"/>
        </w:rPr>
      </w:pPr>
    </w:p>
    <w:p w:rsidR="001C6A73" w:rsidRPr="001C6A73" w:rsidRDefault="001C6A73" w:rsidP="001C6A73">
      <w:pPr>
        <w:rPr>
          <w:rFonts w:ascii="Calibri" w:hAnsi="Calibri"/>
          <w:sz w:val="24"/>
        </w:rPr>
      </w:pPr>
      <w:r w:rsidRPr="001C6A73">
        <w:rPr>
          <w:rFonts w:ascii="Calibri" w:hAnsi="Calibri"/>
          <w:sz w:val="24"/>
        </w:rPr>
        <w:t xml:space="preserve">Families NSW is a </w:t>
      </w:r>
      <w:r w:rsidR="00352CBD" w:rsidRPr="001C6A73">
        <w:rPr>
          <w:rFonts w:ascii="Calibri" w:hAnsi="Calibri"/>
          <w:sz w:val="24"/>
        </w:rPr>
        <w:t>multi-agency</w:t>
      </w:r>
      <w:r w:rsidRPr="001C6A73">
        <w:rPr>
          <w:rFonts w:ascii="Calibri" w:hAnsi="Calibri"/>
          <w:sz w:val="24"/>
        </w:rPr>
        <w:t xml:space="preserve"> prevention and early intervention strategy that supports families expecting a child or with children up to </w:t>
      </w:r>
      <w:r w:rsidR="00352CBD">
        <w:rPr>
          <w:rFonts w:ascii="Calibri" w:hAnsi="Calibri"/>
          <w:sz w:val="24"/>
        </w:rPr>
        <w:t>8</w:t>
      </w:r>
      <w:r w:rsidR="00352CBD" w:rsidRPr="001C6A73">
        <w:rPr>
          <w:rFonts w:ascii="Calibri" w:hAnsi="Calibri"/>
          <w:sz w:val="24"/>
        </w:rPr>
        <w:t xml:space="preserve"> </w:t>
      </w:r>
      <w:r w:rsidRPr="001C6A73">
        <w:rPr>
          <w:rFonts w:ascii="Calibri" w:hAnsi="Calibri"/>
          <w:sz w:val="24"/>
        </w:rPr>
        <w:t xml:space="preserve">years of age. Families NSW is jointly implemented by partner agencies </w:t>
      </w:r>
      <w:r w:rsidR="005F2CB6">
        <w:rPr>
          <w:rFonts w:ascii="Calibri" w:hAnsi="Calibri"/>
          <w:sz w:val="24"/>
        </w:rPr>
        <w:t>FACS</w:t>
      </w:r>
      <w:r w:rsidRPr="001C6A73">
        <w:rPr>
          <w:rFonts w:ascii="Calibri" w:hAnsi="Calibri"/>
          <w:sz w:val="24"/>
        </w:rPr>
        <w:t>, the Ministry of Health and the NSW Department of Education and Communities, together with local government and c</w:t>
      </w:r>
      <w:r w:rsidR="005F2CB6">
        <w:rPr>
          <w:rFonts w:ascii="Calibri" w:hAnsi="Calibri"/>
          <w:sz w:val="24"/>
        </w:rPr>
        <w:t>ommunity organisations. In 2012</w:t>
      </w:r>
      <w:r w:rsidR="00352CBD">
        <w:rPr>
          <w:rFonts w:ascii="Calibri" w:hAnsi="Calibri"/>
          <w:sz w:val="24"/>
        </w:rPr>
        <w:t>–</w:t>
      </w:r>
      <w:r w:rsidRPr="001C6A73">
        <w:rPr>
          <w:rFonts w:ascii="Calibri" w:hAnsi="Calibri"/>
          <w:sz w:val="24"/>
        </w:rPr>
        <w:t xml:space="preserve">13, FACS funded </w:t>
      </w:r>
      <w:r w:rsidR="004004DF">
        <w:rPr>
          <w:rFonts w:ascii="Calibri" w:hAnsi="Calibri"/>
          <w:sz w:val="24"/>
        </w:rPr>
        <w:t>358</w:t>
      </w:r>
      <w:r w:rsidR="004004DF" w:rsidRPr="001C6A73">
        <w:rPr>
          <w:rFonts w:ascii="Calibri" w:hAnsi="Calibri"/>
          <w:sz w:val="24"/>
        </w:rPr>
        <w:t xml:space="preserve"> </w:t>
      </w:r>
      <w:r w:rsidRPr="001C6A73">
        <w:rPr>
          <w:rFonts w:ascii="Calibri" w:hAnsi="Calibri"/>
          <w:sz w:val="24"/>
        </w:rPr>
        <w:t xml:space="preserve">supported </w:t>
      </w:r>
      <w:r w:rsidR="004004DF" w:rsidRPr="001C6A73">
        <w:rPr>
          <w:rFonts w:ascii="Calibri" w:hAnsi="Calibri"/>
          <w:sz w:val="24"/>
        </w:rPr>
        <w:t>playgroup</w:t>
      </w:r>
      <w:r w:rsidR="004004DF">
        <w:rPr>
          <w:rFonts w:ascii="Calibri" w:hAnsi="Calibri"/>
          <w:sz w:val="24"/>
        </w:rPr>
        <w:t xml:space="preserve"> locations</w:t>
      </w:r>
      <w:r w:rsidRPr="001C6A73">
        <w:rPr>
          <w:rFonts w:ascii="Calibri" w:hAnsi="Calibri"/>
          <w:sz w:val="24"/>
        </w:rPr>
        <w:t xml:space="preserve">, </w:t>
      </w:r>
      <w:r w:rsidR="004004DF">
        <w:rPr>
          <w:rFonts w:ascii="Calibri" w:hAnsi="Calibri"/>
          <w:sz w:val="24"/>
        </w:rPr>
        <w:t>100</w:t>
      </w:r>
      <w:r w:rsidR="004004DF" w:rsidRPr="001C6A73">
        <w:rPr>
          <w:rFonts w:ascii="Calibri" w:hAnsi="Calibri"/>
          <w:sz w:val="24"/>
        </w:rPr>
        <w:t xml:space="preserve"> </w:t>
      </w:r>
      <w:r w:rsidRPr="001C6A73">
        <w:rPr>
          <w:rFonts w:ascii="Calibri" w:hAnsi="Calibri"/>
          <w:sz w:val="24"/>
        </w:rPr>
        <w:t>family worker projects, 6</w:t>
      </w:r>
      <w:r w:rsidR="004004DF">
        <w:rPr>
          <w:rFonts w:ascii="Calibri" w:hAnsi="Calibri"/>
          <w:sz w:val="24"/>
        </w:rPr>
        <w:t>5</w:t>
      </w:r>
      <w:r w:rsidRPr="001C6A73">
        <w:rPr>
          <w:rFonts w:ascii="Calibri" w:hAnsi="Calibri"/>
          <w:sz w:val="24"/>
        </w:rPr>
        <w:t xml:space="preserve"> community capacity-building projects, 65 partnerships and networks projects, </w:t>
      </w:r>
      <w:r w:rsidR="00BF6026">
        <w:rPr>
          <w:rFonts w:ascii="Calibri" w:hAnsi="Calibri"/>
          <w:sz w:val="24"/>
        </w:rPr>
        <w:t>eight</w:t>
      </w:r>
      <w:r w:rsidR="0004600C" w:rsidRPr="001C6A73">
        <w:rPr>
          <w:rFonts w:ascii="Calibri" w:hAnsi="Calibri"/>
          <w:sz w:val="24"/>
        </w:rPr>
        <w:t xml:space="preserve"> volunteer</w:t>
      </w:r>
      <w:r w:rsidRPr="001C6A73">
        <w:rPr>
          <w:rFonts w:ascii="Calibri" w:hAnsi="Calibri"/>
          <w:sz w:val="24"/>
        </w:rPr>
        <w:t xml:space="preserve"> home visiting projects and 4</w:t>
      </w:r>
      <w:r w:rsidR="004004DF">
        <w:rPr>
          <w:rFonts w:ascii="Calibri" w:hAnsi="Calibri"/>
          <w:sz w:val="24"/>
        </w:rPr>
        <w:t>2</w:t>
      </w:r>
      <w:r w:rsidRPr="001C6A73">
        <w:rPr>
          <w:rFonts w:ascii="Calibri" w:hAnsi="Calibri"/>
          <w:sz w:val="24"/>
        </w:rPr>
        <w:t xml:space="preserve"> parenting program projects.</w:t>
      </w:r>
    </w:p>
    <w:p w:rsidR="001C6A73" w:rsidRPr="001C6A73" w:rsidRDefault="001C6A73" w:rsidP="001C6A73">
      <w:pPr>
        <w:rPr>
          <w:rFonts w:ascii="Calibri" w:hAnsi="Calibri"/>
          <w:sz w:val="24"/>
        </w:rPr>
      </w:pPr>
    </w:p>
    <w:p w:rsidR="001C6A73" w:rsidRPr="001C6A73" w:rsidRDefault="001C6A73" w:rsidP="001C6A73">
      <w:pPr>
        <w:rPr>
          <w:rFonts w:ascii="Calibri" w:hAnsi="Calibri"/>
          <w:sz w:val="24"/>
        </w:rPr>
      </w:pPr>
      <w:r w:rsidRPr="001C6A73">
        <w:rPr>
          <w:rFonts w:ascii="Calibri" w:hAnsi="Calibri"/>
          <w:sz w:val="24"/>
        </w:rPr>
        <w:t>FACS continued to invest in the Positive Parenting Program (Triple P) during 2012</w:t>
      </w:r>
      <w:r w:rsidR="00733FD4">
        <w:rPr>
          <w:rFonts w:ascii="Calibri" w:hAnsi="Calibri"/>
          <w:sz w:val="24"/>
        </w:rPr>
        <w:t>–</w:t>
      </w:r>
      <w:r w:rsidRPr="001C6A73">
        <w:rPr>
          <w:rFonts w:ascii="Calibri" w:hAnsi="Calibri"/>
          <w:sz w:val="24"/>
        </w:rPr>
        <w:t xml:space="preserve">13. Triple P is one of the most extensively evaluated, strongly supported and widely implemented parenting interventions in the world. Triple P provides a platform for parents and children to build effective community support networks and provides the flexibility to deliver results across the continuum of FACS Community Services </w:t>
      </w:r>
      <w:r w:rsidR="00352B6E">
        <w:rPr>
          <w:rFonts w:ascii="Calibri" w:hAnsi="Calibri"/>
          <w:sz w:val="24"/>
        </w:rPr>
        <w:t>(</w:t>
      </w:r>
      <w:proofErr w:type="gramStart"/>
      <w:r w:rsidR="00352B6E">
        <w:rPr>
          <w:rFonts w:ascii="Calibri" w:hAnsi="Calibri"/>
          <w:sz w:val="24"/>
        </w:rPr>
        <w:t>FACS(</w:t>
      </w:r>
      <w:proofErr w:type="gramEnd"/>
      <w:r w:rsidR="00352B6E">
        <w:rPr>
          <w:rFonts w:ascii="Calibri" w:hAnsi="Calibri"/>
          <w:sz w:val="24"/>
        </w:rPr>
        <w:t xml:space="preserve">CS)) </w:t>
      </w:r>
      <w:r w:rsidRPr="001C6A73">
        <w:rPr>
          <w:rFonts w:ascii="Calibri" w:hAnsi="Calibri"/>
          <w:sz w:val="24"/>
        </w:rPr>
        <w:t>clients.</w:t>
      </w:r>
    </w:p>
    <w:p w:rsidR="001C6A73" w:rsidRPr="001C6A73" w:rsidRDefault="001C6A73" w:rsidP="001C6A73">
      <w:pPr>
        <w:rPr>
          <w:rFonts w:ascii="Calibri" w:hAnsi="Calibri"/>
          <w:sz w:val="24"/>
        </w:rPr>
      </w:pPr>
    </w:p>
    <w:p w:rsidR="001C6A73" w:rsidRPr="001C6A73" w:rsidRDefault="001C6A73" w:rsidP="001C6A73">
      <w:pPr>
        <w:rPr>
          <w:rFonts w:ascii="Calibri" w:hAnsi="Calibri"/>
          <w:sz w:val="24"/>
        </w:rPr>
      </w:pPr>
      <w:r w:rsidRPr="001C6A73">
        <w:rPr>
          <w:rFonts w:ascii="Calibri" w:hAnsi="Calibri"/>
          <w:sz w:val="24"/>
        </w:rPr>
        <w:t>FACS Agei</w:t>
      </w:r>
      <w:r w:rsidR="005F2CB6">
        <w:rPr>
          <w:rFonts w:ascii="Calibri" w:hAnsi="Calibri"/>
          <w:sz w:val="24"/>
        </w:rPr>
        <w:t>ng</w:t>
      </w:r>
      <w:r w:rsidR="00C14120">
        <w:rPr>
          <w:rFonts w:ascii="Calibri" w:hAnsi="Calibri"/>
          <w:sz w:val="24"/>
        </w:rPr>
        <w:t>,</w:t>
      </w:r>
      <w:r w:rsidR="005F2CB6">
        <w:rPr>
          <w:rFonts w:ascii="Calibri" w:hAnsi="Calibri"/>
          <w:sz w:val="24"/>
        </w:rPr>
        <w:t xml:space="preserve"> Disability and Home Care (ADHC) </w:t>
      </w:r>
      <w:proofErr w:type="spellStart"/>
      <w:r w:rsidRPr="001C6A73">
        <w:rPr>
          <w:rFonts w:ascii="Calibri" w:hAnsi="Calibri"/>
          <w:sz w:val="24"/>
        </w:rPr>
        <w:t>Statewide</w:t>
      </w:r>
      <w:proofErr w:type="spellEnd"/>
      <w:r w:rsidRPr="001C6A73">
        <w:rPr>
          <w:rFonts w:ascii="Calibri" w:hAnsi="Calibri"/>
          <w:sz w:val="24"/>
        </w:rPr>
        <w:t xml:space="preserve"> Behaviour Intervention Service</w:t>
      </w:r>
      <w:r w:rsidR="005F2CB6">
        <w:rPr>
          <w:rFonts w:ascii="Calibri" w:hAnsi="Calibri"/>
          <w:sz w:val="24"/>
        </w:rPr>
        <w:t>,</w:t>
      </w:r>
      <w:r w:rsidRPr="001C6A73">
        <w:rPr>
          <w:rFonts w:ascii="Calibri" w:hAnsi="Calibri"/>
          <w:sz w:val="24"/>
        </w:rPr>
        <w:t xml:space="preserve"> in partnership with the Children’s Hospital Westmead and School-link</w:t>
      </w:r>
      <w:r w:rsidR="005F2CB6">
        <w:rPr>
          <w:rFonts w:ascii="Calibri" w:hAnsi="Calibri"/>
          <w:sz w:val="24"/>
        </w:rPr>
        <w:t>,</w:t>
      </w:r>
      <w:r w:rsidRPr="001C6A73">
        <w:rPr>
          <w:rFonts w:ascii="Calibri" w:hAnsi="Calibri"/>
          <w:sz w:val="24"/>
        </w:rPr>
        <w:t xml:space="preserve"> </w:t>
      </w:r>
      <w:r w:rsidR="005F2CB6">
        <w:rPr>
          <w:rFonts w:ascii="Calibri" w:hAnsi="Calibri"/>
          <w:sz w:val="24"/>
        </w:rPr>
        <w:t>rolled</w:t>
      </w:r>
      <w:r w:rsidRPr="001C6A73">
        <w:rPr>
          <w:rFonts w:ascii="Calibri" w:hAnsi="Calibri"/>
          <w:sz w:val="24"/>
        </w:rPr>
        <w:t xml:space="preserve"> out a series of </w:t>
      </w:r>
      <w:r w:rsidR="005F2CB6" w:rsidRPr="005F2CB6">
        <w:rPr>
          <w:rFonts w:ascii="Calibri" w:hAnsi="Calibri"/>
          <w:sz w:val="24"/>
        </w:rPr>
        <w:t>Triple P Stepping Stones Group Parent Training</w:t>
      </w:r>
      <w:r w:rsidR="005F2CB6">
        <w:rPr>
          <w:rFonts w:ascii="Calibri" w:hAnsi="Calibri"/>
          <w:sz w:val="24"/>
        </w:rPr>
        <w:t xml:space="preserve"> sessions</w:t>
      </w:r>
      <w:r w:rsidRPr="001C6A73">
        <w:rPr>
          <w:rFonts w:ascii="Calibri" w:hAnsi="Calibri"/>
          <w:sz w:val="24"/>
        </w:rPr>
        <w:t xml:space="preserve"> across the state. ADHC </w:t>
      </w:r>
      <w:proofErr w:type="gramStart"/>
      <w:r w:rsidRPr="001C6A73">
        <w:rPr>
          <w:rFonts w:ascii="Calibri" w:hAnsi="Calibri"/>
          <w:sz w:val="24"/>
        </w:rPr>
        <w:t>staff have</w:t>
      </w:r>
      <w:proofErr w:type="gramEnd"/>
      <w:r w:rsidRPr="001C6A73">
        <w:rPr>
          <w:rFonts w:ascii="Calibri" w:hAnsi="Calibri"/>
          <w:sz w:val="24"/>
        </w:rPr>
        <w:t xml:space="preserve"> been partnered with Department of Education and Communities staff to deliver this specialised parent training course. This project has included a research component which delivered positive outcomes for parents and children with disability and</w:t>
      </w:r>
      <w:r w:rsidR="0004261B">
        <w:rPr>
          <w:rFonts w:ascii="Calibri" w:hAnsi="Calibri"/>
          <w:sz w:val="24"/>
        </w:rPr>
        <w:t xml:space="preserve"> </w:t>
      </w:r>
      <w:r w:rsidRPr="001C6A73">
        <w:rPr>
          <w:rFonts w:ascii="Calibri" w:hAnsi="Calibri"/>
          <w:sz w:val="24"/>
        </w:rPr>
        <w:t xml:space="preserve">behavioural difficulties. </w:t>
      </w:r>
      <w:r w:rsidR="0004261B" w:rsidRPr="0004261B">
        <w:rPr>
          <w:rFonts w:ascii="Calibri" w:hAnsi="Calibri"/>
          <w:sz w:val="24"/>
        </w:rPr>
        <w:t>The program has been expanded in the current phase to a wider variety of schools beyond Schools for Specific Purposes (SSP).</w:t>
      </w:r>
      <w:r w:rsidR="00A43557">
        <w:rPr>
          <w:rFonts w:ascii="Calibri" w:hAnsi="Calibri"/>
          <w:sz w:val="24"/>
        </w:rPr>
        <w:t xml:space="preserve"> </w:t>
      </w:r>
      <w:r w:rsidR="0004261B" w:rsidRPr="0004261B">
        <w:rPr>
          <w:rFonts w:ascii="Calibri" w:hAnsi="Calibri"/>
          <w:sz w:val="24"/>
        </w:rPr>
        <w:t>SSPs provide a specialised educational setting for students requiring intensive levels of support.</w:t>
      </w:r>
      <w:r w:rsidRPr="001C6A73">
        <w:rPr>
          <w:rFonts w:ascii="Calibri" w:hAnsi="Calibri"/>
          <w:sz w:val="24"/>
        </w:rPr>
        <w:t xml:space="preserve"> </w:t>
      </w:r>
      <w:r w:rsidR="00733FD4">
        <w:rPr>
          <w:rFonts w:ascii="Calibri" w:hAnsi="Calibri"/>
          <w:sz w:val="24"/>
        </w:rPr>
        <w:t>To date</w:t>
      </w:r>
      <w:r w:rsidR="00BE0BF6">
        <w:rPr>
          <w:rFonts w:ascii="Calibri" w:hAnsi="Calibri"/>
          <w:sz w:val="24"/>
        </w:rPr>
        <w:t>,</w:t>
      </w:r>
      <w:r w:rsidRPr="001C6A73">
        <w:rPr>
          <w:rFonts w:ascii="Calibri" w:hAnsi="Calibri"/>
          <w:sz w:val="24"/>
        </w:rPr>
        <w:t xml:space="preserve"> 17 schools have been involved.</w:t>
      </w:r>
    </w:p>
    <w:p w:rsidR="001C6A73" w:rsidRPr="001C6A73" w:rsidRDefault="001C6A73" w:rsidP="001C6A73">
      <w:pPr>
        <w:rPr>
          <w:rFonts w:ascii="Calibri" w:hAnsi="Calibri"/>
          <w:sz w:val="24"/>
        </w:rPr>
      </w:pPr>
    </w:p>
    <w:p w:rsidR="001C6A73" w:rsidRPr="001C6A73" w:rsidRDefault="00BE0BF6" w:rsidP="001C6A73">
      <w:pPr>
        <w:rPr>
          <w:rFonts w:ascii="Calibri" w:hAnsi="Calibri"/>
          <w:sz w:val="24"/>
        </w:rPr>
      </w:pPr>
      <w:r>
        <w:rPr>
          <w:rFonts w:ascii="Calibri" w:hAnsi="Calibri"/>
          <w:sz w:val="24"/>
        </w:rPr>
        <w:t>Sustaining NSW F</w:t>
      </w:r>
      <w:r w:rsidR="001C6A73" w:rsidRPr="001C6A73">
        <w:rPr>
          <w:rFonts w:ascii="Calibri" w:hAnsi="Calibri"/>
          <w:sz w:val="24"/>
        </w:rPr>
        <w:t>amilies is an intensive home visiting program provided by NSW Health which commences</w:t>
      </w:r>
      <w:r w:rsidR="00733FD4">
        <w:rPr>
          <w:rFonts w:ascii="Calibri" w:hAnsi="Calibri"/>
          <w:sz w:val="24"/>
        </w:rPr>
        <w:t>,</w:t>
      </w:r>
      <w:r w:rsidR="001C6A73" w:rsidRPr="001C6A73">
        <w:rPr>
          <w:rFonts w:ascii="Calibri" w:hAnsi="Calibri"/>
          <w:sz w:val="24"/>
        </w:rPr>
        <w:t xml:space="preserve"> ideally</w:t>
      </w:r>
      <w:r w:rsidR="00733FD4">
        <w:rPr>
          <w:rFonts w:ascii="Calibri" w:hAnsi="Calibri"/>
          <w:sz w:val="24"/>
        </w:rPr>
        <w:t>,</w:t>
      </w:r>
      <w:r w:rsidR="001C6A73" w:rsidRPr="001C6A73">
        <w:rPr>
          <w:rFonts w:ascii="Calibri" w:hAnsi="Calibri"/>
          <w:sz w:val="24"/>
        </w:rPr>
        <w:t xml:space="preserve"> during the antenatal stage and continues until a child reaches </w:t>
      </w:r>
      <w:r w:rsidR="00733FD4">
        <w:rPr>
          <w:rFonts w:ascii="Calibri" w:hAnsi="Calibri"/>
          <w:sz w:val="24"/>
        </w:rPr>
        <w:t>2</w:t>
      </w:r>
      <w:r w:rsidR="0004600C">
        <w:rPr>
          <w:rFonts w:ascii="Calibri" w:hAnsi="Calibri"/>
          <w:sz w:val="24"/>
        </w:rPr>
        <w:t> </w:t>
      </w:r>
      <w:r w:rsidR="001C6A73" w:rsidRPr="001C6A73">
        <w:rPr>
          <w:rFonts w:ascii="Calibri" w:hAnsi="Calibri"/>
          <w:sz w:val="24"/>
        </w:rPr>
        <w:t>years of age. The program is for those families who are significantly affected by social and economic disadvantage and where psychosocial risks may impact on their capacity to parent well. The program has a strong focus on developing a positive parent and child relationship</w:t>
      </w:r>
      <w:r w:rsidR="00733FD4">
        <w:rPr>
          <w:rFonts w:ascii="Calibri" w:hAnsi="Calibri"/>
          <w:sz w:val="24"/>
        </w:rPr>
        <w:t>,</w:t>
      </w:r>
      <w:r w:rsidR="001C6A73" w:rsidRPr="001C6A73">
        <w:rPr>
          <w:rFonts w:ascii="Calibri" w:hAnsi="Calibri"/>
          <w:sz w:val="24"/>
        </w:rPr>
        <w:t xml:space="preserve"> which in turn support</w:t>
      </w:r>
      <w:r w:rsidR="00733FD4">
        <w:rPr>
          <w:rFonts w:ascii="Calibri" w:hAnsi="Calibri"/>
          <w:sz w:val="24"/>
        </w:rPr>
        <w:t>s</w:t>
      </w:r>
      <w:r w:rsidR="001C6A73" w:rsidRPr="001C6A73">
        <w:rPr>
          <w:rFonts w:ascii="Calibri" w:hAnsi="Calibri"/>
          <w:sz w:val="24"/>
        </w:rPr>
        <w:t xml:space="preserve"> parents to meet the physical, social and emotional needs of their infants. The nursing </w:t>
      </w:r>
      <w:proofErr w:type="gramStart"/>
      <w:r w:rsidR="001C6A73" w:rsidRPr="001C6A73">
        <w:rPr>
          <w:rFonts w:ascii="Calibri" w:hAnsi="Calibri"/>
          <w:sz w:val="24"/>
        </w:rPr>
        <w:t>staff</w:t>
      </w:r>
      <w:proofErr w:type="gramEnd"/>
      <w:r w:rsidR="001C6A73" w:rsidRPr="001C6A73">
        <w:rPr>
          <w:rFonts w:ascii="Calibri" w:hAnsi="Calibri"/>
          <w:sz w:val="24"/>
        </w:rPr>
        <w:t xml:space="preserve"> who provide the direct service to these families are being supported through a partnership with Tresillian Family Care. </w:t>
      </w:r>
    </w:p>
    <w:p w:rsidR="001C6A73" w:rsidRPr="001C6A73" w:rsidRDefault="001C6A73" w:rsidP="001C6A73">
      <w:pPr>
        <w:rPr>
          <w:rFonts w:ascii="Calibri" w:hAnsi="Calibri"/>
          <w:sz w:val="24"/>
        </w:rPr>
      </w:pPr>
    </w:p>
    <w:p w:rsidR="001C6A73" w:rsidRPr="001C6A73" w:rsidRDefault="001C6A73" w:rsidP="001C6A73">
      <w:pPr>
        <w:rPr>
          <w:rFonts w:ascii="Calibri" w:hAnsi="Calibri"/>
          <w:sz w:val="24"/>
        </w:rPr>
      </w:pPr>
      <w:r w:rsidRPr="001C6A73">
        <w:rPr>
          <w:rFonts w:ascii="Calibri" w:hAnsi="Calibri"/>
          <w:sz w:val="24"/>
        </w:rPr>
        <w:t>During 2012</w:t>
      </w:r>
      <w:r w:rsidR="00733FD4">
        <w:rPr>
          <w:rFonts w:ascii="Calibri" w:hAnsi="Calibri"/>
          <w:sz w:val="24"/>
        </w:rPr>
        <w:t>–</w:t>
      </w:r>
      <w:r w:rsidRPr="001C6A73">
        <w:rPr>
          <w:rFonts w:ascii="Calibri" w:hAnsi="Calibri"/>
          <w:sz w:val="24"/>
        </w:rPr>
        <w:t>13</w:t>
      </w:r>
      <w:r w:rsidR="00BE0BF6">
        <w:rPr>
          <w:rFonts w:ascii="Calibri" w:hAnsi="Calibri"/>
          <w:sz w:val="24"/>
        </w:rPr>
        <w:t>,</w:t>
      </w:r>
      <w:r w:rsidRPr="001C6A73">
        <w:rPr>
          <w:rFonts w:ascii="Calibri" w:hAnsi="Calibri"/>
          <w:sz w:val="24"/>
        </w:rPr>
        <w:t xml:space="preserve"> FACS provided </w:t>
      </w:r>
      <w:r w:rsidR="003A0617">
        <w:rPr>
          <w:rFonts w:ascii="Calibri" w:hAnsi="Calibri"/>
          <w:sz w:val="24"/>
        </w:rPr>
        <w:t>i</w:t>
      </w:r>
      <w:r w:rsidRPr="001C6A73">
        <w:rPr>
          <w:rFonts w:ascii="Calibri" w:hAnsi="Calibri"/>
          <w:sz w:val="24"/>
        </w:rPr>
        <w:t xml:space="preserve">nformation </w:t>
      </w:r>
      <w:r w:rsidR="003A0617">
        <w:rPr>
          <w:rFonts w:ascii="Calibri" w:hAnsi="Calibri"/>
          <w:sz w:val="24"/>
        </w:rPr>
        <w:t>s</w:t>
      </w:r>
      <w:r w:rsidRPr="001C6A73">
        <w:rPr>
          <w:rFonts w:ascii="Calibri" w:hAnsi="Calibri"/>
          <w:sz w:val="24"/>
        </w:rPr>
        <w:t>essions about the role of Community Services (CS), the NSW Child Protection system, and parenting and discipline practices in Australia</w:t>
      </w:r>
      <w:r w:rsidR="00733FD4">
        <w:rPr>
          <w:rFonts w:ascii="Calibri" w:hAnsi="Calibri"/>
          <w:sz w:val="24"/>
        </w:rPr>
        <w:t>,</w:t>
      </w:r>
      <w:r w:rsidRPr="001C6A73">
        <w:rPr>
          <w:rFonts w:ascii="Calibri" w:hAnsi="Calibri"/>
          <w:sz w:val="24"/>
        </w:rPr>
        <w:t xml:space="preserve"> to communities from Iraq, Iran, Afghan</w:t>
      </w:r>
      <w:r w:rsidR="00733FD4">
        <w:rPr>
          <w:rFonts w:ascii="Calibri" w:hAnsi="Calibri"/>
          <w:sz w:val="24"/>
        </w:rPr>
        <w:t>istan</w:t>
      </w:r>
      <w:r w:rsidRPr="001C6A73">
        <w:rPr>
          <w:rFonts w:ascii="Calibri" w:hAnsi="Calibri"/>
          <w:sz w:val="24"/>
        </w:rPr>
        <w:t>, Africa, Sri Lanka, China, Burma, Nepal, Fiji and India.</w:t>
      </w:r>
    </w:p>
    <w:p w:rsidR="001C6A73" w:rsidRPr="001C6A73" w:rsidRDefault="001C6A73" w:rsidP="001C6A73">
      <w:pPr>
        <w:rPr>
          <w:rFonts w:ascii="Calibri" w:hAnsi="Calibri"/>
          <w:sz w:val="24"/>
        </w:rPr>
      </w:pPr>
    </w:p>
    <w:p w:rsidR="001C6A73" w:rsidRPr="00FF6B42" w:rsidRDefault="001C6A73" w:rsidP="001C6A73">
      <w:pPr>
        <w:rPr>
          <w:rFonts w:ascii="Calibri" w:hAnsi="Calibri"/>
          <w:sz w:val="24"/>
        </w:rPr>
      </w:pPr>
      <w:r w:rsidRPr="00FF6B42">
        <w:rPr>
          <w:rFonts w:ascii="Calibri" w:hAnsi="Calibri"/>
          <w:sz w:val="24"/>
        </w:rPr>
        <w:t xml:space="preserve">The Community Learning Circles at Metro West </w:t>
      </w:r>
      <w:r w:rsidR="000C31F2" w:rsidRPr="00FF6B42">
        <w:rPr>
          <w:rFonts w:ascii="Calibri" w:hAnsi="Calibri"/>
          <w:sz w:val="24"/>
        </w:rPr>
        <w:t>and</w:t>
      </w:r>
      <w:r w:rsidRPr="00FF6B42">
        <w:rPr>
          <w:rFonts w:ascii="Calibri" w:hAnsi="Calibri"/>
          <w:sz w:val="24"/>
        </w:rPr>
        <w:t xml:space="preserve"> Metro Central Regions</w:t>
      </w:r>
      <w:r w:rsidR="00D44059" w:rsidRPr="00FF6B42">
        <w:rPr>
          <w:rFonts w:ascii="Calibri" w:hAnsi="Calibri"/>
          <w:sz w:val="24"/>
        </w:rPr>
        <w:t xml:space="preserve"> provide an opportunity for l</w:t>
      </w:r>
      <w:r w:rsidRPr="00FF6B42">
        <w:rPr>
          <w:rFonts w:ascii="Calibri" w:hAnsi="Calibri"/>
          <w:sz w:val="24"/>
        </w:rPr>
        <w:t xml:space="preserve">ocal leaders from </w:t>
      </w:r>
      <w:proofErr w:type="gramStart"/>
      <w:r w:rsidRPr="00FF6B42">
        <w:rPr>
          <w:rFonts w:ascii="Calibri" w:hAnsi="Calibri"/>
          <w:sz w:val="24"/>
        </w:rPr>
        <w:t>FACS</w:t>
      </w:r>
      <w:r w:rsidR="00352B6E">
        <w:rPr>
          <w:rFonts w:ascii="Calibri" w:hAnsi="Calibri"/>
          <w:sz w:val="24"/>
        </w:rPr>
        <w:t>(</w:t>
      </w:r>
      <w:proofErr w:type="gramEnd"/>
      <w:r w:rsidR="00352B6E">
        <w:rPr>
          <w:rFonts w:ascii="Calibri" w:hAnsi="Calibri"/>
          <w:sz w:val="24"/>
        </w:rPr>
        <w:t>CS)</w:t>
      </w:r>
      <w:r w:rsidRPr="00FF6B42">
        <w:rPr>
          <w:rFonts w:ascii="Calibri" w:hAnsi="Calibri"/>
          <w:sz w:val="24"/>
        </w:rPr>
        <w:t xml:space="preserve"> and emerging new CALD communities </w:t>
      </w:r>
      <w:r w:rsidR="007004DB" w:rsidRPr="00FF6B42">
        <w:rPr>
          <w:rFonts w:ascii="Calibri" w:hAnsi="Calibri"/>
          <w:sz w:val="24"/>
        </w:rPr>
        <w:t xml:space="preserve">to </w:t>
      </w:r>
      <w:r w:rsidRPr="00FF6B42">
        <w:rPr>
          <w:rFonts w:ascii="Calibri" w:hAnsi="Calibri"/>
          <w:sz w:val="24"/>
        </w:rPr>
        <w:t xml:space="preserve">meet regularly to build relations </w:t>
      </w:r>
      <w:r w:rsidR="000767E1" w:rsidRPr="00FF6B42">
        <w:rPr>
          <w:rFonts w:ascii="Calibri" w:hAnsi="Calibri"/>
          <w:sz w:val="24"/>
        </w:rPr>
        <w:t xml:space="preserve">in order </w:t>
      </w:r>
      <w:r w:rsidRPr="00FF6B42">
        <w:rPr>
          <w:rFonts w:ascii="Calibri" w:hAnsi="Calibri"/>
          <w:sz w:val="24"/>
        </w:rPr>
        <w:t>to maximise positive outcomes for children and young people from new communities</w:t>
      </w:r>
      <w:r w:rsidR="00FF6B42" w:rsidRPr="00FF6B42">
        <w:rPr>
          <w:rFonts w:ascii="Calibri" w:hAnsi="Calibri"/>
          <w:sz w:val="24"/>
        </w:rPr>
        <w:t>.</w:t>
      </w:r>
    </w:p>
    <w:p w:rsidR="001C6A73" w:rsidRPr="001C6A73" w:rsidRDefault="001C6A73" w:rsidP="001C6A73">
      <w:pPr>
        <w:rPr>
          <w:rFonts w:ascii="Calibri" w:hAnsi="Calibri"/>
          <w:sz w:val="24"/>
        </w:rPr>
      </w:pPr>
    </w:p>
    <w:p w:rsidR="001C6A73" w:rsidRPr="001C6A73" w:rsidRDefault="001C6A73" w:rsidP="001C6A73">
      <w:pPr>
        <w:rPr>
          <w:rFonts w:ascii="Calibri" w:hAnsi="Calibri"/>
          <w:sz w:val="24"/>
        </w:rPr>
      </w:pPr>
      <w:r w:rsidRPr="001C6A73">
        <w:rPr>
          <w:rFonts w:ascii="Calibri" w:hAnsi="Calibri"/>
          <w:sz w:val="24"/>
        </w:rPr>
        <w:t>Information sessions on child protection reporting and services have been provided t</w:t>
      </w:r>
      <w:r w:rsidR="00BE0BF6">
        <w:rPr>
          <w:rFonts w:ascii="Calibri" w:hAnsi="Calibri"/>
          <w:sz w:val="24"/>
        </w:rPr>
        <w:t>o settlement services providers</w:t>
      </w:r>
      <w:r w:rsidRPr="001C6A73">
        <w:rPr>
          <w:rFonts w:ascii="Calibri" w:hAnsi="Calibri"/>
          <w:sz w:val="24"/>
        </w:rPr>
        <w:t xml:space="preserve"> who work with recently arrived migrant and refugee communities. These sessions have been provided recently in the Hunter and Southern NSW regions.</w:t>
      </w:r>
    </w:p>
    <w:p w:rsidR="0070227E" w:rsidRPr="000265E0" w:rsidRDefault="00B22FF7" w:rsidP="0068248F">
      <w:pPr>
        <w:pStyle w:val="Heading3"/>
      </w:pPr>
      <w:bookmarkStart w:id="92" w:name="_Toc400007703"/>
      <w:r w:rsidRPr="000265E0">
        <w:t>Northern Territory</w:t>
      </w:r>
      <w:bookmarkEnd w:id="92"/>
    </w:p>
    <w:p w:rsidR="00D81603" w:rsidRDefault="00D81603" w:rsidP="00D92BEA">
      <w:pPr>
        <w:pStyle w:val="Heading4"/>
      </w:pPr>
      <w:r>
        <w:t>Early Childhood</w:t>
      </w:r>
    </w:p>
    <w:p w:rsidR="00D81603" w:rsidRPr="00D81603" w:rsidRDefault="00D81603" w:rsidP="00B22FF7">
      <w:pPr>
        <w:rPr>
          <w:rFonts w:ascii="Calibri" w:hAnsi="Calibri"/>
          <w:sz w:val="24"/>
        </w:rPr>
      </w:pPr>
      <w:r w:rsidRPr="00D81603">
        <w:rPr>
          <w:rFonts w:ascii="Calibri" w:hAnsi="Calibri"/>
          <w:sz w:val="24"/>
        </w:rPr>
        <w:t xml:space="preserve">In the Northern Territory, the Families as First Teachers </w:t>
      </w:r>
      <w:r w:rsidR="007B6F56">
        <w:rPr>
          <w:rFonts w:ascii="Calibri" w:hAnsi="Calibri"/>
          <w:sz w:val="24"/>
        </w:rPr>
        <w:t>(</w:t>
      </w:r>
      <w:proofErr w:type="spellStart"/>
      <w:r w:rsidR="007B6F56">
        <w:rPr>
          <w:rFonts w:ascii="Calibri" w:hAnsi="Calibri"/>
          <w:sz w:val="24"/>
        </w:rPr>
        <w:t>FaFT</w:t>
      </w:r>
      <w:proofErr w:type="spellEnd"/>
      <w:r w:rsidR="007B6F56">
        <w:rPr>
          <w:rFonts w:ascii="Calibri" w:hAnsi="Calibri"/>
          <w:sz w:val="24"/>
        </w:rPr>
        <w:t xml:space="preserve">) </w:t>
      </w:r>
      <w:r w:rsidRPr="00D81603">
        <w:rPr>
          <w:rFonts w:ascii="Calibri" w:hAnsi="Calibri"/>
          <w:sz w:val="24"/>
        </w:rPr>
        <w:t xml:space="preserve">program provides </w:t>
      </w:r>
      <w:r w:rsidR="007B6F56">
        <w:rPr>
          <w:rFonts w:ascii="Calibri" w:hAnsi="Calibri"/>
          <w:sz w:val="24"/>
        </w:rPr>
        <w:t>place-</w:t>
      </w:r>
      <w:r w:rsidRPr="00D81603">
        <w:rPr>
          <w:rFonts w:ascii="Calibri" w:hAnsi="Calibri"/>
          <w:sz w:val="24"/>
        </w:rPr>
        <w:t>based early childhood and parenting support programs in 21 large remote centres and 24 smaller communities through a mobile model.</w:t>
      </w:r>
      <w:r w:rsidR="00D26B57">
        <w:rPr>
          <w:rFonts w:ascii="Calibri" w:hAnsi="Calibri"/>
          <w:sz w:val="24"/>
        </w:rPr>
        <w:t xml:space="preserve"> </w:t>
      </w:r>
      <w:r w:rsidRPr="00D81603">
        <w:rPr>
          <w:rFonts w:ascii="Calibri" w:hAnsi="Calibri"/>
          <w:sz w:val="24"/>
        </w:rPr>
        <w:t xml:space="preserve">The services provide </w:t>
      </w:r>
      <w:r w:rsidR="007B6F56">
        <w:rPr>
          <w:rFonts w:ascii="Calibri" w:hAnsi="Calibri"/>
          <w:sz w:val="24"/>
        </w:rPr>
        <w:t>joined-</w:t>
      </w:r>
      <w:r w:rsidRPr="00D81603">
        <w:rPr>
          <w:rFonts w:ascii="Calibri" w:hAnsi="Calibri"/>
          <w:sz w:val="24"/>
        </w:rPr>
        <w:t>up approaches</w:t>
      </w:r>
      <w:r w:rsidR="00BF6026">
        <w:rPr>
          <w:rFonts w:ascii="Calibri" w:hAnsi="Calibri"/>
          <w:sz w:val="24"/>
        </w:rPr>
        <w:t>,</w:t>
      </w:r>
      <w:r w:rsidRPr="00D81603">
        <w:rPr>
          <w:rFonts w:ascii="Calibri" w:hAnsi="Calibri"/>
          <w:sz w:val="24"/>
        </w:rPr>
        <w:t xml:space="preserve"> </w:t>
      </w:r>
      <w:r w:rsidR="007B6F56">
        <w:rPr>
          <w:rFonts w:ascii="Calibri" w:hAnsi="Calibri"/>
          <w:sz w:val="24"/>
        </w:rPr>
        <w:t xml:space="preserve">along </w:t>
      </w:r>
      <w:r w:rsidRPr="00D81603">
        <w:rPr>
          <w:rFonts w:ascii="Calibri" w:hAnsi="Calibri"/>
          <w:sz w:val="24"/>
        </w:rPr>
        <w:t>with health and child protection services</w:t>
      </w:r>
      <w:r w:rsidR="00BF6026">
        <w:rPr>
          <w:rFonts w:ascii="Calibri" w:hAnsi="Calibri"/>
          <w:sz w:val="24"/>
        </w:rPr>
        <w:t>,</w:t>
      </w:r>
      <w:r w:rsidRPr="00D81603">
        <w:rPr>
          <w:rFonts w:ascii="Calibri" w:hAnsi="Calibri"/>
          <w:sz w:val="24"/>
        </w:rPr>
        <w:t xml:space="preserve"> from birth and work to implement transition to preschool programs with remote Indigenous families.</w:t>
      </w:r>
      <w:r w:rsidR="00D26B57">
        <w:rPr>
          <w:rFonts w:ascii="Calibri" w:hAnsi="Calibri"/>
          <w:sz w:val="24"/>
        </w:rPr>
        <w:t xml:space="preserve"> </w:t>
      </w:r>
      <w:r w:rsidRPr="00D81603">
        <w:rPr>
          <w:rFonts w:ascii="Calibri" w:hAnsi="Calibri"/>
          <w:sz w:val="24"/>
        </w:rPr>
        <w:t xml:space="preserve">The Department of Education has reviewed the early childhood programs to increase the effectiveness of these strategies. This </w:t>
      </w:r>
      <w:r w:rsidR="00BE0BF6">
        <w:rPr>
          <w:rFonts w:ascii="Calibri" w:hAnsi="Calibri"/>
          <w:sz w:val="24"/>
        </w:rPr>
        <w:t>was done</w:t>
      </w:r>
      <w:r w:rsidRPr="00D81603">
        <w:rPr>
          <w:rFonts w:ascii="Calibri" w:hAnsi="Calibri"/>
          <w:sz w:val="24"/>
        </w:rPr>
        <w:t xml:space="preserve"> through the current Universal Access Implementation plan, the </w:t>
      </w:r>
      <w:proofErr w:type="spellStart"/>
      <w:r w:rsidRPr="00D81603">
        <w:rPr>
          <w:rFonts w:ascii="Calibri" w:hAnsi="Calibri"/>
          <w:sz w:val="24"/>
        </w:rPr>
        <w:t>FaFT</w:t>
      </w:r>
      <w:proofErr w:type="spellEnd"/>
      <w:r w:rsidRPr="00D81603">
        <w:rPr>
          <w:rFonts w:ascii="Calibri" w:hAnsi="Calibri"/>
          <w:sz w:val="24"/>
        </w:rPr>
        <w:t xml:space="preserve"> transition to preschool and the principal survey and evaluation 2012.</w:t>
      </w:r>
      <w:r w:rsidR="00D26B57">
        <w:rPr>
          <w:rFonts w:ascii="Calibri" w:hAnsi="Calibri"/>
          <w:sz w:val="24"/>
        </w:rPr>
        <w:t xml:space="preserve"> </w:t>
      </w:r>
      <w:r w:rsidRPr="00D81603">
        <w:rPr>
          <w:rFonts w:ascii="Calibri" w:hAnsi="Calibri"/>
          <w:sz w:val="24"/>
        </w:rPr>
        <w:t xml:space="preserve">An integrated approach for vulnerable children </w:t>
      </w:r>
      <w:r w:rsidR="00BE0BF6">
        <w:rPr>
          <w:rFonts w:ascii="Calibri" w:hAnsi="Calibri"/>
          <w:sz w:val="24"/>
        </w:rPr>
        <w:t xml:space="preserve">is </w:t>
      </w:r>
      <w:r w:rsidRPr="00D81603">
        <w:rPr>
          <w:rFonts w:ascii="Calibri" w:hAnsi="Calibri"/>
          <w:sz w:val="24"/>
        </w:rPr>
        <w:t xml:space="preserve">being developed in partnership with </w:t>
      </w:r>
      <w:r w:rsidR="002C3200">
        <w:rPr>
          <w:rFonts w:ascii="Calibri" w:hAnsi="Calibri"/>
          <w:sz w:val="24"/>
        </w:rPr>
        <w:t>DCF</w:t>
      </w:r>
      <w:r w:rsidRPr="00D81603">
        <w:rPr>
          <w:rFonts w:ascii="Calibri" w:hAnsi="Calibri"/>
          <w:sz w:val="24"/>
        </w:rPr>
        <w:t>.</w:t>
      </w:r>
    </w:p>
    <w:p w:rsidR="00D81603" w:rsidRDefault="00D81603" w:rsidP="00D92BEA">
      <w:pPr>
        <w:pStyle w:val="Heading4"/>
      </w:pPr>
      <w:r>
        <w:t>Education</w:t>
      </w:r>
    </w:p>
    <w:p w:rsidR="00D81603" w:rsidRDefault="00D81603" w:rsidP="009E4639">
      <w:pPr>
        <w:rPr>
          <w:rFonts w:ascii="Calibri" w:hAnsi="Calibri"/>
          <w:sz w:val="24"/>
        </w:rPr>
      </w:pPr>
      <w:r w:rsidRPr="00D81603">
        <w:rPr>
          <w:rFonts w:ascii="Calibri" w:hAnsi="Calibri"/>
          <w:sz w:val="24"/>
        </w:rPr>
        <w:t xml:space="preserve">The Department of Education continues with its campaign to improve school attendance through its Every Child Every Day strategy and </w:t>
      </w:r>
      <w:r w:rsidR="00BE0BF6">
        <w:rPr>
          <w:rFonts w:ascii="Calibri" w:hAnsi="Calibri"/>
          <w:sz w:val="24"/>
        </w:rPr>
        <w:t xml:space="preserve">the </w:t>
      </w:r>
      <w:r w:rsidRPr="00D81603">
        <w:rPr>
          <w:rFonts w:ascii="Calibri" w:hAnsi="Calibri"/>
          <w:sz w:val="24"/>
        </w:rPr>
        <w:t>implementation of the Australian Government’s School Enrolment and Attendance Measure</w:t>
      </w:r>
      <w:r w:rsidR="009E4639">
        <w:rPr>
          <w:rFonts w:ascii="Calibri" w:hAnsi="Calibri"/>
          <w:sz w:val="24"/>
        </w:rPr>
        <w:t>,</w:t>
      </w:r>
      <w:r w:rsidRPr="00D81603">
        <w:rPr>
          <w:rFonts w:ascii="Calibri" w:hAnsi="Calibri"/>
          <w:sz w:val="24"/>
        </w:rPr>
        <w:t xml:space="preserve"> with the expectation that student performance will increase commensurate</w:t>
      </w:r>
      <w:r w:rsidR="009E4639">
        <w:rPr>
          <w:rFonts w:ascii="Calibri" w:hAnsi="Calibri"/>
          <w:sz w:val="24"/>
        </w:rPr>
        <w:t>ly</w:t>
      </w:r>
      <w:r w:rsidRPr="00D81603">
        <w:rPr>
          <w:rFonts w:ascii="Calibri" w:hAnsi="Calibri"/>
          <w:sz w:val="24"/>
        </w:rPr>
        <w:t xml:space="preserve"> with improved attendance. The </w:t>
      </w:r>
      <w:r w:rsidR="003C3FFE">
        <w:rPr>
          <w:rFonts w:ascii="Calibri" w:hAnsi="Calibri"/>
          <w:sz w:val="24"/>
        </w:rPr>
        <w:t>d</w:t>
      </w:r>
      <w:r w:rsidR="003C3FFE" w:rsidRPr="00D81603">
        <w:rPr>
          <w:rFonts w:ascii="Calibri" w:hAnsi="Calibri"/>
          <w:sz w:val="24"/>
        </w:rPr>
        <w:t xml:space="preserve">epartment </w:t>
      </w:r>
      <w:r w:rsidRPr="00D81603">
        <w:rPr>
          <w:rFonts w:ascii="Calibri" w:hAnsi="Calibri"/>
          <w:sz w:val="24"/>
        </w:rPr>
        <w:t xml:space="preserve">undertakes its own important initiatives and works closely with </w:t>
      </w:r>
      <w:r w:rsidR="00C8305C">
        <w:rPr>
          <w:rFonts w:ascii="Calibri" w:hAnsi="Calibri"/>
          <w:sz w:val="24"/>
        </w:rPr>
        <w:t>community</w:t>
      </w:r>
      <w:r w:rsidRPr="00D81603">
        <w:rPr>
          <w:rFonts w:ascii="Calibri" w:hAnsi="Calibri"/>
          <w:sz w:val="24"/>
        </w:rPr>
        <w:t xml:space="preserve"> </w:t>
      </w:r>
      <w:r w:rsidR="00C8305C">
        <w:rPr>
          <w:rFonts w:ascii="Calibri" w:hAnsi="Calibri"/>
          <w:sz w:val="24"/>
        </w:rPr>
        <w:t xml:space="preserve">sector </w:t>
      </w:r>
      <w:r w:rsidRPr="00D81603">
        <w:rPr>
          <w:rFonts w:ascii="Calibri" w:hAnsi="Calibri"/>
          <w:sz w:val="24"/>
        </w:rPr>
        <w:t xml:space="preserve">organisations such as </w:t>
      </w:r>
      <w:r w:rsidR="009E4639" w:rsidRPr="00D81603">
        <w:rPr>
          <w:rFonts w:ascii="Calibri" w:hAnsi="Calibri"/>
          <w:sz w:val="24"/>
        </w:rPr>
        <w:t>the</w:t>
      </w:r>
      <w:r w:rsidR="009E4639" w:rsidRPr="009E4639">
        <w:rPr>
          <w:rFonts w:ascii="Calibri" w:hAnsi="Calibri"/>
          <w:sz w:val="24"/>
        </w:rPr>
        <w:t xml:space="preserve"> Young Men's Christian Association </w:t>
      </w:r>
      <w:r w:rsidR="009E4639">
        <w:rPr>
          <w:rFonts w:ascii="Calibri" w:hAnsi="Calibri"/>
          <w:sz w:val="24"/>
        </w:rPr>
        <w:t>(</w:t>
      </w:r>
      <w:r w:rsidRPr="00D81603">
        <w:rPr>
          <w:rFonts w:ascii="Calibri" w:hAnsi="Calibri"/>
          <w:sz w:val="24"/>
        </w:rPr>
        <w:t>YMCA</w:t>
      </w:r>
      <w:r w:rsidR="009E4639">
        <w:rPr>
          <w:rFonts w:ascii="Calibri" w:hAnsi="Calibri"/>
          <w:sz w:val="24"/>
        </w:rPr>
        <w:t>)</w:t>
      </w:r>
      <w:r w:rsidRPr="00D81603">
        <w:rPr>
          <w:rFonts w:ascii="Calibri" w:hAnsi="Calibri"/>
          <w:sz w:val="24"/>
        </w:rPr>
        <w:t xml:space="preserve"> (Youth Diversion) in the placement of children in care in appropriate schooling and </w:t>
      </w:r>
      <w:r w:rsidR="009E4639" w:rsidRPr="00D81603">
        <w:rPr>
          <w:rFonts w:ascii="Calibri" w:hAnsi="Calibri"/>
          <w:sz w:val="24"/>
        </w:rPr>
        <w:t>post</w:t>
      </w:r>
      <w:r w:rsidR="009E4639">
        <w:rPr>
          <w:rFonts w:ascii="Calibri" w:hAnsi="Calibri"/>
          <w:sz w:val="24"/>
        </w:rPr>
        <w:t>-</w:t>
      </w:r>
      <w:r w:rsidRPr="00D81603">
        <w:rPr>
          <w:rFonts w:ascii="Calibri" w:hAnsi="Calibri"/>
          <w:sz w:val="24"/>
        </w:rPr>
        <w:t>school options.</w:t>
      </w:r>
      <w:r w:rsidR="00D26B57">
        <w:rPr>
          <w:rFonts w:ascii="Calibri" w:hAnsi="Calibri"/>
          <w:sz w:val="24"/>
        </w:rPr>
        <w:t xml:space="preserve"> </w:t>
      </w:r>
      <w:r w:rsidRPr="00D81603">
        <w:rPr>
          <w:rFonts w:ascii="Calibri" w:hAnsi="Calibri"/>
          <w:sz w:val="24"/>
        </w:rPr>
        <w:t>These initiatives include the Malak Reengagement Centre and school</w:t>
      </w:r>
      <w:r w:rsidR="007004DB">
        <w:rPr>
          <w:rFonts w:ascii="Calibri" w:hAnsi="Calibri"/>
          <w:sz w:val="24"/>
        </w:rPr>
        <w:t>-</w:t>
      </w:r>
      <w:r w:rsidRPr="00D81603">
        <w:rPr>
          <w:rFonts w:ascii="Calibri" w:hAnsi="Calibri"/>
          <w:sz w:val="24"/>
        </w:rPr>
        <w:t>based engagement programs that provide an additional layer of wellbeing support to improve educational and life outcomes for young people.</w:t>
      </w:r>
    </w:p>
    <w:p w:rsidR="00D81603" w:rsidRDefault="00D81603" w:rsidP="00B22FF7">
      <w:pPr>
        <w:rPr>
          <w:rFonts w:ascii="Calibri" w:hAnsi="Calibri"/>
          <w:sz w:val="24"/>
        </w:rPr>
      </w:pPr>
    </w:p>
    <w:p w:rsidR="00D81603" w:rsidRPr="00D81603" w:rsidRDefault="00D81603" w:rsidP="00D81603">
      <w:pPr>
        <w:rPr>
          <w:rFonts w:ascii="Calibri" w:hAnsi="Calibri"/>
          <w:sz w:val="24"/>
        </w:rPr>
      </w:pPr>
      <w:r w:rsidRPr="00D81603">
        <w:rPr>
          <w:rFonts w:ascii="Calibri" w:hAnsi="Calibri"/>
          <w:sz w:val="24"/>
        </w:rPr>
        <w:t xml:space="preserve">The Northern Territory’s 2012 results against the </w:t>
      </w:r>
      <w:r w:rsidR="009E4639">
        <w:rPr>
          <w:rFonts w:ascii="Calibri" w:hAnsi="Calibri"/>
          <w:sz w:val="24"/>
        </w:rPr>
        <w:t>AEDI</w:t>
      </w:r>
      <w:r w:rsidRPr="00D81603">
        <w:rPr>
          <w:rFonts w:ascii="Calibri" w:hAnsi="Calibri"/>
          <w:sz w:val="24"/>
        </w:rPr>
        <w:t xml:space="preserve"> show progress against indicators of school readiness compared to 2009. Underpinning this achievement has been the establishment of child and family service centres that bring together local education and health providers in remote towns across the </w:t>
      </w:r>
      <w:r w:rsidR="00BE0BF6">
        <w:rPr>
          <w:rFonts w:ascii="Calibri" w:hAnsi="Calibri"/>
          <w:sz w:val="24"/>
        </w:rPr>
        <w:t xml:space="preserve">Northern </w:t>
      </w:r>
      <w:r w:rsidRPr="00D81603">
        <w:rPr>
          <w:rFonts w:ascii="Calibri" w:hAnsi="Calibri"/>
          <w:sz w:val="24"/>
        </w:rPr>
        <w:t xml:space="preserve">Territory. The expansion of the </w:t>
      </w:r>
      <w:proofErr w:type="spellStart"/>
      <w:r w:rsidR="006E33FF">
        <w:rPr>
          <w:rFonts w:ascii="Calibri" w:hAnsi="Calibri"/>
          <w:sz w:val="24"/>
        </w:rPr>
        <w:t>F</w:t>
      </w:r>
      <w:r w:rsidR="00C77E18">
        <w:rPr>
          <w:rFonts w:ascii="Calibri" w:hAnsi="Calibri"/>
          <w:sz w:val="24"/>
        </w:rPr>
        <w:t>a</w:t>
      </w:r>
      <w:r w:rsidR="006E33FF">
        <w:rPr>
          <w:rFonts w:ascii="Calibri" w:hAnsi="Calibri"/>
          <w:sz w:val="24"/>
        </w:rPr>
        <w:t>FT</w:t>
      </w:r>
      <w:proofErr w:type="spellEnd"/>
      <w:r w:rsidRPr="00D81603">
        <w:rPr>
          <w:rFonts w:ascii="Calibri" w:hAnsi="Calibri"/>
          <w:sz w:val="24"/>
        </w:rPr>
        <w:t xml:space="preserve"> program to 21 large</w:t>
      </w:r>
      <w:r w:rsidR="009E4639">
        <w:rPr>
          <w:rFonts w:ascii="Calibri" w:hAnsi="Calibri"/>
          <w:sz w:val="24"/>
        </w:rPr>
        <w:t>,</w:t>
      </w:r>
      <w:r w:rsidRPr="00D81603">
        <w:rPr>
          <w:rFonts w:ascii="Calibri" w:hAnsi="Calibri"/>
          <w:sz w:val="24"/>
        </w:rPr>
        <w:t xml:space="preserve"> very remote communities, with mobile preschool services to 24 smaller communities, is increasing access to quality early years programs for more children and families.</w:t>
      </w:r>
    </w:p>
    <w:p w:rsidR="00D81603" w:rsidRPr="00D81603" w:rsidRDefault="00D81603" w:rsidP="00D81603">
      <w:pPr>
        <w:rPr>
          <w:rFonts w:ascii="Calibri" w:hAnsi="Calibri"/>
          <w:sz w:val="24"/>
        </w:rPr>
      </w:pPr>
    </w:p>
    <w:p w:rsidR="00D81603" w:rsidRPr="00D81603" w:rsidRDefault="00D81603" w:rsidP="00D81603">
      <w:pPr>
        <w:rPr>
          <w:rFonts w:ascii="Calibri" w:hAnsi="Calibri"/>
          <w:sz w:val="24"/>
        </w:rPr>
      </w:pPr>
      <w:r w:rsidRPr="00D81603">
        <w:rPr>
          <w:rFonts w:ascii="Calibri" w:hAnsi="Calibri"/>
          <w:sz w:val="24"/>
        </w:rPr>
        <w:t xml:space="preserve">The Department of Education provides a range of specialist support staff </w:t>
      </w:r>
      <w:proofErr w:type="gramStart"/>
      <w:r w:rsidR="009E4639">
        <w:rPr>
          <w:rFonts w:ascii="Calibri" w:hAnsi="Calibri"/>
          <w:sz w:val="24"/>
        </w:rPr>
        <w:t>who</w:t>
      </w:r>
      <w:proofErr w:type="gramEnd"/>
      <w:r w:rsidR="009E4639" w:rsidRPr="00D81603">
        <w:rPr>
          <w:rFonts w:ascii="Calibri" w:hAnsi="Calibri"/>
          <w:sz w:val="24"/>
        </w:rPr>
        <w:t xml:space="preserve"> </w:t>
      </w:r>
      <w:r w:rsidRPr="00D81603">
        <w:rPr>
          <w:rFonts w:ascii="Calibri" w:hAnsi="Calibri"/>
          <w:sz w:val="24"/>
        </w:rPr>
        <w:t>assist sc</w:t>
      </w:r>
      <w:r w:rsidR="00BE0BF6">
        <w:rPr>
          <w:rFonts w:ascii="Calibri" w:hAnsi="Calibri"/>
          <w:sz w:val="24"/>
        </w:rPr>
        <w:t xml:space="preserve">hools with early identification. This includes </w:t>
      </w:r>
      <w:r w:rsidRPr="00D81603">
        <w:rPr>
          <w:rFonts w:ascii="Calibri" w:hAnsi="Calibri"/>
          <w:sz w:val="24"/>
        </w:rPr>
        <w:t>specialists in early childhood, aut</w:t>
      </w:r>
      <w:r w:rsidR="00BE0BF6">
        <w:rPr>
          <w:rFonts w:ascii="Calibri" w:hAnsi="Calibri"/>
          <w:sz w:val="24"/>
        </w:rPr>
        <w:t>ism, hearing, speech and vision, school psychologists, school counsellors</w:t>
      </w:r>
      <w:r w:rsidRPr="00D81603">
        <w:rPr>
          <w:rFonts w:ascii="Calibri" w:hAnsi="Calibri"/>
          <w:sz w:val="24"/>
        </w:rPr>
        <w:t xml:space="preserve"> and behaviour </w:t>
      </w:r>
      <w:r w:rsidR="00D151FC" w:rsidRPr="00D81603">
        <w:rPr>
          <w:rFonts w:ascii="Calibri" w:hAnsi="Calibri"/>
          <w:sz w:val="24"/>
        </w:rPr>
        <w:t>advis</w:t>
      </w:r>
      <w:r w:rsidR="00D151FC">
        <w:rPr>
          <w:rFonts w:ascii="Calibri" w:hAnsi="Calibri"/>
          <w:sz w:val="24"/>
        </w:rPr>
        <w:t>e</w:t>
      </w:r>
      <w:r w:rsidR="00D151FC" w:rsidRPr="00D81603">
        <w:rPr>
          <w:rFonts w:ascii="Calibri" w:hAnsi="Calibri"/>
          <w:sz w:val="24"/>
        </w:rPr>
        <w:t>rs</w:t>
      </w:r>
      <w:r w:rsidRPr="00D81603">
        <w:rPr>
          <w:rFonts w:ascii="Calibri" w:hAnsi="Calibri"/>
          <w:sz w:val="24"/>
        </w:rPr>
        <w:t>.</w:t>
      </w:r>
    </w:p>
    <w:p w:rsidR="00D81603" w:rsidRPr="00D81603" w:rsidRDefault="00D81603" w:rsidP="00D81603">
      <w:pPr>
        <w:rPr>
          <w:rFonts w:ascii="Calibri" w:hAnsi="Calibri"/>
          <w:sz w:val="24"/>
        </w:rPr>
      </w:pPr>
    </w:p>
    <w:p w:rsidR="00D81603" w:rsidRDefault="00D81603" w:rsidP="00D81603">
      <w:pPr>
        <w:rPr>
          <w:rFonts w:ascii="Calibri" w:hAnsi="Calibri"/>
          <w:sz w:val="24"/>
        </w:rPr>
      </w:pPr>
      <w:r w:rsidRPr="00D81603">
        <w:rPr>
          <w:rFonts w:ascii="Calibri" w:hAnsi="Calibri"/>
          <w:sz w:val="24"/>
        </w:rPr>
        <w:t xml:space="preserve">The Department of Education actively supports the National Safe Schools Framework, in particular through the </w:t>
      </w:r>
      <w:hyperlink r:id="rId25" w:history="1">
        <w:r w:rsidR="00935E4A">
          <w:rPr>
            <w:rStyle w:val="Hyperlink"/>
            <w:rFonts w:ascii="Calibri" w:hAnsi="Calibri"/>
            <w:sz w:val="24"/>
          </w:rPr>
          <w:t>Safe Schools NT</w:t>
        </w:r>
      </w:hyperlink>
      <w:r w:rsidR="00935E4A">
        <w:rPr>
          <w:rFonts w:ascii="Calibri" w:hAnsi="Calibri"/>
          <w:sz w:val="24"/>
        </w:rPr>
        <w:t xml:space="preserve"> website</w:t>
      </w:r>
      <w:r w:rsidR="007004DB" w:rsidRPr="00D81603">
        <w:rPr>
          <w:rFonts w:ascii="Calibri" w:hAnsi="Calibri"/>
          <w:sz w:val="24"/>
        </w:rPr>
        <w:t xml:space="preserve"> </w:t>
      </w:r>
      <w:r w:rsidRPr="00D81603">
        <w:rPr>
          <w:rFonts w:ascii="Calibri" w:hAnsi="Calibri"/>
          <w:sz w:val="24"/>
        </w:rPr>
        <w:t>and through supporting schools in the implementation of School Wide Positive Behaviour Support.</w:t>
      </w:r>
      <w:r w:rsidR="00A43557">
        <w:rPr>
          <w:rFonts w:ascii="Calibri" w:hAnsi="Calibri"/>
          <w:sz w:val="24"/>
        </w:rPr>
        <w:t xml:space="preserve"> </w:t>
      </w:r>
      <w:r w:rsidRPr="00D81603">
        <w:rPr>
          <w:rFonts w:ascii="Calibri" w:hAnsi="Calibri"/>
          <w:sz w:val="24"/>
        </w:rPr>
        <w:t xml:space="preserve">Specialist </w:t>
      </w:r>
      <w:r w:rsidR="00D151FC">
        <w:rPr>
          <w:rFonts w:ascii="Calibri" w:hAnsi="Calibri"/>
          <w:sz w:val="24"/>
        </w:rPr>
        <w:t>adviser</w:t>
      </w:r>
      <w:r w:rsidRPr="00D81603">
        <w:rPr>
          <w:rFonts w:ascii="Calibri" w:hAnsi="Calibri"/>
          <w:sz w:val="24"/>
        </w:rPr>
        <w:t>s in the behaviour field assist schools and teachers to provide support to students at risk in mainstream school settings as well as through the Positive Learning Centre programs located across the Northern Territory.</w:t>
      </w:r>
    </w:p>
    <w:p w:rsidR="003406E4" w:rsidRDefault="000265E0" w:rsidP="00D92BEA">
      <w:pPr>
        <w:pStyle w:val="Heading4"/>
      </w:pPr>
      <w:r w:rsidRPr="000265E0">
        <w:t>Community and Business</w:t>
      </w:r>
    </w:p>
    <w:p w:rsidR="00D81603" w:rsidRPr="00D81603" w:rsidRDefault="002C3200" w:rsidP="00D81603">
      <w:pPr>
        <w:rPr>
          <w:rFonts w:ascii="Calibri" w:hAnsi="Calibri"/>
          <w:sz w:val="24"/>
        </w:rPr>
      </w:pPr>
      <w:r>
        <w:rPr>
          <w:rFonts w:ascii="Calibri" w:hAnsi="Calibri"/>
          <w:sz w:val="24"/>
        </w:rPr>
        <w:t>DCF</w:t>
      </w:r>
      <w:r w:rsidR="00D81603" w:rsidRPr="00D81603">
        <w:rPr>
          <w:rFonts w:ascii="Calibri" w:hAnsi="Calibri"/>
          <w:sz w:val="24"/>
        </w:rPr>
        <w:t xml:space="preserve"> funded Melaleuca Refugee Centre to </w:t>
      </w:r>
      <w:proofErr w:type="spellStart"/>
      <w:proofErr w:type="gramStart"/>
      <w:r w:rsidR="00D81603" w:rsidRPr="00D81603">
        <w:rPr>
          <w:rFonts w:ascii="Calibri" w:hAnsi="Calibri"/>
          <w:sz w:val="24"/>
        </w:rPr>
        <w:t>conti</w:t>
      </w:r>
      <w:proofErr w:type="spellEnd"/>
      <w:proofErr w:type="gramEnd"/>
      <w:r w:rsidR="006042A3">
        <w:rPr>
          <w:rFonts w:ascii="Calibri" w:hAnsi="Calibri"/>
          <w:sz w:val="24"/>
        </w:rPr>
        <w:t xml:space="preserve"> </w:t>
      </w:r>
      <w:proofErr w:type="spellStart"/>
      <w:r w:rsidR="00D81603" w:rsidRPr="00D81603">
        <w:rPr>
          <w:rFonts w:ascii="Calibri" w:hAnsi="Calibri"/>
          <w:sz w:val="24"/>
        </w:rPr>
        <w:t>nue</w:t>
      </w:r>
      <w:proofErr w:type="spellEnd"/>
      <w:r w:rsidR="00D81603" w:rsidRPr="00D81603">
        <w:rPr>
          <w:rFonts w:ascii="Calibri" w:hAnsi="Calibri"/>
          <w:sz w:val="24"/>
        </w:rPr>
        <w:t xml:space="preserve"> t</w:t>
      </w:r>
      <w:r w:rsidR="00DE5338">
        <w:rPr>
          <w:rFonts w:ascii="Calibri" w:hAnsi="Calibri"/>
          <w:sz w:val="24"/>
        </w:rPr>
        <w:t xml:space="preserve">o </w:t>
      </w:r>
      <w:r w:rsidR="009762AE">
        <w:rPr>
          <w:rFonts w:ascii="Calibri" w:hAnsi="Calibri"/>
          <w:sz w:val="24"/>
        </w:rPr>
        <w:t>provide programs</w:t>
      </w:r>
      <w:r w:rsidR="00DE5338">
        <w:rPr>
          <w:rFonts w:ascii="Calibri" w:hAnsi="Calibri"/>
          <w:sz w:val="24"/>
        </w:rPr>
        <w:t xml:space="preserve">, including </w:t>
      </w:r>
      <w:r w:rsidR="00D81603" w:rsidRPr="00D81603">
        <w:rPr>
          <w:rFonts w:ascii="Calibri" w:hAnsi="Calibri"/>
          <w:sz w:val="24"/>
        </w:rPr>
        <w:t>F</w:t>
      </w:r>
      <w:r w:rsidR="00DE5338">
        <w:rPr>
          <w:rFonts w:ascii="Calibri" w:hAnsi="Calibri"/>
          <w:sz w:val="24"/>
        </w:rPr>
        <w:t>amilies in Cultural Transition</w:t>
      </w:r>
      <w:r w:rsidR="009762AE">
        <w:rPr>
          <w:rFonts w:ascii="Calibri" w:hAnsi="Calibri"/>
          <w:sz w:val="24"/>
        </w:rPr>
        <w:t xml:space="preserve"> </w:t>
      </w:r>
      <w:r w:rsidR="00DE5338">
        <w:rPr>
          <w:rFonts w:ascii="Calibri" w:hAnsi="Calibri"/>
          <w:sz w:val="24"/>
        </w:rPr>
        <w:t xml:space="preserve">(FICT) and </w:t>
      </w:r>
      <w:r w:rsidR="00D81603" w:rsidRPr="00D81603">
        <w:rPr>
          <w:rFonts w:ascii="Calibri" w:hAnsi="Calibri"/>
          <w:sz w:val="24"/>
        </w:rPr>
        <w:t>Tips and Information for Parenting Skills (TIPS), for newly arrived cultural groups.</w:t>
      </w:r>
    </w:p>
    <w:p w:rsidR="000265E0" w:rsidRPr="00D81603" w:rsidRDefault="000265E0" w:rsidP="00B22FF7">
      <w:pPr>
        <w:rPr>
          <w:rFonts w:ascii="Calibri" w:hAnsi="Calibri"/>
          <w:sz w:val="24"/>
        </w:rPr>
      </w:pPr>
    </w:p>
    <w:p w:rsidR="000265E0" w:rsidRPr="000265E0" w:rsidRDefault="00DE5338" w:rsidP="000265E0">
      <w:pPr>
        <w:rPr>
          <w:rFonts w:ascii="Calibri" w:hAnsi="Calibri"/>
          <w:sz w:val="24"/>
        </w:rPr>
      </w:pPr>
      <w:r>
        <w:rPr>
          <w:rFonts w:ascii="Calibri" w:hAnsi="Calibri"/>
          <w:sz w:val="24"/>
        </w:rPr>
        <w:t>The Northern Territory Government’s</w:t>
      </w:r>
      <w:r w:rsidR="000265E0" w:rsidRPr="000265E0">
        <w:rPr>
          <w:rFonts w:ascii="Calibri" w:hAnsi="Calibri"/>
          <w:sz w:val="24"/>
        </w:rPr>
        <w:t xml:space="preserve"> Youth Street Outreach Service (YSOS) works with young people on the streets of Alice Springs late at night to ensure </w:t>
      </w:r>
      <w:r w:rsidR="009762AE">
        <w:rPr>
          <w:rFonts w:ascii="Calibri" w:hAnsi="Calibri"/>
          <w:sz w:val="24"/>
        </w:rPr>
        <w:t xml:space="preserve">that </w:t>
      </w:r>
      <w:r w:rsidR="000265E0" w:rsidRPr="000265E0">
        <w:rPr>
          <w:rFonts w:ascii="Calibri" w:hAnsi="Calibri"/>
          <w:sz w:val="24"/>
        </w:rPr>
        <w:t xml:space="preserve">they have a safe place to </w:t>
      </w:r>
      <w:r w:rsidR="009762AE">
        <w:rPr>
          <w:rFonts w:ascii="Calibri" w:hAnsi="Calibri"/>
          <w:sz w:val="24"/>
        </w:rPr>
        <w:t xml:space="preserve">which to </w:t>
      </w:r>
      <w:r w:rsidR="000265E0" w:rsidRPr="000265E0">
        <w:rPr>
          <w:rFonts w:ascii="Calibri" w:hAnsi="Calibri"/>
          <w:sz w:val="24"/>
        </w:rPr>
        <w:t>return</w:t>
      </w:r>
      <w:r w:rsidR="009762AE">
        <w:rPr>
          <w:rFonts w:ascii="Calibri" w:hAnsi="Calibri"/>
          <w:sz w:val="24"/>
        </w:rPr>
        <w:t>,</w:t>
      </w:r>
      <w:r w:rsidR="000265E0" w:rsidRPr="000265E0">
        <w:rPr>
          <w:rFonts w:ascii="Calibri" w:hAnsi="Calibri"/>
          <w:sz w:val="24"/>
        </w:rPr>
        <w:t xml:space="preserve"> should they require it. YSOS also provide</w:t>
      </w:r>
      <w:r>
        <w:rPr>
          <w:rFonts w:ascii="Calibri" w:hAnsi="Calibri"/>
          <w:sz w:val="24"/>
        </w:rPr>
        <w:t>s</w:t>
      </w:r>
      <w:r w:rsidR="000265E0" w:rsidRPr="000265E0">
        <w:rPr>
          <w:rFonts w:ascii="Calibri" w:hAnsi="Calibri"/>
          <w:sz w:val="24"/>
        </w:rPr>
        <w:t xml:space="preserve"> a day service that follows up with families or carers to ensure </w:t>
      </w:r>
      <w:r w:rsidR="009762AE">
        <w:rPr>
          <w:rFonts w:ascii="Calibri" w:hAnsi="Calibri"/>
          <w:sz w:val="24"/>
        </w:rPr>
        <w:t xml:space="preserve">that </w:t>
      </w:r>
      <w:r w:rsidR="000265E0" w:rsidRPr="000265E0">
        <w:rPr>
          <w:rFonts w:ascii="Calibri" w:hAnsi="Calibri"/>
          <w:sz w:val="24"/>
        </w:rPr>
        <w:t>they are supported and that appropriate referrals are made if required. In the last year</w:t>
      </w:r>
      <w:r>
        <w:rPr>
          <w:rFonts w:ascii="Calibri" w:hAnsi="Calibri"/>
          <w:sz w:val="24"/>
        </w:rPr>
        <w:t>,</w:t>
      </w:r>
      <w:r w:rsidR="000265E0" w:rsidRPr="000265E0">
        <w:rPr>
          <w:rFonts w:ascii="Calibri" w:hAnsi="Calibri"/>
          <w:sz w:val="24"/>
        </w:rPr>
        <w:t xml:space="preserve"> YSOS</w:t>
      </w:r>
      <w:r w:rsidR="00532DE5">
        <w:rPr>
          <w:rFonts w:ascii="Calibri" w:hAnsi="Calibri"/>
          <w:sz w:val="24"/>
        </w:rPr>
        <w:t xml:space="preserve"> has</w:t>
      </w:r>
      <w:r w:rsidR="000265E0" w:rsidRPr="000265E0">
        <w:rPr>
          <w:rFonts w:ascii="Calibri" w:hAnsi="Calibri"/>
          <w:sz w:val="24"/>
        </w:rPr>
        <w:t xml:space="preserve"> supported </w:t>
      </w:r>
      <w:r w:rsidR="009762AE" w:rsidRPr="000265E0">
        <w:rPr>
          <w:rFonts w:ascii="Calibri" w:hAnsi="Calibri"/>
          <w:sz w:val="24"/>
        </w:rPr>
        <w:t>whole</w:t>
      </w:r>
      <w:r w:rsidR="009762AE">
        <w:rPr>
          <w:rFonts w:ascii="Calibri" w:hAnsi="Calibri"/>
          <w:sz w:val="24"/>
        </w:rPr>
        <w:t>-</w:t>
      </w:r>
      <w:r w:rsidR="009762AE" w:rsidRPr="000265E0">
        <w:rPr>
          <w:rFonts w:ascii="Calibri" w:hAnsi="Calibri"/>
          <w:sz w:val="24"/>
        </w:rPr>
        <w:t>of</w:t>
      </w:r>
      <w:r w:rsidR="009762AE">
        <w:rPr>
          <w:rFonts w:ascii="Calibri" w:hAnsi="Calibri"/>
          <w:sz w:val="24"/>
        </w:rPr>
        <w:t>-</w:t>
      </w:r>
      <w:r w:rsidR="000265E0" w:rsidRPr="000265E0">
        <w:rPr>
          <w:rFonts w:ascii="Calibri" w:hAnsi="Calibri"/>
          <w:sz w:val="24"/>
        </w:rPr>
        <w:t>government initiatives such as Operation Marathon and AFL weekend</w:t>
      </w:r>
      <w:r>
        <w:rPr>
          <w:rFonts w:ascii="Calibri" w:hAnsi="Calibri"/>
          <w:sz w:val="24"/>
        </w:rPr>
        <w:t>s</w:t>
      </w:r>
      <w:r w:rsidR="000265E0" w:rsidRPr="000265E0">
        <w:rPr>
          <w:rFonts w:ascii="Calibri" w:hAnsi="Calibri"/>
          <w:sz w:val="24"/>
        </w:rPr>
        <w:t>.</w:t>
      </w:r>
      <w:r w:rsidR="00D26B57">
        <w:rPr>
          <w:rFonts w:ascii="Calibri" w:hAnsi="Calibri"/>
          <w:sz w:val="24"/>
        </w:rPr>
        <w:t xml:space="preserve"> </w:t>
      </w:r>
      <w:r w:rsidR="000265E0" w:rsidRPr="000265E0">
        <w:rPr>
          <w:rFonts w:ascii="Calibri" w:hAnsi="Calibri"/>
          <w:sz w:val="24"/>
        </w:rPr>
        <w:t>YSOS</w:t>
      </w:r>
      <w:r w:rsidR="00532DE5">
        <w:rPr>
          <w:rFonts w:ascii="Calibri" w:hAnsi="Calibri"/>
          <w:sz w:val="24"/>
        </w:rPr>
        <w:t xml:space="preserve"> has</w:t>
      </w:r>
      <w:r w:rsidR="000265E0" w:rsidRPr="000265E0">
        <w:rPr>
          <w:rFonts w:ascii="Calibri" w:hAnsi="Calibri"/>
          <w:sz w:val="24"/>
        </w:rPr>
        <w:t xml:space="preserve"> strong working relationships with all the patrolling services in Alice Springs. </w:t>
      </w:r>
    </w:p>
    <w:p w:rsidR="000265E0" w:rsidRPr="000265E0" w:rsidRDefault="000265E0" w:rsidP="000265E0">
      <w:pPr>
        <w:rPr>
          <w:rFonts w:ascii="Calibri" w:hAnsi="Calibri"/>
          <w:sz w:val="24"/>
        </w:rPr>
      </w:pPr>
    </w:p>
    <w:p w:rsidR="000265E0" w:rsidRDefault="000265E0" w:rsidP="000265E0">
      <w:pPr>
        <w:rPr>
          <w:rFonts w:ascii="Calibri" w:hAnsi="Calibri"/>
          <w:sz w:val="24"/>
        </w:rPr>
      </w:pPr>
      <w:r w:rsidRPr="00FF6B42">
        <w:rPr>
          <w:rFonts w:ascii="Calibri" w:hAnsi="Calibri"/>
          <w:sz w:val="24"/>
        </w:rPr>
        <w:t xml:space="preserve">Strong </w:t>
      </w:r>
      <w:r w:rsidR="000767E1" w:rsidRPr="00FF6B42">
        <w:rPr>
          <w:rFonts w:ascii="Calibri" w:hAnsi="Calibri"/>
          <w:sz w:val="24"/>
        </w:rPr>
        <w:t>partnerships</w:t>
      </w:r>
      <w:r w:rsidRPr="00FF6B42">
        <w:rPr>
          <w:rFonts w:ascii="Calibri" w:hAnsi="Calibri"/>
          <w:sz w:val="24"/>
        </w:rPr>
        <w:t xml:space="preserve"> between the Aboriginal Family Support Services (Congress Target Family </w:t>
      </w:r>
      <w:r w:rsidRPr="000265E0">
        <w:rPr>
          <w:rFonts w:ascii="Calibri" w:hAnsi="Calibri"/>
          <w:sz w:val="24"/>
        </w:rPr>
        <w:t xml:space="preserve">Support Service, </w:t>
      </w:r>
      <w:proofErr w:type="spellStart"/>
      <w:r w:rsidRPr="000265E0">
        <w:rPr>
          <w:rFonts w:ascii="Calibri" w:hAnsi="Calibri"/>
          <w:sz w:val="24"/>
        </w:rPr>
        <w:t>Tangentyere</w:t>
      </w:r>
      <w:proofErr w:type="spellEnd"/>
      <w:r w:rsidRPr="000265E0">
        <w:rPr>
          <w:rFonts w:ascii="Calibri" w:hAnsi="Calibri"/>
          <w:sz w:val="24"/>
        </w:rPr>
        <w:t xml:space="preserve"> </w:t>
      </w:r>
      <w:proofErr w:type="spellStart"/>
      <w:r w:rsidRPr="000265E0">
        <w:rPr>
          <w:rFonts w:ascii="Calibri" w:hAnsi="Calibri"/>
          <w:sz w:val="24"/>
        </w:rPr>
        <w:t>Ketyeye</w:t>
      </w:r>
      <w:proofErr w:type="spellEnd"/>
      <w:r w:rsidRPr="000265E0">
        <w:rPr>
          <w:rFonts w:ascii="Calibri" w:hAnsi="Calibri"/>
          <w:sz w:val="24"/>
        </w:rPr>
        <w:t xml:space="preserve"> Program and the Congress and </w:t>
      </w:r>
      <w:proofErr w:type="spellStart"/>
      <w:r w:rsidR="009762AE" w:rsidRPr="009762AE">
        <w:rPr>
          <w:rFonts w:ascii="Calibri" w:hAnsi="Calibri"/>
          <w:sz w:val="24"/>
        </w:rPr>
        <w:t>Ngaanyatjarra</w:t>
      </w:r>
      <w:proofErr w:type="spellEnd"/>
      <w:r w:rsidR="009762AE" w:rsidRPr="009762AE">
        <w:rPr>
          <w:rFonts w:ascii="Calibri" w:hAnsi="Calibri"/>
          <w:sz w:val="24"/>
        </w:rPr>
        <w:t xml:space="preserve"> Pitjantjatjara </w:t>
      </w:r>
      <w:proofErr w:type="spellStart"/>
      <w:r w:rsidR="009762AE" w:rsidRPr="009762AE">
        <w:rPr>
          <w:rFonts w:ascii="Calibri" w:hAnsi="Calibri"/>
          <w:sz w:val="24"/>
        </w:rPr>
        <w:t>Yankunytjatjara</w:t>
      </w:r>
      <w:proofErr w:type="spellEnd"/>
      <w:r w:rsidR="009762AE" w:rsidRPr="009762AE">
        <w:rPr>
          <w:rFonts w:ascii="Calibri" w:hAnsi="Calibri"/>
          <w:sz w:val="24"/>
        </w:rPr>
        <w:t xml:space="preserve"> </w:t>
      </w:r>
      <w:r w:rsidR="009762AE">
        <w:rPr>
          <w:rFonts w:ascii="Calibri" w:hAnsi="Calibri"/>
          <w:sz w:val="24"/>
        </w:rPr>
        <w:t>(</w:t>
      </w:r>
      <w:r w:rsidRPr="000265E0">
        <w:rPr>
          <w:rFonts w:ascii="Calibri" w:hAnsi="Calibri"/>
          <w:sz w:val="24"/>
        </w:rPr>
        <w:t>NPY</w:t>
      </w:r>
      <w:r w:rsidR="009762AE">
        <w:rPr>
          <w:rFonts w:ascii="Calibri" w:hAnsi="Calibri"/>
          <w:sz w:val="24"/>
        </w:rPr>
        <w:t>)</w:t>
      </w:r>
      <w:r w:rsidRPr="000265E0">
        <w:rPr>
          <w:rFonts w:ascii="Calibri" w:hAnsi="Calibri"/>
          <w:sz w:val="24"/>
        </w:rPr>
        <w:t xml:space="preserve"> </w:t>
      </w:r>
      <w:r w:rsidR="009B2B97" w:rsidRPr="00450A9D">
        <w:rPr>
          <w:rFonts w:ascii="Calibri" w:hAnsi="Calibri"/>
          <w:sz w:val="24"/>
        </w:rPr>
        <w:t>IFS</w:t>
      </w:r>
      <w:r w:rsidR="009B2B97">
        <w:rPr>
          <w:rFonts w:ascii="Calibri" w:hAnsi="Calibri"/>
          <w:sz w:val="24"/>
        </w:rPr>
        <w:t xml:space="preserve"> </w:t>
      </w:r>
      <w:r w:rsidRPr="000265E0">
        <w:rPr>
          <w:rFonts w:ascii="Calibri" w:hAnsi="Calibri"/>
          <w:sz w:val="24"/>
        </w:rPr>
        <w:t xml:space="preserve">service) and </w:t>
      </w:r>
      <w:r w:rsidR="00754B9B">
        <w:rPr>
          <w:rFonts w:ascii="Calibri" w:hAnsi="Calibri"/>
          <w:sz w:val="24"/>
        </w:rPr>
        <w:t>DCF</w:t>
      </w:r>
      <w:r w:rsidR="00DE5338">
        <w:rPr>
          <w:rFonts w:ascii="Calibri" w:hAnsi="Calibri"/>
          <w:sz w:val="24"/>
        </w:rPr>
        <w:t xml:space="preserve"> </w:t>
      </w:r>
      <w:r w:rsidR="000767E1">
        <w:rPr>
          <w:rFonts w:ascii="Calibri" w:hAnsi="Calibri"/>
          <w:sz w:val="24"/>
        </w:rPr>
        <w:t>have</w:t>
      </w:r>
      <w:r w:rsidR="000767E1" w:rsidRPr="000265E0">
        <w:rPr>
          <w:rFonts w:ascii="Calibri" w:hAnsi="Calibri"/>
          <w:sz w:val="24"/>
        </w:rPr>
        <w:t xml:space="preserve"> </w:t>
      </w:r>
      <w:r w:rsidRPr="000265E0">
        <w:rPr>
          <w:rFonts w:ascii="Calibri" w:hAnsi="Calibri"/>
          <w:sz w:val="24"/>
        </w:rPr>
        <w:t xml:space="preserve">been developed over the past </w:t>
      </w:r>
      <w:r w:rsidR="003C3FFE">
        <w:rPr>
          <w:rFonts w:ascii="Calibri" w:hAnsi="Calibri"/>
          <w:sz w:val="24"/>
        </w:rPr>
        <w:t>12</w:t>
      </w:r>
      <w:r w:rsidR="003C3FFE" w:rsidRPr="000265E0">
        <w:rPr>
          <w:rFonts w:ascii="Calibri" w:hAnsi="Calibri"/>
          <w:sz w:val="24"/>
        </w:rPr>
        <w:t xml:space="preserve"> </w:t>
      </w:r>
      <w:r w:rsidRPr="000265E0">
        <w:rPr>
          <w:rFonts w:ascii="Calibri" w:hAnsi="Calibri"/>
          <w:sz w:val="24"/>
        </w:rPr>
        <w:t>months, with these</w:t>
      </w:r>
      <w:r w:rsidR="00DE5338">
        <w:rPr>
          <w:rFonts w:ascii="Calibri" w:hAnsi="Calibri"/>
          <w:sz w:val="24"/>
        </w:rPr>
        <w:t xml:space="preserve"> services operating at capacity</w:t>
      </w:r>
      <w:r w:rsidRPr="000265E0">
        <w:rPr>
          <w:rFonts w:ascii="Calibri" w:hAnsi="Calibri"/>
          <w:sz w:val="24"/>
        </w:rPr>
        <w:t xml:space="preserve"> and achieving positive outcomes for children and families.</w:t>
      </w:r>
      <w:r w:rsidR="00D26B57">
        <w:rPr>
          <w:rFonts w:ascii="Calibri" w:hAnsi="Calibri"/>
          <w:sz w:val="24"/>
        </w:rPr>
        <w:t xml:space="preserve"> </w:t>
      </w:r>
      <w:r w:rsidRPr="000265E0">
        <w:rPr>
          <w:rFonts w:ascii="Calibri" w:hAnsi="Calibri"/>
          <w:sz w:val="24"/>
        </w:rPr>
        <w:t xml:space="preserve">These relationships have been developed and enhanced through the role of </w:t>
      </w:r>
      <w:r w:rsidR="00754B9B">
        <w:rPr>
          <w:rFonts w:ascii="Calibri" w:hAnsi="Calibri"/>
          <w:sz w:val="24"/>
        </w:rPr>
        <w:t xml:space="preserve">the </w:t>
      </w:r>
      <w:r w:rsidR="002C3200">
        <w:rPr>
          <w:rFonts w:ascii="Calibri" w:hAnsi="Calibri"/>
          <w:sz w:val="24"/>
        </w:rPr>
        <w:t>DCF</w:t>
      </w:r>
      <w:r w:rsidRPr="000265E0">
        <w:rPr>
          <w:rFonts w:ascii="Calibri" w:hAnsi="Calibri"/>
          <w:sz w:val="24"/>
        </w:rPr>
        <w:t xml:space="preserve"> Community Based Child Protection Worker</w:t>
      </w:r>
      <w:r w:rsidR="009762AE">
        <w:rPr>
          <w:rFonts w:ascii="Calibri" w:hAnsi="Calibri"/>
          <w:sz w:val="24"/>
        </w:rPr>
        <w:t>,</w:t>
      </w:r>
      <w:r w:rsidRPr="000265E0">
        <w:rPr>
          <w:rFonts w:ascii="Calibri" w:hAnsi="Calibri"/>
          <w:sz w:val="24"/>
        </w:rPr>
        <w:t xml:space="preserve"> wh</w:t>
      </w:r>
      <w:r w:rsidR="00DE5338">
        <w:rPr>
          <w:rFonts w:ascii="Calibri" w:hAnsi="Calibri"/>
          <w:sz w:val="24"/>
        </w:rPr>
        <w:t>ich</w:t>
      </w:r>
      <w:r w:rsidRPr="000265E0">
        <w:rPr>
          <w:rFonts w:ascii="Calibri" w:hAnsi="Calibri"/>
          <w:sz w:val="24"/>
        </w:rPr>
        <w:t xml:space="preserve"> </w:t>
      </w:r>
      <w:r w:rsidR="00F21098">
        <w:rPr>
          <w:rFonts w:ascii="Calibri" w:hAnsi="Calibri"/>
          <w:sz w:val="24"/>
        </w:rPr>
        <w:t>aims</w:t>
      </w:r>
      <w:r w:rsidR="009762AE">
        <w:rPr>
          <w:rFonts w:ascii="Calibri" w:hAnsi="Calibri"/>
          <w:sz w:val="24"/>
        </w:rPr>
        <w:t xml:space="preserve"> to </w:t>
      </w:r>
      <w:r w:rsidRPr="000265E0">
        <w:rPr>
          <w:rFonts w:ascii="Calibri" w:hAnsi="Calibri"/>
          <w:sz w:val="24"/>
        </w:rPr>
        <w:t xml:space="preserve">support the referrals made by the </w:t>
      </w:r>
      <w:r w:rsidR="008D421A">
        <w:rPr>
          <w:rFonts w:ascii="Calibri" w:hAnsi="Calibri"/>
          <w:sz w:val="24"/>
        </w:rPr>
        <w:t>a</w:t>
      </w:r>
      <w:r w:rsidRPr="000265E0">
        <w:rPr>
          <w:rFonts w:ascii="Calibri" w:hAnsi="Calibri"/>
          <w:sz w:val="24"/>
        </w:rPr>
        <w:t>gency and act as a conduit where joint case management occurs.</w:t>
      </w:r>
      <w:r w:rsidR="00D26B57">
        <w:rPr>
          <w:rFonts w:ascii="Calibri" w:hAnsi="Calibri"/>
          <w:sz w:val="24"/>
        </w:rPr>
        <w:t xml:space="preserve"> </w:t>
      </w:r>
    </w:p>
    <w:p w:rsidR="00FB4292" w:rsidRPr="00FB4292" w:rsidRDefault="00FB4292" w:rsidP="00D92BEA">
      <w:pPr>
        <w:pStyle w:val="Heading4"/>
      </w:pPr>
      <w:r w:rsidRPr="00FB4292">
        <w:t>Other Supporting Actions</w:t>
      </w:r>
    </w:p>
    <w:p w:rsidR="00FB4292" w:rsidRDefault="00B174AA" w:rsidP="00B72C32">
      <w:pPr>
        <w:rPr>
          <w:rFonts w:ascii="Calibri" w:hAnsi="Calibri"/>
          <w:sz w:val="24"/>
        </w:rPr>
      </w:pPr>
      <w:r>
        <w:rPr>
          <w:rFonts w:ascii="Calibri" w:hAnsi="Calibri"/>
          <w:sz w:val="24"/>
        </w:rPr>
        <w:t>Changes to t</w:t>
      </w:r>
      <w:r w:rsidRPr="00FB4292">
        <w:rPr>
          <w:rFonts w:ascii="Calibri" w:hAnsi="Calibri"/>
          <w:sz w:val="24"/>
        </w:rPr>
        <w:t xml:space="preserve">he </w:t>
      </w:r>
      <w:r w:rsidR="00FB4292" w:rsidRPr="00AE7DB5">
        <w:rPr>
          <w:rFonts w:ascii="Calibri" w:hAnsi="Calibri"/>
          <w:i/>
          <w:sz w:val="24"/>
        </w:rPr>
        <w:t>Care and Protection of Children Act</w:t>
      </w:r>
      <w:r w:rsidR="00A623C2">
        <w:rPr>
          <w:rFonts w:ascii="Calibri" w:hAnsi="Calibri"/>
          <w:i/>
          <w:sz w:val="24"/>
        </w:rPr>
        <w:t xml:space="preserve"> 2007</w:t>
      </w:r>
      <w:r>
        <w:rPr>
          <w:rFonts w:ascii="Calibri" w:hAnsi="Calibri"/>
          <w:sz w:val="24"/>
        </w:rPr>
        <w:t xml:space="preserve"> </w:t>
      </w:r>
      <w:r w:rsidR="00054163">
        <w:rPr>
          <w:rFonts w:ascii="Calibri" w:hAnsi="Calibri"/>
          <w:sz w:val="24"/>
        </w:rPr>
        <w:t xml:space="preserve">announced in June 2013 </w:t>
      </w:r>
      <w:r>
        <w:rPr>
          <w:rFonts w:ascii="Calibri" w:hAnsi="Calibri"/>
          <w:sz w:val="24"/>
        </w:rPr>
        <w:t>will</w:t>
      </w:r>
      <w:r w:rsidR="00FB4292" w:rsidRPr="00FB4292">
        <w:rPr>
          <w:rFonts w:ascii="Calibri" w:hAnsi="Calibri"/>
          <w:sz w:val="24"/>
        </w:rPr>
        <w:t xml:space="preserve"> </w:t>
      </w:r>
      <w:r w:rsidR="00C91D70">
        <w:rPr>
          <w:rFonts w:ascii="Calibri" w:hAnsi="Calibri"/>
          <w:sz w:val="24"/>
        </w:rPr>
        <w:t>strengthen</w:t>
      </w:r>
      <w:r w:rsidR="00C91D70" w:rsidRPr="00FB4292">
        <w:rPr>
          <w:rFonts w:ascii="Calibri" w:hAnsi="Calibri"/>
          <w:sz w:val="24"/>
        </w:rPr>
        <w:t xml:space="preserve"> </w:t>
      </w:r>
      <w:r w:rsidR="00FB4292" w:rsidRPr="00FB4292">
        <w:rPr>
          <w:rFonts w:ascii="Calibri" w:hAnsi="Calibri"/>
          <w:sz w:val="24"/>
        </w:rPr>
        <w:t>the legal representation of children in the system</w:t>
      </w:r>
      <w:r w:rsidR="006D0C2C">
        <w:rPr>
          <w:rFonts w:ascii="Calibri" w:hAnsi="Calibri"/>
          <w:sz w:val="24"/>
        </w:rPr>
        <w:t>,</w:t>
      </w:r>
      <w:r w:rsidR="00054163">
        <w:rPr>
          <w:rFonts w:ascii="Calibri" w:hAnsi="Calibri"/>
          <w:sz w:val="24"/>
        </w:rPr>
        <w:t xml:space="preserve"> to</w:t>
      </w:r>
      <w:r w:rsidR="006D0C2C">
        <w:rPr>
          <w:rFonts w:ascii="Calibri" w:hAnsi="Calibri"/>
          <w:sz w:val="24"/>
        </w:rPr>
        <w:t xml:space="preserve"> </w:t>
      </w:r>
      <w:r w:rsidR="00FF663B">
        <w:rPr>
          <w:rFonts w:ascii="Calibri" w:hAnsi="Calibri"/>
          <w:sz w:val="24"/>
        </w:rPr>
        <w:t>ensure that</w:t>
      </w:r>
      <w:r w:rsidR="00FB4292" w:rsidRPr="00FB4292">
        <w:rPr>
          <w:rFonts w:ascii="Calibri" w:hAnsi="Calibri"/>
          <w:sz w:val="24"/>
        </w:rPr>
        <w:t xml:space="preserve"> their voice is heard</w:t>
      </w:r>
      <w:r>
        <w:rPr>
          <w:rFonts w:ascii="Calibri" w:hAnsi="Calibri"/>
          <w:sz w:val="24"/>
        </w:rPr>
        <w:t>,</w:t>
      </w:r>
      <w:r w:rsidR="009A6D1E">
        <w:rPr>
          <w:rFonts w:ascii="Calibri" w:hAnsi="Calibri"/>
          <w:sz w:val="24"/>
        </w:rPr>
        <w:t xml:space="preserve"> and</w:t>
      </w:r>
      <w:r w:rsidR="00FB4292" w:rsidRPr="00FB4292">
        <w:rPr>
          <w:rFonts w:ascii="Calibri" w:hAnsi="Calibri"/>
          <w:sz w:val="24"/>
        </w:rPr>
        <w:t xml:space="preserve"> a Charter of Rights for children entering into out-of-home </w:t>
      </w:r>
      <w:r w:rsidR="00C91D70">
        <w:rPr>
          <w:rFonts w:ascii="Calibri" w:hAnsi="Calibri"/>
          <w:sz w:val="24"/>
        </w:rPr>
        <w:t xml:space="preserve">care </w:t>
      </w:r>
      <w:r w:rsidR="00FB4292" w:rsidRPr="00FB4292">
        <w:rPr>
          <w:rFonts w:ascii="Calibri" w:hAnsi="Calibri"/>
          <w:sz w:val="24"/>
        </w:rPr>
        <w:t>will be finalised in 2013.</w:t>
      </w:r>
    </w:p>
    <w:p w:rsidR="00F409F5" w:rsidRDefault="004F1BA8" w:rsidP="0068248F">
      <w:pPr>
        <w:pStyle w:val="Heading3"/>
      </w:pPr>
      <w:bookmarkStart w:id="93" w:name="_Toc400007704"/>
      <w:r w:rsidRPr="00821556">
        <w:t>Queensland</w:t>
      </w:r>
      <w:bookmarkEnd w:id="93"/>
    </w:p>
    <w:p w:rsidR="003406E4" w:rsidRDefault="003406E4" w:rsidP="00D92BEA">
      <w:pPr>
        <w:pStyle w:val="Heading4"/>
      </w:pPr>
      <w:r w:rsidRPr="005B0CBB">
        <w:t>Early Childhood</w:t>
      </w:r>
      <w:r>
        <w:t xml:space="preserve"> </w:t>
      </w:r>
    </w:p>
    <w:p w:rsidR="003406E4" w:rsidRPr="005B0CBB" w:rsidRDefault="003406E4" w:rsidP="00F409F5">
      <w:pPr>
        <w:rPr>
          <w:rFonts w:ascii="Calibri" w:hAnsi="Calibri"/>
          <w:sz w:val="24"/>
        </w:rPr>
      </w:pPr>
      <w:r w:rsidRPr="005B0CBB">
        <w:rPr>
          <w:rFonts w:ascii="Calibri" w:hAnsi="Calibri"/>
          <w:sz w:val="24"/>
        </w:rPr>
        <w:t xml:space="preserve">The Queensland AEDI Community Action Grants will provide funding for organisations to respond to local needs identified by AEDI data in communities with a higher proportion of developmentally vulnerable children than the Queensland average. </w:t>
      </w:r>
      <w:r w:rsidR="005D1306">
        <w:rPr>
          <w:rFonts w:ascii="Calibri" w:hAnsi="Calibri"/>
          <w:sz w:val="24"/>
        </w:rPr>
        <w:t>Funding will prioritise</w:t>
      </w:r>
      <w:r w:rsidR="00DE3091">
        <w:rPr>
          <w:rFonts w:ascii="Calibri" w:hAnsi="Calibri"/>
          <w:sz w:val="24"/>
        </w:rPr>
        <w:t xml:space="preserve"> a</w:t>
      </w:r>
      <w:r w:rsidRPr="005B0CBB">
        <w:rPr>
          <w:rFonts w:ascii="Calibri" w:hAnsi="Calibri"/>
          <w:sz w:val="24"/>
        </w:rPr>
        <w:t xml:space="preserve">ctivities </w:t>
      </w:r>
      <w:r w:rsidR="005D1306">
        <w:rPr>
          <w:rFonts w:ascii="Calibri" w:hAnsi="Calibri"/>
          <w:sz w:val="24"/>
        </w:rPr>
        <w:t>which raise</w:t>
      </w:r>
      <w:r w:rsidRPr="005B0CBB">
        <w:rPr>
          <w:rFonts w:ascii="Calibri" w:hAnsi="Calibri"/>
          <w:sz w:val="24"/>
        </w:rPr>
        <w:t xml:space="preserve"> awareness of issues relevant to early childhood development, engaging with community members to deliver solutions and enhancing community capacity to support </w:t>
      </w:r>
      <w:r w:rsidR="009010B6">
        <w:rPr>
          <w:rFonts w:ascii="Calibri" w:hAnsi="Calibri"/>
          <w:sz w:val="24"/>
        </w:rPr>
        <w:t>early childhood development</w:t>
      </w:r>
      <w:r w:rsidRPr="005B0CBB">
        <w:rPr>
          <w:rFonts w:ascii="Calibri" w:hAnsi="Calibri"/>
          <w:sz w:val="24"/>
        </w:rPr>
        <w:t>.</w:t>
      </w:r>
    </w:p>
    <w:p w:rsidR="003406E4" w:rsidRPr="003F7871" w:rsidRDefault="003406E4" w:rsidP="003F7871">
      <w:pPr>
        <w:rPr>
          <w:rFonts w:asciiTheme="minorHAnsi" w:hAnsiTheme="minorHAnsi"/>
          <w:sz w:val="24"/>
        </w:rPr>
      </w:pPr>
    </w:p>
    <w:p w:rsidR="003406E4" w:rsidRPr="005B0CBB" w:rsidRDefault="003406E4" w:rsidP="003406E4">
      <w:pPr>
        <w:keepNext/>
        <w:rPr>
          <w:rFonts w:ascii="Calibri" w:hAnsi="Calibri"/>
          <w:sz w:val="24"/>
        </w:rPr>
      </w:pPr>
      <w:r w:rsidRPr="005B0CBB">
        <w:rPr>
          <w:rFonts w:ascii="Calibri" w:hAnsi="Calibri"/>
          <w:sz w:val="24"/>
        </w:rPr>
        <w:t xml:space="preserve">The Queensland Government’s Department of Education, Training and Employment (DETE) undertook data modelling to assist </w:t>
      </w:r>
      <w:r w:rsidR="00FD47A0">
        <w:rPr>
          <w:rFonts w:ascii="Calibri" w:hAnsi="Calibri"/>
          <w:sz w:val="24"/>
        </w:rPr>
        <w:t xml:space="preserve">with </w:t>
      </w:r>
      <w:r w:rsidRPr="005B0CBB">
        <w:rPr>
          <w:rFonts w:ascii="Calibri" w:hAnsi="Calibri"/>
          <w:sz w:val="24"/>
        </w:rPr>
        <w:t xml:space="preserve">the development of initiatives to increase kindergarten participation </w:t>
      </w:r>
      <w:r w:rsidR="00532DE5">
        <w:rPr>
          <w:rFonts w:ascii="Calibri" w:hAnsi="Calibri"/>
          <w:sz w:val="24"/>
        </w:rPr>
        <w:t>by</w:t>
      </w:r>
      <w:r w:rsidRPr="005B0CBB">
        <w:rPr>
          <w:rFonts w:ascii="Calibri" w:hAnsi="Calibri"/>
          <w:sz w:val="24"/>
        </w:rPr>
        <w:t xml:space="preserve"> Aboriginal and Torres Strait Islander children and children from </w:t>
      </w:r>
      <w:r w:rsidR="002C3200">
        <w:rPr>
          <w:rFonts w:ascii="Calibri" w:hAnsi="Calibri"/>
          <w:sz w:val="24"/>
        </w:rPr>
        <w:t>CALD</w:t>
      </w:r>
      <w:r w:rsidRPr="005B0CBB">
        <w:rPr>
          <w:rFonts w:ascii="Calibri" w:hAnsi="Calibri"/>
          <w:sz w:val="24"/>
        </w:rPr>
        <w:t xml:space="preserve"> backgrounds.</w:t>
      </w:r>
      <w:r w:rsidR="00D26B57">
        <w:rPr>
          <w:rFonts w:ascii="Calibri" w:hAnsi="Calibri"/>
          <w:sz w:val="24"/>
        </w:rPr>
        <w:t xml:space="preserve"> </w:t>
      </w:r>
      <w:r w:rsidRPr="005B0CBB">
        <w:rPr>
          <w:rFonts w:ascii="Calibri" w:hAnsi="Calibri"/>
          <w:sz w:val="24"/>
        </w:rPr>
        <w:t>Targeted</w:t>
      </w:r>
      <w:r w:rsidR="00FD47A0">
        <w:rPr>
          <w:rFonts w:ascii="Calibri" w:hAnsi="Calibri"/>
          <w:sz w:val="24"/>
        </w:rPr>
        <w:t>,</w:t>
      </w:r>
      <w:r w:rsidRPr="005B0CBB">
        <w:rPr>
          <w:rFonts w:ascii="Calibri" w:hAnsi="Calibri"/>
          <w:sz w:val="24"/>
        </w:rPr>
        <w:t xml:space="preserve"> place-based initiatives are now being implemented.</w:t>
      </w:r>
    </w:p>
    <w:p w:rsidR="003406E4" w:rsidRDefault="003406E4" w:rsidP="003406E4">
      <w:pPr>
        <w:rPr>
          <w:rFonts w:ascii="Calibri" w:hAnsi="Calibri"/>
          <w:sz w:val="24"/>
        </w:rPr>
      </w:pPr>
    </w:p>
    <w:p w:rsidR="003406E4" w:rsidRDefault="003406E4" w:rsidP="003406E4">
      <w:pPr>
        <w:rPr>
          <w:rFonts w:ascii="Calibri" w:hAnsi="Calibri"/>
          <w:sz w:val="24"/>
        </w:rPr>
      </w:pPr>
      <w:r w:rsidRPr="00DE5338">
        <w:rPr>
          <w:rFonts w:ascii="Calibri" w:hAnsi="Calibri"/>
          <w:sz w:val="24"/>
        </w:rPr>
        <w:t>DETE</w:t>
      </w:r>
      <w:r w:rsidRPr="00E711C5">
        <w:rPr>
          <w:rFonts w:ascii="Calibri" w:hAnsi="Calibri"/>
          <w:b/>
          <w:sz w:val="24"/>
        </w:rPr>
        <w:t xml:space="preserve"> </w:t>
      </w:r>
      <w:r w:rsidRPr="00E711C5">
        <w:rPr>
          <w:rFonts w:ascii="Calibri" w:hAnsi="Calibri"/>
          <w:sz w:val="24"/>
        </w:rPr>
        <w:t xml:space="preserve">has a number of initiatives underway to address kindergarten participation challenges for children and families with diverse needs. Initiatives include: </w:t>
      </w:r>
    </w:p>
    <w:p w:rsidR="003406E4" w:rsidRPr="00E711C5" w:rsidRDefault="003406E4" w:rsidP="00A60F84">
      <w:pPr>
        <w:pStyle w:val="ListBullet"/>
        <w:spacing w:after="60"/>
        <w:ind w:left="357" w:hanging="357"/>
      </w:pPr>
      <w:r w:rsidRPr="00E711C5">
        <w:t>creating additional kindergarten places</w:t>
      </w:r>
    </w:p>
    <w:p w:rsidR="003406E4" w:rsidRPr="00E711C5" w:rsidRDefault="003406E4" w:rsidP="00A60F84">
      <w:pPr>
        <w:pStyle w:val="ListBullet"/>
        <w:spacing w:after="60"/>
        <w:ind w:left="357" w:hanging="357"/>
      </w:pPr>
      <w:r w:rsidRPr="00E711C5">
        <w:t>reducing out-of-pocket expenses through ‘per child’ subsidies</w:t>
      </w:r>
    </w:p>
    <w:p w:rsidR="003406E4" w:rsidRPr="00E711C5" w:rsidRDefault="003406E4" w:rsidP="00A60F84">
      <w:pPr>
        <w:pStyle w:val="ListBullet"/>
        <w:spacing w:after="60"/>
        <w:ind w:left="357" w:hanging="357"/>
      </w:pPr>
      <w:r w:rsidRPr="00E711C5">
        <w:t>the Embedding Aboriginal and Torres Strait Islander Perspectives in Early Childhood cultural competence support and guidance program</w:t>
      </w:r>
    </w:p>
    <w:p w:rsidR="003406E4" w:rsidRPr="00E711C5" w:rsidRDefault="003406E4" w:rsidP="00A60F84">
      <w:pPr>
        <w:pStyle w:val="ListBullet"/>
        <w:spacing w:after="60"/>
        <w:ind w:left="357" w:hanging="357"/>
      </w:pPr>
      <w:r w:rsidRPr="00E711C5">
        <w:t>the Transition to Kindergarten Program</w:t>
      </w:r>
      <w:r w:rsidR="005D1306">
        <w:t>,</w:t>
      </w:r>
      <w:r w:rsidRPr="00E711C5">
        <w:t xml:space="preserve"> supporting kindergarten awareness through playgroups</w:t>
      </w:r>
    </w:p>
    <w:p w:rsidR="003406E4" w:rsidRPr="00E711C5" w:rsidRDefault="003406E4" w:rsidP="00A60F84">
      <w:pPr>
        <w:pStyle w:val="ListBullet"/>
        <w:spacing w:after="60"/>
        <w:ind w:left="357" w:hanging="357"/>
      </w:pPr>
      <w:r w:rsidRPr="00E711C5">
        <w:t>the Pre-kindergarten Grants and the Transport Assistance Grants Programs</w:t>
      </w:r>
    </w:p>
    <w:p w:rsidR="003406E4" w:rsidRPr="00E711C5" w:rsidRDefault="003406E4" w:rsidP="00A60F84">
      <w:pPr>
        <w:pStyle w:val="ListBullet"/>
        <w:spacing w:after="60"/>
        <w:ind w:left="357" w:hanging="357"/>
      </w:pPr>
      <w:r w:rsidRPr="00E711C5">
        <w:t>a direct marketing campaign</w:t>
      </w:r>
    </w:p>
    <w:p w:rsidR="003406E4" w:rsidRPr="00E711C5" w:rsidRDefault="003406E4" w:rsidP="00A60F84">
      <w:pPr>
        <w:pStyle w:val="ListBullet"/>
        <w:spacing w:after="60"/>
        <w:ind w:left="357" w:hanging="357"/>
      </w:pPr>
      <w:r w:rsidRPr="00E711C5">
        <w:t>access to interpreter services and to specialised support</w:t>
      </w:r>
    </w:p>
    <w:p w:rsidR="005D1306" w:rsidRDefault="003406E4" w:rsidP="00A60F84">
      <w:pPr>
        <w:pStyle w:val="ListBullet"/>
        <w:spacing w:after="60"/>
        <w:ind w:left="357" w:hanging="357"/>
      </w:pPr>
      <w:r w:rsidRPr="00E711C5">
        <w:t xml:space="preserve">equipment and resources for children with disabilities </w:t>
      </w:r>
    </w:p>
    <w:p w:rsidR="003406E4" w:rsidRPr="00E711C5" w:rsidRDefault="003406E4" w:rsidP="00A60F84">
      <w:pPr>
        <w:pStyle w:val="ListBullet"/>
        <w:spacing w:after="60"/>
        <w:ind w:left="357" w:hanging="357"/>
      </w:pPr>
      <w:r w:rsidRPr="00E711C5">
        <w:t>workforce initiatives</w:t>
      </w:r>
    </w:p>
    <w:p w:rsidR="003406E4" w:rsidRPr="00E711C5" w:rsidRDefault="003406E4" w:rsidP="00A60F84">
      <w:pPr>
        <w:pStyle w:val="ListBullet"/>
        <w:spacing w:after="60"/>
        <w:ind w:left="357" w:hanging="357"/>
      </w:pPr>
      <w:proofErr w:type="gramStart"/>
      <w:r w:rsidRPr="00E711C5">
        <w:t>leveraging</w:t>
      </w:r>
      <w:proofErr w:type="gramEnd"/>
      <w:r w:rsidRPr="00E711C5">
        <w:t xml:space="preserve"> integrated services</w:t>
      </w:r>
      <w:r w:rsidR="00737582">
        <w:t>,</w:t>
      </w:r>
      <w:r w:rsidRPr="00E711C5">
        <w:t xml:space="preserve"> </w:t>
      </w:r>
      <w:r w:rsidR="00737582">
        <w:t>such as</w:t>
      </w:r>
      <w:r w:rsidR="00737582" w:rsidRPr="00E711C5">
        <w:t xml:space="preserve"> </w:t>
      </w:r>
      <w:r w:rsidRPr="00E711C5">
        <w:t xml:space="preserve">the Early Years Centres </w:t>
      </w:r>
      <w:r w:rsidR="006E33FF">
        <w:t xml:space="preserve">(EYC) </w:t>
      </w:r>
      <w:r w:rsidRPr="00E711C5">
        <w:t xml:space="preserve">and </w:t>
      </w:r>
      <w:r w:rsidR="00B16D49">
        <w:t>CFCs</w:t>
      </w:r>
      <w:r w:rsidR="00737582">
        <w:t>,</w:t>
      </w:r>
      <w:r w:rsidRPr="00E711C5">
        <w:t xml:space="preserve"> to increase access to, and participation in, kindergarten. </w:t>
      </w:r>
    </w:p>
    <w:p w:rsidR="003406E4" w:rsidRPr="00E711C5" w:rsidRDefault="003406E4" w:rsidP="003406E4">
      <w:pPr>
        <w:rPr>
          <w:rFonts w:ascii="Calibri" w:hAnsi="Calibri"/>
          <w:sz w:val="24"/>
        </w:rPr>
      </w:pPr>
    </w:p>
    <w:p w:rsidR="003406E4" w:rsidRDefault="005D1306" w:rsidP="003406E4">
      <w:pPr>
        <w:rPr>
          <w:rFonts w:ascii="Calibri" w:hAnsi="Calibri"/>
          <w:sz w:val="24"/>
        </w:rPr>
      </w:pPr>
      <w:r>
        <w:rPr>
          <w:rFonts w:ascii="Calibri" w:hAnsi="Calibri"/>
          <w:sz w:val="24"/>
        </w:rPr>
        <w:t>Because of</w:t>
      </w:r>
      <w:r w:rsidR="003406E4" w:rsidRPr="00E711C5">
        <w:rPr>
          <w:rFonts w:ascii="Calibri" w:hAnsi="Calibri"/>
          <w:sz w:val="24"/>
        </w:rPr>
        <w:t xml:space="preserve"> the recent commencement of many of these initiatives, the associated reviews, analyses and evaluations have not yet </w:t>
      </w:r>
      <w:r>
        <w:rPr>
          <w:rFonts w:ascii="Calibri" w:hAnsi="Calibri"/>
          <w:sz w:val="24"/>
        </w:rPr>
        <w:t>begun</w:t>
      </w:r>
      <w:r w:rsidR="003406E4" w:rsidRPr="00E711C5">
        <w:rPr>
          <w:rFonts w:ascii="Calibri" w:hAnsi="Calibri"/>
          <w:sz w:val="24"/>
        </w:rPr>
        <w:t xml:space="preserve">. Public discussion papers were provided in 2012 to inform targeted stakeholders of the development of these initiatives. </w:t>
      </w:r>
    </w:p>
    <w:p w:rsidR="003406E4" w:rsidRPr="00E711C5" w:rsidRDefault="003406E4" w:rsidP="003406E4">
      <w:pPr>
        <w:rPr>
          <w:rFonts w:ascii="Calibri" w:hAnsi="Calibri"/>
          <w:sz w:val="24"/>
        </w:rPr>
      </w:pPr>
    </w:p>
    <w:p w:rsidR="001878D8" w:rsidRDefault="003406E4" w:rsidP="001878D8">
      <w:pPr>
        <w:rPr>
          <w:rFonts w:ascii="Calibri" w:hAnsi="Calibri"/>
          <w:sz w:val="24"/>
        </w:rPr>
      </w:pPr>
      <w:r w:rsidRPr="00E711C5">
        <w:rPr>
          <w:rFonts w:ascii="Calibri" w:hAnsi="Calibri"/>
          <w:sz w:val="24"/>
        </w:rPr>
        <w:t xml:space="preserve">An evaluation of the </w:t>
      </w:r>
      <w:r w:rsidR="006E33FF">
        <w:rPr>
          <w:rFonts w:ascii="Calibri" w:hAnsi="Calibri"/>
          <w:sz w:val="24"/>
        </w:rPr>
        <w:t>EYC</w:t>
      </w:r>
      <w:r w:rsidRPr="00E711C5">
        <w:rPr>
          <w:rFonts w:ascii="Calibri" w:hAnsi="Calibri"/>
          <w:sz w:val="24"/>
        </w:rPr>
        <w:t xml:space="preserve"> initiative</w:t>
      </w:r>
      <w:r w:rsidR="00825DDC">
        <w:rPr>
          <w:rFonts w:ascii="Calibri" w:hAnsi="Calibri"/>
          <w:sz w:val="24"/>
        </w:rPr>
        <w:t xml:space="preserve"> was</w:t>
      </w:r>
      <w:r w:rsidRPr="00E711C5">
        <w:rPr>
          <w:rFonts w:ascii="Calibri" w:hAnsi="Calibri"/>
          <w:sz w:val="24"/>
        </w:rPr>
        <w:t xml:space="preserve"> completed in late 2012</w:t>
      </w:r>
      <w:r w:rsidR="00825DDC">
        <w:rPr>
          <w:rFonts w:ascii="Calibri" w:hAnsi="Calibri"/>
          <w:sz w:val="24"/>
        </w:rPr>
        <w:t xml:space="preserve"> and </w:t>
      </w:r>
      <w:r w:rsidRPr="00E711C5">
        <w:rPr>
          <w:rFonts w:ascii="Calibri" w:hAnsi="Calibri"/>
          <w:sz w:val="24"/>
        </w:rPr>
        <w:t xml:space="preserve">found evidence of improved social, behavioural and developmental outcomes for children. Parents reported </w:t>
      </w:r>
      <w:r w:rsidR="005D1306">
        <w:rPr>
          <w:rFonts w:ascii="Calibri" w:hAnsi="Calibri"/>
          <w:sz w:val="24"/>
        </w:rPr>
        <w:t xml:space="preserve">that </w:t>
      </w:r>
      <w:r w:rsidRPr="00E711C5">
        <w:rPr>
          <w:rFonts w:ascii="Calibri" w:hAnsi="Calibri"/>
          <w:sz w:val="24"/>
        </w:rPr>
        <w:t>they had achieved key goals for themselves and their child</w:t>
      </w:r>
      <w:r w:rsidR="005D1306">
        <w:rPr>
          <w:rFonts w:ascii="Calibri" w:hAnsi="Calibri"/>
          <w:sz w:val="24"/>
        </w:rPr>
        <w:t>ren</w:t>
      </w:r>
      <w:r w:rsidRPr="00E711C5">
        <w:rPr>
          <w:rFonts w:ascii="Calibri" w:hAnsi="Calibri"/>
          <w:sz w:val="24"/>
        </w:rPr>
        <w:t>, particularly in relation to confidence, socialisation, and educational and behavioural development. The evaluation further identified that families and staff particularly value the universal services, such as playgroups and maternal and child health services, because they are welcoming and non-stigmatising for families and an effective means for staff to identify and support families with greater needs.</w:t>
      </w:r>
    </w:p>
    <w:p w:rsidR="00A33D1B" w:rsidRPr="001878D8" w:rsidRDefault="00A33D1B" w:rsidP="00D92BEA">
      <w:pPr>
        <w:pStyle w:val="Heading4"/>
      </w:pPr>
      <w:r w:rsidRPr="005B0CBB">
        <w:t>Community and Business</w:t>
      </w:r>
    </w:p>
    <w:p w:rsidR="00856FA8" w:rsidRPr="00856FA8" w:rsidRDefault="00856FA8" w:rsidP="001878D8">
      <w:pPr>
        <w:rPr>
          <w:rFonts w:ascii="Calibri" w:hAnsi="Calibri"/>
          <w:sz w:val="24"/>
        </w:rPr>
      </w:pPr>
      <w:r w:rsidRPr="00856FA8">
        <w:rPr>
          <w:rFonts w:ascii="Calibri" w:hAnsi="Calibri"/>
          <w:sz w:val="24"/>
        </w:rPr>
        <w:t>The Queensland Government</w:t>
      </w:r>
      <w:r w:rsidR="00DE5338">
        <w:rPr>
          <w:rFonts w:ascii="Calibri" w:hAnsi="Calibri"/>
          <w:sz w:val="24"/>
        </w:rPr>
        <w:t>,</w:t>
      </w:r>
      <w:r w:rsidRPr="00856FA8">
        <w:rPr>
          <w:rFonts w:ascii="Calibri" w:hAnsi="Calibri"/>
          <w:sz w:val="24"/>
        </w:rPr>
        <w:t xml:space="preserve"> through the Department of Communities, Child Safety and Disability Services (DCCSDS)</w:t>
      </w:r>
      <w:r w:rsidR="00DE5338">
        <w:rPr>
          <w:rFonts w:ascii="Calibri" w:hAnsi="Calibri"/>
          <w:sz w:val="24"/>
        </w:rPr>
        <w:t>,</w:t>
      </w:r>
      <w:r w:rsidRPr="00856FA8">
        <w:rPr>
          <w:rFonts w:ascii="Calibri" w:hAnsi="Calibri"/>
          <w:sz w:val="24"/>
        </w:rPr>
        <w:t xml:space="preserve"> promotes resources developed by the Ethnic Communities Council of Queensland (ECCQ) for practitioners and parents. The ECCQ developed the resources through its Learning Together project</w:t>
      </w:r>
      <w:r w:rsidR="005D1306">
        <w:rPr>
          <w:rFonts w:ascii="Calibri" w:hAnsi="Calibri"/>
          <w:sz w:val="24"/>
        </w:rPr>
        <w:t>,</w:t>
      </w:r>
      <w:r w:rsidRPr="00856FA8">
        <w:rPr>
          <w:rFonts w:ascii="Calibri" w:hAnsi="Calibri"/>
          <w:sz w:val="24"/>
        </w:rPr>
        <w:t xml:space="preserve"> which engaged local families from CALD backgrounds to discuss what successful resettlement and parenting in Australia look like. </w:t>
      </w:r>
    </w:p>
    <w:p w:rsidR="00856FA8" w:rsidRPr="003F7871" w:rsidRDefault="00856FA8" w:rsidP="003F7871">
      <w:pPr>
        <w:rPr>
          <w:rFonts w:asciiTheme="minorHAnsi" w:hAnsiTheme="minorHAnsi"/>
          <w:sz w:val="24"/>
        </w:rPr>
      </w:pPr>
    </w:p>
    <w:p w:rsidR="00856FA8" w:rsidRDefault="002A695E" w:rsidP="00C97A8B">
      <w:pPr>
        <w:keepNext/>
        <w:rPr>
          <w:rFonts w:ascii="Calibri" w:hAnsi="Calibri"/>
          <w:sz w:val="24"/>
        </w:rPr>
      </w:pPr>
      <w:r w:rsidRPr="002A695E">
        <w:rPr>
          <w:rFonts w:ascii="Calibri" w:hAnsi="Calibri"/>
          <w:sz w:val="24"/>
        </w:rPr>
        <w:t>The</w:t>
      </w:r>
      <w:r w:rsidR="00F00C10">
        <w:rPr>
          <w:rFonts w:ascii="Calibri" w:hAnsi="Calibri"/>
          <w:sz w:val="24"/>
        </w:rPr>
        <w:t xml:space="preserve"> Queensland Government</w:t>
      </w:r>
      <w:r w:rsidRPr="002A695E">
        <w:rPr>
          <w:rFonts w:ascii="Calibri" w:hAnsi="Calibri"/>
          <w:sz w:val="24"/>
        </w:rPr>
        <w:t xml:space="preserve"> Department of Aboriginal and Torres Strait Islander and Multicultural Affairs (DATSIMA) is developing a new cultural diversity policy to remove barriers and direct government action to better enable people from different cultural backgrounds to participate successfully in our economy and society. </w:t>
      </w:r>
    </w:p>
    <w:p w:rsidR="00FF6B42" w:rsidRPr="003F7871" w:rsidRDefault="00FF6B42" w:rsidP="003F7871">
      <w:pPr>
        <w:rPr>
          <w:rFonts w:asciiTheme="minorHAnsi" w:hAnsiTheme="minorHAnsi"/>
          <w:sz w:val="24"/>
        </w:rPr>
      </w:pPr>
    </w:p>
    <w:p w:rsidR="00856FA8" w:rsidRPr="00856FA8" w:rsidRDefault="00856FA8" w:rsidP="001878D8">
      <w:pPr>
        <w:rPr>
          <w:rFonts w:ascii="Calibri" w:hAnsi="Calibri"/>
          <w:sz w:val="24"/>
        </w:rPr>
      </w:pPr>
      <w:r w:rsidRPr="0050303E">
        <w:rPr>
          <w:rFonts w:ascii="Calibri" w:hAnsi="Calibri"/>
          <w:iCs/>
          <w:sz w:val="24"/>
        </w:rPr>
        <w:t>DCCSDS</w:t>
      </w:r>
      <w:r w:rsidRPr="00856FA8">
        <w:rPr>
          <w:rFonts w:ascii="Calibri" w:hAnsi="Calibri"/>
          <w:iCs/>
          <w:sz w:val="24"/>
        </w:rPr>
        <w:t xml:space="preserve"> plays an ongoing role in educating media about the relevant legislation and protocols concerning the need to protect the identity of children within the child protection system. DCCSDS follows these same protocols</w:t>
      </w:r>
      <w:r w:rsidR="0050303E">
        <w:rPr>
          <w:rFonts w:ascii="Calibri" w:hAnsi="Calibri"/>
          <w:iCs/>
          <w:sz w:val="24"/>
        </w:rPr>
        <w:t xml:space="preserve"> when providing media responses</w:t>
      </w:r>
      <w:r w:rsidRPr="00856FA8">
        <w:rPr>
          <w:rFonts w:ascii="Calibri" w:hAnsi="Calibri"/>
          <w:iCs/>
          <w:sz w:val="24"/>
        </w:rPr>
        <w:t xml:space="preserve"> and</w:t>
      </w:r>
      <w:r w:rsidR="0050303E">
        <w:rPr>
          <w:rFonts w:ascii="Calibri" w:hAnsi="Calibri"/>
          <w:iCs/>
          <w:sz w:val="24"/>
        </w:rPr>
        <w:t>,</w:t>
      </w:r>
      <w:r w:rsidRPr="00856FA8">
        <w:rPr>
          <w:rFonts w:ascii="Calibri" w:hAnsi="Calibri"/>
          <w:iCs/>
          <w:sz w:val="24"/>
        </w:rPr>
        <w:t xml:space="preserve"> where appropriate, reiterates the department’s commitment to preventative and support services to strengthen families. DCCSDS</w:t>
      </w:r>
      <w:r w:rsidRPr="00856FA8">
        <w:rPr>
          <w:rFonts w:ascii="Calibri" w:hAnsi="Calibri"/>
          <w:b/>
          <w:iCs/>
          <w:sz w:val="24"/>
        </w:rPr>
        <w:t xml:space="preserve"> </w:t>
      </w:r>
      <w:r w:rsidRPr="00856FA8">
        <w:rPr>
          <w:rFonts w:ascii="Calibri" w:hAnsi="Calibri"/>
          <w:iCs/>
          <w:sz w:val="24"/>
        </w:rPr>
        <w:t>worked with journalists during Child Protection Week 2012 and Foster and Kinship Carer Week 2013 to ensure appropriate reporting in features related to these promotional weeks.</w:t>
      </w:r>
      <w:r w:rsidR="00D26B57">
        <w:rPr>
          <w:rFonts w:ascii="Calibri" w:hAnsi="Calibri"/>
          <w:iCs/>
          <w:sz w:val="24"/>
        </w:rPr>
        <w:t xml:space="preserve"> </w:t>
      </w:r>
    </w:p>
    <w:p w:rsidR="00E80EE2" w:rsidRPr="003F7871" w:rsidRDefault="00E80EE2" w:rsidP="003F7871">
      <w:pPr>
        <w:rPr>
          <w:rFonts w:asciiTheme="minorHAnsi" w:hAnsiTheme="minorHAnsi"/>
          <w:sz w:val="24"/>
        </w:rPr>
      </w:pPr>
    </w:p>
    <w:p w:rsidR="004531F4" w:rsidRDefault="00E711C5" w:rsidP="004B193A">
      <w:pPr>
        <w:pStyle w:val="ListBullet"/>
        <w:numPr>
          <w:ilvl w:val="0"/>
          <w:numId w:val="0"/>
        </w:numPr>
        <w:spacing w:before="0"/>
      </w:pPr>
      <w:r w:rsidRPr="00825DDC">
        <w:t>The Queensland Government’s</w:t>
      </w:r>
      <w:r w:rsidRPr="00825DDC">
        <w:rPr>
          <w:b/>
        </w:rPr>
        <w:t xml:space="preserve"> </w:t>
      </w:r>
      <w:r w:rsidRPr="00825DDC">
        <w:t>Supporting Families Alliances Strategy 2011 aims to ensure that the existing local family support service capacity is utilised as effectively as possible. This strategy supports broader reforms to the secondary service system</w:t>
      </w:r>
      <w:r w:rsidR="0050303E" w:rsidRPr="00825DDC">
        <w:t>,</w:t>
      </w:r>
      <w:r w:rsidRPr="00825DDC">
        <w:t xml:space="preserve"> including services developing a shared responsibility to identify and respond to the needs of families in a more timely and coordinated manner. The overarching aim is to have </w:t>
      </w:r>
      <w:r w:rsidR="00D80EC3" w:rsidRPr="004531F4">
        <w:t xml:space="preserve">alliances </w:t>
      </w:r>
      <w:r w:rsidRPr="00825DDC">
        <w:t>of service providers in target locations</w:t>
      </w:r>
      <w:r w:rsidR="003A6FD4">
        <w:t>,</w:t>
      </w:r>
      <w:r w:rsidRPr="00825DDC">
        <w:t xml:space="preserve"> whose key focus is on establishing or strengthening connections between local services that are involved in s</w:t>
      </w:r>
      <w:r w:rsidR="0050303E" w:rsidRPr="00825DDC">
        <w:t xml:space="preserve">upporting vulnerable families, </w:t>
      </w:r>
      <w:r w:rsidRPr="00825DDC">
        <w:t>including community and government providers.</w:t>
      </w:r>
    </w:p>
    <w:p w:rsidR="004531F4" w:rsidRDefault="004531F4" w:rsidP="004531F4">
      <w:pPr>
        <w:pStyle w:val="ListBullet"/>
        <w:numPr>
          <w:ilvl w:val="0"/>
          <w:numId w:val="0"/>
        </w:numPr>
        <w:spacing w:before="60"/>
      </w:pPr>
    </w:p>
    <w:p w:rsidR="004531F4" w:rsidRDefault="004531F4" w:rsidP="004531F4">
      <w:pPr>
        <w:pStyle w:val="ListBullet"/>
        <w:numPr>
          <w:ilvl w:val="0"/>
          <w:numId w:val="0"/>
        </w:numPr>
        <w:spacing w:before="60"/>
      </w:pPr>
      <w:r>
        <w:t>T</w:t>
      </w:r>
      <w:r w:rsidR="00E711C5" w:rsidRPr="00E711C5">
        <w:t xml:space="preserve">o achieve this aim, DCCSDS has worked to build more collaborative relationships between local providers of family and children’s support services, including between </w:t>
      </w:r>
      <w:r w:rsidR="00C8305C">
        <w:t>community sector</w:t>
      </w:r>
      <w:r w:rsidR="00E711C5" w:rsidRPr="00E711C5">
        <w:t xml:space="preserve"> and government service providers. Family Support Alliances are specifically identified, along with relevant government departments, to develop a collaborative case management approach for families with complex needs that includes a single case plan and a lead professional.</w:t>
      </w:r>
    </w:p>
    <w:p w:rsidR="004531F4" w:rsidRDefault="004531F4" w:rsidP="004531F4">
      <w:pPr>
        <w:pStyle w:val="ListBullet"/>
        <w:numPr>
          <w:ilvl w:val="0"/>
          <w:numId w:val="0"/>
        </w:numPr>
        <w:spacing w:before="60"/>
      </w:pPr>
    </w:p>
    <w:p w:rsidR="004531F4" w:rsidRDefault="004531F4" w:rsidP="004531F4">
      <w:pPr>
        <w:pStyle w:val="ListBullet"/>
        <w:numPr>
          <w:ilvl w:val="0"/>
          <w:numId w:val="0"/>
        </w:numPr>
        <w:spacing w:before="60"/>
      </w:pPr>
      <w:r>
        <w:t>D</w:t>
      </w:r>
      <w:r w:rsidR="00E711C5" w:rsidRPr="00E711C5">
        <w:t>uring 2012</w:t>
      </w:r>
      <w:r w:rsidR="00AC61F3">
        <w:t>–</w:t>
      </w:r>
      <w:r w:rsidR="00E711C5" w:rsidRPr="00E711C5">
        <w:t>2013</w:t>
      </w:r>
      <w:r w:rsidR="0050303E">
        <w:t>,</w:t>
      </w:r>
      <w:r w:rsidR="00E711C5" w:rsidRPr="00E711C5">
        <w:t xml:space="preserve"> six Queensland Government regions have worked to establish Supporting Families Alliances in locations where Referral for Active Intervention Services are delivering intensive family support to vulnerable families at risk of entering the child protection system. Alliances are operating or are being established in 13 locations across the state. </w:t>
      </w:r>
    </w:p>
    <w:p w:rsidR="004531F4" w:rsidRDefault="004531F4" w:rsidP="004531F4">
      <w:pPr>
        <w:pStyle w:val="ListBullet"/>
        <w:numPr>
          <w:ilvl w:val="0"/>
          <w:numId w:val="0"/>
        </w:numPr>
        <w:spacing w:before="60"/>
      </w:pPr>
    </w:p>
    <w:p w:rsidR="004531F4" w:rsidRDefault="004531F4" w:rsidP="004531F4">
      <w:pPr>
        <w:pStyle w:val="ListBullet"/>
        <w:numPr>
          <w:ilvl w:val="0"/>
          <w:numId w:val="0"/>
        </w:numPr>
        <w:spacing w:before="60"/>
      </w:pPr>
      <w:r>
        <w:t>D</w:t>
      </w:r>
      <w:r w:rsidR="00AC61F3">
        <w:t>ETE</w:t>
      </w:r>
      <w:r w:rsidR="00E711C5" w:rsidRPr="00E711C5">
        <w:rPr>
          <w:b/>
        </w:rPr>
        <w:t xml:space="preserve"> </w:t>
      </w:r>
      <w:r w:rsidR="00E711C5" w:rsidRPr="00E711C5">
        <w:t>is developing material to provide useful information to staff working in education and care services about identifying possible cases of abuse or neglect that could be reported to child safety or policy.</w:t>
      </w:r>
    </w:p>
    <w:p w:rsidR="004531F4" w:rsidRDefault="004531F4" w:rsidP="004531F4">
      <w:pPr>
        <w:pStyle w:val="ListBullet"/>
        <w:numPr>
          <w:ilvl w:val="0"/>
          <w:numId w:val="0"/>
        </w:numPr>
        <w:spacing w:before="60"/>
      </w:pPr>
    </w:p>
    <w:p w:rsidR="00E711C5" w:rsidRPr="00E711C5" w:rsidRDefault="004531F4" w:rsidP="004531F4">
      <w:pPr>
        <w:pStyle w:val="ListBullet"/>
        <w:numPr>
          <w:ilvl w:val="0"/>
          <w:numId w:val="0"/>
        </w:numPr>
        <w:spacing w:before="60"/>
      </w:pPr>
      <w:r>
        <w:t>D</w:t>
      </w:r>
      <w:r w:rsidR="00E711C5" w:rsidRPr="0050303E">
        <w:rPr>
          <w:iCs/>
        </w:rPr>
        <w:t>CCSDS</w:t>
      </w:r>
      <w:r w:rsidR="00E711C5" w:rsidRPr="00E711C5">
        <w:rPr>
          <w:b/>
          <w:iCs/>
        </w:rPr>
        <w:t xml:space="preserve"> </w:t>
      </w:r>
      <w:r w:rsidR="0050303E">
        <w:rPr>
          <w:iCs/>
        </w:rPr>
        <w:t>helps to increase community awareness of issues affecting the safety and wellbeing of children</w:t>
      </w:r>
      <w:r w:rsidR="00E711C5" w:rsidRPr="00E711C5">
        <w:rPr>
          <w:iCs/>
        </w:rPr>
        <w:t xml:space="preserve"> through its funding of Queensland Child Protection Week (QCPW)</w:t>
      </w:r>
      <w:r w:rsidR="00E87B2A">
        <w:rPr>
          <w:iCs/>
        </w:rPr>
        <w:t>. This</w:t>
      </w:r>
      <w:r w:rsidR="00E711C5" w:rsidRPr="00E711C5">
        <w:rPr>
          <w:iCs/>
        </w:rPr>
        <w:t xml:space="preserve"> is held in the first week of September each year.</w:t>
      </w:r>
      <w:r w:rsidR="00E711C5" w:rsidRPr="00E711C5">
        <w:rPr>
          <w:b/>
          <w:iCs/>
        </w:rPr>
        <w:t xml:space="preserve"> </w:t>
      </w:r>
      <w:r w:rsidR="00E711C5" w:rsidRPr="00E711C5">
        <w:rPr>
          <w:iCs/>
        </w:rPr>
        <w:t xml:space="preserve">Further details are provided </w:t>
      </w:r>
      <w:r w:rsidR="00913863">
        <w:rPr>
          <w:iCs/>
        </w:rPr>
        <w:t xml:space="preserve">under </w:t>
      </w:r>
      <w:r w:rsidR="00913863" w:rsidRPr="005304AC">
        <w:rPr>
          <w:i/>
          <w:iCs/>
        </w:rPr>
        <w:t xml:space="preserve">Joining </w:t>
      </w:r>
      <w:r w:rsidRPr="005304AC">
        <w:rPr>
          <w:i/>
          <w:iCs/>
        </w:rPr>
        <w:t>up</w:t>
      </w:r>
      <w:r w:rsidR="00913863" w:rsidRPr="005304AC">
        <w:rPr>
          <w:i/>
          <w:iCs/>
        </w:rPr>
        <w:t xml:space="preserve"> Service Delivery</w:t>
      </w:r>
      <w:r>
        <w:rPr>
          <w:iCs/>
        </w:rPr>
        <w:t>,</w:t>
      </w:r>
      <w:r w:rsidR="00913863">
        <w:rPr>
          <w:iCs/>
        </w:rPr>
        <w:t xml:space="preserve"> discussed in Chapter Four. </w:t>
      </w:r>
    </w:p>
    <w:p w:rsidR="00E711C5" w:rsidRPr="003F7871" w:rsidRDefault="00E711C5" w:rsidP="003F7871">
      <w:pPr>
        <w:rPr>
          <w:rFonts w:asciiTheme="minorHAnsi" w:hAnsiTheme="minorHAnsi"/>
          <w:sz w:val="24"/>
        </w:rPr>
      </w:pPr>
    </w:p>
    <w:p w:rsidR="00E711C5" w:rsidRDefault="00E711C5" w:rsidP="006D0C2C">
      <w:pPr>
        <w:widowControl w:val="0"/>
        <w:rPr>
          <w:rFonts w:ascii="Calibri" w:hAnsi="Calibri"/>
          <w:sz w:val="24"/>
        </w:rPr>
      </w:pPr>
      <w:r w:rsidRPr="00E711C5">
        <w:rPr>
          <w:rFonts w:ascii="Calibri" w:hAnsi="Calibri"/>
          <w:sz w:val="24"/>
        </w:rPr>
        <w:t>QCPW Awards are presented to acknowledge the efforts and commitment of Queenslanders who make a significant contribution to the prevention of child harm and neglect. The Awards are presented to individuals</w:t>
      </w:r>
      <w:r w:rsidR="00E87B2A">
        <w:rPr>
          <w:rFonts w:ascii="Calibri" w:hAnsi="Calibri"/>
          <w:sz w:val="24"/>
        </w:rPr>
        <w:t xml:space="preserve"> or groups in eight categories: </w:t>
      </w:r>
      <w:r w:rsidRPr="00E711C5">
        <w:rPr>
          <w:rFonts w:ascii="Calibri" w:hAnsi="Calibri"/>
          <w:sz w:val="24"/>
        </w:rPr>
        <w:t xml:space="preserve">Professional </w:t>
      </w:r>
      <w:r w:rsidR="006D0C2C">
        <w:rPr>
          <w:rFonts w:ascii="Calibri" w:hAnsi="Calibri"/>
          <w:sz w:val="24"/>
        </w:rPr>
        <w:t>(</w:t>
      </w:r>
      <w:r w:rsidR="008B54D9" w:rsidRPr="006D0C2C">
        <w:rPr>
          <w:rFonts w:ascii="Calibri" w:hAnsi="Calibri"/>
          <w:sz w:val="24"/>
        </w:rPr>
        <w:t>non-government</w:t>
      </w:r>
      <w:r w:rsidRPr="006D0C2C">
        <w:rPr>
          <w:rFonts w:ascii="Calibri" w:hAnsi="Calibri"/>
          <w:sz w:val="24"/>
        </w:rPr>
        <w:t>), Professional (government), Volunteer, Regional Progra</w:t>
      </w:r>
      <w:r w:rsidRPr="00E711C5">
        <w:rPr>
          <w:rFonts w:ascii="Calibri" w:hAnsi="Calibri"/>
          <w:sz w:val="24"/>
        </w:rPr>
        <w:t>m, Education Initiative, Youth Participation, Media and Communications and Community Initiative. The Awards are promoted through the departmental website and networks.</w:t>
      </w:r>
    </w:p>
    <w:p w:rsidR="005B0CBB" w:rsidRDefault="005B0CBB" w:rsidP="0068248F">
      <w:pPr>
        <w:pStyle w:val="Heading3"/>
      </w:pPr>
      <w:bookmarkStart w:id="94" w:name="_Toc400007705"/>
      <w:r>
        <w:t>South Australia</w:t>
      </w:r>
      <w:bookmarkEnd w:id="94"/>
    </w:p>
    <w:p w:rsidR="003406E4" w:rsidRPr="00D92BEA" w:rsidRDefault="003406E4" w:rsidP="00D92BEA">
      <w:pPr>
        <w:pStyle w:val="Heading4"/>
        <w:rPr>
          <w:lang w:val="en-AU"/>
        </w:rPr>
      </w:pPr>
      <w:r w:rsidRPr="00747C66">
        <w:t>Advocating Nationally f</w:t>
      </w:r>
      <w:r w:rsidR="00D92BEA">
        <w:t>or Children and Young People</w:t>
      </w:r>
    </w:p>
    <w:p w:rsidR="003406E4" w:rsidRDefault="003406E4" w:rsidP="003406E4">
      <w:pPr>
        <w:rPr>
          <w:rFonts w:ascii="Calibri" w:hAnsi="Calibri"/>
          <w:sz w:val="24"/>
        </w:rPr>
      </w:pPr>
      <w:r w:rsidRPr="00747C66">
        <w:rPr>
          <w:rFonts w:ascii="Calibri" w:hAnsi="Calibri"/>
          <w:sz w:val="24"/>
        </w:rPr>
        <w:t xml:space="preserve">South Australia </w:t>
      </w:r>
      <w:r w:rsidR="001C5108">
        <w:rPr>
          <w:rFonts w:ascii="Calibri" w:hAnsi="Calibri"/>
          <w:sz w:val="24"/>
        </w:rPr>
        <w:t xml:space="preserve">has </w:t>
      </w:r>
      <w:r w:rsidRPr="00747C66">
        <w:rPr>
          <w:rFonts w:ascii="Calibri" w:hAnsi="Calibri"/>
          <w:sz w:val="24"/>
        </w:rPr>
        <w:t xml:space="preserve">committed to establishing a </w:t>
      </w:r>
      <w:r w:rsidR="001C5108">
        <w:rPr>
          <w:rFonts w:ascii="Calibri" w:hAnsi="Calibri"/>
          <w:sz w:val="24"/>
        </w:rPr>
        <w:t>C</w:t>
      </w:r>
      <w:r w:rsidRPr="00747C66">
        <w:rPr>
          <w:rFonts w:ascii="Calibri" w:hAnsi="Calibri"/>
          <w:sz w:val="24"/>
        </w:rPr>
        <w:t xml:space="preserve">ommissioner for </w:t>
      </w:r>
      <w:r w:rsidR="001C5108">
        <w:rPr>
          <w:rFonts w:ascii="Calibri" w:hAnsi="Calibri"/>
          <w:sz w:val="24"/>
        </w:rPr>
        <w:t>C</w:t>
      </w:r>
      <w:r w:rsidRPr="00747C66">
        <w:rPr>
          <w:rFonts w:ascii="Calibri" w:hAnsi="Calibri"/>
          <w:sz w:val="24"/>
        </w:rPr>
        <w:t xml:space="preserve">hildren and </w:t>
      </w:r>
      <w:r w:rsidR="001C5108">
        <w:rPr>
          <w:rFonts w:ascii="Calibri" w:hAnsi="Calibri"/>
          <w:sz w:val="24"/>
        </w:rPr>
        <w:t>Y</w:t>
      </w:r>
      <w:r w:rsidRPr="00747C66">
        <w:rPr>
          <w:rFonts w:ascii="Calibri" w:hAnsi="Calibri"/>
          <w:sz w:val="24"/>
        </w:rPr>
        <w:t xml:space="preserve">oung </w:t>
      </w:r>
      <w:r w:rsidR="001C5108">
        <w:rPr>
          <w:rFonts w:ascii="Calibri" w:hAnsi="Calibri"/>
          <w:sz w:val="24"/>
        </w:rPr>
        <w:t>P</w:t>
      </w:r>
      <w:r w:rsidRPr="00747C66">
        <w:rPr>
          <w:rFonts w:ascii="Calibri" w:hAnsi="Calibri"/>
          <w:sz w:val="24"/>
        </w:rPr>
        <w:t>eople, as part of a broader legislative package.</w:t>
      </w:r>
      <w:r w:rsidR="00D26B57">
        <w:rPr>
          <w:rFonts w:ascii="Calibri" w:hAnsi="Calibri"/>
          <w:sz w:val="24"/>
        </w:rPr>
        <w:t xml:space="preserve"> </w:t>
      </w:r>
      <w:r w:rsidRPr="00747C66">
        <w:rPr>
          <w:rFonts w:ascii="Calibri" w:hAnsi="Calibri"/>
          <w:sz w:val="24"/>
        </w:rPr>
        <w:t xml:space="preserve">The role is </w:t>
      </w:r>
      <w:r w:rsidR="001C5108">
        <w:rPr>
          <w:rFonts w:ascii="Calibri" w:hAnsi="Calibri"/>
          <w:sz w:val="24"/>
        </w:rPr>
        <w:t>intended</w:t>
      </w:r>
      <w:r w:rsidR="001C5108" w:rsidRPr="00747C66">
        <w:rPr>
          <w:rFonts w:ascii="Calibri" w:hAnsi="Calibri"/>
          <w:sz w:val="24"/>
        </w:rPr>
        <w:t xml:space="preserve"> </w:t>
      </w:r>
      <w:r w:rsidRPr="00747C66">
        <w:rPr>
          <w:rFonts w:ascii="Calibri" w:hAnsi="Calibri"/>
          <w:sz w:val="24"/>
        </w:rPr>
        <w:t xml:space="preserve">to </w:t>
      </w:r>
      <w:r w:rsidR="001C5108">
        <w:rPr>
          <w:rFonts w:ascii="Calibri" w:hAnsi="Calibri"/>
          <w:sz w:val="24"/>
        </w:rPr>
        <w:t>provide advocacy</w:t>
      </w:r>
      <w:r w:rsidRPr="00747C66">
        <w:rPr>
          <w:rFonts w:ascii="Calibri" w:hAnsi="Calibri"/>
          <w:sz w:val="24"/>
        </w:rPr>
        <w:t xml:space="preserve"> for children across a range of issues</w:t>
      </w:r>
      <w:r w:rsidR="00BC6372">
        <w:rPr>
          <w:rFonts w:ascii="Calibri" w:hAnsi="Calibri"/>
          <w:sz w:val="24"/>
        </w:rPr>
        <w:t>,</w:t>
      </w:r>
      <w:r w:rsidRPr="00747C66">
        <w:rPr>
          <w:rFonts w:ascii="Calibri" w:hAnsi="Calibri"/>
          <w:sz w:val="24"/>
        </w:rPr>
        <w:t xml:space="preserve"> including schooling, child care, housing and social inclusion. The </w:t>
      </w:r>
      <w:r w:rsidR="00BB46CE">
        <w:rPr>
          <w:rFonts w:ascii="Calibri" w:hAnsi="Calibri"/>
          <w:sz w:val="24"/>
        </w:rPr>
        <w:t>C</w:t>
      </w:r>
      <w:r w:rsidRPr="00747C66">
        <w:rPr>
          <w:rFonts w:ascii="Calibri" w:hAnsi="Calibri"/>
          <w:sz w:val="24"/>
        </w:rPr>
        <w:t>ommissioner will promote awareness of the rights, views and interests of all children.</w:t>
      </w:r>
    </w:p>
    <w:p w:rsidR="003406E4" w:rsidRPr="00D92BEA" w:rsidRDefault="00D92BEA" w:rsidP="00D92BEA">
      <w:pPr>
        <w:pStyle w:val="Heading4"/>
        <w:rPr>
          <w:lang w:val="en-AU"/>
        </w:rPr>
      </w:pPr>
      <w:r>
        <w:t>Early Childhood</w:t>
      </w:r>
    </w:p>
    <w:p w:rsidR="003406E4" w:rsidRDefault="001C5108" w:rsidP="003406E4">
      <w:pPr>
        <w:rPr>
          <w:rFonts w:ascii="Calibri" w:hAnsi="Calibri"/>
          <w:sz w:val="24"/>
        </w:rPr>
      </w:pPr>
      <w:r w:rsidRPr="001C5108">
        <w:rPr>
          <w:rFonts w:ascii="Calibri" w:hAnsi="Calibri"/>
          <w:sz w:val="24"/>
        </w:rPr>
        <w:t>As part of its responsibility to report to government on the wellbeing of South Australian children and young people, the Council for the Care of Children has reviewed its framework for monitoring the wellbeing of children. The framework encompasses five domains of the lives of children and young people:</w:t>
      </w:r>
      <w:r w:rsidR="003406E4" w:rsidRPr="00747C66">
        <w:rPr>
          <w:rFonts w:ascii="Calibri" w:hAnsi="Calibri"/>
          <w:sz w:val="24"/>
        </w:rPr>
        <w:t xml:space="preserve"> </w:t>
      </w:r>
    </w:p>
    <w:p w:rsidR="003406E4" w:rsidRPr="00BC6372" w:rsidRDefault="001C5108" w:rsidP="00AA38BB">
      <w:pPr>
        <w:pStyle w:val="ListBullet"/>
      </w:pPr>
      <w:r>
        <w:t>health and development</w:t>
      </w:r>
      <w:r w:rsidR="00AA38BB">
        <w:t xml:space="preserve"> </w:t>
      </w:r>
      <w:r w:rsidR="003406E4" w:rsidRPr="00BC6372">
        <w:t>(enjoying good physical and emotional health and living healthy lives)</w:t>
      </w:r>
    </w:p>
    <w:p w:rsidR="003406E4" w:rsidRPr="00BC6372" w:rsidRDefault="001C5108" w:rsidP="00AA38BB">
      <w:pPr>
        <w:pStyle w:val="ListBullet"/>
      </w:pPr>
      <w:r>
        <w:t>safety and protection</w:t>
      </w:r>
      <w:r w:rsidR="00AA38BB">
        <w:t xml:space="preserve"> </w:t>
      </w:r>
      <w:r w:rsidR="003406E4" w:rsidRPr="00BC6372">
        <w:t>(being cared for and nurtured and protected from harm and neglect)</w:t>
      </w:r>
    </w:p>
    <w:p w:rsidR="003406E4" w:rsidRPr="00BC6372" w:rsidRDefault="001C5108" w:rsidP="00AA38BB">
      <w:pPr>
        <w:pStyle w:val="ListBullet"/>
      </w:pPr>
      <w:r>
        <w:t xml:space="preserve">their </w:t>
      </w:r>
      <w:r w:rsidR="003406E4" w:rsidRPr="00BC6372">
        <w:t>enjoy</w:t>
      </w:r>
      <w:r>
        <w:t>ment of life</w:t>
      </w:r>
      <w:r w:rsidR="003406E4" w:rsidRPr="00BC6372">
        <w:t xml:space="preserve"> and achieve</w:t>
      </w:r>
      <w:r>
        <w:t>ment</w:t>
      </w:r>
      <w:r w:rsidR="00AA38BB">
        <w:t xml:space="preserve"> </w:t>
      </w:r>
      <w:r w:rsidR="003406E4" w:rsidRPr="00BC6372">
        <w:t>(getting the most out of life and developing skills for life, according to their capabilities)</w:t>
      </w:r>
    </w:p>
    <w:p w:rsidR="003406E4" w:rsidRPr="00BC6372" w:rsidRDefault="003406E4" w:rsidP="00AA38BB">
      <w:pPr>
        <w:pStyle w:val="ListBullet"/>
      </w:pPr>
      <w:r w:rsidRPr="00BC6372">
        <w:t>contribution</w:t>
      </w:r>
      <w:r w:rsidR="001C5108">
        <w:t>s to family and community life</w:t>
      </w:r>
      <w:r w:rsidR="00AA38BB">
        <w:t xml:space="preserve"> </w:t>
      </w:r>
      <w:r w:rsidRPr="00BC6372">
        <w:t>(being actively involved with their peers, families, culture, community and society, according to their capabilities)</w:t>
      </w:r>
    </w:p>
    <w:p w:rsidR="003406E4" w:rsidRPr="00BC6372" w:rsidRDefault="001C5108" w:rsidP="00AA38BB">
      <w:pPr>
        <w:pStyle w:val="ListBullet"/>
      </w:pPr>
      <w:proofErr w:type="gramStart"/>
      <w:r>
        <w:t>preparation</w:t>
      </w:r>
      <w:proofErr w:type="gramEnd"/>
      <w:r w:rsidR="003406E4" w:rsidRPr="00BC6372">
        <w:t xml:space="preserve"> for adult life</w:t>
      </w:r>
      <w:r w:rsidR="00AA38BB">
        <w:t xml:space="preserve"> </w:t>
      </w:r>
      <w:r w:rsidR="003406E4" w:rsidRPr="00BC6372">
        <w:t>(gaining knowledge and skills to participate as adults and not being prevented by economic disadvantage from achieving in life</w:t>
      </w:r>
      <w:r w:rsidR="00AA38BB">
        <w:t>).</w:t>
      </w:r>
    </w:p>
    <w:p w:rsidR="00BC6372" w:rsidRDefault="00BC6372" w:rsidP="00467A90">
      <w:pPr>
        <w:rPr>
          <w:rFonts w:ascii="Calibri" w:hAnsi="Calibri"/>
          <w:sz w:val="24"/>
        </w:rPr>
      </w:pPr>
    </w:p>
    <w:p w:rsidR="001C5108" w:rsidRDefault="001C5108" w:rsidP="00467A90">
      <w:pPr>
        <w:rPr>
          <w:rFonts w:ascii="Calibri" w:hAnsi="Calibri"/>
          <w:sz w:val="24"/>
        </w:rPr>
      </w:pPr>
      <w:r w:rsidRPr="001C5108">
        <w:rPr>
          <w:rFonts w:ascii="Calibri" w:hAnsi="Calibri"/>
          <w:sz w:val="24"/>
        </w:rPr>
        <w:t xml:space="preserve">New indicators for the AEDI have been </w:t>
      </w:r>
      <w:r w:rsidR="00D8789C" w:rsidRPr="001C5108">
        <w:rPr>
          <w:rFonts w:ascii="Calibri" w:hAnsi="Calibri"/>
          <w:sz w:val="24"/>
        </w:rPr>
        <w:t>incorporated</w:t>
      </w:r>
      <w:r w:rsidRPr="001C5108">
        <w:rPr>
          <w:rFonts w:ascii="Calibri" w:hAnsi="Calibri"/>
          <w:sz w:val="24"/>
        </w:rPr>
        <w:t xml:space="preserve"> for assessing young children’s early development and the capacity of communities to support the wellbeing of their youngest members</w:t>
      </w:r>
      <w:r>
        <w:rPr>
          <w:rFonts w:ascii="Calibri" w:hAnsi="Calibri"/>
          <w:sz w:val="24"/>
        </w:rPr>
        <w:t>.</w:t>
      </w:r>
    </w:p>
    <w:p w:rsidR="003406E4" w:rsidRDefault="003406E4" w:rsidP="003406E4">
      <w:pPr>
        <w:rPr>
          <w:rFonts w:ascii="Calibri" w:hAnsi="Calibri"/>
          <w:sz w:val="24"/>
        </w:rPr>
      </w:pPr>
    </w:p>
    <w:p w:rsidR="003406E4" w:rsidRDefault="003406E4" w:rsidP="003406E4">
      <w:pPr>
        <w:rPr>
          <w:rFonts w:ascii="Calibri" w:hAnsi="Calibri"/>
          <w:sz w:val="24"/>
        </w:rPr>
      </w:pPr>
      <w:r w:rsidRPr="00747C66">
        <w:rPr>
          <w:rFonts w:ascii="Calibri" w:hAnsi="Calibri"/>
          <w:sz w:val="24"/>
        </w:rPr>
        <w:t>Children’s Centres for Early Childhood Development and Parenting support children</w:t>
      </w:r>
      <w:r>
        <w:rPr>
          <w:rFonts w:ascii="Calibri" w:hAnsi="Calibri"/>
          <w:sz w:val="24"/>
        </w:rPr>
        <w:t xml:space="preserve"> </w:t>
      </w:r>
      <w:r w:rsidR="004B0B64">
        <w:rPr>
          <w:rFonts w:ascii="Calibri" w:hAnsi="Calibri"/>
          <w:sz w:val="24"/>
        </w:rPr>
        <w:t>(</w:t>
      </w:r>
      <w:r>
        <w:rPr>
          <w:rFonts w:ascii="Calibri" w:hAnsi="Calibri"/>
          <w:sz w:val="24"/>
        </w:rPr>
        <w:t>0</w:t>
      </w:r>
      <w:r w:rsidR="006A47DE">
        <w:rPr>
          <w:rFonts w:ascii="Calibri" w:hAnsi="Calibri"/>
          <w:sz w:val="24"/>
        </w:rPr>
        <w:t>–</w:t>
      </w:r>
      <w:r>
        <w:rPr>
          <w:rFonts w:ascii="Calibri" w:hAnsi="Calibri"/>
          <w:sz w:val="24"/>
        </w:rPr>
        <w:t>8</w:t>
      </w:r>
      <w:r w:rsidR="004B0B64">
        <w:rPr>
          <w:rFonts w:ascii="Calibri" w:hAnsi="Calibri"/>
          <w:sz w:val="24"/>
        </w:rPr>
        <w:t>)</w:t>
      </w:r>
      <w:r w:rsidRPr="00747C66">
        <w:rPr>
          <w:rFonts w:ascii="Calibri" w:hAnsi="Calibri"/>
          <w:sz w:val="24"/>
        </w:rPr>
        <w:t xml:space="preserve"> and </w:t>
      </w:r>
      <w:r w:rsidR="006A47DE">
        <w:rPr>
          <w:rFonts w:ascii="Calibri" w:hAnsi="Calibri"/>
          <w:sz w:val="24"/>
        </w:rPr>
        <w:t xml:space="preserve">their </w:t>
      </w:r>
      <w:r w:rsidRPr="00747C66">
        <w:rPr>
          <w:rFonts w:ascii="Calibri" w:hAnsi="Calibri"/>
          <w:sz w:val="24"/>
        </w:rPr>
        <w:t xml:space="preserve">families to achieve the best possible learning, health and </w:t>
      </w:r>
      <w:r w:rsidR="006A47DE">
        <w:rPr>
          <w:rFonts w:ascii="Calibri" w:hAnsi="Calibri"/>
          <w:sz w:val="24"/>
        </w:rPr>
        <w:t>wellbeing</w:t>
      </w:r>
      <w:r w:rsidRPr="00747C66">
        <w:rPr>
          <w:rFonts w:ascii="Calibri" w:hAnsi="Calibri"/>
          <w:sz w:val="24"/>
        </w:rPr>
        <w:t xml:space="preserve"> outcomes in a universal setting</w:t>
      </w:r>
      <w:r w:rsidR="0099631E">
        <w:rPr>
          <w:rFonts w:ascii="Calibri" w:hAnsi="Calibri"/>
          <w:sz w:val="24"/>
        </w:rPr>
        <w:t>,</w:t>
      </w:r>
      <w:r w:rsidRPr="00747C66">
        <w:rPr>
          <w:rFonts w:ascii="Calibri" w:hAnsi="Calibri"/>
          <w:sz w:val="24"/>
        </w:rPr>
        <w:t xml:space="preserve"> with targeted responses </w:t>
      </w:r>
      <w:r w:rsidR="008956B8">
        <w:rPr>
          <w:rFonts w:ascii="Calibri" w:hAnsi="Calibri"/>
          <w:sz w:val="24"/>
        </w:rPr>
        <w:t>where</w:t>
      </w:r>
      <w:r w:rsidRPr="00747C66">
        <w:rPr>
          <w:rFonts w:ascii="Calibri" w:hAnsi="Calibri"/>
          <w:sz w:val="24"/>
        </w:rPr>
        <w:t xml:space="preserve"> additional support</w:t>
      </w:r>
      <w:r w:rsidR="008956B8">
        <w:rPr>
          <w:rFonts w:ascii="Calibri" w:hAnsi="Calibri"/>
          <w:sz w:val="24"/>
        </w:rPr>
        <w:t xml:space="preserve"> is required</w:t>
      </w:r>
      <w:r w:rsidRPr="00747C66">
        <w:rPr>
          <w:rFonts w:ascii="Calibri" w:hAnsi="Calibri"/>
          <w:sz w:val="24"/>
        </w:rPr>
        <w:t xml:space="preserve">. The </w:t>
      </w:r>
      <w:r w:rsidR="008956B8">
        <w:rPr>
          <w:rFonts w:ascii="Calibri" w:hAnsi="Calibri"/>
          <w:sz w:val="24"/>
        </w:rPr>
        <w:t>C</w:t>
      </w:r>
      <w:r w:rsidRPr="00747C66">
        <w:rPr>
          <w:rFonts w:ascii="Calibri" w:hAnsi="Calibri"/>
          <w:sz w:val="24"/>
        </w:rPr>
        <w:t xml:space="preserve">entres </w:t>
      </w:r>
      <w:r w:rsidR="008956B8">
        <w:rPr>
          <w:rFonts w:ascii="Calibri" w:hAnsi="Calibri"/>
          <w:sz w:val="24"/>
        </w:rPr>
        <w:t>are operational</w:t>
      </w:r>
      <w:r w:rsidRPr="00747C66">
        <w:rPr>
          <w:rFonts w:ascii="Calibri" w:hAnsi="Calibri"/>
          <w:sz w:val="24"/>
        </w:rPr>
        <w:t xml:space="preserve"> </w:t>
      </w:r>
      <w:r w:rsidR="008956B8">
        <w:rPr>
          <w:rFonts w:ascii="Calibri" w:hAnsi="Calibri"/>
          <w:sz w:val="24"/>
        </w:rPr>
        <w:t xml:space="preserve">in more than 30 </w:t>
      </w:r>
      <w:r w:rsidRPr="00747C66">
        <w:rPr>
          <w:rFonts w:ascii="Calibri" w:hAnsi="Calibri"/>
          <w:sz w:val="24"/>
        </w:rPr>
        <w:t xml:space="preserve">locations. </w:t>
      </w:r>
    </w:p>
    <w:p w:rsidR="00C41EA6" w:rsidRDefault="00C41EA6" w:rsidP="003406E4">
      <w:pPr>
        <w:rPr>
          <w:rFonts w:ascii="Calibri" w:hAnsi="Calibri"/>
          <w:sz w:val="24"/>
        </w:rPr>
      </w:pPr>
    </w:p>
    <w:p w:rsidR="003406E4" w:rsidRDefault="003406E4" w:rsidP="003406E4">
      <w:pPr>
        <w:rPr>
          <w:rFonts w:ascii="Calibri" w:hAnsi="Calibri"/>
          <w:sz w:val="24"/>
        </w:rPr>
      </w:pPr>
      <w:r w:rsidRPr="0070227E">
        <w:rPr>
          <w:rFonts w:ascii="Calibri" w:hAnsi="Calibri"/>
          <w:sz w:val="24"/>
        </w:rPr>
        <w:t xml:space="preserve">Family Service Coordinators in Children’s Centres </w:t>
      </w:r>
      <w:r w:rsidR="008956B8">
        <w:rPr>
          <w:rFonts w:ascii="Calibri" w:hAnsi="Calibri"/>
          <w:sz w:val="24"/>
        </w:rPr>
        <w:t xml:space="preserve">are </w:t>
      </w:r>
      <w:r w:rsidRPr="0070227E">
        <w:rPr>
          <w:rFonts w:ascii="Calibri" w:hAnsi="Calibri"/>
          <w:sz w:val="24"/>
        </w:rPr>
        <w:t>provid</w:t>
      </w:r>
      <w:r w:rsidR="008956B8">
        <w:rPr>
          <w:rFonts w:ascii="Calibri" w:hAnsi="Calibri"/>
          <w:sz w:val="24"/>
        </w:rPr>
        <w:t>ing</w:t>
      </w:r>
      <w:r w:rsidRPr="0070227E">
        <w:rPr>
          <w:rFonts w:ascii="Calibri" w:hAnsi="Calibri"/>
          <w:sz w:val="24"/>
        </w:rPr>
        <w:t xml:space="preserve"> targeted services within a universal setting</w:t>
      </w:r>
      <w:r w:rsidR="008956B8">
        <w:rPr>
          <w:rFonts w:ascii="Calibri" w:hAnsi="Calibri"/>
          <w:sz w:val="24"/>
        </w:rPr>
        <w:t>.</w:t>
      </w:r>
      <w:r w:rsidR="008956B8" w:rsidRPr="008956B8">
        <w:t xml:space="preserve"> </w:t>
      </w:r>
      <w:r w:rsidR="008956B8" w:rsidRPr="008956B8">
        <w:rPr>
          <w:rFonts w:ascii="Calibri" w:hAnsi="Calibri"/>
          <w:sz w:val="24"/>
        </w:rPr>
        <w:t>They strengthen access to early intervention services for families, to prevent the need for involvement with the statutory child protection system.</w:t>
      </w:r>
      <w:r w:rsidR="00A973E8">
        <w:rPr>
          <w:rFonts w:ascii="Calibri" w:hAnsi="Calibri"/>
          <w:sz w:val="24"/>
        </w:rPr>
        <w:t xml:space="preserve"> </w:t>
      </w:r>
      <w:r w:rsidR="008956B8" w:rsidRPr="008956B8">
        <w:rPr>
          <w:rFonts w:ascii="Calibri" w:hAnsi="Calibri"/>
          <w:sz w:val="24"/>
        </w:rPr>
        <w:t>This focus has also contributed to more Supported Family Contact Playgroups</w:t>
      </w:r>
      <w:r w:rsidR="00C41EA6">
        <w:rPr>
          <w:rFonts w:ascii="Calibri" w:hAnsi="Calibri"/>
          <w:sz w:val="24"/>
        </w:rPr>
        <w:t>,</w:t>
      </w:r>
      <w:r w:rsidR="008956B8" w:rsidRPr="008956B8">
        <w:rPr>
          <w:rFonts w:ascii="Calibri" w:hAnsi="Calibri"/>
          <w:sz w:val="24"/>
        </w:rPr>
        <w:t xml:space="preserve"> which provide the opportunity for parents of young children who have been removed from their care to strengthen their parenting during family contact, in order to facilitate safe reunification.</w:t>
      </w:r>
      <w:r w:rsidR="00A973E8">
        <w:rPr>
          <w:rFonts w:ascii="Calibri" w:hAnsi="Calibri"/>
          <w:sz w:val="24"/>
        </w:rPr>
        <w:t xml:space="preserve"> </w:t>
      </w:r>
      <w:r w:rsidR="008956B8" w:rsidRPr="008956B8">
        <w:rPr>
          <w:rFonts w:ascii="Calibri" w:hAnsi="Calibri"/>
          <w:sz w:val="24"/>
        </w:rPr>
        <w:t>Circle of Security parenting programs have also been extended.</w:t>
      </w:r>
    </w:p>
    <w:p w:rsidR="00C41EA6" w:rsidRDefault="00C41EA6" w:rsidP="003406E4">
      <w:pPr>
        <w:rPr>
          <w:rFonts w:ascii="Calibri" w:hAnsi="Calibri"/>
          <w:sz w:val="24"/>
        </w:rPr>
      </w:pPr>
    </w:p>
    <w:p w:rsidR="0096232F" w:rsidRPr="00AE7DB5" w:rsidRDefault="0096232F" w:rsidP="00AE7DB5">
      <w:pPr>
        <w:pStyle w:val="CommentText"/>
        <w:pBdr>
          <w:top w:val="single" w:sz="12" w:space="1" w:color="006600"/>
          <w:left w:val="single" w:sz="12" w:space="4" w:color="006600"/>
          <w:bottom w:val="single" w:sz="12" w:space="1" w:color="006600"/>
          <w:right w:val="single" w:sz="12" w:space="4" w:color="006600"/>
        </w:pBdr>
        <w:shd w:val="clear" w:color="auto" w:fill="D1FFD1"/>
        <w:spacing w:after="120"/>
        <w:rPr>
          <w:rFonts w:asciiTheme="minorHAnsi" w:hAnsiTheme="minorHAnsi"/>
          <w:b/>
          <w:color w:val="006600"/>
          <w:sz w:val="24"/>
          <w:szCs w:val="24"/>
          <w:lang w:val="en-AU"/>
        </w:rPr>
      </w:pPr>
      <w:r w:rsidRPr="00AE7DB5">
        <w:rPr>
          <w:rFonts w:asciiTheme="minorHAnsi" w:hAnsiTheme="minorHAnsi"/>
          <w:b/>
          <w:color w:val="006600"/>
          <w:sz w:val="24"/>
          <w:szCs w:val="24"/>
          <w:lang w:val="en-AU"/>
        </w:rPr>
        <w:t xml:space="preserve">Winning back </w:t>
      </w:r>
      <w:r w:rsidR="007477FC">
        <w:rPr>
          <w:rFonts w:asciiTheme="minorHAnsi" w:hAnsiTheme="minorHAnsi"/>
          <w:b/>
          <w:color w:val="006600"/>
          <w:sz w:val="24"/>
          <w:szCs w:val="24"/>
          <w:lang w:val="en-AU"/>
        </w:rPr>
        <w:t>c</w:t>
      </w:r>
      <w:r w:rsidRPr="00AE7DB5">
        <w:rPr>
          <w:rFonts w:asciiTheme="minorHAnsi" w:hAnsiTheme="minorHAnsi"/>
          <w:b/>
          <w:color w:val="006600"/>
          <w:sz w:val="24"/>
          <w:szCs w:val="24"/>
          <w:lang w:val="en-AU"/>
        </w:rPr>
        <w:t>ontrol</w:t>
      </w:r>
    </w:p>
    <w:p w:rsidR="0096232F" w:rsidRPr="005055F1" w:rsidRDefault="0096232F" w:rsidP="0096232F">
      <w:pPr>
        <w:pStyle w:val="CommentText"/>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lang w:val="en-AU"/>
        </w:rPr>
      </w:pPr>
      <w:r>
        <w:rPr>
          <w:rFonts w:asciiTheme="minorHAnsi" w:hAnsiTheme="minorHAnsi"/>
          <w:sz w:val="24"/>
          <w:szCs w:val="24"/>
          <w:lang w:val="en-AU"/>
        </w:rPr>
        <w:t>This case</w:t>
      </w:r>
      <w:r w:rsidRPr="00D45A93">
        <w:rPr>
          <w:rFonts w:asciiTheme="minorHAnsi" w:hAnsiTheme="minorHAnsi"/>
          <w:sz w:val="24"/>
          <w:szCs w:val="24"/>
          <w:lang w:val="en-AU"/>
        </w:rPr>
        <w:t xml:space="preserve"> </w:t>
      </w:r>
      <w:r>
        <w:rPr>
          <w:rFonts w:asciiTheme="minorHAnsi" w:hAnsiTheme="minorHAnsi"/>
          <w:sz w:val="24"/>
          <w:szCs w:val="24"/>
          <w:lang w:val="en-AU"/>
        </w:rPr>
        <w:t xml:space="preserve">study </w:t>
      </w:r>
      <w:r w:rsidRPr="00D45A93">
        <w:rPr>
          <w:rFonts w:asciiTheme="minorHAnsi" w:hAnsiTheme="minorHAnsi"/>
          <w:sz w:val="24"/>
          <w:szCs w:val="24"/>
          <w:lang w:val="en-AU"/>
        </w:rPr>
        <w:t xml:space="preserve">demonstrates the role of supported playgroups as a ‘soft entry point’ in generating access to other services and providing social networks that can assist families with making </w:t>
      </w:r>
      <w:r w:rsidR="000C43F0">
        <w:rPr>
          <w:rFonts w:asciiTheme="minorHAnsi" w:hAnsiTheme="minorHAnsi"/>
          <w:sz w:val="24"/>
          <w:szCs w:val="24"/>
          <w:lang w:val="en-AU"/>
        </w:rPr>
        <w:t xml:space="preserve">lifestyle </w:t>
      </w:r>
      <w:r w:rsidRPr="00D45A93">
        <w:rPr>
          <w:rFonts w:asciiTheme="minorHAnsi" w:hAnsiTheme="minorHAnsi"/>
          <w:sz w:val="24"/>
          <w:szCs w:val="24"/>
          <w:lang w:val="en-AU"/>
        </w:rPr>
        <w:t>change</w:t>
      </w:r>
      <w:r w:rsidR="000C43F0">
        <w:rPr>
          <w:rFonts w:asciiTheme="minorHAnsi" w:hAnsiTheme="minorHAnsi"/>
          <w:sz w:val="24"/>
          <w:szCs w:val="24"/>
          <w:lang w:val="en-AU"/>
        </w:rPr>
        <w:t>s</w:t>
      </w:r>
      <w:r w:rsidRPr="00D45A93">
        <w:rPr>
          <w:rFonts w:asciiTheme="minorHAnsi" w:hAnsiTheme="minorHAnsi"/>
          <w:sz w:val="24"/>
          <w:szCs w:val="24"/>
          <w:lang w:val="en-AU"/>
        </w:rPr>
        <w:t xml:space="preserve">. </w:t>
      </w:r>
    </w:p>
    <w:p w:rsidR="0096232F" w:rsidRDefault="0096232F" w:rsidP="0096232F">
      <w:pPr>
        <w:pStyle w:val="CommentText"/>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lang w:val="en-AU"/>
        </w:rPr>
      </w:pPr>
    </w:p>
    <w:p w:rsidR="0096232F" w:rsidRPr="00D45A93" w:rsidRDefault="0096232F" w:rsidP="0096232F">
      <w:pPr>
        <w:pStyle w:val="CommentText"/>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lang w:val="en-AU"/>
        </w:rPr>
      </w:pPr>
      <w:r w:rsidRPr="00D45A93">
        <w:rPr>
          <w:rFonts w:asciiTheme="minorHAnsi" w:hAnsiTheme="minorHAnsi"/>
          <w:sz w:val="24"/>
          <w:szCs w:val="24"/>
          <w:lang w:val="en-AU"/>
        </w:rPr>
        <w:t xml:space="preserve">Jane </w:t>
      </w:r>
      <w:r>
        <w:rPr>
          <w:rFonts w:asciiTheme="minorHAnsi" w:hAnsiTheme="minorHAnsi"/>
          <w:sz w:val="24"/>
          <w:szCs w:val="24"/>
          <w:lang w:val="en-AU"/>
        </w:rPr>
        <w:t xml:space="preserve">(not her real name) </w:t>
      </w:r>
      <w:r w:rsidRPr="00D45A93">
        <w:rPr>
          <w:rFonts w:asciiTheme="minorHAnsi" w:hAnsiTheme="minorHAnsi"/>
          <w:sz w:val="24"/>
          <w:szCs w:val="24"/>
          <w:lang w:val="en-AU"/>
        </w:rPr>
        <w:t>has been attending Good Beginnings</w:t>
      </w:r>
      <w:r>
        <w:rPr>
          <w:rFonts w:asciiTheme="minorHAnsi" w:hAnsiTheme="minorHAnsi"/>
          <w:sz w:val="24"/>
          <w:szCs w:val="24"/>
          <w:lang w:val="en-AU"/>
        </w:rPr>
        <w:t>’</w:t>
      </w:r>
      <w:r w:rsidRPr="00D45A93">
        <w:rPr>
          <w:rFonts w:asciiTheme="minorHAnsi" w:hAnsiTheme="minorHAnsi"/>
          <w:sz w:val="24"/>
          <w:szCs w:val="24"/>
          <w:lang w:val="en-AU"/>
        </w:rPr>
        <w:t xml:space="preserve"> supported </w:t>
      </w:r>
      <w:r>
        <w:rPr>
          <w:rFonts w:asciiTheme="minorHAnsi" w:hAnsiTheme="minorHAnsi"/>
          <w:sz w:val="24"/>
          <w:szCs w:val="24"/>
          <w:lang w:val="en-AU"/>
        </w:rPr>
        <w:t xml:space="preserve">playgroup, </w:t>
      </w:r>
      <w:r w:rsidRPr="00D45A93">
        <w:rPr>
          <w:rFonts w:asciiTheme="minorHAnsi" w:hAnsiTheme="minorHAnsi"/>
          <w:sz w:val="24"/>
          <w:szCs w:val="24"/>
          <w:lang w:val="en-AU"/>
        </w:rPr>
        <w:t>Play2Learn</w:t>
      </w:r>
      <w:r>
        <w:rPr>
          <w:rFonts w:asciiTheme="minorHAnsi" w:hAnsiTheme="minorHAnsi"/>
          <w:sz w:val="24"/>
          <w:szCs w:val="24"/>
          <w:lang w:val="en-AU"/>
        </w:rPr>
        <w:t>,</w:t>
      </w:r>
      <w:r w:rsidRPr="00D45A93">
        <w:rPr>
          <w:rFonts w:asciiTheme="minorHAnsi" w:hAnsiTheme="minorHAnsi"/>
          <w:sz w:val="24"/>
          <w:szCs w:val="24"/>
          <w:lang w:val="en-AU"/>
        </w:rPr>
        <w:t xml:space="preserve"> for a few years, but </w:t>
      </w:r>
      <w:r>
        <w:rPr>
          <w:rFonts w:asciiTheme="minorHAnsi" w:hAnsiTheme="minorHAnsi"/>
          <w:sz w:val="24"/>
          <w:szCs w:val="24"/>
          <w:lang w:val="en-AU"/>
        </w:rPr>
        <w:t xml:space="preserve">she </w:t>
      </w:r>
      <w:r w:rsidRPr="00D45A93">
        <w:rPr>
          <w:rFonts w:asciiTheme="minorHAnsi" w:hAnsiTheme="minorHAnsi"/>
          <w:sz w:val="24"/>
          <w:szCs w:val="24"/>
          <w:lang w:val="en-AU"/>
        </w:rPr>
        <w:t>started to attend more regularly after having her children removed by child protection. When she first started attending the group</w:t>
      </w:r>
      <w:r>
        <w:rPr>
          <w:rFonts w:asciiTheme="minorHAnsi" w:hAnsiTheme="minorHAnsi"/>
          <w:sz w:val="24"/>
          <w:szCs w:val="24"/>
          <w:lang w:val="en-AU"/>
        </w:rPr>
        <w:t>,</w:t>
      </w:r>
      <w:r w:rsidRPr="00D45A93">
        <w:rPr>
          <w:rFonts w:asciiTheme="minorHAnsi" w:hAnsiTheme="minorHAnsi"/>
          <w:sz w:val="24"/>
          <w:szCs w:val="24"/>
          <w:lang w:val="en-AU"/>
        </w:rPr>
        <w:t xml:space="preserve"> the mother of five had limited social skills and </w:t>
      </w:r>
      <w:r>
        <w:rPr>
          <w:rFonts w:asciiTheme="minorHAnsi" w:hAnsiTheme="minorHAnsi"/>
          <w:sz w:val="24"/>
          <w:szCs w:val="24"/>
          <w:lang w:val="en-AU"/>
        </w:rPr>
        <w:t>very poor</w:t>
      </w:r>
      <w:r w:rsidRPr="00D45A93">
        <w:rPr>
          <w:rFonts w:asciiTheme="minorHAnsi" w:hAnsiTheme="minorHAnsi"/>
          <w:sz w:val="24"/>
          <w:szCs w:val="24"/>
          <w:lang w:val="en-AU"/>
        </w:rPr>
        <w:t xml:space="preserve"> parenting skills. Play2Learn is an open access program, with no registration or referral criteria. However</w:t>
      </w:r>
      <w:r>
        <w:rPr>
          <w:rFonts w:asciiTheme="minorHAnsi" w:hAnsiTheme="minorHAnsi"/>
          <w:sz w:val="24"/>
          <w:szCs w:val="24"/>
          <w:lang w:val="en-AU"/>
        </w:rPr>
        <w:t>,</w:t>
      </w:r>
      <w:r w:rsidRPr="00D45A93">
        <w:rPr>
          <w:rFonts w:asciiTheme="minorHAnsi" w:hAnsiTheme="minorHAnsi"/>
          <w:sz w:val="24"/>
          <w:szCs w:val="24"/>
          <w:lang w:val="en-AU"/>
        </w:rPr>
        <w:t xml:space="preserve"> the location and activities presented are targeted to assist those who are most vulnerable. </w:t>
      </w:r>
    </w:p>
    <w:p w:rsidR="0096232F" w:rsidRDefault="0096232F" w:rsidP="0096232F">
      <w:pPr>
        <w:pStyle w:val="CommentText"/>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lang w:val="en-AU"/>
        </w:rPr>
      </w:pPr>
    </w:p>
    <w:p w:rsidR="00A60F84" w:rsidRDefault="000C43F0" w:rsidP="0096232F">
      <w:pPr>
        <w:pStyle w:val="CommentText"/>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lang w:val="en-AU"/>
        </w:rPr>
      </w:pPr>
      <w:r>
        <w:rPr>
          <w:rFonts w:asciiTheme="minorHAnsi" w:hAnsiTheme="minorHAnsi"/>
          <w:sz w:val="24"/>
          <w:szCs w:val="24"/>
          <w:lang w:val="en-AU"/>
        </w:rPr>
        <w:t xml:space="preserve">The removal of her children was a trigger for Jane to </w:t>
      </w:r>
      <w:r w:rsidR="00DC0AD7">
        <w:rPr>
          <w:rFonts w:asciiTheme="minorHAnsi" w:hAnsiTheme="minorHAnsi"/>
          <w:sz w:val="24"/>
          <w:szCs w:val="24"/>
          <w:lang w:val="en-AU"/>
        </w:rPr>
        <w:t>seek</w:t>
      </w:r>
      <w:r>
        <w:rPr>
          <w:rFonts w:asciiTheme="minorHAnsi" w:hAnsiTheme="minorHAnsi"/>
          <w:sz w:val="24"/>
          <w:szCs w:val="24"/>
          <w:lang w:val="en-AU"/>
        </w:rPr>
        <w:t xml:space="preserve"> to address her own lifestyle. </w:t>
      </w:r>
      <w:r w:rsidR="0096232F" w:rsidRPr="00D45A93">
        <w:rPr>
          <w:rFonts w:asciiTheme="minorHAnsi" w:hAnsiTheme="minorHAnsi"/>
          <w:sz w:val="24"/>
          <w:szCs w:val="24"/>
          <w:lang w:val="en-AU"/>
        </w:rPr>
        <w:t>With the support of Good Beginnings and other mothers in the group</w:t>
      </w:r>
      <w:r w:rsidR="0096232F">
        <w:rPr>
          <w:rFonts w:asciiTheme="minorHAnsi" w:hAnsiTheme="minorHAnsi"/>
          <w:sz w:val="24"/>
          <w:szCs w:val="24"/>
          <w:lang w:val="en-AU"/>
        </w:rPr>
        <w:t>,</w:t>
      </w:r>
      <w:r w:rsidR="0096232F" w:rsidRPr="00D45A93">
        <w:rPr>
          <w:rFonts w:asciiTheme="minorHAnsi" w:hAnsiTheme="minorHAnsi"/>
          <w:sz w:val="24"/>
          <w:szCs w:val="24"/>
          <w:lang w:val="en-AU"/>
        </w:rPr>
        <w:t xml:space="preserve"> Jane began to take steps to regain control of her situation. Through Good Beginnings</w:t>
      </w:r>
      <w:r w:rsidR="0096232F">
        <w:rPr>
          <w:rFonts w:asciiTheme="minorHAnsi" w:hAnsiTheme="minorHAnsi"/>
          <w:sz w:val="24"/>
          <w:szCs w:val="24"/>
          <w:lang w:val="en-AU"/>
        </w:rPr>
        <w:t>, she found help from other,</w:t>
      </w:r>
      <w:r w:rsidR="0096232F" w:rsidRPr="00D45A93">
        <w:rPr>
          <w:rFonts w:asciiTheme="minorHAnsi" w:hAnsiTheme="minorHAnsi"/>
          <w:sz w:val="24"/>
          <w:szCs w:val="24"/>
          <w:lang w:val="en-AU"/>
        </w:rPr>
        <w:t xml:space="preserve"> more intensive services, such as counselling and case management. Jane started to build a network of new friends but also a network of support. Jane has slowly become more independent and beg</w:t>
      </w:r>
      <w:r w:rsidR="0096232F">
        <w:rPr>
          <w:rFonts w:asciiTheme="minorHAnsi" w:hAnsiTheme="minorHAnsi"/>
          <w:sz w:val="24"/>
          <w:szCs w:val="24"/>
          <w:lang w:val="en-AU"/>
        </w:rPr>
        <w:t>u</w:t>
      </w:r>
      <w:r w:rsidR="0096232F" w:rsidRPr="00D45A93">
        <w:rPr>
          <w:rFonts w:asciiTheme="minorHAnsi" w:hAnsiTheme="minorHAnsi"/>
          <w:sz w:val="24"/>
          <w:szCs w:val="24"/>
          <w:lang w:val="en-AU"/>
        </w:rPr>
        <w:t xml:space="preserve">n to show more confidence in her own judgement. Over the </w:t>
      </w:r>
      <w:r w:rsidR="00D03391">
        <w:rPr>
          <w:rFonts w:asciiTheme="minorHAnsi" w:hAnsiTheme="minorHAnsi"/>
          <w:sz w:val="24"/>
          <w:szCs w:val="24"/>
          <w:lang w:val="en-AU"/>
        </w:rPr>
        <w:t>two</w:t>
      </w:r>
      <w:r w:rsidR="0096232F" w:rsidRPr="00D45A93">
        <w:rPr>
          <w:rFonts w:asciiTheme="minorHAnsi" w:hAnsiTheme="minorHAnsi"/>
          <w:sz w:val="24"/>
          <w:szCs w:val="24"/>
          <w:lang w:val="en-AU"/>
        </w:rPr>
        <w:t xml:space="preserve"> years of her participation, Jane has changed her life</w:t>
      </w:r>
      <w:r w:rsidR="0096232F">
        <w:rPr>
          <w:rFonts w:asciiTheme="minorHAnsi" w:hAnsiTheme="minorHAnsi"/>
          <w:sz w:val="24"/>
          <w:szCs w:val="24"/>
          <w:lang w:val="en-AU"/>
        </w:rPr>
        <w:t xml:space="preserve"> and her social circle, and she has </w:t>
      </w:r>
      <w:r w:rsidR="0096232F" w:rsidRPr="00D45A93">
        <w:rPr>
          <w:rFonts w:asciiTheme="minorHAnsi" w:hAnsiTheme="minorHAnsi"/>
          <w:sz w:val="24"/>
          <w:szCs w:val="24"/>
          <w:lang w:val="en-AU"/>
        </w:rPr>
        <w:t>stopped drinking and</w:t>
      </w:r>
      <w:r w:rsidR="0096232F">
        <w:rPr>
          <w:rFonts w:asciiTheme="minorHAnsi" w:hAnsiTheme="minorHAnsi"/>
          <w:sz w:val="24"/>
          <w:szCs w:val="24"/>
          <w:lang w:val="en-AU"/>
        </w:rPr>
        <w:t xml:space="preserve"> using</w:t>
      </w:r>
      <w:r w:rsidR="0096232F" w:rsidRPr="00D45A93">
        <w:rPr>
          <w:rFonts w:asciiTheme="minorHAnsi" w:hAnsiTheme="minorHAnsi"/>
          <w:sz w:val="24"/>
          <w:szCs w:val="24"/>
          <w:lang w:val="en-AU"/>
        </w:rPr>
        <w:t xml:space="preserve"> drugs. </w:t>
      </w:r>
    </w:p>
    <w:p w:rsidR="0096232F" w:rsidRPr="00D45A93" w:rsidRDefault="000C43F0" w:rsidP="0096232F">
      <w:pPr>
        <w:pStyle w:val="CommentText"/>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lang w:val="en-AU"/>
        </w:rPr>
      </w:pPr>
      <w:r w:rsidRPr="000C43F0">
        <w:rPr>
          <w:rFonts w:asciiTheme="minorHAnsi" w:hAnsiTheme="minorHAnsi"/>
          <w:sz w:val="24"/>
          <w:szCs w:val="24"/>
          <w:lang w:val="en-AU"/>
        </w:rPr>
        <w:t>The role of the group was to provide an environment that facilitated helpful relationships and condition</w:t>
      </w:r>
      <w:r w:rsidR="00DC0AD7">
        <w:rPr>
          <w:rFonts w:asciiTheme="minorHAnsi" w:hAnsiTheme="minorHAnsi"/>
          <w:sz w:val="24"/>
          <w:szCs w:val="24"/>
          <w:lang w:val="en-AU"/>
        </w:rPr>
        <w:t>ed</w:t>
      </w:r>
      <w:r w:rsidRPr="000C43F0">
        <w:rPr>
          <w:rFonts w:asciiTheme="minorHAnsi" w:hAnsiTheme="minorHAnsi"/>
          <w:sz w:val="24"/>
          <w:szCs w:val="24"/>
          <w:lang w:val="en-AU"/>
        </w:rPr>
        <w:t xml:space="preserve"> mor</w:t>
      </w:r>
      <w:r w:rsidR="00DC0AD7">
        <w:rPr>
          <w:rFonts w:asciiTheme="minorHAnsi" w:hAnsiTheme="minorHAnsi"/>
          <w:sz w:val="24"/>
          <w:szCs w:val="24"/>
          <w:lang w:val="en-AU"/>
        </w:rPr>
        <w:t>e positive behaviours for Jane.</w:t>
      </w:r>
      <w:r w:rsidRPr="000C43F0">
        <w:rPr>
          <w:rFonts w:asciiTheme="minorHAnsi" w:hAnsiTheme="minorHAnsi"/>
          <w:sz w:val="24"/>
          <w:szCs w:val="24"/>
          <w:lang w:val="en-AU"/>
        </w:rPr>
        <w:t xml:space="preserve"> It also gave her access to peers who were able to reinforce successful maintenance of new behaviours.</w:t>
      </w:r>
    </w:p>
    <w:p w:rsidR="0096232F" w:rsidRDefault="0096232F" w:rsidP="0096232F">
      <w:pPr>
        <w:pStyle w:val="CommentText"/>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lang w:val="en-AU"/>
        </w:rPr>
      </w:pPr>
    </w:p>
    <w:p w:rsidR="0096232F" w:rsidRDefault="0096232F" w:rsidP="0096232F">
      <w:pPr>
        <w:pStyle w:val="CommentText"/>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lang w:val="en-AU"/>
        </w:rPr>
      </w:pPr>
      <w:r w:rsidRPr="00D45A93">
        <w:rPr>
          <w:rFonts w:asciiTheme="minorHAnsi" w:hAnsiTheme="minorHAnsi"/>
          <w:sz w:val="24"/>
          <w:szCs w:val="24"/>
          <w:lang w:val="en-AU"/>
        </w:rPr>
        <w:t>As a result of the changes Jane has made</w:t>
      </w:r>
      <w:r>
        <w:rPr>
          <w:rFonts w:asciiTheme="minorHAnsi" w:hAnsiTheme="minorHAnsi"/>
          <w:sz w:val="24"/>
          <w:szCs w:val="24"/>
          <w:lang w:val="en-AU"/>
        </w:rPr>
        <w:t>,</w:t>
      </w:r>
      <w:r w:rsidRPr="00D45A93">
        <w:rPr>
          <w:rFonts w:asciiTheme="minorHAnsi" w:hAnsiTheme="minorHAnsi"/>
          <w:sz w:val="24"/>
          <w:szCs w:val="24"/>
          <w:lang w:val="en-AU"/>
        </w:rPr>
        <w:t xml:space="preserve"> her children have been returned to her care. Good Beginnings </w:t>
      </w:r>
      <w:proofErr w:type="gramStart"/>
      <w:r w:rsidRPr="00D45A93">
        <w:rPr>
          <w:rFonts w:asciiTheme="minorHAnsi" w:hAnsiTheme="minorHAnsi"/>
          <w:sz w:val="24"/>
          <w:szCs w:val="24"/>
          <w:lang w:val="en-AU"/>
        </w:rPr>
        <w:t>staff have</w:t>
      </w:r>
      <w:proofErr w:type="gramEnd"/>
      <w:r w:rsidRPr="00D45A93">
        <w:rPr>
          <w:rFonts w:asciiTheme="minorHAnsi" w:hAnsiTheme="minorHAnsi"/>
          <w:sz w:val="24"/>
          <w:szCs w:val="24"/>
          <w:lang w:val="en-AU"/>
        </w:rPr>
        <w:t xml:space="preserve"> also noted changes in the children: the children who would not sit long enough to look at a book are two of the keenest readers at story time. Their social skills have significantly increased; they are polite and </w:t>
      </w:r>
      <w:proofErr w:type="spellStart"/>
      <w:r w:rsidRPr="00D45A93">
        <w:rPr>
          <w:rFonts w:asciiTheme="minorHAnsi" w:hAnsiTheme="minorHAnsi"/>
          <w:sz w:val="24"/>
          <w:szCs w:val="24"/>
          <w:lang w:val="en-AU"/>
        </w:rPr>
        <w:t>and</w:t>
      </w:r>
      <w:proofErr w:type="spellEnd"/>
      <w:r w:rsidRPr="00D45A93">
        <w:rPr>
          <w:rFonts w:asciiTheme="minorHAnsi" w:hAnsiTheme="minorHAnsi"/>
          <w:sz w:val="24"/>
          <w:szCs w:val="24"/>
          <w:lang w:val="en-AU"/>
        </w:rPr>
        <w:t xml:space="preserve"> keen to learn. They know how to behave positively in the group. This has helped them transition to preschool well and will also help them be more settled in school. Recently</w:t>
      </w:r>
      <w:r>
        <w:rPr>
          <w:rFonts w:asciiTheme="minorHAnsi" w:hAnsiTheme="minorHAnsi"/>
          <w:sz w:val="24"/>
          <w:szCs w:val="24"/>
          <w:lang w:val="en-AU"/>
        </w:rPr>
        <w:t>,</w:t>
      </w:r>
      <w:r w:rsidRPr="00D45A93">
        <w:rPr>
          <w:rFonts w:asciiTheme="minorHAnsi" w:hAnsiTheme="minorHAnsi"/>
          <w:sz w:val="24"/>
          <w:szCs w:val="24"/>
          <w:lang w:val="en-AU"/>
        </w:rPr>
        <w:t xml:space="preserve"> Jane was observed holding the children’s hands in the school car park, encouraging safety and keeping them close. This is a significant difference to the mother Good Beginnings started to work with </w:t>
      </w:r>
      <w:r w:rsidR="00177C3F">
        <w:rPr>
          <w:rFonts w:asciiTheme="minorHAnsi" w:hAnsiTheme="minorHAnsi"/>
          <w:sz w:val="24"/>
          <w:szCs w:val="24"/>
          <w:lang w:val="en-AU"/>
        </w:rPr>
        <w:t>two</w:t>
      </w:r>
      <w:r w:rsidRPr="00D45A93">
        <w:rPr>
          <w:rFonts w:asciiTheme="minorHAnsi" w:hAnsiTheme="minorHAnsi"/>
          <w:sz w:val="24"/>
          <w:szCs w:val="24"/>
          <w:lang w:val="en-AU"/>
        </w:rPr>
        <w:t xml:space="preserve"> years ago</w:t>
      </w:r>
      <w:r w:rsidR="00306832">
        <w:rPr>
          <w:rFonts w:asciiTheme="minorHAnsi" w:hAnsiTheme="minorHAnsi"/>
          <w:sz w:val="24"/>
          <w:szCs w:val="24"/>
          <w:lang w:val="en-AU"/>
        </w:rPr>
        <w:t>,</w:t>
      </w:r>
      <w:r w:rsidR="000C43F0">
        <w:rPr>
          <w:rFonts w:asciiTheme="minorHAnsi" w:hAnsiTheme="minorHAnsi"/>
          <w:sz w:val="24"/>
          <w:szCs w:val="24"/>
          <w:lang w:val="en-AU"/>
        </w:rPr>
        <w:t xml:space="preserve"> </w:t>
      </w:r>
      <w:r w:rsidR="000C43F0" w:rsidRPr="000C43F0">
        <w:rPr>
          <w:rFonts w:asciiTheme="minorHAnsi" w:hAnsiTheme="minorHAnsi"/>
          <w:sz w:val="24"/>
          <w:szCs w:val="24"/>
          <w:lang w:val="en-AU"/>
        </w:rPr>
        <w:t>and the trajectory for these children towards achieving positive social and economic outcomes is much improved as a result of the group</w:t>
      </w:r>
      <w:r w:rsidRPr="00D45A93">
        <w:rPr>
          <w:rFonts w:asciiTheme="minorHAnsi" w:hAnsiTheme="minorHAnsi"/>
          <w:sz w:val="24"/>
          <w:szCs w:val="24"/>
          <w:lang w:val="en-AU"/>
        </w:rPr>
        <w:t>.</w:t>
      </w:r>
    </w:p>
    <w:p w:rsidR="003406E4" w:rsidRPr="00D92BEA" w:rsidRDefault="00D92BEA" w:rsidP="00D92BEA">
      <w:pPr>
        <w:pStyle w:val="Heading4"/>
        <w:rPr>
          <w:lang w:val="en-AU"/>
        </w:rPr>
      </w:pPr>
      <w:r>
        <w:t>Education</w:t>
      </w:r>
    </w:p>
    <w:p w:rsidR="003406E4" w:rsidRPr="00747C66" w:rsidRDefault="00A30975" w:rsidP="003406E4">
      <w:pPr>
        <w:rPr>
          <w:rFonts w:ascii="Calibri" w:hAnsi="Calibri"/>
          <w:sz w:val="24"/>
        </w:rPr>
      </w:pPr>
      <w:r>
        <w:rPr>
          <w:rFonts w:ascii="Calibri" w:hAnsi="Calibri"/>
          <w:sz w:val="24"/>
        </w:rPr>
        <w:t>DECD (Families SA)</w:t>
      </w:r>
      <w:r w:rsidR="003406E4" w:rsidRPr="00747C66">
        <w:rPr>
          <w:rFonts w:ascii="Calibri" w:hAnsi="Calibri"/>
          <w:sz w:val="24"/>
        </w:rPr>
        <w:t xml:space="preserve"> is collaborating directly with schools and alternative program providers to improve outcomes for children and young people</w:t>
      </w:r>
      <w:r>
        <w:rPr>
          <w:rFonts w:ascii="Calibri" w:hAnsi="Calibri"/>
          <w:sz w:val="24"/>
        </w:rPr>
        <w:t xml:space="preserve"> in care</w:t>
      </w:r>
      <w:r w:rsidR="003406E4" w:rsidRPr="00747C66">
        <w:rPr>
          <w:rFonts w:ascii="Calibri" w:hAnsi="Calibri"/>
          <w:sz w:val="24"/>
        </w:rPr>
        <w:t xml:space="preserve">. Families SA School Retention provides a specific service for young people at risk of disengagement from education. The </w:t>
      </w:r>
      <w:r w:rsidR="0099631E">
        <w:rPr>
          <w:rFonts w:ascii="Calibri" w:hAnsi="Calibri"/>
          <w:sz w:val="24"/>
        </w:rPr>
        <w:t xml:space="preserve">integrated </w:t>
      </w:r>
      <w:r w:rsidR="003406E4" w:rsidRPr="00747C66">
        <w:rPr>
          <w:rFonts w:ascii="Calibri" w:hAnsi="Calibri"/>
          <w:sz w:val="24"/>
        </w:rPr>
        <w:t>case manageme</w:t>
      </w:r>
      <w:r w:rsidR="0099631E">
        <w:rPr>
          <w:rFonts w:ascii="Calibri" w:hAnsi="Calibri"/>
          <w:sz w:val="24"/>
        </w:rPr>
        <w:t>nt approach involves allocated s</w:t>
      </w:r>
      <w:r w:rsidR="003406E4" w:rsidRPr="00747C66">
        <w:rPr>
          <w:rFonts w:ascii="Calibri" w:hAnsi="Calibri"/>
          <w:sz w:val="24"/>
        </w:rPr>
        <w:t xml:space="preserve">chool retention officers as integral members of the care teams as well as advocacy for young people in managing their difficulties with mainstream education. A Youth Engagement and Inclusion Team </w:t>
      </w:r>
      <w:proofErr w:type="gramStart"/>
      <w:r w:rsidR="003406E4" w:rsidRPr="00747C66">
        <w:rPr>
          <w:rFonts w:ascii="Calibri" w:hAnsi="Calibri"/>
          <w:sz w:val="24"/>
        </w:rPr>
        <w:t>provides</w:t>
      </w:r>
      <w:proofErr w:type="gramEnd"/>
      <w:r w:rsidR="003406E4" w:rsidRPr="00747C66">
        <w:rPr>
          <w:rFonts w:ascii="Calibri" w:hAnsi="Calibri"/>
          <w:sz w:val="24"/>
        </w:rPr>
        <w:t xml:space="preserve"> flexible schooling options and transition programs to children and young people, including those in care.</w:t>
      </w:r>
    </w:p>
    <w:p w:rsidR="003406E4" w:rsidRPr="00747C66" w:rsidRDefault="003406E4" w:rsidP="003406E4">
      <w:pPr>
        <w:rPr>
          <w:rFonts w:ascii="Calibri" w:hAnsi="Calibri"/>
          <w:sz w:val="24"/>
        </w:rPr>
      </w:pPr>
    </w:p>
    <w:p w:rsidR="003406E4" w:rsidRPr="00747C66" w:rsidRDefault="003406E4" w:rsidP="003406E4">
      <w:pPr>
        <w:rPr>
          <w:rFonts w:ascii="Calibri" w:hAnsi="Calibri"/>
          <w:sz w:val="24"/>
        </w:rPr>
      </w:pPr>
      <w:r w:rsidRPr="00747C66">
        <w:rPr>
          <w:rFonts w:ascii="Calibri" w:hAnsi="Calibri"/>
          <w:sz w:val="24"/>
        </w:rPr>
        <w:t>A School Counsellors Network</w:t>
      </w:r>
      <w:r w:rsidR="004B0B64">
        <w:rPr>
          <w:rFonts w:ascii="Calibri" w:hAnsi="Calibri"/>
          <w:sz w:val="24"/>
        </w:rPr>
        <w:t xml:space="preserve"> across metropolitan Adelaide</w:t>
      </w:r>
      <w:r w:rsidRPr="00747C66">
        <w:rPr>
          <w:rFonts w:ascii="Calibri" w:hAnsi="Calibri"/>
          <w:sz w:val="24"/>
        </w:rPr>
        <w:t xml:space="preserve"> has been established to provide mental health education and training that aims to increase </w:t>
      </w:r>
      <w:r w:rsidR="00A30975" w:rsidRPr="00A30975">
        <w:rPr>
          <w:rFonts w:ascii="Calibri" w:hAnsi="Calibri"/>
          <w:sz w:val="24"/>
        </w:rPr>
        <w:t>the understanding of mental health needs and ways to support young people within the education system</w:t>
      </w:r>
      <w:r w:rsidRPr="00747C66">
        <w:rPr>
          <w:rFonts w:ascii="Calibri" w:hAnsi="Calibri"/>
          <w:sz w:val="24"/>
        </w:rPr>
        <w:t>.</w:t>
      </w:r>
    </w:p>
    <w:p w:rsidR="005B0CBB" w:rsidRPr="00D92BEA" w:rsidRDefault="003406E4" w:rsidP="00D92BEA">
      <w:pPr>
        <w:pStyle w:val="Heading4"/>
        <w:rPr>
          <w:lang w:val="en-AU"/>
        </w:rPr>
      </w:pPr>
      <w:r>
        <w:t>Com</w:t>
      </w:r>
      <w:r w:rsidR="003A75BA" w:rsidRPr="003A75BA">
        <w:t xml:space="preserve">munity </w:t>
      </w:r>
      <w:r w:rsidR="000C31F2">
        <w:t>and</w:t>
      </w:r>
      <w:r w:rsidR="000C31F2" w:rsidRPr="003A75BA">
        <w:t xml:space="preserve"> </w:t>
      </w:r>
      <w:r w:rsidR="00D92BEA">
        <w:t>Business</w:t>
      </w:r>
    </w:p>
    <w:p w:rsidR="003A75BA" w:rsidRPr="003A75BA" w:rsidRDefault="0058576F" w:rsidP="003A75BA">
      <w:pPr>
        <w:rPr>
          <w:rFonts w:ascii="Calibri" w:hAnsi="Calibri"/>
          <w:sz w:val="24"/>
        </w:rPr>
      </w:pPr>
      <w:r>
        <w:rPr>
          <w:rFonts w:ascii="Calibri" w:hAnsi="Calibri"/>
          <w:sz w:val="24"/>
        </w:rPr>
        <w:t>DECD (</w:t>
      </w:r>
      <w:r w:rsidR="003A75BA" w:rsidRPr="003A75BA">
        <w:rPr>
          <w:rFonts w:ascii="Calibri" w:hAnsi="Calibri"/>
          <w:sz w:val="24"/>
        </w:rPr>
        <w:t>Families SA</w:t>
      </w:r>
      <w:r>
        <w:rPr>
          <w:rFonts w:ascii="Calibri" w:hAnsi="Calibri"/>
          <w:sz w:val="24"/>
        </w:rPr>
        <w:t>)</w:t>
      </w:r>
      <w:r w:rsidR="003A75BA" w:rsidRPr="003A75BA">
        <w:rPr>
          <w:rFonts w:ascii="Calibri" w:hAnsi="Calibri"/>
          <w:sz w:val="24"/>
        </w:rPr>
        <w:t xml:space="preserve"> has developed a Cultural Competency Education package for field staff</w:t>
      </w:r>
      <w:r w:rsidR="00883BDB">
        <w:rPr>
          <w:rFonts w:ascii="Calibri" w:hAnsi="Calibri"/>
          <w:sz w:val="24"/>
        </w:rPr>
        <w:t>,</w:t>
      </w:r>
      <w:r w:rsidR="00A30975">
        <w:rPr>
          <w:rFonts w:ascii="Calibri" w:hAnsi="Calibri"/>
          <w:sz w:val="24"/>
        </w:rPr>
        <w:t xml:space="preserve"> to provide </w:t>
      </w:r>
      <w:r w:rsidR="003A75BA" w:rsidRPr="003A75BA">
        <w:rPr>
          <w:rFonts w:ascii="Calibri" w:hAnsi="Calibri"/>
          <w:sz w:val="24"/>
        </w:rPr>
        <w:t xml:space="preserve">foundational and professional development modules. </w:t>
      </w:r>
      <w:r w:rsidR="00A30975">
        <w:rPr>
          <w:rFonts w:ascii="Calibri" w:hAnsi="Calibri"/>
          <w:sz w:val="24"/>
        </w:rPr>
        <w:t>A</w:t>
      </w:r>
      <w:r w:rsidR="003A75BA" w:rsidRPr="003A75BA">
        <w:rPr>
          <w:rFonts w:ascii="Calibri" w:hAnsi="Calibri"/>
          <w:sz w:val="24"/>
        </w:rPr>
        <w:t xml:space="preserve"> framework </w:t>
      </w:r>
      <w:r w:rsidR="00A30975">
        <w:rPr>
          <w:rFonts w:ascii="Calibri" w:hAnsi="Calibri"/>
          <w:sz w:val="24"/>
        </w:rPr>
        <w:t xml:space="preserve">is being developed </w:t>
      </w:r>
      <w:r w:rsidR="003A75BA" w:rsidRPr="003A75BA">
        <w:rPr>
          <w:rFonts w:ascii="Calibri" w:hAnsi="Calibri"/>
          <w:sz w:val="24"/>
        </w:rPr>
        <w:t>to ensure</w:t>
      </w:r>
      <w:r w:rsidR="006A47DE">
        <w:rPr>
          <w:rFonts w:ascii="Calibri" w:hAnsi="Calibri"/>
          <w:sz w:val="24"/>
        </w:rPr>
        <w:t xml:space="preserve"> </w:t>
      </w:r>
      <w:r w:rsidR="00883BDB">
        <w:rPr>
          <w:rFonts w:ascii="Calibri" w:hAnsi="Calibri"/>
          <w:sz w:val="24"/>
        </w:rPr>
        <w:t xml:space="preserve">that </w:t>
      </w:r>
      <w:r w:rsidR="003A75BA" w:rsidRPr="003A75BA">
        <w:rPr>
          <w:rFonts w:ascii="Calibri" w:hAnsi="Calibri"/>
          <w:sz w:val="24"/>
        </w:rPr>
        <w:t>the child protection workforce is culturally competent in working with culturally diverse communities, both newly emerging and more established.</w:t>
      </w:r>
      <w:r w:rsidR="00D26B57">
        <w:rPr>
          <w:rFonts w:ascii="Calibri" w:hAnsi="Calibri"/>
          <w:sz w:val="24"/>
        </w:rPr>
        <w:t xml:space="preserve"> </w:t>
      </w:r>
      <w:r w:rsidR="003A75BA" w:rsidRPr="003A75BA">
        <w:rPr>
          <w:rFonts w:ascii="Calibri" w:hAnsi="Calibri"/>
          <w:sz w:val="24"/>
        </w:rPr>
        <w:t>Engagement with newly emerging communities and their support</w:t>
      </w:r>
      <w:r w:rsidR="00467A90">
        <w:rPr>
          <w:rFonts w:ascii="Calibri" w:hAnsi="Calibri"/>
          <w:sz w:val="24"/>
        </w:rPr>
        <w:t xml:space="preserve"> services is supported through six</w:t>
      </w:r>
      <w:r w:rsidR="003A75BA" w:rsidRPr="003A75BA">
        <w:rPr>
          <w:rFonts w:ascii="Calibri" w:hAnsi="Calibri"/>
          <w:sz w:val="24"/>
        </w:rPr>
        <w:t xml:space="preserve"> key access points. Consultative mechanisms and educational components are included for child protection workers. </w:t>
      </w:r>
    </w:p>
    <w:p w:rsidR="003A75BA" w:rsidRPr="003A75BA" w:rsidRDefault="003A75BA" w:rsidP="003A75BA">
      <w:pPr>
        <w:rPr>
          <w:rFonts w:ascii="Calibri" w:hAnsi="Calibri"/>
          <w:sz w:val="24"/>
        </w:rPr>
      </w:pPr>
    </w:p>
    <w:p w:rsidR="00883BDB" w:rsidRDefault="003A75BA" w:rsidP="003A75BA">
      <w:pPr>
        <w:rPr>
          <w:rFonts w:ascii="Calibri" w:hAnsi="Calibri"/>
          <w:sz w:val="24"/>
        </w:rPr>
      </w:pPr>
      <w:r w:rsidRPr="003A75BA">
        <w:rPr>
          <w:rFonts w:ascii="Calibri" w:hAnsi="Calibri"/>
          <w:sz w:val="24"/>
        </w:rPr>
        <w:t>Women’s and Children’s Health Network</w:t>
      </w:r>
      <w:r w:rsidR="008764E1">
        <w:rPr>
          <w:rFonts w:ascii="Calibri" w:hAnsi="Calibri"/>
          <w:sz w:val="24"/>
        </w:rPr>
        <w:t xml:space="preserve"> – </w:t>
      </w:r>
      <w:r w:rsidRPr="003A75BA">
        <w:rPr>
          <w:rFonts w:ascii="Calibri" w:hAnsi="Calibri"/>
          <w:sz w:val="24"/>
        </w:rPr>
        <w:t>Child and</w:t>
      </w:r>
      <w:r w:rsidR="00D26B57">
        <w:rPr>
          <w:rFonts w:ascii="Calibri" w:hAnsi="Calibri"/>
          <w:sz w:val="24"/>
        </w:rPr>
        <w:t xml:space="preserve"> </w:t>
      </w:r>
      <w:r w:rsidRPr="003A75BA">
        <w:rPr>
          <w:rFonts w:ascii="Calibri" w:hAnsi="Calibri"/>
          <w:sz w:val="24"/>
        </w:rPr>
        <w:t xml:space="preserve">Adolescent Mental Health Services </w:t>
      </w:r>
      <w:r w:rsidR="006A47DE">
        <w:rPr>
          <w:rFonts w:ascii="Calibri" w:hAnsi="Calibri"/>
          <w:sz w:val="24"/>
        </w:rPr>
        <w:t>(</w:t>
      </w:r>
      <w:r w:rsidRPr="003A75BA">
        <w:rPr>
          <w:rFonts w:ascii="Calibri" w:hAnsi="Calibri"/>
          <w:sz w:val="24"/>
        </w:rPr>
        <w:t xml:space="preserve">CAMHS) </w:t>
      </w:r>
      <w:r w:rsidR="00A30975">
        <w:rPr>
          <w:rFonts w:ascii="Calibri" w:hAnsi="Calibri"/>
          <w:sz w:val="24"/>
        </w:rPr>
        <w:t xml:space="preserve">are </w:t>
      </w:r>
      <w:r w:rsidRPr="003A75BA">
        <w:rPr>
          <w:rFonts w:ascii="Calibri" w:hAnsi="Calibri"/>
          <w:sz w:val="24"/>
        </w:rPr>
        <w:t>provid</w:t>
      </w:r>
      <w:r w:rsidR="00A30975">
        <w:rPr>
          <w:rFonts w:ascii="Calibri" w:hAnsi="Calibri"/>
          <w:sz w:val="24"/>
        </w:rPr>
        <w:t>ing</w:t>
      </w:r>
      <w:r w:rsidRPr="003A75BA">
        <w:rPr>
          <w:rFonts w:ascii="Calibri" w:hAnsi="Calibri"/>
          <w:sz w:val="24"/>
        </w:rPr>
        <w:t xml:space="preserve"> support for </w:t>
      </w:r>
      <w:r w:rsidR="00A30975">
        <w:rPr>
          <w:rFonts w:ascii="Calibri" w:hAnsi="Calibri"/>
          <w:sz w:val="24"/>
        </w:rPr>
        <w:t>s</w:t>
      </w:r>
      <w:r w:rsidRPr="003A75BA">
        <w:rPr>
          <w:rFonts w:ascii="Calibri" w:hAnsi="Calibri"/>
          <w:sz w:val="24"/>
        </w:rPr>
        <w:t xml:space="preserve">chool </w:t>
      </w:r>
      <w:r w:rsidR="00A30975">
        <w:rPr>
          <w:rFonts w:ascii="Calibri" w:hAnsi="Calibri"/>
          <w:sz w:val="24"/>
        </w:rPr>
        <w:t>c</w:t>
      </w:r>
      <w:r w:rsidRPr="003A75BA">
        <w:rPr>
          <w:rFonts w:ascii="Calibri" w:hAnsi="Calibri"/>
          <w:sz w:val="24"/>
        </w:rPr>
        <w:t xml:space="preserve">ounsellors at Intensive English Language Centres </w:t>
      </w:r>
      <w:r w:rsidR="00F6102B">
        <w:rPr>
          <w:rFonts w:ascii="Calibri" w:hAnsi="Calibri"/>
          <w:sz w:val="24"/>
        </w:rPr>
        <w:t xml:space="preserve">schools </w:t>
      </w:r>
      <w:r w:rsidRPr="003A75BA">
        <w:rPr>
          <w:rFonts w:ascii="Calibri" w:hAnsi="Calibri"/>
          <w:sz w:val="24"/>
        </w:rPr>
        <w:t>to assist newly arrived families to connect with CAMHS when they have concerns for their child’s mental wellbeing. CAMHS provides consultation and support regarding the mental health of children who are newly arrived to Australia, through the Intensive English Language Centres Mental Health Liaison Hub Groups in each region</w:t>
      </w:r>
      <w:r w:rsidR="006C27A7">
        <w:rPr>
          <w:rFonts w:ascii="Calibri" w:hAnsi="Calibri"/>
          <w:sz w:val="24"/>
        </w:rPr>
        <w:t>.</w:t>
      </w:r>
    </w:p>
    <w:p w:rsidR="00883BDB" w:rsidRDefault="00883BDB" w:rsidP="003A75BA">
      <w:pPr>
        <w:rPr>
          <w:rFonts w:ascii="Calibri" w:hAnsi="Calibri"/>
          <w:sz w:val="24"/>
        </w:rPr>
      </w:pPr>
    </w:p>
    <w:p w:rsidR="003A75BA" w:rsidRPr="003A75BA" w:rsidRDefault="003A75BA" w:rsidP="003A75BA">
      <w:pPr>
        <w:rPr>
          <w:rFonts w:ascii="Calibri" w:hAnsi="Calibri"/>
          <w:sz w:val="24"/>
        </w:rPr>
      </w:pPr>
      <w:r w:rsidRPr="003A75BA">
        <w:rPr>
          <w:rFonts w:ascii="Calibri" w:hAnsi="Calibri"/>
          <w:sz w:val="24"/>
        </w:rPr>
        <w:t xml:space="preserve">Incredible Years Groups </w:t>
      </w:r>
      <w:r w:rsidR="00A30975">
        <w:rPr>
          <w:rFonts w:ascii="Calibri" w:hAnsi="Calibri"/>
          <w:sz w:val="24"/>
        </w:rPr>
        <w:t>are being provided for</w:t>
      </w:r>
      <w:r w:rsidRPr="003A75BA">
        <w:rPr>
          <w:rFonts w:ascii="Calibri" w:hAnsi="Calibri"/>
          <w:sz w:val="24"/>
        </w:rPr>
        <w:t xml:space="preserve"> newly arrived and CALD participants. This program has a strong emphasis on providing children and young people with a safe and loving environment in which they can reach their potential.</w:t>
      </w:r>
    </w:p>
    <w:p w:rsidR="003A75BA" w:rsidRPr="003A75BA" w:rsidRDefault="003A75BA" w:rsidP="003A75BA">
      <w:pPr>
        <w:rPr>
          <w:rFonts w:ascii="Calibri" w:hAnsi="Calibri"/>
          <w:sz w:val="24"/>
        </w:rPr>
      </w:pPr>
    </w:p>
    <w:p w:rsidR="003A75BA" w:rsidRPr="003A75BA" w:rsidRDefault="003A75BA" w:rsidP="003A75BA">
      <w:pPr>
        <w:rPr>
          <w:rFonts w:ascii="Calibri" w:hAnsi="Calibri"/>
          <w:sz w:val="24"/>
        </w:rPr>
      </w:pPr>
      <w:r w:rsidRPr="003A75BA">
        <w:rPr>
          <w:rFonts w:ascii="Calibri" w:hAnsi="Calibri"/>
          <w:sz w:val="24"/>
        </w:rPr>
        <w:t xml:space="preserve">Disability Services, Child and Youth Services (CYS) </w:t>
      </w:r>
      <w:proofErr w:type="gramStart"/>
      <w:r w:rsidRPr="003A75BA">
        <w:rPr>
          <w:rFonts w:ascii="Calibri" w:hAnsi="Calibri"/>
          <w:sz w:val="24"/>
        </w:rPr>
        <w:t>has</w:t>
      </w:r>
      <w:proofErr w:type="gramEnd"/>
      <w:r w:rsidRPr="003A75BA">
        <w:rPr>
          <w:rFonts w:ascii="Calibri" w:hAnsi="Calibri"/>
          <w:sz w:val="24"/>
        </w:rPr>
        <w:t xml:space="preserve"> commenced a monthly</w:t>
      </w:r>
      <w:r w:rsidR="006A47DE">
        <w:rPr>
          <w:rFonts w:ascii="Calibri" w:hAnsi="Calibri"/>
          <w:sz w:val="24"/>
        </w:rPr>
        <w:t>,</w:t>
      </w:r>
      <w:r w:rsidRPr="003A75BA">
        <w:rPr>
          <w:rFonts w:ascii="Calibri" w:hAnsi="Calibri"/>
          <w:sz w:val="24"/>
        </w:rPr>
        <w:t xml:space="preserve"> community-based group program for Vietnamese mothers of children with Autism Spectrum Disorders (ASD)</w:t>
      </w:r>
      <w:r w:rsidR="006A47DE">
        <w:rPr>
          <w:rFonts w:ascii="Calibri" w:hAnsi="Calibri"/>
          <w:sz w:val="24"/>
        </w:rPr>
        <w:t>.</w:t>
      </w:r>
      <w:r w:rsidRPr="003A75BA">
        <w:rPr>
          <w:rFonts w:ascii="Calibri" w:hAnsi="Calibri"/>
          <w:sz w:val="24"/>
        </w:rPr>
        <w:t xml:space="preserve"> This </w:t>
      </w:r>
      <w:r w:rsidR="00A30975">
        <w:rPr>
          <w:rFonts w:ascii="Calibri" w:hAnsi="Calibri"/>
          <w:sz w:val="24"/>
        </w:rPr>
        <w:t>aims</w:t>
      </w:r>
      <w:r w:rsidRPr="003A75BA">
        <w:rPr>
          <w:rFonts w:ascii="Calibri" w:hAnsi="Calibri"/>
          <w:sz w:val="24"/>
        </w:rPr>
        <w:t xml:space="preserve"> to reduce common barriers to accessing services, such as isolation, cultural perceptions of disability</w:t>
      </w:r>
      <w:r w:rsidR="008134BB">
        <w:rPr>
          <w:rFonts w:ascii="Calibri" w:hAnsi="Calibri"/>
          <w:sz w:val="24"/>
        </w:rPr>
        <w:t>,</w:t>
      </w:r>
      <w:r w:rsidRPr="003A75BA">
        <w:rPr>
          <w:rFonts w:ascii="Calibri" w:hAnsi="Calibri"/>
          <w:sz w:val="24"/>
        </w:rPr>
        <w:t xml:space="preserve"> </w:t>
      </w:r>
      <w:r w:rsidR="00467A90">
        <w:rPr>
          <w:rFonts w:ascii="Calibri" w:hAnsi="Calibri"/>
          <w:sz w:val="24"/>
        </w:rPr>
        <w:t xml:space="preserve">and </w:t>
      </w:r>
      <w:r w:rsidRPr="003A75BA">
        <w:rPr>
          <w:rFonts w:ascii="Calibri" w:hAnsi="Calibri"/>
          <w:sz w:val="24"/>
        </w:rPr>
        <w:t>lack of awareness of services available and ways to access them.</w:t>
      </w:r>
      <w:r w:rsidR="00D26B57">
        <w:rPr>
          <w:rFonts w:ascii="Calibri" w:hAnsi="Calibri"/>
          <w:sz w:val="24"/>
        </w:rPr>
        <w:t xml:space="preserve"> </w:t>
      </w:r>
      <w:r w:rsidRPr="003A75BA">
        <w:rPr>
          <w:rFonts w:ascii="Calibri" w:hAnsi="Calibri"/>
          <w:sz w:val="24"/>
        </w:rPr>
        <w:t>The group sessions have a strong focus on increasing families</w:t>
      </w:r>
      <w:r w:rsidR="00DF0C75">
        <w:rPr>
          <w:rFonts w:ascii="Calibri" w:hAnsi="Calibri"/>
          <w:sz w:val="24"/>
        </w:rPr>
        <w:t>’</w:t>
      </w:r>
      <w:r w:rsidRPr="003A75BA">
        <w:rPr>
          <w:rFonts w:ascii="Calibri" w:hAnsi="Calibri"/>
          <w:sz w:val="24"/>
        </w:rPr>
        <w:t xml:space="preserve"> understanding of ASD and increasing the sense of connection to others and </w:t>
      </w:r>
      <w:r w:rsidR="008134BB">
        <w:rPr>
          <w:rFonts w:ascii="Calibri" w:hAnsi="Calibri"/>
          <w:sz w:val="24"/>
        </w:rPr>
        <w:t xml:space="preserve">to </w:t>
      </w:r>
      <w:r w:rsidRPr="003A75BA">
        <w:rPr>
          <w:rFonts w:ascii="Calibri" w:hAnsi="Calibri"/>
          <w:sz w:val="24"/>
        </w:rPr>
        <w:t>local support networks.</w:t>
      </w:r>
      <w:r w:rsidR="00D26B57">
        <w:rPr>
          <w:rFonts w:ascii="Calibri" w:hAnsi="Calibri"/>
          <w:sz w:val="24"/>
        </w:rPr>
        <w:t xml:space="preserve"> </w:t>
      </w:r>
      <w:r w:rsidR="000F193A">
        <w:rPr>
          <w:rFonts w:ascii="Calibri" w:hAnsi="Calibri"/>
          <w:sz w:val="24"/>
        </w:rPr>
        <w:t>I</w:t>
      </w:r>
      <w:r w:rsidRPr="003A75BA">
        <w:rPr>
          <w:rFonts w:ascii="Calibri" w:hAnsi="Calibri"/>
          <w:sz w:val="24"/>
        </w:rPr>
        <w:t xml:space="preserve">ncreasing </w:t>
      </w:r>
      <w:r w:rsidR="009F3BF8">
        <w:rPr>
          <w:rFonts w:ascii="Calibri" w:hAnsi="Calibri"/>
          <w:sz w:val="24"/>
        </w:rPr>
        <w:t>family</w:t>
      </w:r>
      <w:r w:rsidR="009F3BF8" w:rsidRPr="003A75BA">
        <w:rPr>
          <w:rFonts w:ascii="Calibri" w:hAnsi="Calibri"/>
          <w:sz w:val="24"/>
        </w:rPr>
        <w:t xml:space="preserve"> </w:t>
      </w:r>
      <w:r w:rsidRPr="003A75BA">
        <w:rPr>
          <w:rFonts w:ascii="Calibri" w:hAnsi="Calibri"/>
          <w:sz w:val="24"/>
        </w:rPr>
        <w:t>access to information and strategies to help children with ASD learn new skills</w:t>
      </w:r>
      <w:r w:rsidR="000F193A">
        <w:rPr>
          <w:rFonts w:ascii="Calibri" w:hAnsi="Calibri"/>
          <w:sz w:val="24"/>
        </w:rPr>
        <w:t xml:space="preserve"> means that</w:t>
      </w:r>
      <w:r w:rsidRPr="003A75BA">
        <w:rPr>
          <w:rFonts w:ascii="Calibri" w:hAnsi="Calibri"/>
          <w:sz w:val="24"/>
        </w:rPr>
        <w:t xml:space="preserve"> </w:t>
      </w:r>
      <w:r w:rsidR="000F193A">
        <w:rPr>
          <w:rFonts w:ascii="Calibri" w:hAnsi="Calibri"/>
          <w:sz w:val="24"/>
        </w:rPr>
        <w:t>families</w:t>
      </w:r>
      <w:r w:rsidR="009F3BF8">
        <w:rPr>
          <w:rFonts w:ascii="Calibri" w:hAnsi="Calibri"/>
          <w:sz w:val="24"/>
        </w:rPr>
        <w:t xml:space="preserve"> are more able to</w:t>
      </w:r>
      <w:r w:rsidRPr="003A75BA">
        <w:rPr>
          <w:rFonts w:ascii="Calibri" w:hAnsi="Calibri"/>
          <w:sz w:val="24"/>
        </w:rPr>
        <w:t xml:space="preserve"> support their child</w:t>
      </w:r>
      <w:r w:rsidR="000F193A">
        <w:rPr>
          <w:rFonts w:ascii="Calibri" w:hAnsi="Calibri"/>
          <w:sz w:val="24"/>
        </w:rPr>
        <w:t>ren</w:t>
      </w:r>
      <w:r w:rsidRPr="003A75BA">
        <w:rPr>
          <w:rFonts w:ascii="Calibri" w:hAnsi="Calibri"/>
          <w:sz w:val="24"/>
        </w:rPr>
        <w:t>’s participation in meaningful everyday activities.</w:t>
      </w:r>
    </w:p>
    <w:p w:rsidR="003A75BA" w:rsidRDefault="003A75BA" w:rsidP="00DB5004">
      <w:pPr>
        <w:rPr>
          <w:rFonts w:ascii="Calibri" w:hAnsi="Calibri"/>
          <w:sz w:val="24"/>
        </w:rPr>
      </w:pPr>
    </w:p>
    <w:p w:rsidR="00747C66" w:rsidRDefault="001B38EA" w:rsidP="001B38EA">
      <w:pPr>
        <w:rPr>
          <w:rFonts w:ascii="Calibri" w:hAnsi="Calibri"/>
          <w:sz w:val="24"/>
        </w:rPr>
      </w:pPr>
      <w:r w:rsidRPr="001B38EA">
        <w:rPr>
          <w:rFonts w:ascii="Calibri" w:hAnsi="Calibri"/>
          <w:sz w:val="24"/>
        </w:rPr>
        <w:t xml:space="preserve">A </w:t>
      </w:r>
      <w:r w:rsidR="009F3BF8">
        <w:rPr>
          <w:rFonts w:ascii="Calibri" w:hAnsi="Calibri"/>
          <w:sz w:val="24"/>
        </w:rPr>
        <w:t xml:space="preserve">South Australian </w:t>
      </w:r>
      <w:r w:rsidR="00DF0C75" w:rsidRPr="001B38EA">
        <w:rPr>
          <w:rFonts w:ascii="Calibri" w:hAnsi="Calibri"/>
          <w:sz w:val="24"/>
        </w:rPr>
        <w:t>whole</w:t>
      </w:r>
      <w:r w:rsidR="00DF0C75">
        <w:rPr>
          <w:rFonts w:ascii="Calibri" w:hAnsi="Calibri"/>
          <w:sz w:val="24"/>
        </w:rPr>
        <w:t>-</w:t>
      </w:r>
      <w:r w:rsidR="00DF0C75" w:rsidRPr="001B38EA">
        <w:rPr>
          <w:rFonts w:ascii="Calibri" w:hAnsi="Calibri"/>
          <w:sz w:val="24"/>
        </w:rPr>
        <w:t>of</w:t>
      </w:r>
      <w:r w:rsidR="00DF0C75">
        <w:rPr>
          <w:rFonts w:ascii="Calibri" w:hAnsi="Calibri"/>
          <w:sz w:val="24"/>
        </w:rPr>
        <w:t>-</w:t>
      </w:r>
      <w:r w:rsidRPr="001B38EA">
        <w:rPr>
          <w:rFonts w:ascii="Calibri" w:hAnsi="Calibri"/>
          <w:sz w:val="24"/>
        </w:rPr>
        <w:t xml:space="preserve">government Human Services Partnership Forum has been established to strengthen community engagement and to develop </w:t>
      </w:r>
      <w:r w:rsidR="005E67E8">
        <w:rPr>
          <w:rFonts w:ascii="Calibri" w:hAnsi="Calibri"/>
          <w:sz w:val="24"/>
        </w:rPr>
        <w:t>the community sector’s</w:t>
      </w:r>
      <w:r w:rsidR="005E67E8" w:rsidRPr="001B38EA">
        <w:rPr>
          <w:rFonts w:ascii="Calibri" w:hAnsi="Calibri"/>
          <w:sz w:val="24"/>
        </w:rPr>
        <w:t xml:space="preserve"> </w:t>
      </w:r>
      <w:r w:rsidRPr="001B38EA">
        <w:rPr>
          <w:rFonts w:ascii="Calibri" w:hAnsi="Calibri"/>
          <w:sz w:val="24"/>
        </w:rPr>
        <w:t>capacity to su</w:t>
      </w:r>
      <w:r w:rsidR="00467A90">
        <w:rPr>
          <w:rFonts w:ascii="Calibri" w:hAnsi="Calibri"/>
          <w:sz w:val="24"/>
        </w:rPr>
        <w:t>pport the growing needs of the c</w:t>
      </w:r>
      <w:r w:rsidRPr="001B38EA">
        <w:rPr>
          <w:rFonts w:ascii="Calibri" w:hAnsi="Calibri"/>
          <w:sz w:val="24"/>
        </w:rPr>
        <w:t xml:space="preserve">ommunity. This brings together all the </w:t>
      </w:r>
      <w:r w:rsidR="00D936E3">
        <w:rPr>
          <w:rFonts w:ascii="Calibri" w:hAnsi="Calibri"/>
          <w:sz w:val="24"/>
        </w:rPr>
        <w:t>H</w:t>
      </w:r>
      <w:r w:rsidR="00C45680" w:rsidRPr="001B38EA">
        <w:rPr>
          <w:rFonts w:ascii="Calibri" w:hAnsi="Calibri"/>
          <w:sz w:val="24"/>
        </w:rPr>
        <w:t xml:space="preserve">uman </w:t>
      </w:r>
      <w:r w:rsidR="00D936E3">
        <w:rPr>
          <w:rFonts w:ascii="Calibri" w:hAnsi="Calibri"/>
          <w:sz w:val="24"/>
        </w:rPr>
        <w:t>S</w:t>
      </w:r>
      <w:r w:rsidR="00C45680" w:rsidRPr="001B38EA">
        <w:rPr>
          <w:rFonts w:ascii="Calibri" w:hAnsi="Calibri"/>
          <w:sz w:val="24"/>
        </w:rPr>
        <w:t xml:space="preserve">ervice </w:t>
      </w:r>
      <w:r w:rsidR="00D936E3">
        <w:rPr>
          <w:rFonts w:ascii="Calibri" w:hAnsi="Calibri"/>
          <w:sz w:val="24"/>
        </w:rPr>
        <w:t>N</w:t>
      </w:r>
      <w:r w:rsidR="00DF0C75">
        <w:rPr>
          <w:rFonts w:ascii="Calibri" w:hAnsi="Calibri"/>
          <w:sz w:val="24"/>
        </w:rPr>
        <w:t>ot-for-profit</w:t>
      </w:r>
      <w:r w:rsidRPr="001B38EA">
        <w:rPr>
          <w:rFonts w:ascii="Calibri" w:hAnsi="Calibri"/>
          <w:sz w:val="24"/>
        </w:rPr>
        <w:t xml:space="preserve"> Peak organisations and </w:t>
      </w:r>
      <w:r w:rsidR="00DF0C75">
        <w:rPr>
          <w:rFonts w:ascii="Calibri" w:hAnsi="Calibri"/>
          <w:sz w:val="24"/>
        </w:rPr>
        <w:t>s</w:t>
      </w:r>
      <w:r w:rsidRPr="001B38EA">
        <w:rPr>
          <w:rFonts w:ascii="Calibri" w:hAnsi="Calibri"/>
          <w:sz w:val="24"/>
        </w:rPr>
        <w:t xml:space="preserve">tate </w:t>
      </w:r>
      <w:r w:rsidR="00DF0C75">
        <w:rPr>
          <w:rFonts w:ascii="Calibri" w:hAnsi="Calibri"/>
          <w:sz w:val="24"/>
        </w:rPr>
        <w:t>g</w:t>
      </w:r>
      <w:r w:rsidRPr="001B38EA">
        <w:rPr>
          <w:rFonts w:ascii="Calibri" w:hAnsi="Calibri"/>
          <w:sz w:val="24"/>
        </w:rPr>
        <w:t>overnment representatives.</w:t>
      </w:r>
    </w:p>
    <w:p w:rsidR="001B38EA" w:rsidRDefault="001B38EA" w:rsidP="00DB5004">
      <w:pPr>
        <w:rPr>
          <w:rFonts w:ascii="Calibri" w:hAnsi="Calibri"/>
          <w:sz w:val="24"/>
        </w:rPr>
      </w:pPr>
    </w:p>
    <w:p w:rsidR="001B38EA" w:rsidRDefault="001B38EA" w:rsidP="001B38EA">
      <w:pPr>
        <w:rPr>
          <w:rFonts w:ascii="Calibri" w:hAnsi="Calibri"/>
          <w:sz w:val="24"/>
        </w:rPr>
      </w:pPr>
      <w:r w:rsidRPr="001B38EA">
        <w:rPr>
          <w:rFonts w:ascii="Calibri" w:hAnsi="Calibri"/>
          <w:sz w:val="24"/>
        </w:rPr>
        <w:t xml:space="preserve">The Child Safe Environments </w:t>
      </w:r>
      <w:r w:rsidRPr="00AE7DB5">
        <w:rPr>
          <w:rFonts w:ascii="Calibri" w:hAnsi="Calibri"/>
          <w:i/>
          <w:sz w:val="24"/>
        </w:rPr>
        <w:t xml:space="preserve">Reporting Child Abuse and Neglect: Guidelines for Mandated Notifiers and Information for </w:t>
      </w:r>
      <w:r w:rsidR="00DF0C75" w:rsidRPr="00AE7DB5">
        <w:rPr>
          <w:rFonts w:ascii="Calibri" w:hAnsi="Calibri"/>
          <w:i/>
          <w:sz w:val="24"/>
        </w:rPr>
        <w:t>Organisations</w:t>
      </w:r>
      <w:r w:rsidR="00DF0C75" w:rsidRPr="001B38EA">
        <w:rPr>
          <w:rFonts w:ascii="Calibri" w:hAnsi="Calibri"/>
          <w:sz w:val="24"/>
        </w:rPr>
        <w:t xml:space="preserve"> </w:t>
      </w:r>
      <w:r w:rsidR="009F3BF8">
        <w:rPr>
          <w:rFonts w:ascii="Calibri" w:hAnsi="Calibri"/>
          <w:sz w:val="24"/>
        </w:rPr>
        <w:t>has been updated</w:t>
      </w:r>
      <w:r w:rsidRPr="001B38EA">
        <w:rPr>
          <w:rFonts w:ascii="Calibri" w:hAnsi="Calibri"/>
          <w:sz w:val="24"/>
        </w:rPr>
        <w:t xml:space="preserve"> and widely distributed</w:t>
      </w:r>
      <w:r w:rsidR="00467A90">
        <w:rPr>
          <w:rFonts w:ascii="Calibri" w:hAnsi="Calibri"/>
          <w:sz w:val="24"/>
        </w:rPr>
        <w:t xml:space="preserve"> to increase community awareness of issues affecting the safety and wellbeing of children</w:t>
      </w:r>
      <w:r w:rsidRPr="001B38EA">
        <w:rPr>
          <w:rFonts w:ascii="Calibri" w:hAnsi="Calibri"/>
          <w:sz w:val="24"/>
        </w:rPr>
        <w:t>.</w:t>
      </w:r>
    </w:p>
    <w:p w:rsidR="00F6102B" w:rsidRDefault="00F6102B" w:rsidP="005B0240">
      <w:pPr>
        <w:rPr>
          <w:rFonts w:ascii="Calibri" w:hAnsi="Calibri"/>
          <w:sz w:val="24"/>
        </w:rPr>
      </w:pPr>
    </w:p>
    <w:p w:rsidR="001B38EA" w:rsidRDefault="007A467B" w:rsidP="001B38EA">
      <w:pPr>
        <w:rPr>
          <w:rFonts w:ascii="Calibri" w:hAnsi="Calibri"/>
          <w:sz w:val="24"/>
        </w:rPr>
      </w:pPr>
      <w:r>
        <w:rPr>
          <w:rFonts w:ascii="Calibri" w:hAnsi="Calibri"/>
          <w:sz w:val="24"/>
        </w:rPr>
        <w:t>Connecting</w:t>
      </w:r>
      <w:r w:rsidR="003E4A9F">
        <w:rPr>
          <w:rFonts w:ascii="Calibri" w:hAnsi="Calibri"/>
          <w:sz w:val="24"/>
        </w:rPr>
        <w:t xml:space="preserve"> Families to Work (CFW)</w:t>
      </w:r>
      <w:r w:rsidR="001B38EA" w:rsidRPr="001B38EA">
        <w:rPr>
          <w:rFonts w:ascii="Calibri" w:hAnsi="Calibri"/>
          <w:sz w:val="24"/>
        </w:rPr>
        <w:t xml:space="preserve"> is </w:t>
      </w:r>
      <w:r w:rsidR="009F3BF8">
        <w:rPr>
          <w:rFonts w:ascii="Calibri" w:hAnsi="Calibri"/>
          <w:sz w:val="24"/>
        </w:rPr>
        <w:t>building</w:t>
      </w:r>
      <w:r w:rsidR="001B38EA" w:rsidRPr="001B38EA">
        <w:rPr>
          <w:rFonts w:ascii="Calibri" w:hAnsi="Calibri"/>
          <w:sz w:val="24"/>
        </w:rPr>
        <w:t xml:space="preserve"> on two successful pilot programs</w:t>
      </w:r>
      <w:r w:rsidR="008764E1">
        <w:rPr>
          <w:rFonts w:ascii="Calibri" w:hAnsi="Calibri"/>
          <w:sz w:val="24"/>
        </w:rPr>
        <w:t xml:space="preserve">: </w:t>
      </w:r>
      <w:r w:rsidR="009F3BF8" w:rsidRPr="009F3BF8">
        <w:rPr>
          <w:rFonts w:ascii="Calibri" w:hAnsi="Calibri"/>
          <w:sz w:val="24"/>
        </w:rPr>
        <w:t>South Australia's</w:t>
      </w:r>
      <w:r w:rsidR="009F3BF8">
        <w:rPr>
          <w:rFonts w:ascii="Calibri" w:hAnsi="Calibri"/>
          <w:sz w:val="24"/>
        </w:rPr>
        <w:t xml:space="preserve"> Building Family Opportunities P</w:t>
      </w:r>
      <w:r w:rsidR="009F3BF8" w:rsidRPr="009F3BF8">
        <w:rPr>
          <w:rFonts w:ascii="Calibri" w:hAnsi="Calibri"/>
          <w:sz w:val="24"/>
        </w:rPr>
        <w:t xml:space="preserve">rogram </w:t>
      </w:r>
      <w:r w:rsidR="009F3BF8">
        <w:rPr>
          <w:rFonts w:ascii="Calibri" w:hAnsi="Calibri"/>
          <w:sz w:val="24"/>
        </w:rPr>
        <w:t xml:space="preserve">and </w:t>
      </w:r>
      <w:r w:rsidR="001B38EA" w:rsidRPr="001B38EA">
        <w:rPr>
          <w:rFonts w:ascii="Calibri" w:hAnsi="Calibri"/>
          <w:sz w:val="24"/>
        </w:rPr>
        <w:t xml:space="preserve">the </w:t>
      </w:r>
      <w:r w:rsidR="00313D79">
        <w:rPr>
          <w:rFonts w:ascii="Calibri" w:hAnsi="Calibri"/>
          <w:sz w:val="24"/>
        </w:rPr>
        <w:t>Australian Government</w:t>
      </w:r>
      <w:r w:rsidR="00313D79" w:rsidRPr="001B38EA">
        <w:rPr>
          <w:rFonts w:ascii="Calibri" w:hAnsi="Calibri"/>
          <w:sz w:val="24"/>
        </w:rPr>
        <w:t xml:space="preserve"> </w:t>
      </w:r>
      <w:r w:rsidR="001B38EA" w:rsidRPr="001B38EA">
        <w:rPr>
          <w:rFonts w:ascii="Calibri" w:hAnsi="Calibri"/>
          <w:sz w:val="24"/>
        </w:rPr>
        <w:t>Family Centred Employment Project.</w:t>
      </w:r>
      <w:r w:rsidR="00D26B57">
        <w:rPr>
          <w:rFonts w:ascii="Calibri" w:hAnsi="Calibri"/>
          <w:sz w:val="24"/>
        </w:rPr>
        <w:t xml:space="preserve"> </w:t>
      </w:r>
      <w:r w:rsidR="001B38EA" w:rsidRPr="001B38EA">
        <w:rPr>
          <w:rFonts w:ascii="Calibri" w:hAnsi="Calibri"/>
          <w:sz w:val="24"/>
        </w:rPr>
        <w:t xml:space="preserve">CFW </w:t>
      </w:r>
      <w:r w:rsidR="009F3BF8">
        <w:rPr>
          <w:rFonts w:ascii="Calibri" w:hAnsi="Calibri"/>
          <w:sz w:val="24"/>
        </w:rPr>
        <w:t>aims to break</w:t>
      </w:r>
      <w:r w:rsidR="009F3BF8" w:rsidRPr="001B38EA">
        <w:rPr>
          <w:rFonts w:ascii="Calibri" w:hAnsi="Calibri"/>
          <w:sz w:val="24"/>
        </w:rPr>
        <w:t xml:space="preserve"> </w:t>
      </w:r>
      <w:r w:rsidR="001B38EA" w:rsidRPr="001B38EA">
        <w:rPr>
          <w:rFonts w:ascii="Calibri" w:hAnsi="Calibri"/>
          <w:sz w:val="24"/>
        </w:rPr>
        <w:t>the cycle of long</w:t>
      </w:r>
      <w:r w:rsidR="005B0240">
        <w:rPr>
          <w:rFonts w:ascii="Calibri" w:hAnsi="Calibri"/>
          <w:sz w:val="24"/>
        </w:rPr>
        <w:t>-</w:t>
      </w:r>
      <w:r w:rsidR="001B38EA" w:rsidRPr="001B38EA">
        <w:rPr>
          <w:rFonts w:ascii="Calibri" w:hAnsi="Calibri"/>
          <w:sz w:val="24"/>
        </w:rPr>
        <w:t xml:space="preserve">term family joblessness by </w:t>
      </w:r>
      <w:r w:rsidR="009F3BF8">
        <w:rPr>
          <w:rFonts w:ascii="Calibri" w:hAnsi="Calibri"/>
          <w:sz w:val="24"/>
        </w:rPr>
        <w:t>developing</w:t>
      </w:r>
      <w:r w:rsidR="009F3BF8" w:rsidRPr="001B38EA">
        <w:rPr>
          <w:rFonts w:ascii="Calibri" w:hAnsi="Calibri"/>
          <w:sz w:val="24"/>
        </w:rPr>
        <w:t xml:space="preserve"> </w:t>
      </w:r>
      <w:r w:rsidR="001B38EA" w:rsidRPr="001B38EA">
        <w:rPr>
          <w:rFonts w:ascii="Calibri" w:hAnsi="Calibri"/>
          <w:sz w:val="24"/>
        </w:rPr>
        <w:t xml:space="preserve">individualised and holistic solutions for families </w:t>
      </w:r>
      <w:r w:rsidR="009F3BF8">
        <w:rPr>
          <w:rFonts w:ascii="Calibri" w:hAnsi="Calibri"/>
          <w:sz w:val="24"/>
        </w:rPr>
        <w:t xml:space="preserve">and </w:t>
      </w:r>
      <w:r w:rsidR="001B38EA" w:rsidRPr="001B38EA">
        <w:rPr>
          <w:rFonts w:ascii="Calibri" w:hAnsi="Calibri"/>
          <w:sz w:val="24"/>
        </w:rPr>
        <w:t xml:space="preserve">coordinating </w:t>
      </w:r>
      <w:r w:rsidR="009F3BF8">
        <w:rPr>
          <w:rFonts w:ascii="Calibri" w:hAnsi="Calibri"/>
          <w:sz w:val="24"/>
        </w:rPr>
        <w:t>connection with</w:t>
      </w:r>
      <w:r w:rsidR="001B38EA" w:rsidRPr="001B38EA">
        <w:rPr>
          <w:rFonts w:ascii="Calibri" w:hAnsi="Calibri"/>
          <w:sz w:val="24"/>
        </w:rPr>
        <w:t xml:space="preserve"> services to enhance their social and economic part</w:t>
      </w:r>
      <w:r w:rsidR="003E4A9F">
        <w:rPr>
          <w:rFonts w:ascii="Calibri" w:hAnsi="Calibri"/>
          <w:sz w:val="24"/>
        </w:rPr>
        <w:t>icipation. CFW outcomes include</w:t>
      </w:r>
      <w:r w:rsidR="006235C5">
        <w:rPr>
          <w:rFonts w:ascii="Calibri" w:hAnsi="Calibri"/>
          <w:sz w:val="24"/>
        </w:rPr>
        <w:t>:</w:t>
      </w:r>
      <w:r w:rsidR="001B38EA" w:rsidRPr="001B38EA">
        <w:rPr>
          <w:rFonts w:ascii="Calibri" w:hAnsi="Calibri"/>
          <w:sz w:val="24"/>
        </w:rPr>
        <w:t xml:space="preserve"> sustained workforce participation; improved educational attainment; better health and wellbeing; and improved systemic public sector responses to disadvantage.</w:t>
      </w:r>
    </w:p>
    <w:p w:rsidR="00AC7977" w:rsidRDefault="004F1BA8" w:rsidP="003F7871">
      <w:pPr>
        <w:pStyle w:val="Heading3"/>
      </w:pPr>
      <w:bookmarkStart w:id="95" w:name="Wednesday"/>
      <w:bookmarkStart w:id="96" w:name="_Toc400007706"/>
      <w:bookmarkEnd w:id="95"/>
      <w:r w:rsidRPr="00821556">
        <w:t>Tasmania</w:t>
      </w:r>
      <w:bookmarkEnd w:id="96"/>
    </w:p>
    <w:p w:rsidR="003406E4" w:rsidRDefault="003406E4" w:rsidP="00D92BEA">
      <w:pPr>
        <w:pStyle w:val="Heading4"/>
      </w:pPr>
      <w:r w:rsidRPr="004121AA">
        <w:t>Advocating Nationall</w:t>
      </w:r>
      <w:r>
        <w:t>y for Children and Young People</w:t>
      </w:r>
    </w:p>
    <w:p w:rsidR="003406E4" w:rsidRDefault="003406E4" w:rsidP="003406E4">
      <w:pPr>
        <w:rPr>
          <w:rFonts w:ascii="Calibri" w:hAnsi="Calibri"/>
          <w:sz w:val="24"/>
        </w:rPr>
      </w:pPr>
      <w:r w:rsidRPr="004121AA">
        <w:rPr>
          <w:rFonts w:ascii="Calibri" w:hAnsi="Calibri"/>
          <w:sz w:val="24"/>
        </w:rPr>
        <w:t>Work is being undertaken throughout 2013 to clarify the expectations of the role, function and powers of the Tasmanian Children’s Commissioner within a broader context of advocacy requirements for Tasmanian children and youth. As part of this review</w:t>
      </w:r>
      <w:r w:rsidR="003E4A9F">
        <w:rPr>
          <w:rFonts w:ascii="Calibri" w:hAnsi="Calibri"/>
          <w:sz w:val="24"/>
        </w:rPr>
        <w:t>,</w:t>
      </w:r>
      <w:r w:rsidRPr="004121AA">
        <w:rPr>
          <w:rFonts w:ascii="Calibri" w:hAnsi="Calibri"/>
          <w:sz w:val="24"/>
        </w:rPr>
        <w:t xml:space="preserve"> the role</w:t>
      </w:r>
      <w:r w:rsidR="00523671">
        <w:rPr>
          <w:rFonts w:ascii="Calibri" w:hAnsi="Calibri"/>
          <w:sz w:val="24"/>
        </w:rPr>
        <w:t>s of,</w:t>
      </w:r>
      <w:r w:rsidRPr="004121AA">
        <w:rPr>
          <w:rFonts w:ascii="Calibri" w:hAnsi="Calibri"/>
          <w:sz w:val="24"/>
        </w:rPr>
        <w:t xml:space="preserve"> and linkages between</w:t>
      </w:r>
      <w:r w:rsidR="00523671">
        <w:rPr>
          <w:rFonts w:ascii="Calibri" w:hAnsi="Calibri"/>
          <w:sz w:val="24"/>
        </w:rPr>
        <w:t>,</w:t>
      </w:r>
      <w:r w:rsidRPr="004121AA">
        <w:rPr>
          <w:rFonts w:ascii="Calibri" w:hAnsi="Calibri"/>
          <w:sz w:val="24"/>
        </w:rPr>
        <w:t xml:space="preserve"> the Tasmanian and National Children’s Commissioners will be explored.</w:t>
      </w:r>
      <w:r w:rsidR="00D26B57">
        <w:rPr>
          <w:rFonts w:ascii="Calibri" w:hAnsi="Calibri"/>
          <w:sz w:val="24"/>
        </w:rPr>
        <w:t xml:space="preserve"> </w:t>
      </w:r>
      <w:r w:rsidR="003E4A9F">
        <w:rPr>
          <w:rFonts w:ascii="Calibri" w:hAnsi="Calibri"/>
          <w:sz w:val="24"/>
        </w:rPr>
        <w:t xml:space="preserve">The review will also include an </w:t>
      </w:r>
      <w:r w:rsidRPr="004121AA">
        <w:rPr>
          <w:rFonts w:ascii="Calibri" w:hAnsi="Calibri"/>
          <w:sz w:val="24"/>
        </w:rPr>
        <w:t>assessment of whether the education of the community on children’s rights sits within this role.</w:t>
      </w:r>
    </w:p>
    <w:p w:rsidR="003406E4" w:rsidRDefault="003406E4" w:rsidP="00D92BEA">
      <w:pPr>
        <w:pStyle w:val="Heading4"/>
      </w:pPr>
      <w:r w:rsidRPr="004121AA">
        <w:t>Early Childhood</w:t>
      </w:r>
    </w:p>
    <w:p w:rsidR="003406E4" w:rsidRPr="004121AA" w:rsidRDefault="003406E4" w:rsidP="003406E4">
      <w:pPr>
        <w:rPr>
          <w:rFonts w:ascii="Calibri" w:hAnsi="Calibri"/>
          <w:sz w:val="24"/>
        </w:rPr>
      </w:pPr>
      <w:r w:rsidRPr="005B0240">
        <w:rPr>
          <w:rFonts w:ascii="Calibri" w:hAnsi="Calibri"/>
          <w:sz w:val="24"/>
        </w:rPr>
        <w:t>CYS</w:t>
      </w:r>
      <w:r w:rsidRPr="003E4A9F">
        <w:rPr>
          <w:rFonts w:ascii="Calibri" w:hAnsi="Calibri"/>
          <w:color w:val="FF0000"/>
          <w:sz w:val="24"/>
        </w:rPr>
        <w:t xml:space="preserve"> </w:t>
      </w:r>
      <w:r w:rsidRPr="004121AA">
        <w:rPr>
          <w:rFonts w:ascii="Calibri" w:hAnsi="Calibri"/>
          <w:sz w:val="24"/>
        </w:rPr>
        <w:t xml:space="preserve">collects a range of outcome data as part of the Kids Come First </w:t>
      </w:r>
      <w:r w:rsidR="003A0617">
        <w:rPr>
          <w:rFonts w:ascii="Calibri" w:hAnsi="Calibri"/>
          <w:sz w:val="24"/>
        </w:rPr>
        <w:t>P</w:t>
      </w:r>
      <w:r w:rsidRPr="004121AA">
        <w:rPr>
          <w:rFonts w:ascii="Calibri" w:hAnsi="Calibri"/>
          <w:sz w:val="24"/>
        </w:rPr>
        <w:t>roject</w:t>
      </w:r>
      <w:r w:rsidR="001653E6">
        <w:rPr>
          <w:rFonts w:ascii="Calibri" w:hAnsi="Calibri"/>
          <w:sz w:val="24"/>
        </w:rPr>
        <w:t>,</w:t>
      </w:r>
      <w:r w:rsidRPr="004121AA">
        <w:rPr>
          <w:rFonts w:ascii="Calibri" w:hAnsi="Calibri"/>
          <w:sz w:val="24"/>
        </w:rPr>
        <w:t xml:space="preserve"> to identify the particular strengths and needs of children and young people in local communities throughout Tasmania. Drawn from over 20 sources into one central warehouse, it is a valuable resource for government agencies and the community about young Tasmanians. Organised around 30 outcome areas and 115 specific indicators, it compiles information down to the suburb level, by age, gender and Aboriginal status as well as over time. This information allows a community profile to be developed for all communities, highlighting specific communities where children are at particular risk.</w:t>
      </w:r>
    </w:p>
    <w:p w:rsidR="003406E4" w:rsidRPr="004121AA" w:rsidRDefault="003406E4" w:rsidP="003406E4">
      <w:pPr>
        <w:rPr>
          <w:rFonts w:ascii="Calibri" w:hAnsi="Calibri"/>
          <w:sz w:val="24"/>
        </w:rPr>
      </w:pPr>
    </w:p>
    <w:p w:rsidR="003406E4" w:rsidRDefault="003406E4" w:rsidP="003406E4">
      <w:pPr>
        <w:rPr>
          <w:rFonts w:ascii="Calibri" w:hAnsi="Calibri"/>
          <w:sz w:val="24"/>
        </w:rPr>
      </w:pPr>
      <w:r w:rsidRPr="004121AA">
        <w:rPr>
          <w:rFonts w:ascii="Calibri" w:hAnsi="Calibri"/>
          <w:sz w:val="24"/>
        </w:rPr>
        <w:t>Some of the data sources included in this outcomes framework include:</w:t>
      </w:r>
    </w:p>
    <w:p w:rsidR="003406E4" w:rsidRPr="004121AA" w:rsidRDefault="003406E4" w:rsidP="001653E6">
      <w:pPr>
        <w:pStyle w:val="ListBullet"/>
      </w:pPr>
      <w:r w:rsidRPr="004121AA">
        <w:t>Child Protection Services</w:t>
      </w:r>
      <w:r w:rsidR="00A555D0">
        <w:t xml:space="preserve"> (CPS)</w:t>
      </w:r>
    </w:p>
    <w:p w:rsidR="003406E4" w:rsidRPr="004121AA" w:rsidRDefault="003406E4" w:rsidP="001653E6">
      <w:pPr>
        <w:pStyle w:val="ListBullet"/>
      </w:pPr>
      <w:r w:rsidRPr="004121AA">
        <w:t>Child Health and Parenting Service</w:t>
      </w:r>
      <w:r w:rsidR="00CB6C81">
        <w:t xml:space="preserve"> (</w:t>
      </w:r>
      <w:proofErr w:type="spellStart"/>
      <w:r w:rsidR="00CB6C81">
        <w:t>CHaPS</w:t>
      </w:r>
      <w:proofErr w:type="spellEnd"/>
      <w:r w:rsidR="00CB6C81">
        <w:t xml:space="preserve">) </w:t>
      </w:r>
    </w:p>
    <w:p w:rsidR="003406E4" w:rsidRPr="004121AA" w:rsidRDefault="003406E4" w:rsidP="001653E6">
      <w:pPr>
        <w:pStyle w:val="ListBullet"/>
      </w:pPr>
      <w:r w:rsidRPr="004121AA">
        <w:t>Youth Justice Services</w:t>
      </w:r>
    </w:p>
    <w:p w:rsidR="003406E4" w:rsidRPr="004121AA" w:rsidRDefault="003406E4" w:rsidP="001653E6">
      <w:pPr>
        <w:pStyle w:val="ListBullet"/>
      </w:pPr>
      <w:r w:rsidRPr="004121AA">
        <w:t xml:space="preserve">The </w:t>
      </w:r>
      <w:r w:rsidR="00585683">
        <w:t>AEDI</w:t>
      </w:r>
    </w:p>
    <w:p w:rsidR="003406E4" w:rsidRPr="004121AA" w:rsidRDefault="003406E4" w:rsidP="001653E6">
      <w:pPr>
        <w:pStyle w:val="ListBullet"/>
      </w:pPr>
      <w:r w:rsidRPr="004121AA">
        <w:t>Acute Health Services</w:t>
      </w:r>
    </w:p>
    <w:p w:rsidR="003406E4" w:rsidRPr="004121AA" w:rsidRDefault="003406E4" w:rsidP="001653E6">
      <w:pPr>
        <w:pStyle w:val="ListBullet"/>
      </w:pPr>
      <w:r w:rsidRPr="004121AA">
        <w:t>Tasmania Police</w:t>
      </w:r>
    </w:p>
    <w:p w:rsidR="003406E4" w:rsidRPr="004121AA" w:rsidRDefault="003406E4" w:rsidP="001653E6">
      <w:pPr>
        <w:pStyle w:val="ListBullet"/>
      </w:pPr>
      <w:r w:rsidRPr="004121AA">
        <w:t>Department of Education</w:t>
      </w:r>
    </w:p>
    <w:p w:rsidR="003406E4" w:rsidRPr="004121AA" w:rsidRDefault="00585683" w:rsidP="001653E6">
      <w:pPr>
        <w:pStyle w:val="ListBullet"/>
      </w:pPr>
      <w:r>
        <w:t>ABS</w:t>
      </w:r>
    </w:p>
    <w:p w:rsidR="003406E4" w:rsidRPr="004121AA" w:rsidRDefault="003406E4" w:rsidP="003406E4">
      <w:pPr>
        <w:rPr>
          <w:rFonts w:ascii="Calibri" w:hAnsi="Calibri"/>
          <w:sz w:val="24"/>
        </w:rPr>
      </w:pPr>
    </w:p>
    <w:p w:rsidR="003406E4" w:rsidRDefault="003406E4" w:rsidP="003406E4">
      <w:pPr>
        <w:rPr>
          <w:rFonts w:ascii="Calibri" w:hAnsi="Calibri"/>
          <w:sz w:val="24"/>
        </w:rPr>
      </w:pPr>
      <w:r w:rsidRPr="004121AA">
        <w:rPr>
          <w:rFonts w:ascii="Calibri" w:hAnsi="Calibri"/>
          <w:sz w:val="24"/>
        </w:rPr>
        <w:t>CYS will seek access to unit record AEDI data for the purposes of identifying vulnerable cohorts through data linkage as capacity becomes available.</w:t>
      </w:r>
    </w:p>
    <w:p w:rsidR="003406E4" w:rsidRDefault="003406E4" w:rsidP="003406E4">
      <w:pPr>
        <w:rPr>
          <w:rFonts w:ascii="Calibri" w:hAnsi="Calibri"/>
          <w:sz w:val="24"/>
        </w:rPr>
      </w:pPr>
    </w:p>
    <w:p w:rsidR="003406E4" w:rsidRDefault="003406E4" w:rsidP="003406E4">
      <w:pPr>
        <w:rPr>
          <w:rFonts w:ascii="Calibri" w:hAnsi="Calibri"/>
          <w:sz w:val="24"/>
        </w:rPr>
      </w:pPr>
      <w:r w:rsidRPr="004121AA">
        <w:rPr>
          <w:rFonts w:ascii="Calibri" w:hAnsi="Calibri"/>
          <w:sz w:val="24"/>
        </w:rPr>
        <w:t>Under the</w:t>
      </w:r>
      <w:r w:rsidR="003E4A9F">
        <w:rPr>
          <w:rFonts w:ascii="Calibri" w:hAnsi="Calibri"/>
          <w:sz w:val="24"/>
        </w:rPr>
        <w:t xml:space="preserve"> </w:t>
      </w:r>
      <w:proofErr w:type="spellStart"/>
      <w:r w:rsidRPr="003E4A9F">
        <w:rPr>
          <w:rFonts w:ascii="Calibri" w:hAnsi="Calibri"/>
          <w:sz w:val="24"/>
        </w:rPr>
        <w:t>CHaPS</w:t>
      </w:r>
      <w:proofErr w:type="spellEnd"/>
      <w:r w:rsidR="003E4A9F" w:rsidRPr="003E4A9F">
        <w:rPr>
          <w:rFonts w:ascii="Calibri" w:hAnsi="Calibri"/>
          <w:sz w:val="24"/>
        </w:rPr>
        <w:t xml:space="preserve"> </w:t>
      </w:r>
      <w:r w:rsidRPr="004121AA">
        <w:rPr>
          <w:rFonts w:ascii="Calibri" w:hAnsi="Calibri"/>
          <w:sz w:val="24"/>
        </w:rPr>
        <w:t xml:space="preserve">new </w:t>
      </w:r>
      <w:r w:rsidR="003A0617">
        <w:rPr>
          <w:rFonts w:ascii="Calibri" w:hAnsi="Calibri"/>
          <w:sz w:val="24"/>
        </w:rPr>
        <w:t>M</w:t>
      </w:r>
      <w:r w:rsidRPr="004121AA">
        <w:rPr>
          <w:rFonts w:ascii="Calibri" w:hAnsi="Calibri"/>
          <w:sz w:val="24"/>
        </w:rPr>
        <w:t xml:space="preserve">odel of </w:t>
      </w:r>
      <w:r w:rsidR="003A0617">
        <w:rPr>
          <w:rFonts w:ascii="Calibri" w:hAnsi="Calibri"/>
          <w:sz w:val="24"/>
        </w:rPr>
        <w:t>C</w:t>
      </w:r>
      <w:r w:rsidRPr="004121AA">
        <w:rPr>
          <w:rFonts w:ascii="Calibri" w:hAnsi="Calibri"/>
          <w:sz w:val="24"/>
        </w:rPr>
        <w:t>are</w:t>
      </w:r>
      <w:r w:rsidR="00D457EE">
        <w:rPr>
          <w:rFonts w:ascii="Calibri" w:hAnsi="Calibri"/>
          <w:sz w:val="24"/>
        </w:rPr>
        <w:t xml:space="preserve"> (see below)</w:t>
      </w:r>
      <w:r w:rsidR="003E4A9F">
        <w:rPr>
          <w:rFonts w:ascii="Calibri" w:hAnsi="Calibri"/>
          <w:sz w:val="24"/>
        </w:rPr>
        <w:t>,</w:t>
      </w:r>
      <w:r w:rsidRPr="004121AA">
        <w:rPr>
          <w:rFonts w:ascii="Calibri" w:hAnsi="Calibri"/>
          <w:sz w:val="24"/>
        </w:rPr>
        <w:t xml:space="preserve"> the enhanced service will give more time to particularly vulnerable families to support their engagement with early childhood services.</w:t>
      </w:r>
      <w:r w:rsidR="003E4A9F">
        <w:rPr>
          <w:rFonts w:ascii="Calibri" w:hAnsi="Calibri"/>
          <w:sz w:val="24"/>
        </w:rPr>
        <w:t xml:space="preserve"> </w:t>
      </w:r>
      <w:proofErr w:type="spellStart"/>
      <w:r w:rsidRPr="004121AA">
        <w:rPr>
          <w:rFonts w:ascii="Calibri" w:hAnsi="Calibri"/>
          <w:sz w:val="24"/>
        </w:rPr>
        <w:t>CHaPS</w:t>
      </w:r>
      <w:proofErr w:type="spellEnd"/>
      <w:r w:rsidRPr="004121AA">
        <w:rPr>
          <w:rFonts w:ascii="Calibri" w:hAnsi="Calibri"/>
          <w:sz w:val="24"/>
        </w:rPr>
        <w:t xml:space="preserve"> has been proactive in engaging </w:t>
      </w:r>
      <w:r w:rsidR="005B0240" w:rsidRPr="004121AA">
        <w:rPr>
          <w:rFonts w:ascii="Calibri" w:hAnsi="Calibri"/>
          <w:sz w:val="24"/>
        </w:rPr>
        <w:t>hard</w:t>
      </w:r>
      <w:r w:rsidR="005B0240">
        <w:rPr>
          <w:rFonts w:ascii="Calibri" w:hAnsi="Calibri"/>
          <w:sz w:val="24"/>
        </w:rPr>
        <w:t>-</w:t>
      </w:r>
      <w:r w:rsidR="005B0240" w:rsidRPr="004121AA">
        <w:rPr>
          <w:rFonts w:ascii="Calibri" w:hAnsi="Calibri"/>
          <w:sz w:val="24"/>
        </w:rPr>
        <w:t>to</w:t>
      </w:r>
      <w:r w:rsidR="005B0240">
        <w:rPr>
          <w:rFonts w:ascii="Calibri" w:hAnsi="Calibri"/>
          <w:sz w:val="24"/>
        </w:rPr>
        <w:t>-</w:t>
      </w:r>
      <w:r w:rsidRPr="004121AA">
        <w:rPr>
          <w:rFonts w:ascii="Calibri" w:hAnsi="Calibri"/>
          <w:sz w:val="24"/>
        </w:rPr>
        <w:t>reach families through a variety of settings, including attendance of child and family health nurses at playgroups and other early childhood settings. This allows the nurse to foster relationships with vulnerable families and undertake opportunistic health and development assessments of children.</w:t>
      </w:r>
    </w:p>
    <w:p w:rsidR="003406E4" w:rsidRPr="00D92BEA" w:rsidRDefault="00D92BEA" w:rsidP="00D92BEA">
      <w:pPr>
        <w:pStyle w:val="Heading4"/>
        <w:rPr>
          <w:lang w:val="en-AU"/>
        </w:rPr>
      </w:pPr>
      <w:r>
        <w:t>Education</w:t>
      </w:r>
    </w:p>
    <w:p w:rsidR="003406E4" w:rsidRPr="004121AA" w:rsidRDefault="003406E4" w:rsidP="003406E4">
      <w:pPr>
        <w:rPr>
          <w:rFonts w:ascii="Calibri" w:hAnsi="Calibri"/>
          <w:sz w:val="24"/>
        </w:rPr>
      </w:pPr>
      <w:r w:rsidRPr="004121AA">
        <w:rPr>
          <w:rFonts w:ascii="Calibri" w:hAnsi="Calibri"/>
          <w:sz w:val="24"/>
        </w:rPr>
        <w:t xml:space="preserve">The Department of Education (DoE) and the Department of Health and Human Services (DHHS) recently revised a Partnering Agreement that aims to improve the educational outcomes of children in care. The Agreement was developed in response to the research that revealed that children in care do not achieve at school as well as their peers. A joint departmental committee is overseeing its implementation. </w:t>
      </w:r>
    </w:p>
    <w:p w:rsidR="003406E4" w:rsidRDefault="003406E4" w:rsidP="003406E4">
      <w:pPr>
        <w:rPr>
          <w:rFonts w:ascii="Calibri" w:hAnsi="Calibri"/>
          <w:sz w:val="24"/>
        </w:rPr>
      </w:pPr>
    </w:p>
    <w:p w:rsidR="00D92BEA" w:rsidRDefault="00D92BEA">
      <w:pPr>
        <w:rPr>
          <w:rFonts w:ascii="Calibri" w:hAnsi="Calibri"/>
          <w:sz w:val="24"/>
        </w:rPr>
      </w:pPr>
      <w:r>
        <w:rPr>
          <w:rFonts w:ascii="Calibri" w:hAnsi="Calibri"/>
          <w:sz w:val="24"/>
        </w:rPr>
        <w:br w:type="page"/>
      </w:r>
    </w:p>
    <w:p w:rsidR="003E4A9F" w:rsidRDefault="003406E4" w:rsidP="003406E4">
      <w:pPr>
        <w:rPr>
          <w:rFonts w:ascii="Calibri" w:hAnsi="Calibri"/>
          <w:sz w:val="24"/>
        </w:rPr>
      </w:pPr>
      <w:r w:rsidRPr="004121AA">
        <w:rPr>
          <w:rFonts w:ascii="Calibri" w:hAnsi="Calibri"/>
          <w:sz w:val="24"/>
        </w:rPr>
        <w:t>The Partnering Agreement includes</w:t>
      </w:r>
      <w:r w:rsidR="003E4A9F">
        <w:rPr>
          <w:rFonts w:ascii="Calibri" w:hAnsi="Calibri"/>
          <w:sz w:val="24"/>
        </w:rPr>
        <w:t>:</w:t>
      </w:r>
    </w:p>
    <w:p w:rsidR="003406E4" w:rsidRPr="003E4A9F" w:rsidRDefault="001653E6" w:rsidP="001653E6">
      <w:pPr>
        <w:pStyle w:val="ListBullet"/>
      </w:pPr>
      <w:r>
        <w:t>t</w:t>
      </w:r>
      <w:r w:rsidR="003406E4" w:rsidRPr="003E4A9F">
        <w:t>he requirement for all children under care and protection orders to have a Personalised Learning Plan (PLP)</w:t>
      </w:r>
    </w:p>
    <w:p w:rsidR="003406E4" w:rsidRPr="003E4A9F" w:rsidRDefault="001653E6" w:rsidP="001653E6">
      <w:pPr>
        <w:pStyle w:val="ListBullet"/>
      </w:pPr>
      <w:r>
        <w:t>a</w:t>
      </w:r>
      <w:r w:rsidR="003406E4" w:rsidRPr="003E4A9F">
        <w:t xml:space="preserve"> protocol for sharing DoE </w:t>
      </w:r>
      <w:r w:rsidR="00523671">
        <w:t>PLP</w:t>
      </w:r>
      <w:r w:rsidR="003406E4" w:rsidRPr="003E4A9F">
        <w:t xml:space="preserve">s and DHHS case and care plans </w:t>
      </w:r>
    </w:p>
    <w:p w:rsidR="003406E4" w:rsidRPr="003E4A9F" w:rsidRDefault="001653E6" w:rsidP="001653E6">
      <w:pPr>
        <w:pStyle w:val="ListBullet"/>
      </w:pPr>
      <w:proofErr w:type="gramStart"/>
      <w:r>
        <w:t>a</w:t>
      </w:r>
      <w:r w:rsidRPr="003E4A9F">
        <w:t>greement</w:t>
      </w:r>
      <w:proofErr w:type="gramEnd"/>
      <w:r w:rsidRPr="003E4A9F">
        <w:t xml:space="preserve"> </w:t>
      </w:r>
      <w:r w:rsidR="003406E4" w:rsidRPr="003E4A9F">
        <w:t>to upgrade databases to enable more effective sharing of information between the two agencies.</w:t>
      </w:r>
    </w:p>
    <w:p w:rsidR="003406E4" w:rsidRDefault="003406E4" w:rsidP="003406E4">
      <w:pPr>
        <w:rPr>
          <w:rFonts w:ascii="Calibri" w:hAnsi="Calibri"/>
          <w:sz w:val="24"/>
        </w:rPr>
      </w:pPr>
    </w:p>
    <w:p w:rsidR="003406E4" w:rsidRPr="004121AA" w:rsidRDefault="003406E4" w:rsidP="003406E4">
      <w:pPr>
        <w:rPr>
          <w:rFonts w:ascii="Calibri" w:hAnsi="Calibri"/>
          <w:sz w:val="24"/>
        </w:rPr>
      </w:pPr>
      <w:r w:rsidRPr="004121AA">
        <w:rPr>
          <w:rFonts w:ascii="Calibri" w:hAnsi="Calibri"/>
          <w:sz w:val="24"/>
        </w:rPr>
        <w:t xml:space="preserve">There has been extensive work undertaken to build strong partnerships between schools and </w:t>
      </w:r>
      <w:proofErr w:type="spellStart"/>
      <w:r w:rsidRPr="004121AA">
        <w:rPr>
          <w:rFonts w:ascii="Calibri" w:hAnsi="Calibri"/>
          <w:sz w:val="24"/>
        </w:rPr>
        <w:t>CHaPS.</w:t>
      </w:r>
      <w:proofErr w:type="spellEnd"/>
      <w:r w:rsidR="00D26B57">
        <w:rPr>
          <w:rFonts w:ascii="Calibri" w:hAnsi="Calibri"/>
          <w:sz w:val="24"/>
        </w:rPr>
        <w:t xml:space="preserve"> </w:t>
      </w:r>
      <w:r w:rsidRPr="004121AA">
        <w:rPr>
          <w:rFonts w:ascii="Calibri" w:hAnsi="Calibri"/>
          <w:sz w:val="24"/>
        </w:rPr>
        <w:t xml:space="preserve">This includes recent work where </w:t>
      </w:r>
      <w:proofErr w:type="spellStart"/>
      <w:r w:rsidRPr="004121AA">
        <w:rPr>
          <w:rFonts w:ascii="Calibri" w:hAnsi="Calibri"/>
          <w:sz w:val="24"/>
        </w:rPr>
        <w:t>CHaPS</w:t>
      </w:r>
      <w:proofErr w:type="spellEnd"/>
      <w:r w:rsidRPr="004121AA">
        <w:rPr>
          <w:rFonts w:ascii="Calibri" w:hAnsi="Calibri"/>
          <w:sz w:val="24"/>
        </w:rPr>
        <w:t xml:space="preserve"> has actively engaged in the Launching into Learning (</w:t>
      </w:r>
      <w:proofErr w:type="spellStart"/>
      <w:r w:rsidRPr="004121AA">
        <w:rPr>
          <w:rFonts w:ascii="Calibri" w:hAnsi="Calibri"/>
          <w:sz w:val="24"/>
        </w:rPr>
        <w:t>LiL</w:t>
      </w:r>
      <w:proofErr w:type="spellEnd"/>
      <w:r w:rsidRPr="004121AA">
        <w:rPr>
          <w:rFonts w:ascii="Calibri" w:hAnsi="Calibri"/>
          <w:sz w:val="24"/>
        </w:rPr>
        <w:t xml:space="preserve">) initiative. This has involved </w:t>
      </w:r>
      <w:r w:rsidR="001653E6" w:rsidRPr="004121AA">
        <w:rPr>
          <w:rFonts w:ascii="Calibri" w:hAnsi="Calibri"/>
          <w:sz w:val="24"/>
        </w:rPr>
        <w:t>two</w:t>
      </w:r>
      <w:r w:rsidR="001653E6">
        <w:rPr>
          <w:rFonts w:ascii="Calibri" w:hAnsi="Calibri"/>
          <w:sz w:val="24"/>
        </w:rPr>
        <w:t>-</w:t>
      </w:r>
      <w:r w:rsidRPr="004121AA">
        <w:rPr>
          <w:rFonts w:ascii="Calibri" w:hAnsi="Calibri"/>
          <w:sz w:val="24"/>
        </w:rPr>
        <w:t xml:space="preserve">way referral between </w:t>
      </w:r>
      <w:proofErr w:type="spellStart"/>
      <w:r w:rsidRPr="004121AA">
        <w:rPr>
          <w:rFonts w:ascii="Calibri" w:hAnsi="Calibri"/>
          <w:sz w:val="24"/>
        </w:rPr>
        <w:t>CHaPS</w:t>
      </w:r>
      <w:proofErr w:type="spellEnd"/>
      <w:r w:rsidRPr="004121AA">
        <w:rPr>
          <w:rFonts w:ascii="Calibri" w:hAnsi="Calibri"/>
          <w:sz w:val="24"/>
        </w:rPr>
        <w:t xml:space="preserve"> and </w:t>
      </w:r>
      <w:proofErr w:type="spellStart"/>
      <w:r w:rsidRPr="004121AA">
        <w:rPr>
          <w:rFonts w:ascii="Calibri" w:hAnsi="Calibri"/>
          <w:sz w:val="24"/>
        </w:rPr>
        <w:t>LiL</w:t>
      </w:r>
      <w:proofErr w:type="spellEnd"/>
      <w:r w:rsidR="001653E6">
        <w:rPr>
          <w:rFonts w:ascii="Calibri" w:hAnsi="Calibri"/>
          <w:sz w:val="24"/>
        </w:rPr>
        <w:t>,</w:t>
      </w:r>
      <w:r w:rsidRPr="004121AA">
        <w:rPr>
          <w:rFonts w:ascii="Calibri" w:hAnsi="Calibri"/>
          <w:sz w:val="24"/>
        </w:rPr>
        <w:t xml:space="preserve"> with teachers encouraging parents to take their child for the routine assessments when there are concerns for a child</w:t>
      </w:r>
      <w:r w:rsidR="001653E6">
        <w:rPr>
          <w:rFonts w:ascii="Calibri" w:hAnsi="Calibri"/>
          <w:sz w:val="24"/>
        </w:rPr>
        <w:t>,</w:t>
      </w:r>
      <w:r w:rsidRPr="004121AA">
        <w:rPr>
          <w:rFonts w:ascii="Calibri" w:hAnsi="Calibri"/>
          <w:sz w:val="24"/>
        </w:rPr>
        <w:t xml:space="preserve"> and child and family health nurses encouraging families to engage in the </w:t>
      </w:r>
      <w:proofErr w:type="spellStart"/>
      <w:r w:rsidR="00DB5EE7">
        <w:rPr>
          <w:rFonts w:ascii="Calibri" w:hAnsi="Calibri"/>
          <w:sz w:val="24"/>
        </w:rPr>
        <w:t>LiL</w:t>
      </w:r>
      <w:proofErr w:type="spellEnd"/>
      <w:r w:rsidRPr="004121AA">
        <w:rPr>
          <w:rFonts w:ascii="Calibri" w:hAnsi="Calibri"/>
          <w:sz w:val="24"/>
        </w:rPr>
        <w:t xml:space="preserve"> initiative.</w:t>
      </w:r>
    </w:p>
    <w:p w:rsidR="00135409" w:rsidRPr="00D92BEA" w:rsidRDefault="00D92BEA" w:rsidP="00D92BEA">
      <w:pPr>
        <w:pStyle w:val="Heading4"/>
        <w:rPr>
          <w:lang w:val="en-AU"/>
        </w:rPr>
      </w:pPr>
      <w:r>
        <w:t>Community and Business</w:t>
      </w:r>
    </w:p>
    <w:p w:rsidR="00135409" w:rsidRDefault="003E4A9F" w:rsidP="00135409">
      <w:pPr>
        <w:rPr>
          <w:rFonts w:ascii="Calibri" w:hAnsi="Calibri"/>
          <w:sz w:val="24"/>
        </w:rPr>
      </w:pPr>
      <w:proofErr w:type="spellStart"/>
      <w:r>
        <w:rPr>
          <w:rFonts w:ascii="Calibri" w:hAnsi="Calibri"/>
          <w:sz w:val="24"/>
        </w:rPr>
        <w:t>CHaPS</w:t>
      </w:r>
      <w:proofErr w:type="spellEnd"/>
      <w:r w:rsidR="00135409" w:rsidRPr="00135409">
        <w:rPr>
          <w:rFonts w:ascii="Calibri" w:hAnsi="Calibri"/>
          <w:sz w:val="24"/>
        </w:rPr>
        <w:t xml:space="preserve"> is a community-based population and primary health care service which is built around the ecological view of the child and recognises that the child’s health and wellbeing is dependent upon influencing those caring for the child and the community in which they live. </w:t>
      </w:r>
    </w:p>
    <w:p w:rsidR="00135409" w:rsidRPr="00135409" w:rsidRDefault="00135409" w:rsidP="00135409">
      <w:pPr>
        <w:rPr>
          <w:rFonts w:ascii="Calibri" w:hAnsi="Calibri"/>
          <w:sz w:val="24"/>
        </w:rPr>
      </w:pPr>
    </w:p>
    <w:p w:rsidR="00135409" w:rsidRPr="00135409" w:rsidRDefault="00135409" w:rsidP="00135409">
      <w:pPr>
        <w:rPr>
          <w:rFonts w:ascii="Calibri" w:hAnsi="Calibri"/>
          <w:sz w:val="24"/>
        </w:rPr>
      </w:pPr>
      <w:proofErr w:type="spellStart"/>
      <w:r w:rsidRPr="00135409">
        <w:rPr>
          <w:rFonts w:ascii="Calibri" w:hAnsi="Calibri"/>
          <w:sz w:val="24"/>
        </w:rPr>
        <w:t>CHaPS</w:t>
      </w:r>
      <w:proofErr w:type="spellEnd"/>
      <w:r w:rsidRPr="00135409">
        <w:rPr>
          <w:rFonts w:ascii="Calibri" w:hAnsi="Calibri"/>
          <w:sz w:val="24"/>
        </w:rPr>
        <w:t xml:space="preserve"> is currently implementing a new Model of Care which will continue to provide universal services for all families but will invest more resources and effort </w:t>
      </w:r>
      <w:r w:rsidR="001653E6">
        <w:rPr>
          <w:rFonts w:ascii="Calibri" w:hAnsi="Calibri"/>
          <w:sz w:val="24"/>
        </w:rPr>
        <w:t>in overcoming</w:t>
      </w:r>
      <w:r w:rsidRPr="00135409">
        <w:rPr>
          <w:rFonts w:ascii="Calibri" w:hAnsi="Calibri"/>
          <w:sz w:val="24"/>
        </w:rPr>
        <w:t xml:space="preserve"> barriers and difficulties </w:t>
      </w:r>
      <w:r w:rsidR="001653E6">
        <w:rPr>
          <w:rFonts w:ascii="Calibri" w:hAnsi="Calibri"/>
          <w:sz w:val="24"/>
        </w:rPr>
        <w:t>faced</w:t>
      </w:r>
      <w:r w:rsidR="001653E6" w:rsidRPr="00135409">
        <w:rPr>
          <w:rFonts w:ascii="Calibri" w:hAnsi="Calibri"/>
          <w:sz w:val="24"/>
        </w:rPr>
        <w:t xml:space="preserve"> </w:t>
      </w:r>
      <w:r w:rsidRPr="00135409">
        <w:rPr>
          <w:rFonts w:ascii="Calibri" w:hAnsi="Calibri"/>
          <w:sz w:val="24"/>
        </w:rPr>
        <w:t>by the most vulnerable. This is supported by placement of child health nurses within settings</w:t>
      </w:r>
      <w:r w:rsidR="008705DA">
        <w:rPr>
          <w:rFonts w:ascii="Calibri" w:hAnsi="Calibri"/>
          <w:sz w:val="24"/>
        </w:rPr>
        <w:t>,</w:t>
      </w:r>
      <w:r w:rsidRPr="00135409">
        <w:rPr>
          <w:rFonts w:ascii="Calibri" w:hAnsi="Calibri"/>
          <w:sz w:val="24"/>
        </w:rPr>
        <w:t xml:space="preserve"> such as </w:t>
      </w:r>
      <w:r w:rsidR="00533153">
        <w:rPr>
          <w:rFonts w:ascii="Calibri" w:hAnsi="Calibri"/>
          <w:sz w:val="24"/>
        </w:rPr>
        <w:t>CFC</w:t>
      </w:r>
      <w:r w:rsidRPr="00135409">
        <w:rPr>
          <w:rFonts w:ascii="Calibri" w:hAnsi="Calibri"/>
          <w:sz w:val="24"/>
        </w:rPr>
        <w:t>s</w:t>
      </w:r>
      <w:r w:rsidR="008705DA">
        <w:rPr>
          <w:rFonts w:ascii="Calibri" w:hAnsi="Calibri"/>
          <w:sz w:val="24"/>
        </w:rPr>
        <w:t>,</w:t>
      </w:r>
      <w:r w:rsidRPr="00135409">
        <w:rPr>
          <w:rFonts w:ascii="Calibri" w:hAnsi="Calibri"/>
          <w:sz w:val="24"/>
        </w:rPr>
        <w:t xml:space="preserve"> which actively seek to engage vulnerable families.</w:t>
      </w:r>
    </w:p>
    <w:p w:rsidR="006D0C2C" w:rsidRDefault="006D0C2C" w:rsidP="00135409">
      <w:pPr>
        <w:rPr>
          <w:rFonts w:ascii="Calibri" w:hAnsi="Calibri"/>
          <w:sz w:val="24"/>
        </w:rPr>
      </w:pPr>
    </w:p>
    <w:p w:rsidR="00D542E9" w:rsidRDefault="008705DA" w:rsidP="00135409">
      <w:pPr>
        <w:rPr>
          <w:rFonts w:ascii="Calibri" w:hAnsi="Calibri"/>
          <w:sz w:val="24"/>
        </w:rPr>
      </w:pPr>
      <w:r>
        <w:rPr>
          <w:rFonts w:ascii="Calibri" w:hAnsi="Calibri"/>
          <w:sz w:val="24"/>
        </w:rPr>
        <w:t>CYS continues to maintain an up-to-</w:t>
      </w:r>
      <w:r w:rsidR="00D542E9" w:rsidRPr="00D542E9">
        <w:rPr>
          <w:rFonts w:ascii="Calibri" w:hAnsi="Calibri"/>
          <w:sz w:val="24"/>
        </w:rPr>
        <w:t>date internet site which is avai</w:t>
      </w:r>
      <w:r>
        <w:rPr>
          <w:rFonts w:ascii="Calibri" w:hAnsi="Calibri"/>
          <w:sz w:val="24"/>
        </w:rPr>
        <w:t>lable to the general public.</w:t>
      </w:r>
      <w:r w:rsidR="00D26B57">
        <w:rPr>
          <w:rFonts w:ascii="Calibri" w:hAnsi="Calibri"/>
          <w:sz w:val="24"/>
        </w:rPr>
        <w:t xml:space="preserve"> </w:t>
      </w:r>
      <w:r>
        <w:rPr>
          <w:rFonts w:ascii="Calibri" w:hAnsi="Calibri"/>
          <w:sz w:val="24"/>
        </w:rPr>
        <w:t xml:space="preserve">This internet site </w:t>
      </w:r>
      <w:r w:rsidR="00D542E9" w:rsidRPr="00D542E9">
        <w:rPr>
          <w:rFonts w:ascii="Calibri" w:hAnsi="Calibri"/>
          <w:sz w:val="24"/>
        </w:rPr>
        <w:t>provides information for mandatory reporters and the general community on how to report child abuse and neglect.</w:t>
      </w:r>
    </w:p>
    <w:p w:rsidR="00D542E9" w:rsidRDefault="00D542E9" w:rsidP="00135409">
      <w:pPr>
        <w:rPr>
          <w:rFonts w:ascii="Calibri" w:hAnsi="Calibri"/>
          <w:sz w:val="24"/>
        </w:rPr>
      </w:pPr>
    </w:p>
    <w:p w:rsidR="00D03EBA" w:rsidRDefault="00D03EBA" w:rsidP="00DB5004">
      <w:pPr>
        <w:rPr>
          <w:rFonts w:ascii="Calibri" w:hAnsi="Calibri"/>
          <w:sz w:val="24"/>
        </w:rPr>
      </w:pPr>
      <w:r w:rsidRPr="00D03EBA">
        <w:rPr>
          <w:rFonts w:ascii="Calibri" w:hAnsi="Calibri"/>
          <w:sz w:val="24"/>
        </w:rPr>
        <w:t xml:space="preserve">Vulnerable Tasmanian families are referred to Gateway services for assessment and referral to family support services. Under the Gateway model, </w:t>
      </w:r>
      <w:r w:rsidR="00C8305C">
        <w:rPr>
          <w:rFonts w:ascii="Calibri" w:hAnsi="Calibri"/>
          <w:sz w:val="24"/>
        </w:rPr>
        <w:t>community</w:t>
      </w:r>
      <w:r w:rsidRPr="00D03EBA">
        <w:rPr>
          <w:rFonts w:ascii="Calibri" w:hAnsi="Calibri"/>
          <w:sz w:val="24"/>
        </w:rPr>
        <w:t xml:space="preserve"> </w:t>
      </w:r>
      <w:r w:rsidR="00C8305C">
        <w:rPr>
          <w:rFonts w:ascii="Calibri" w:hAnsi="Calibri"/>
          <w:sz w:val="24"/>
        </w:rPr>
        <w:t xml:space="preserve">sector </w:t>
      </w:r>
      <w:r w:rsidRPr="00D03EBA">
        <w:rPr>
          <w:rFonts w:ascii="Calibri" w:hAnsi="Calibri"/>
          <w:sz w:val="24"/>
        </w:rPr>
        <w:t>service providers have formed partnerships to deliver Integrated Family Support Services.</w:t>
      </w:r>
      <w:r w:rsidR="00D26B57">
        <w:rPr>
          <w:rFonts w:ascii="Calibri" w:hAnsi="Calibri"/>
          <w:sz w:val="24"/>
        </w:rPr>
        <w:t xml:space="preserve"> </w:t>
      </w:r>
      <w:r w:rsidRPr="00D03EBA">
        <w:rPr>
          <w:rFonts w:ascii="Calibri" w:hAnsi="Calibri"/>
          <w:sz w:val="24"/>
        </w:rPr>
        <w:t>In July 2012</w:t>
      </w:r>
      <w:r w:rsidR="008705DA">
        <w:rPr>
          <w:rFonts w:ascii="Calibri" w:hAnsi="Calibri"/>
          <w:sz w:val="24"/>
        </w:rPr>
        <w:t>,</w:t>
      </w:r>
      <w:r w:rsidRPr="00D03EBA">
        <w:rPr>
          <w:rFonts w:ascii="Calibri" w:hAnsi="Calibri"/>
          <w:sz w:val="24"/>
        </w:rPr>
        <w:t xml:space="preserve"> Tasmania developed the Family Sup</w:t>
      </w:r>
      <w:r w:rsidR="008705DA">
        <w:rPr>
          <w:rFonts w:ascii="Calibri" w:hAnsi="Calibri"/>
          <w:sz w:val="24"/>
        </w:rPr>
        <w:t>port Operational Framework. This</w:t>
      </w:r>
      <w:r w:rsidRPr="00D03EBA">
        <w:rPr>
          <w:rFonts w:ascii="Calibri" w:hAnsi="Calibri"/>
          <w:sz w:val="24"/>
        </w:rPr>
        <w:t xml:space="preserve"> was developed as an agreed approach of the Tasmanian Government and Family Support Services providers in addressing the needs of vulnerable and at-risk children, young people and their families. The framework will assist services to work within an integrated and coordinated system and tailor their services to achieve quality outcomes for families and children in need.</w:t>
      </w:r>
    </w:p>
    <w:p w:rsidR="00D03EBA" w:rsidRDefault="00D03EBA" w:rsidP="00DB5004">
      <w:pPr>
        <w:rPr>
          <w:rFonts w:ascii="Calibri" w:hAnsi="Calibri"/>
          <w:sz w:val="24"/>
        </w:rPr>
      </w:pPr>
    </w:p>
    <w:p w:rsidR="00D03EBA" w:rsidRDefault="00D03EBA" w:rsidP="00DB5004">
      <w:pPr>
        <w:rPr>
          <w:rFonts w:ascii="Calibri" w:hAnsi="Calibri"/>
          <w:sz w:val="24"/>
        </w:rPr>
      </w:pPr>
      <w:r w:rsidRPr="00D03EBA">
        <w:rPr>
          <w:rFonts w:ascii="Calibri" w:hAnsi="Calibri"/>
          <w:sz w:val="24"/>
        </w:rPr>
        <w:t xml:space="preserve">Community awareness of issues affecting the safety and wellbeing of children has been increased through foster carer recruitment campaigns </w:t>
      </w:r>
      <w:r w:rsidR="008705DA">
        <w:rPr>
          <w:rFonts w:ascii="Calibri" w:hAnsi="Calibri"/>
          <w:sz w:val="24"/>
        </w:rPr>
        <w:t>and up-to-</w:t>
      </w:r>
      <w:r w:rsidRPr="00D03EBA">
        <w:rPr>
          <w:rFonts w:ascii="Calibri" w:hAnsi="Calibri"/>
          <w:sz w:val="24"/>
        </w:rPr>
        <w:t xml:space="preserve">date information provided on the </w:t>
      </w:r>
      <w:r w:rsidR="00641DC7">
        <w:rPr>
          <w:rFonts w:ascii="Calibri" w:hAnsi="Calibri"/>
          <w:sz w:val="24"/>
        </w:rPr>
        <w:t>DHHS</w:t>
      </w:r>
      <w:r w:rsidRPr="00D03EBA">
        <w:rPr>
          <w:rFonts w:ascii="Calibri" w:hAnsi="Calibri"/>
          <w:sz w:val="24"/>
        </w:rPr>
        <w:t xml:space="preserve"> website.</w:t>
      </w:r>
    </w:p>
    <w:p w:rsidR="00D03EBA" w:rsidRDefault="00D03EBA" w:rsidP="00DB5004">
      <w:pPr>
        <w:rPr>
          <w:rFonts w:ascii="Calibri" w:hAnsi="Calibri"/>
          <w:sz w:val="24"/>
        </w:rPr>
      </w:pPr>
    </w:p>
    <w:p w:rsidR="005304AC" w:rsidRDefault="00D03EBA" w:rsidP="00DB5004">
      <w:pPr>
        <w:rPr>
          <w:rFonts w:ascii="Calibri" w:hAnsi="Calibri"/>
          <w:sz w:val="24"/>
        </w:rPr>
      </w:pPr>
      <w:r w:rsidRPr="00D03EBA">
        <w:rPr>
          <w:rFonts w:ascii="Calibri" w:hAnsi="Calibri"/>
          <w:sz w:val="24"/>
        </w:rPr>
        <w:t>DHHS Innovation Awards 2013 will celebrate innovative practices and projects developed by staff and teams across health and community services, including contracted community sector organisations. The awards are open to all staff</w:t>
      </w:r>
      <w:r w:rsidR="008705DA">
        <w:rPr>
          <w:rFonts w:ascii="Calibri" w:hAnsi="Calibri"/>
          <w:sz w:val="24"/>
        </w:rPr>
        <w:t>,</w:t>
      </w:r>
      <w:r w:rsidRPr="00D03EBA">
        <w:rPr>
          <w:rFonts w:ascii="Calibri" w:hAnsi="Calibri"/>
          <w:sz w:val="24"/>
        </w:rPr>
        <w:t xml:space="preserve"> whether they are involved in direct service delivery or work in policy, administration or business and logistical support.</w:t>
      </w:r>
    </w:p>
    <w:p w:rsidR="005304AC" w:rsidRDefault="005304AC" w:rsidP="00DB5004">
      <w:pPr>
        <w:rPr>
          <w:rFonts w:ascii="Calibri" w:hAnsi="Calibri"/>
          <w:sz w:val="24"/>
        </w:rPr>
      </w:pPr>
    </w:p>
    <w:p w:rsidR="00D03EBA" w:rsidRPr="00D03EBA" w:rsidRDefault="005304AC" w:rsidP="00DB5004">
      <w:pPr>
        <w:rPr>
          <w:rFonts w:ascii="Calibri" w:hAnsi="Calibri"/>
          <w:sz w:val="24"/>
        </w:rPr>
      </w:pPr>
      <w:r>
        <w:rPr>
          <w:rFonts w:ascii="Calibri" w:hAnsi="Calibri"/>
          <w:sz w:val="24"/>
        </w:rPr>
        <w:t>A</w:t>
      </w:r>
      <w:r w:rsidR="00D03EBA" w:rsidRPr="00D03EBA">
        <w:rPr>
          <w:rFonts w:ascii="Calibri" w:hAnsi="Calibri"/>
          <w:sz w:val="24"/>
        </w:rPr>
        <w:t xml:space="preserve"> diverse range of Tasmanian businesses have agreed to sponsor the DHHS Innovation Awards 2013.</w:t>
      </w:r>
      <w:r w:rsidR="00D26B57">
        <w:rPr>
          <w:rFonts w:ascii="Calibri" w:hAnsi="Calibri"/>
          <w:sz w:val="24"/>
        </w:rPr>
        <w:t xml:space="preserve"> </w:t>
      </w:r>
      <w:r w:rsidR="00D03EBA" w:rsidRPr="00D03EBA">
        <w:rPr>
          <w:rFonts w:ascii="Calibri" w:hAnsi="Calibri"/>
          <w:sz w:val="24"/>
        </w:rPr>
        <w:t xml:space="preserve">The awards are across health and human services, but this annual event will provide some long-term capacity to increase awareness of the protection and </w:t>
      </w:r>
      <w:r w:rsidR="008A1566">
        <w:rPr>
          <w:rFonts w:ascii="Calibri" w:hAnsi="Calibri"/>
          <w:sz w:val="24"/>
        </w:rPr>
        <w:t>wellbeing</w:t>
      </w:r>
      <w:r w:rsidR="00D03EBA" w:rsidRPr="00D03EBA">
        <w:rPr>
          <w:rFonts w:ascii="Calibri" w:hAnsi="Calibri"/>
          <w:sz w:val="24"/>
        </w:rPr>
        <w:t xml:space="preserve"> of children.</w:t>
      </w:r>
    </w:p>
    <w:p w:rsidR="00D92BEA" w:rsidRDefault="00D92BEA">
      <w:pPr>
        <w:rPr>
          <w:rFonts w:ascii="Arial" w:hAnsi="Arial"/>
          <w:bCs/>
          <w:color w:val="00755E"/>
          <w:sz w:val="24"/>
          <w:szCs w:val="26"/>
        </w:rPr>
      </w:pPr>
      <w:bookmarkStart w:id="97" w:name="_Toc400007707"/>
      <w:r>
        <w:br w:type="page"/>
      </w:r>
    </w:p>
    <w:p w:rsidR="00AC7977" w:rsidRPr="007E0B04" w:rsidRDefault="004F1BA8" w:rsidP="003F7871">
      <w:pPr>
        <w:pStyle w:val="Heading3"/>
      </w:pPr>
      <w:r w:rsidRPr="007E0B04">
        <w:t>Victoria</w:t>
      </w:r>
      <w:bookmarkEnd w:id="97"/>
    </w:p>
    <w:p w:rsidR="00856FA8" w:rsidRDefault="001365FC" w:rsidP="00D92BEA">
      <w:pPr>
        <w:pStyle w:val="Heading4"/>
      </w:pPr>
      <w:r w:rsidRPr="001365FC">
        <w:t>Advocating Nationally for Children and Young People</w:t>
      </w:r>
    </w:p>
    <w:p w:rsidR="001365FC" w:rsidRPr="001365FC" w:rsidRDefault="001365FC" w:rsidP="00DB5004">
      <w:pPr>
        <w:rPr>
          <w:rFonts w:ascii="Calibri" w:hAnsi="Calibri"/>
          <w:sz w:val="24"/>
        </w:rPr>
      </w:pPr>
      <w:r w:rsidRPr="001365FC">
        <w:rPr>
          <w:rFonts w:ascii="Calibri" w:hAnsi="Calibri"/>
          <w:sz w:val="24"/>
        </w:rPr>
        <w:t>The Victorian Commission for Children and Young People was established on 1 March 2013</w:t>
      </w:r>
      <w:r w:rsidR="00A67515">
        <w:rPr>
          <w:rFonts w:ascii="Calibri" w:hAnsi="Calibri"/>
          <w:sz w:val="24"/>
        </w:rPr>
        <w:t>,</w:t>
      </w:r>
      <w:r w:rsidR="00A67515" w:rsidRPr="00A67515">
        <w:t xml:space="preserve"> </w:t>
      </w:r>
      <w:r w:rsidR="00A67515" w:rsidRPr="00A67515">
        <w:rPr>
          <w:rFonts w:ascii="Calibri" w:hAnsi="Calibri"/>
          <w:sz w:val="24"/>
        </w:rPr>
        <w:t>replacing the Office of the Child Safety Commissioner. The Commission is independent of government and reports directly to Parliament</w:t>
      </w:r>
      <w:r w:rsidR="007A405C" w:rsidRPr="00A67515">
        <w:rPr>
          <w:rFonts w:ascii="Calibri" w:hAnsi="Calibri"/>
          <w:sz w:val="24"/>
        </w:rPr>
        <w:t>.</w:t>
      </w:r>
      <w:r w:rsidRPr="001365FC">
        <w:rPr>
          <w:rFonts w:ascii="Calibri" w:hAnsi="Calibri"/>
          <w:sz w:val="24"/>
        </w:rPr>
        <w:t xml:space="preserve"> The focus of the Commission</w:t>
      </w:r>
      <w:r w:rsidR="00A67515">
        <w:rPr>
          <w:rFonts w:ascii="Calibri" w:hAnsi="Calibri"/>
          <w:sz w:val="24"/>
        </w:rPr>
        <w:t xml:space="preserve"> </w:t>
      </w:r>
      <w:r w:rsidRPr="001365FC">
        <w:rPr>
          <w:rFonts w:ascii="Calibri" w:hAnsi="Calibri"/>
          <w:sz w:val="24"/>
        </w:rPr>
        <w:t>is on the promotion of continuous improvement and innovation in policies and practices relating to child protection and the safety and wellbeing of vulnerable children and young people. The Commission currently comprises a Principal Commissioner and</w:t>
      </w:r>
      <w:r w:rsidR="00A67515" w:rsidRPr="00A67515">
        <w:t xml:space="preserve"> </w:t>
      </w:r>
      <w:r w:rsidR="00A67515" w:rsidRPr="00A67515">
        <w:rPr>
          <w:rFonts w:ascii="Calibri" w:hAnsi="Calibri"/>
          <w:sz w:val="24"/>
        </w:rPr>
        <w:t>a Commissioner for Aboriginal Children and Young People</w:t>
      </w:r>
      <w:r w:rsidR="00D65DDC">
        <w:rPr>
          <w:rFonts w:ascii="Calibri" w:hAnsi="Calibri"/>
          <w:sz w:val="24"/>
        </w:rPr>
        <w:t>,</w:t>
      </w:r>
      <w:r w:rsidRPr="001365FC">
        <w:rPr>
          <w:rFonts w:ascii="Calibri" w:hAnsi="Calibri"/>
          <w:sz w:val="24"/>
        </w:rPr>
        <w:t xml:space="preserve"> in view of the focus on improving outcomes for vulnerable Aboriginal children in Victoria.</w:t>
      </w:r>
    </w:p>
    <w:p w:rsidR="001365FC" w:rsidRDefault="001365FC" w:rsidP="00DB5004">
      <w:pPr>
        <w:rPr>
          <w:rFonts w:ascii="Calibri" w:hAnsi="Calibri"/>
          <w:sz w:val="24"/>
        </w:rPr>
      </w:pPr>
    </w:p>
    <w:p w:rsidR="001365FC" w:rsidRDefault="001365FC" w:rsidP="00DB5004">
      <w:pPr>
        <w:rPr>
          <w:rFonts w:ascii="Calibri" w:hAnsi="Calibri"/>
          <w:sz w:val="24"/>
        </w:rPr>
      </w:pPr>
      <w:r w:rsidRPr="001365FC">
        <w:rPr>
          <w:rFonts w:ascii="Calibri" w:hAnsi="Calibri"/>
          <w:sz w:val="24"/>
        </w:rPr>
        <w:t xml:space="preserve">Victorian </w:t>
      </w:r>
      <w:r w:rsidR="008705DA">
        <w:rPr>
          <w:rFonts w:ascii="Calibri" w:hAnsi="Calibri"/>
          <w:sz w:val="24"/>
        </w:rPr>
        <w:t xml:space="preserve">Government </w:t>
      </w:r>
      <w:r w:rsidRPr="001365FC">
        <w:rPr>
          <w:rFonts w:ascii="Calibri" w:hAnsi="Calibri"/>
          <w:sz w:val="24"/>
        </w:rPr>
        <w:t>service</w:t>
      </w:r>
      <w:r w:rsidR="008705DA">
        <w:rPr>
          <w:rFonts w:ascii="Calibri" w:hAnsi="Calibri"/>
          <w:sz w:val="24"/>
        </w:rPr>
        <w:t>s,</w:t>
      </w:r>
      <w:r w:rsidRPr="001365FC">
        <w:rPr>
          <w:rFonts w:ascii="Calibri" w:hAnsi="Calibri"/>
          <w:sz w:val="24"/>
        </w:rPr>
        <w:t xml:space="preserve"> such as child protection and Child FIRST</w:t>
      </w:r>
      <w:r w:rsidR="008705DA">
        <w:rPr>
          <w:rFonts w:ascii="Calibri" w:hAnsi="Calibri"/>
          <w:sz w:val="24"/>
        </w:rPr>
        <w:t>,</w:t>
      </w:r>
      <w:r w:rsidRPr="001365FC">
        <w:rPr>
          <w:rFonts w:ascii="Calibri" w:hAnsi="Calibri"/>
          <w:sz w:val="24"/>
        </w:rPr>
        <w:t xml:space="preserve"> provide community educati</w:t>
      </w:r>
      <w:r w:rsidR="008705DA">
        <w:rPr>
          <w:rFonts w:ascii="Calibri" w:hAnsi="Calibri"/>
          <w:sz w:val="24"/>
        </w:rPr>
        <w:t>on sessions at a local level</w:t>
      </w:r>
      <w:r w:rsidR="00564FB4">
        <w:rPr>
          <w:rFonts w:ascii="Calibri" w:hAnsi="Calibri"/>
          <w:sz w:val="24"/>
        </w:rPr>
        <w:t>,</w:t>
      </w:r>
      <w:r w:rsidR="00A67515">
        <w:rPr>
          <w:rFonts w:ascii="Calibri" w:hAnsi="Calibri"/>
          <w:sz w:val="24"/>
        </w:rPr>
        <w:t xml:space="preserve"> to</w:t>
      </w:r>
      <w:r w:rsidRPr="001365FC">
        <w:rPr>
          <w:rFonts w:ascii="Calibri" w:hAnsi="Calibri"/>
          <w:sz w:val="24"/>
        </w:rPr>
        <w:t xml:space="preserve"> support the</w:t>
      </w:r>
      <w:r w:rsidR="00A67515">
        <w:rPr>
          <w:rFonts w:ascii="Calibri" w:hAnsi="Calibri"/>
          <w:sz w:val="24"/>
        </w:rPr>
        <w:t xml:space="preserve"> community</w:t>
      </w:r>
      <w:r w:rsidR="00564FB4">
        <w:rPr>
          <w:rFonts w:ascii="Calibri" w:hAnsi="Calibri"/>
          <w:sz w:val="24"/>
        </w:rPr>
        <w:t>,</w:t>
      </w:r>
      <w:r w:rsidRPr="001365FC">
        <w:rPr>
          <w:rFonts w:ascii="Calibri" w:hAnsi="Calibri"/>
          <w:sz w:val="24"/>
        </w:rPr>
        <w:t xml:space="preserve"> </w:t>
      </w:r>
      <w:r w:rsidR="00A67515">
        <w:rPr>
          <w:rFonts w:ascii="Calibri" w:hAnsi="Calibri"/>
          <w:sz w:val="24"/>
        </w:rPr>
        <w:t>on</w:t>
      </w:r>
      <w:r w:rsidRPr="001365FC">
        <w:rPr>
          <w:rFonts w:ascii="Calibri" w:hAnsi="Calibri"/>
          <w:sz w:val="24"/>
        </w:rPr>
        <w:t xml:space="preserve"> </w:t>
      </w:r>
      <w:r w:rsidR="008A1566">
        <w:rPr>
          <w:rFonts w:ascii="Calibri" w:hAnsi="Calibri"/>
          <w:sz w:val="24"/>
        </w:rPr>
        <w:t>ways</w:t>
      </w:r>
      <w:r w:rsidR="008A1566" w:rsidRPr="001365FC">
        <w:rPr>
          <w:rFonts w:ascii="Calibri" w:hAnsi="Calibri"/>
          <w:sz w:val="24"/>
        </w:rPr>
        <w:t xml:space="preserve"> </w:t>
      </w:r>
      <w:r w:rsidRPr="001365FC">
        <w:rPr>
          <w:rFonts w:ascii="Calibri" w:hAnsi="Calibri"/>
          <w:sz w:val="24"/>
        </w:rPr>
        <w:t xml:space="preserve">to respond where there are concerns for </w:t>
      </w:r>
      <w:r w:rsidR="001A13E8">
        <w:rPr>
          <w:rFonts w:ascii="Calibri" w:hAnsi="Calibri"/>
          <w:sz w:val="24"/>
        </w:rPr>
        <w:t>a</w:t>
      </w:r>
      <w:r w:rsidR="001A13E8" w:rsidRPr="001365FC">
        <w:rPr>
          <w:rFonts w:ascii="Calibri" w:hAnsi="Calibri"/>
          <w:sz w:val="24"/>
        </w:rPr>
        <w:t xml:space="preserve"> </w:t>
      </w:r>
      <w:r w:rsidRPr="001365FC">
        <w:rPr>
          <w:rFonts w:ascii="Calibri" w:hAnsi="Calibri"/>
          <w:sz w:val="24"/>
        </w:rPr>
        <w:t>child’s safety and wellbeing.</w:t>
      </w:r>
    </w:p>
    <w:p w:rsidR="00044AA8" w:rsidRPr="00044AA8" w:rsidRDefault="00044AA8" w:rsidP="00D92BEA">
      <w:pPr>
        <w:pStyle w:val="Heading4"/>
      </w:pPr>
      <w:r w:rsidRPr="00044AA8">
        <w:t>Early Childhood</w:t>
      </w:r>
    </w:p>
    <w:p w:rsidR="00044AA8" w:rsidRPr="00044AA8" w:rsidRDefault="00044AA8" w:rsidP="00044AA8">
      <w:pPr>
        <w:rPr>
          <w:rFonts w:ascii="Calibri" w:hAnsi="Calibri"/>
          <w:sz w:val="24"/>
        </w:rPr>
      </w:pPr>
      <w:r w:rsidRPr="00044AA8">
        <w:rPr>
          <w:rFonts w:ascii="Calibri" w:hAnsi="Calibri"/>
          <w:sz w:val="24"/>
        </w:rPr>
        <w:t>An a</w:t>
      </w:r>
      <w:r w:rsidR="008705DA">
        <w:rPr>
          <w:rFonts w:ascii="Calibri" w:hAnsi="Calibri"/>
          <w:sz w:val="24"/>
        </w:rPr>
        <w:t>dditional four Cradle to Kinder/</w:t>
      </w:r>
      <w:r w:rsidRPr="00044AA8">
        <w:rPr>
          <w:rFonts w:ascii="Calibri" w:hAnsi="Calibri"/>
          <w:sz w:val="24"/>
        </w:rPr>
        <w:t xml:space="preserve">Aboriginal Cradle to Kinder programs (ante and postnatal support programs for young, vulnerable, pregnant women and their families, providing support until the child reaches </w:t>
      </w:r>
      <w:r w:rsidR="008A1566">
        <w:rPr>
          <w:rFonts w:ascii="Calibri" w:hAnsi="Calibri"/>
          <w:sz w:val="24"/>
        </w:rPr>
        <w:t>4</w:t>
      </w:r>
      <w:r w:rsidR="008A1566" w:rsidRPr="00044AA8">
        <w:rPr>
          <w:rFonts w:ascii="Calibri" w:hAnsi="Calibri"/>
          <w:sz w:val="24"/>
        </w:rPr>
        <w:t xml:space="preserve"> </w:t>
      </w:r>
      <w:r w:rsidRPr="00044AA8">
        <w:rPr>
          <w:rFonts w:ascii="Calibri" w:hAnsi="Calibri"/>
          <w:sz w:val="24"/>
        </w:rPr>
        <w:t xml:space="preserve">years of age) will be implemented across </w:t>
      </w:r>
      <w:r w:rsidR="008705DA">
        <w:rPr>
          <w:rFonts w:ascii="Calibri" w:hAnsi="Calibri"/>
          <w:sz w:val="24"/>
        </w:rPr>
        <w:t>Victoria</w:t>
      </w:r>
      <w:r w:rsidRPr="00044AA8">
        <w:rPr>
          <w:rFonts w:ascii="Calibri" w:hAnsi="Calibri"/>
          <w:sz w:val="24"/>
        </w:rPr>
        <w:t xml:space="preserve"> in early 2014 in high needs areas. </w:t>
      </w:r>
    </w:p>
    <w:p w:rsidR="008705DA" w:rsidRDefault="008705DA" w:rsidP="00044AA8">
      <w:pPr>
        <w:rPr>
          <w:rFonts w:ascii="Calibri" w:hAnsi="Calibri"/>
          <w:sz w:val="24"/>
        </w:rPr>
      </w:pPr>
    </w:p>
    <w:p w:rsidR="00044AA8" w:rsidRPr="00044AA8" w:rsidRDefault="00044AA8" w:rsidP="00044AA8">
      <w:pPr>
        <w:rPr>
          <w:rFonts w:ascii="Calibri" w:hAnsi="Calibri"/>
          <w:sz w:val="24"/>
        </w:rPr>
      </w:pPr>
      <w:r w:rsidRPr="00044AA8">
        <w:rPr>
          <w:rFonts w:ascii="Calibri" w:hAnsi="Calibri"/>
          <w:sz w:val="24"/>
        </w:rPr>
        <w:t>Cradle to Kinder (including Aboriginal Cradle to Kinder) builds on existing child and family service options available within the established Child FIRST catchment areas and utilises the local Child FIRST to refer expectant mothers and their families to the programs. Cradle to Kinder/Aborigina</w:t>
      </w:r>
      <w:r w:rsidR="002D6255">
        <w:rPr>
          <w:rFonts w:ascii="Calibri" w:hAnsi="Calibri"/>
          <w:sz w:val="24"/>
        </w:rPr>
        <w:t xml:space="preserve">l Cradle to Kinder is aligned </w:t>
      </w:r>
      <w:r w:rsidRPr="00044AA8">
        <w:rPr>
          <w:rFonts w:ascii="Calibri" w:hAnsi="Calibri"/>
          <w:sz w:val="24"/>
        </w:rPr>
        <w:t>and</w:t>
      </w:r>
      <w:r w:rsidR="002D6255">
        <w:rPr>
          <w:rFonts w:ascii="Calibri" w:hAnsi="Calibri"/>
          <w:sz w:val="24"/>
        </w:rPr>
        <w:t>,</w:t>
      </w:r>
      <w:r w:rsidRPr="00044AA8">
        <w:rPr>
          <w:rFonts w:ascii="Calibri" w:hAnsi="Calibri"/>
          <w:sz w:val="24"/>
        </w:rPr>
        <w:t xml:space="preserve"> where possible</w:t>
      </w:r>
      <w:r w:rsidR="002D6255">
        <w:rPr>
          <w:rFonts w:ascii="Calibri" w:hAnsi="Calibri"/>
          <w:sz w:val="24"/>
        </w:rPr>
        <w:t>, integrated</w:t>
      </w:r>
      <w:r w:rsidRPr="00044AA8">
        <w:rPr>
          <w:rFonts w:ascii="Calibri" w:hAnsi="Calibri"/>
          <w:sz w:val="24"/>
        </w:rPr>
        <w:t xml:space="preserve"> with local family services, early parenting services, maternal and child health services, placement </w:t>
      </w:r>
      <w:r w:rsidR="001A13E8">
        <w:rPr>
          <w:rFonts w:ascii="Calibri" w:hAnsi="Calibri"/>
          <w:sz w:val="24"/>
        </w:rPr>
        <w:t xml:space="preserve">services </w:t>
      </w:r>
      <w:r w:rsidRPr="00044AA8">
        <w:rPr>
          <w:rFonts w:ascii="Calibri" w:hAnsi="Calibri"/>
          <w:sz w:val="24"/>
        </w:rPr>
        <w:t>and other support services, including services provided by Aboriginal Community Controlled Organisations.</w:t>
      </w:r>
    </w:p>
    <w:p w:rsidR="00044AA8" w:rsidRPr="00044AA8" w:rsidRDefault="00044AA8" w:rsidP="00044AA8">
      <w:pPr>
        <w:rPr>
          <w:rFonts w:ascii="Calibri" w:hAnsi="Calibri"/>
          <w:sz w:val="24"/>
        </w:rPr>
      </w:pPr>
    </w:p>
    <w:p w:rsidR="00044AA8" w:rsidRDefault="00044AA8" w:rsidP="00044AA8">
      <w:pPr>
        <w:rPr>
          <w:rFonts w:ascii="Calibri" w:hAnsi="Calibri"/>
          <w:sz w:val="24"/>
        </w:rPr>
      </w:pPr>
      <w:r w:rsidRPr="00044AA8">
        <w:rPr>
          <w:rFonts w:ascii="Calibri" w:hAnsi="Calibri"/>
          <w:sz w:val="24"/>
        </w:rPr>
        <w:t xml:space="preserve">All child and family services alliances undertake catchment planning at a Child FIRST catchment level in a </w:t>
      </w:r>
      <w:r w:rsidR="00D65DDC" w:rsidRPr="00044AA8">
        <w:rPr>
          <w:rFonts w:ascii="Calibri" w:hAnsi="Calibri"/>
          <w:sz w:val="24"/>
        </w:rPr>
        <w:t>three</w:t>
      </w:r>
      <w:r w:rsidR="00D65DDC">
        <w:rPr>
          <w:rFonts w:ascii="Calibri" w:hAnsi="Calibri"/>
          <w:sz w:val="24"/>
        </w:rPr>
        <w:t>-</w:t>
      </w:r>
      <w:r w:rsidRPr="00044AA8">
        <w:rPr>
          <w:rFonts w:ascii="Calibri" w:hAnsi="Calibri"/>
          <w:sz w:val="24"/>
        </w:rPr>
        <w:t>year cycle</w:t>
      </w:r>
      <w:r w:rsidR="002D6255">
        <w:rPr>
          <w:rFonts w:ascii="Calibri" w:hAnsi="Calibri"/>
          <w:sz w:val="24"/>
        </w:rPr>
        <w:t>,</w:t>
      </w:r>
      <w:r w:rsidRPr="00044AA8">
        <w:rPr>
          <w:rFonts w:ascii="Calibri" w:hAnsi="Calibri"/>
          <w:sz w:val="24"/>
        </w:rPr>
        <w:t xml:space="preserve"> with annual reviews to plan, target priorities and use service resources more effectively to enhance the family service system responses to vulnerable children and their families.</w:t>
      </w:r>
      <w:r w:rsidR="00D26B57">
        <w:rPr>
          <w:rFonts w:ascii="Calibri" w:hAnsi="Calibri"/>
          <w:sz w:val="24"/>
        </w:rPr>
        <w:t xml:space="preserve"> </w:t>
      </w:r>
      <w:r w:rsidRPr="00044AA8">
        <w:rPr>
          <w:rFonts w:ascii="Calibri" w:hAnsi="Calibri"/>
          <w:sz w:val="24"/>
        </w:rPr>
        <w:t xml:space="preserve">Actions targeting vulnerable young children aged up to </w:t>
      </w:r>
      <w:r w:rsidR="00D65DDC">
        <w:rPr>
          <w:rFonts w:ascii="Calibri" w:hAnsi="Calibri"/>
          <w:sz w:val="24"/>
        </w:rPr>
        <w:t>5</w:t>
      </w:r>
      <w:r w:rsidR="00D65DDC" w:rsidRPr="00044AA8">
        <w:rPr>
          <w:rFonts w:ascii="Calibri" w:hAnsi="Calibri"/>
          <w:sz w:val="24"/>
        </w:rPr>
        <w:t xml:space="preserve"> </w:t>
      </w:r>
      <w:r w:rsidRPr="00044AA8">
        <w:rPr>
          <w:rFonts w:ascii="Calibri" w:hAnsi="Calibri"/>
          <w:sz w:val="24"/>
        </w:rPr>
        <w:t>years continue to be a central focus of these plans and actions.</w:t>
      </w:r>
    </w:p>
    <w:p w:rsidR="00044AA8" w:rsidRDefault="00044AA8" w:rsidP="00044AA8">
      <w:pPr>
        <w:rPr>
          <w:rFonts w:ascii="Calibri" w:hAnsi="Calibri"/>
          <w:sz w:val="24"/>
        </w:rPr>
      </w:pPr>
    </w:p>
    <w:p w:rsidR="00044AA8" w:rsidRPr="00044AA8" w:rsidRDefault="00044AA8" w:rsidP="00044AA8">
      <w:pPr>
        <w:rPr>
          <w:rFonts w:ascii="Calibri" w:hAnsi="Calibri"/>
          <w:sz w:val="24"/>
        </w:rPr>
      </w:pPr>
      <w:r w:rsidRPr="00044AA8">
        <w:rPr>
          <w:rFonts w:ascii="Calibri" w:hAnsi="Calibri"/>
          <w:sz w:val="24"/>
        </w:rPr>
        <w:t>The Access to Early Learning model implemented by the Victorian Government is designed to support children, families and early childhood education and care services to address identified barriers to access to education, through assisting families to locate, enrol and engage in an early childhood education and care program.</w:t>
      </w:r>
    </w:p>
    <w:p w:rsidR="00044AA8" w:rsidRPr="00044AA8" w:rsidRDefault="00044AA8" w:rsidP="00044AA8">
      <w:pPr>
        <w:rPr>
          <w:rFonts w:ascii="Calibri" w:hAnsi="Calibri"/>
          <w:sz w:val="24"/>
        </w:rPr>
      </w:pPr>
    </w:p>
    <w:p w:rsidR="00044AA8" w:rsidRDefault="00044AA8" w:rsidP="00044AA8">
      <w:pPr>
        <w:rPr>
          <w:rFonts w:ascii="Calibri" w:hAnsi="Calibri"/>
          <w:sz w:val="24"/>
        </w:rPr>
      </w:pPr>
      <w:r w:rsidRPr="00044AA8">
        <w:rPr>
          <w:rFonts w:ascii="Calibri" w:hAnsi="Calibri"/>
          <w:sz w:val="24"/>
        </w:rPr>
        <w:t xml:space="preserve">The </w:t>
      </w:r>
      <w:r w:rsidR="000747A3">
        <w:rPr>
          <w:rFonts w:ascii="Calibri" w:hAnsi="Calibri"/>
          <w:sz w:val="24"/>
        </w:rPr>
        <w:t>Early Childhood Development</w:t>
      </w:r>
      <w:r w:rsidR="000747A3" w:rsidRPr="00044AA8">
        <w:rPr>
          <w:rFonts w:ascii="Calibri" w:hAnsi="Calibri"/>
          <w:sz w:val="24"/>
        </w:rPr>
        <w:t xml:space="preserve"> </w:t>
      </w:r>
      <w:r w:rsidRPr="00044AA8">
        <w:rPr>
          <w:rFonts w:ascii="Calibri" w:hAnsi="Calibri"/>
          <w:sz w:val="24"/>
        </w:rPr>
        <w:t>program will continue across eight Child FIRST catchments.</w:t>
      </w:r>
      <w:r w:rsidR="00D26B57">
        <w:rPr>
          <w:rFonts w:ascii="Calibri" w:hAnsi="Calibri"/>
          <w:sz w:val="24"/>
        </w:rPr>
        <w:t xml:space="preserve"> </w:t>
      </w:r>
      <w:r w:rsidRPr="00044AA8">
        <w:rPr>
          <w:rFonts w:ascii="Calibri" w:hAnsi="Calibri"/>
          <w:sz w:val="24"/>
        </w:rPr>
        <w:t xml:space="preserve">The role of the </w:t>
      </w:r>
      <w:r w:rsidR="000747A3">
        <w:rPr>
          <w:rFonts w:ascii="Calibri" w:hAnsi="Calibri"/>
          <w:sz w:val="24"/>
        </w:rPr>
        <w:t>Early Childhood Development</w:t>
      </w:r>
      <w:r w:rsidR="000747A3" w:rsidRPr="00044AA8">
        <w:rPr>
          <w:rFonts w:ascii="Calibri" w:hAnsi="Calibri"/>
          <w:sz w:val="24"/>
        </w:rPr>
        <w:t xml:space="preserve"> </w:t>
      </w:r>
      <w:r w:rsidRPr="00044AA8">
        <w:rPr>
          <w:rFonts w:ascii="Calibri" w:hAnsi="Calibri"/>
          <w:sz w:val="24"/>
        </w:rPr>
        <w:t xml:space="preserve">coordinators is to strengthen the linkages across family services and early </w:t>
      </w:r>
      <w:proofErr w:type="gramStart"/>
      <w:r w:rsidRPr="00044AA8">
        <w:rPr>
          <w:rFonts w:ascii="Calibri" w:hAnsi="Calibri"/>
          <w:sz w:val="24"/>
        </w:rPr>
        <w:t>years</w:t>
      </w:r>
      <w:proofErr w:type="gramEnd"/>
      <w:r w:rsidRPr="00044AA8">
        <w:rPr>
          <w:rFonts w:ascii="Calibri" w:hAnsi="Calibri"/>
          <w:sz w:val="24"/>
        </w:rPr>
        <w:t xml:space="preserve"> services.</w:t>
      </w:r>
    </w:p>
    <w:p w:rsidR="00044AA8" w:rsidRPr="00044AA8" w:rsidRDefault="00044AA8" w:rsidP="00D92BEA">
      <w:pPr>
        <w:pStyle w:val="Heading4"/>
      </w:pPr>
      <w:r w:rsidRPr="00044AA8">
        <w:t>Education</w:t>
      </w:r>
    </w:p>
    <w:p w:rsidR="00044AA8" w:rsidRDefault="00044AA8" w:rsidP="00044AA8">
      <w:pPr>
        <w:rPr>
          <w:rFonts w:ascii="Calibri" w:hAnsi="Calibri"/>
          <w:sz w:val="24"/>
        </w:rPr>
      </w:pPr>
      <w:r w:rsidRPr="00044AA8">
        <w:rPr>
          <w:rFonts w:ascii="Calibri" w:hAnsi="Calibri"/>
          <w:sz w:val="24"/>
        </w:rPr>
        <w:t>The Out-of-Home Care Education Commitment, better known as the Partnering Agreement</w:t>
      </w:r>
      <w:r w:rsidR="002D6255">
        <w:rPr>
          <w:rFonts w:ascii="Calibri" w:hAnsi="Calibri"/>
          <w:sz w:val="24"/>
        </w:rPr>
        <w:t>,</w:t>
      </w:r>
      <w:r w:rsidRPr="00044AA8">
        <w:rPr>
          <w:rFonts w:ascii="Calibri" w:hAnsi="Calibri"/>
          <w:sz w:val="24"/>
        </w:rPr>
        <w:t xml:space="preserve"> was</w:t>
      </w:r>
      <w:r w:rsidR="002D6255">
        <w:rPr>
          <w:rFonts w:ascii="Calibri" w:hAnsi="Calibri"/>
          <w:sz w:val="24"/>
        </w:rPr>
        <w:t xml:space="preserve"> released in August 2011 and</w:t>
      </w:r>
      <w:r w:rsidRPr="00044AA8">
        <w:rPr>
          <w:rFonts w:ascii="Calibri" w:hAnsi="Calibri"/>
          <w:sz w:val="24"/>
        </w:rPr>
        <w:t xml:space="preserve"> published jointly between the Victorian Departments of Education and Early Childhood Development and Human Services</w:t>
      </w:r>
      <w:r w:rsidR="00962CE1">
        <w:rPr>
          <w:rFonts w:ascii="Calibri" w:hAnsi="Calibri"/>
          <w:sz w:val="24"/>
        </w:rPr>
        <w:t xml:space="preserve"> (DHS)</w:t>
      </w:r>
      <w:r w:rsidRPr="00044AA8">
        <w:rPr>
          <w:rFonts w:ascii="Calibri" w:hAnsi="Calibri"/>
          <w:sz w:val="24"/>
        </w:rPr>
        <w:t xml:space="preserve">, </w:t>
      </w:r>
      <w:r w:rsidR="005537EA">
        <w:rPr>
          <w:rFonts w:ascii="Calibri" w:hAnsi="Calibri"/>
          <w:sz w:val="24"/>
        </w:rPr>
        <w:t xml:space="preserve">the </w:t>
      </w:r>
      <w:r w:rsidRPr="00044AA8">
        <w:rPr>
          <w:rFonts w:ascii="Calibri" w:hAnsi="Calibri"/>
          <w:sz w:val="24"/>
        </w:rPr>
        <w:t xml:space="preserve">Catholic Education Commission of Victoria and Independent Schools Victoria. The Partnering Agreement: </w:t>
      </w:r>
    </w:p>
    <w:p w:rsidR="00044AA8" w:rsidRPr="00044AA8" w:rsidRDefault="00044AA8" w:rsidP="00842023">
      <w:pPr>
        <w:pStyle w:val="ListBullet"/>
      </w:pPr>
      <w:r w:rsidRPr="00044AA8">
        <w:t xml:space="preserve">builds on the </w:t>
      </w:r>
      <w:proofErr w:type="spellStart"/>
      <w:r w:rsidRPr="00044AA8">
        <w:t>learnings</w:t>
      </w:r>
      <w:proofErr w:type="spellEnd"/>
      <w:r w:rsidRPr="00044AA8">
        <w:t xml:space="preserve"> from the 2003 Partnering Agreement between </w:t>
      </w:r>
      <w:r w:rsidR="001C4241">
        <w:t xml:space="preserve">DHS </w:t>
      </w:r>
      <w:r w:rsidRPr="00044AA8">
        <w:t>and Education and Early Childhood Development</w:t>
      </w:r>
    </w:p>
    <w:p w:rsidR="00044AA8" w:rsidRPr="00044AA8" w:rsidRDefault="00044AA8" w:rsidP="00842023">
      <w:pPr>
        <w:pStyle w:val="ListBullet"/>
      </w:pPr>
      <w:r w:rsidRPr="00044AA8">
        <w:t xml:space="preserve">is a cross-sectoral agreement which gives a strong message that the business of improving educational outcomes for children and young people in </w:t>
      </w:r>
      <w:r w:rsidR="00842023">
        <w:t xml:space="preserve">out-of-home care </w:t>
      </w:r>
      <w:r w:rsidRPr="00044AA8">
        <w:t>is a shared responsibility</w:t>
      </w:r>
    </w:p>
    <w:p w:rsidR="00044AA8" w:rsidRPr="00044AA8" w:rsidRDefault="00044AA8" w:rsidP="00842023">
      <w:pPr>
        <w:pStyle w:val="ListBullet"/>
      </w:pPr>
      <w:r w:rsidRPr="00044AA8">
        <w:t>gives us shared objectives, common language and consistent processes across the sectors</w:t>
      </w:r>
    </w:p>
    <w:p w:rsidR="00044AA8" w:rsidRPr="00044AA8" w:rsidRDefault="00044AA8" w:rsidP="00842023">
      <w:pPr>
        <w:pStyle w:val="ListBullet"/>
      </w:pPr>
      <w:r w:rsidRPr="00044AA8">
        <w:t>clearly spells out what is required by case managers from Child Protection and Community Service Organisations</w:t>
      </w:r>
      <w:r w:rsidR="00842023">
        <w:t>;</w:t>
      </w:r>
      <w:r w:rsidRPr="00044AA8">
        <w:t xml:space="preserve"> government; Catholic and independent schools; </w:t>
      </w:r>
      <w:r w:rsidR="00962CE1">
        <w:t xml:space="preserve">and </w:t>
      </w:r>
      <w:r w:rsidRPr="00044AA8">
        <w:t>regional and central office staff</w:t>
      </w:r>
    </w:p>
    <w:p w:rsidR="00044AA8" w:rsidRPr="00044AA8" w:rsidRDefault="00044AA8" w:rsidP="00842023">
      <w:pPr>
        <w:pStyle w:val="ListBullet"/>
      </w:pPr>
      <w:r w:rsidRPr="00044AA8">
        <w:t>outlines our shared responsibility to improve, track and monitor the educational engagement and achievement of this vulnerable group</w:t>
      </w:r>
    </w:p>
    <w:p w:rsidR="00044AA8" w:rsidRPr="00044AA8" w:rsidRDefault="00044AA8" w:rsidP="00842023">
      <w:pPr>
        <w:pStyle w:val="ListBullet"/>
      </w:pPr>
      <w:r w:rsidRPr="00044AA8">
        <w:t>reflects current legislation and policies of both departments as well as current views on the impact of trauma on children’s capacity to engage in education</w:t>
      </w:r>
    </w:p>
    <w:p w:rsidR="00044AA8" w:rsidRPr="00044AA8" w:rsidRDefault="00044AA8" w:rsidP="00842023">
      <w:pPr>
        <w:pStyle w:val="ListBullet"/>
      </w:pPr>
      <w:r w:rsidRPr="00044AA8">
        <w:t>outlines strategies to support the educational issues and social needs of children and young people in out-of-home care during the years they attend school</w:t>
      </w:r>
    </w:p>
    <w:p w:rsidR="00044AA8" w:rsidRPr="00044AA8" w:rsidRDefault="002D6255" w:rsidP="00842023">
      <w:pPr>
        <w:pStyle w:val="ListBullet"/>
      </w:pPr>
      <w:r>
        <w:t>includes</w:t>
      </w:r>
      <w:r w:rsidR="00044AA8" w:rsidRPr="00044AA8">
        <w:t xml:space="preserve"> a commitment to allocate a learning mentor for every child or young person in out-of-home care enrolled in a school</w:t>
      </w:r>
      <w:r w:rsidR="00842023">
        <w:t>;</w:t>
      </w:r>
      <w:r w:rsidR="00044AA8" w:rsidRPr="00044AA8">
        <w:t xml:space="preserve"> </w:t>
      </w:r>
      <w:r w:rsidR="00842023">
        <w:t>t</w:t>
      </w:r>
      <w:r w:rsidR="00842023" w:rsidRPr="00044AA8">
        <w:t xml:space="preserve">he </w:t>
      </w:r>
      <w:r w:rsidR="00044AA8" w:rsidRPr="00044AA8">
        <w:t>role of the learning mentor is to advocate for a</w:t>
      </w:r>
      <w:r w:rsidR="00D26B57">
        <w:t xml:space="preserve"> </w:t>
      </w:r>
      <w:r w:rsidR="00044AA8" w:rsidRPr="00044AA8">
        <w:t>child or young person in the context of their education setting and support their learning and wellbeing</w:t>
      </w:r>
    </w:p>
    <w:p w:rsidR="00044AA8" w:rsidRPr="00044AA8" w:rsidRDefault="00044AA8" w:rsidP="00842023">
      <w:pPr>
        <w:pStyle w:val="ListBullet"/>
      </w:pPr>
      <w:r w:rsidRPr="00044AA8">
        <w:t>provides guidance about key areas in which support for children and young people in out-of-home care is required, including school enrolment, transition planning, attendance and engagement, achievement, case planning and school retention</w:t>
      </w:r>
    </w:p>
    <w:p w:rsidR="00044AA8" w:rsidRPr="00044AA8" w:rsidRDefault="002D6255" w:rsidP="00842023">
      <w:pPr>
        <w:pStyle w:val="ListBullet"/>
      </w:pPr>
      <w:proofErr w:type="gramStart"/>
      <w:r>
        <w:t>has</w:t>
      </w:r>
      <w:proofErr w:type="gramEnd"/>
      <w:r w:rsidR="00044AA8" w:rsidRPr="00044AA8">
        <w:t xml:space="preserve"> a stronger focus on transitions from </w:t>
      </w:r>
      <w:r w:rsidR="00842023">
        <w:t>preschool</w:t>
      </w:r>
      <w:r w:rsidR="00044AA8" w:rsidRPr="00044AA8">
        <w:t xml:space="preserve"> to school and from primary to secondary school in recognition of this difficult period and the need for additional support and planning at this time</w:t>
      </w:r>
      <w:r w:rsidR="00842023">
        <w:t>.</w:t>
      </w:r>
    </w:p>
    <w:p w:rsidR="00044AA8" w:rsidRPr="00044AA8" w:rsidRDefault="00044AA8" w:rsidP="00044AA8">
      <w:pPr>
        <w:rPr>
          <w:rFonts w:ascii="Calibri" w:hAnsi="Calibri"/>
          <w:sz w:val="24"/>
        </w:rPr>
      </w:pPr>
    </w:p>
    <w:p w:rsidR="00044AA8" w:rsidRDefault="00044AA8" w:rsidP="00044AA8">
      <w:pPr>
        <w:rPr>
          <w:rFonts w:ascii="Calibri" w:hAnsi="Calibri"/>
          <w:sz w:val="24"/>
        </w:rPr>
      </w:pPr>
      <w:r w:rsidRPr="00044AA8">
        <w:rPr>
          <w:rFonts w:ascii="Calibri" w:hAnsi="Calibri"/>
          <w:sz w:val="24"/>
        </w:rPr>
        <w:t>As part of the development of the revised Partnering Agreement</w:t>
      </w:r>
      <w:r w:rsidR="002D6255">
        <w:rPr>
          <w:rFonts w:ascii="Calibri" w:hAnsi="Calibri"/>
          <w:sz w:val="24"/>
        </w:rPr>
        <w:t>,</w:t>
      </w:r>
      <w:r w:rsidRPr="00044AA8">
        <w:rPr>
          <w:rFonts w:ascii="Calibri" w:hAnsi="Calibri"/>
          <w:sz w:val="24"/>
        </w:rPr>
        <w:t xml:space="preserve"> the Education Support Guarantee was developed for children and young people in out-of-home</w:t>
      </w:r>
      <w:r w:rsidR="00C45680">
        <w:rPr>
          <w:rFonts w:ascii="Calibri" w:hAnsi="Calibri"/>
          <w:sz w:val="24"/>
        </w:rPr>
        <w:t xml:space="preserve"> </w:t>
      </w:r>
      <w:r w:rsidRPr="00044AA8">
        <w:rPr>
          <w:rFonts w:ascii="Calibri" w:hAnsi="Calibri"/>
          <w:sz w:val="24"/>
        </w:rPr>
        <w:t xml:space="preserve">care. The Partnering Agreement has a range of new commitments, including: </w:t>
      </w:r>
    </w:p>
    <w:p w:rsidR="00044AA8" w:rsidRPr="00044AA8" w:rsidRDefault="002D6255" w:rsidP="00842023">
      <w:pPr>
        <w:pStyle w:val="ListBullet"/>
      </w:pPr>
      <w:r>
        <w:t>t</w:t>
      </w:r>
      <w:r w:rsidR="00044AA8" w:rsidRPr="00044AA8">
        <w:t>he allocation of a teacher or staff member as a learning mentor to each child or young person in out-of</w:t>
      </w:r>
      <w:r>
        <w:t>-home care enrolled in a school</w:t>
      </w:r>
    </w:p>
    <w:p w:rsidR="00044AA8" w:rsidRPr="00044AA8" w:rsidRDefault="002D6255" w:rsidP="00842023">
      <w:pPr>
        <w:pStyle w:val="ListBullet"/>
      </w:pPr>
      <w:r>
        <w:t>t</w:t>
      </w:r>
      <w:r w:rsidR="00044AA8" w:rsidRPr="00044AA8">
        <w:t>he prioritisation of referrals for children and young people in out-of-home care to education-related health and wellbeing services</w:t>
      </w:r>
      <w:r w:rsidR="00F0493A">
        <w:t>,</w:t>
      </w:r>
      <w:r w:rsidR="00044AA8" w:rsidRPr="00044AA8">
        <w:t xml:space="preserve"> to ensure that these services are highly accessible and respon</w:t>
      </w:r>
      <w:r>
        <w:t>sive to the needs of this group</w:t>
      </w:r>
    </w:p>
    <w:p w:rsidR="00044AA8" w:rsidRPr="00044AA8" w:rsidRDefault="002D6255" w:rsidP="00842023">
      <w:pPr>
        <w:pStyle w:val="ListBullet"/>
      </w:pPr>
      <w:r>
        <w:t>t</w:t>
      </w:r>
      <w:r w:rsidR="00044AA8" w:rsidRPr="00044AA8">
        <w:t>he provision of educational needs assessment for every student who has resided in out-of-home care for a period of three months or longer</w:t>
      </w:r>
      <w:r w:rsidR="00C7031A">
        <w:t>,</w:t>
      </w:r>
      <w:r w:rsidR="00044AA8" w:rsidRPr="00044AA8">
        <w:t xml:space="preserve"> to identify </w:t>
      </w:r>
      <w:r w:rsidR="00307A98">
        <w:t>her or his</w:t>
      </w:r>
      <w:r w:rsidR="00044AA8" w:rsidRPr="00044AA8">
        <w:t xml:space="preserve"> individual learning needs and to inform </w:t>
      </w:r>
      <w:r>
        <w:t>the Individual Education Plan</w:t>
      </w:r>
    </w:p>
    <w:p w:rsidR="00044AA8" w:rsidRPr="00044AA8" w:rsidRDefault="002D6255" w:rsidP="00842023">
      <w:pPr>
        <w:pStyle w:val="ListBullet"/>
      </w:pPr>
      <w:proofErr w:type="gramStart"/>
      <w:r>
        <w:t>p</w:t>
      </w:r>
      <w:r w:rsidR="00044AA8" w:rsidRPr="00044AA8">
        <w:t>riority</w:t>
      </w:r>
      <w:proofErr w:type="gramEnd"/>
      <w:r w:rsidR="00044AA8" w:rsidRPr="00044AA8">
        <w:t xml:space="preserve"> status for post-round applications to the Program for Students with Disabilities for children and young people in out-of-home care enrolled at a government school.</w:t>
      </w:r>
    </w:p>
    <w:p w:rsidR="00044AA8" w:rsidRPr="00044AA8" w:rsidRDefault="00044AA8" w:rsidP="00044AA8">
      <w:pPr>
        <w:rPr>
          <w:rFonts w:ascii="Calibri" w:hAnsi="Calibri"/>
          <w:sz w:val="24"/>
        </w:rPr>
      </w:pPr>
    </w:p>
    <w:p w:rsidR="00044AA8" w:rsidRPr="00044AA8" w:rsidRDefault="00044AA8" w:rsidP="00044AA8">
      <w:pPr>
        <w:rPr>
          <w:rFonts w:ascii="Calibri" w:hAnsi="Calibri"/>
          <w:sz w:val="24"/>
        </w:rPr>
      </w:pPr>
      <w:r w:rsidRPr="00044AA8">
        <w:rPr>
          <w:rFonts w:ascii="Calibri" w:hAnsi="Calibri"/>
          <w:sz w:val="24"/>
        </w:rPr>
        <w:t xml:space="preserve">The education component of the </w:t>
      </w:r>
      <w:proofErr w:type="spellStart"/>
      <w:r w:rsidRPr="00044AA8">
        <w:rPr>
          <w:rFonts w:ascii="Calibri" w:hAnsi="Calibri"/>
          <w:sz w:val="24"/>
        </w:rPr>
        <w:t>statewide</w:t>
      </w:r>
      <w:proofErr w:type="spellEnd"/>
      <w:r w:rsidRPr="00044AA8">
        <w:rPr>
          <w:rFonts w:ascii="Calibri" w:hAnsi="Calibri"/>
          <w:sz w:val="24"/>
        </w:rPr>
        <w:t xml:space="preserve"> health and education assessments project is targeted specifically </w:t>
      </w:r>
      <w:r w:rsidR="00842023">
        <w:rPr>
          <w:rFonts w:ascii="Calibri" w:hAnsi="Calibri"/>
          <w:sz w:val="24"/>
        </w:rPr>
        <w:t>to</w:t>
      </w:r>
      <w:r w:rsidR="00842023" w:rsidRPr="00044AA8">
        <w:rPr>
          <w:rFonts w:ascii="Calibri" w:hAnsi="Calibri"/>
          <w:sz w:val="24"/>
        </w:rPr>
        <w:t xml:space="preserve"> </w:t>
      </w:r>
      <w:r w:rsidRPr="00044AA8">
        <w:rPr>
          <w:rFonts w:ascii="Calibri" w:hAnsi="Calibri"/>
          <w:sz w:val="24"/>
        </w:rPr>
        <w:t>young people in residential care as a highly vulnerable group within the overall out-of-home care population</w:t>
      </w:r>
      <w:r w:rsidR="001E4B51">
        <w:rPr>
          <w:rFonts w:ascii="Calibri" w:hAnsi="Calibri"/>
          <w:sz w:val="24"/>
        </w:rPr>
        <w:t>,</w:t>
      </w:r>
      <w:r w:rsidRPr="00044AA8">
        <w:rPr>
          <w:rFonts w:ascii="Calibri" w:hAnsi="Calibri"/>
          <w:sz w:val="24"/>
        </w:rPr>
        <w:t xml:space="preserve"> with more complex education (and health) related needs. The first assessments and associated </w:t>
      </w:r>
      <w:r w:rsidR="00C33903" w:rsidRPr="00044AA8">
        <w:rPr>
          <w:rFonts w:ascii="Calibri" w:hAnsi="Calibri"/>
          <w:sz w:val="24"/>
        </w:rPr>
        <w:t>follow</w:t>
      </w:r>
      <w:r w:rsidR="00C33903">
        <w:rPr>
          <w:rFonts w:ascii="Calibri" w:hAnsi="Calibri"/>
          <w:sz w:val="24"/>
        </w:rPr>
        <w:t>-</w:t>
      </w:r>
      <w:r w:rsidRPr="00044AA8">
        <w:rPr>
          <w:rFonts w:ascii="Calibri" w:hAnsi="Calibri"/>
          <w:sz w:val="24"/>
        </w:rPr>
        <w:t>up treatment undertaken through this initiative occurred in December 2012.</w:t>
      </w:r>
      <w:r w:rsidR="00D26B57">
        <w:rPr>
          <w:rFonts w:ascii="Calibri" w:hAnsi="Calibri"/>
          <w:sz w:val="24"/>
        </w:rPr>
        <w:t xml:space="preserve"> </w:t>
      </w:r>
      <w:r w:rsidRPr="00044AA8">
        <w:rPr>
          <w:rFonts w:ascii="Calibri" w:hAnsi="Calibri"/>
          <w:sz w:val="24"/>
        </w:rPr>
        <w:t xml:space="preserve">Extension of this approach to children in foster care and kinship care is subject to the evaluation of this initial </w:t>
      </w:r>
      <w:r w:rsidR="001E4B51">
        <w:rPr>
          <w:rFonts w:ascii="Calibri" w:hAnsi="Calibri"/>
          <w:sz w:val="24"/>
        </w:rPr>
        <w:t>roll</w:t>
      </w:r>
      <w:r w:rsidRPr="00044AA8">
        <w:rPr>
          <w:rFonts w:ascii="Calibri" w:hAnsi="Calibri"/>
          <w:sz w:val="24"/>
        </w:rPr>
        <w:t>out with young people in residential care.</w:t>
      </w:r>
      <w:r w:rsidR="00D26B57">
        <w:rPr>
          <w:rFonts w:ascii="Calibri" w:hAnsi="Calibri"/>
          <w:sz w:val="24"/>
        </w:rPr>
        <w:t xml:space="preserve"> </w:t>
      </w:r>
    </w:p>
    <w:p w:rsidR="00044AA8" w:rsidRPr="00044AA8" w:rsidRDefault="00044AA8" w:rsidP="00044AA8">
      <w:pPr>
        <w:rPr>
          <w:rFonts w:ascii="Calibri" w:hAnsi="Calibri"/>
          <w:sz w:val="24"/>
        </w:rPr>
      </w:pPr>
    </w:p>
    <w:p w:rsidR="00044AA8" w:rsidRPr="00044AA8" w:rsidRDefault="00044AA8" w:rsidP="00044AA8">
      <w:pPr>
        <w:rPr>
          <w:rFonts w:ascii="Calibri" w:hAnsi="Calibri"/>
          <w:sz w:val="24"/>
        </w:rPr>
      </w:pPr>
      <w:r w:rsidRPr="00044AA8">
        <w:rPr>
          <w:rFonts w:ascii="Calibri" w:hAnsi="Calibri"/>
          <w:sz w:val="24"/>
        </w:rPr>
        <w:t xml:space="preserve">Early Start Kindergarten enables eligible </w:t>
      </w:r>
      <w:r w:rsidR="00C33903">
        <w:rPr>
          <w:rFonts w:ascii="Calibri" w:hAnsi="Calibri"/>
          <w:sz w:val="24"/>
        </w:rPr>
        <w:t>3</w:t>
      </w:r>
      <w:r w:rsidRPr="00044AA8">
        <w:rPr>
          <w:rFonts w:ascii="Calibri" w:hAnsi="Calibri"/>
          <w:sz w:val="24"/>
        </w:rPr>
        <w:t>-year-old children t</w:t>
      </w:r>
      <w:r w:rsidR="00B63D50">
        <w:rPr>
          <w:rFonts w:ascii="Calibri" w:hAnsi="Calibri"/>
          <w:sz w:val="24"/>
        </w:rPr>
        <w:t>o access a kindergarten program</w:t>
      </w:r>
      <w:r w:rsidRPr="00044AA8">
        <w:rPr>
          <w:rFonts w:ascii="Calibri" w:hAnsi="Calibri"/>
          <w:sz w:val="24"/>
        </w:rPr>
        <w:t xml:space="preserve">, delivered by a qualified early childhood teacher, </w:t>
      </w:r>
      <w:r w:rsidR="00C33903" w:rsidRPr="00044AA8">
        <w:rPr>
          <w:rFonts w:ascii="Calibri" w:hAnsi="Calibri"/>
          <w:sz w:val="24"/>
        </w:rPr>
        <w:t xml:space="preserve">for up to 15 hours per week </w:t>
      </w:r>
      <w:r w:rsidRPr="00044AA8">
        <w:rPr>
          <w:rFonts w:ascii="Calibri" w:hAnsi="Calibri"/>
          <w:sz w:val="24"/>
        </w:rPr>
        <w:t xml:space="preserve">in the two years before school. Children are eligible if they are </w:t>
      </w:r>
      <w:r w:rsidR="00C33903">
        <w:rPr>
          <w:rFonts w:ascii="Calibri" w:hAnsi="Calibri"/>
          <w:sz w:val="24"/>
        </w:rPr>
        <w:t>3</w:t>
      </w:r>
      <w:r w:rsidR="00C33903" w:rsidRPr="00044AA8">
        <w:rPr>
          <w:rFonts w:ascii="Calibri" w:hAnsi="Calibri"/>
          <w:sz w:val="24"/>
        </w:rPr>
        <w:t xml:space="preserve"> </w:t>
      </w:r>
      <w:r w:rsidRPr="00044AA8">
        <w:rPr>
          <w:rFonts w:ascii="Calibri" w:hAnsi="Calibri"/>
          <w:sz w:val="24"/>
        </w:rPr>
        <w:t>years of age, Abori</w:t>
      </w:r>
      <w:r w:rsidR="00B63D50">
        <w:rPr>
          <w:rFonts w:ascii="Calibri" w:hAnsi="Calibri"/>
          <w:sz w:val="24"/>
        </w:rPr>
        <w:t>ginal or Torres Strait Islander</w:t>
      </w:r>
      <w:r w:rsidRPr="00044AA8">
        <w:rPr>
          <w:rFonts w:ascii="Calibri" w:hAnsi="Calibri"/>
          <w:sz w:val="24"/>
        </w:rPr>
        <w:t xml:space="preserve"> or have been known to child protection.</w:t>
      </w:r>
    </w:p>
    <w:p w:rsidR="00044AA8" w:rsidRPr="00044AA8" w:rsidRDefault="00044AA8" w:rsidP="00044AA8">
      <w:pPr>
        <w:rPr>
          <w:rFonts w:ascii="Calibri" w:hAnsi="Calibri"/>
          <w:sz w:val="24"/>
        </w:rPr>
      </w:pPr>
    </w:p>
    <w:p w:rsidR="00044AA8" w:rsidRDefault="00044AA8" w:rsidP="00044AA8">
      <w:pPr>
        <w:rPr>
          <w:rFonts w:ascii="Calibri" w:hAnsi="Calibri"/>
          <w:sz w:val="24"/>
        </w:rPr>
      </w:pPr>
      <w:proofErr w:type="gramStart"/>
      <w:r w:rsidRPr="00044AA8">
        <w:rPr>
          <w:rFonts w:ascii="Calibri" w:hAnsi="Calibri"/>
          <w:sz w:val="24"/>
        </w:rPr>
        <w:t>The 2012</w:t>
      </w:r>
      <w:r w:rsidR="00C33903">
        <w:rPr>
          <w:rFonts w:ascii="Calibri" w:hAnsi="Calibri"/>
          <w:sz w:val="24"/>
        </w:rPr>
        <w:t>–</w:t>
      </w:r>
      <w:r w:rsidRPr="00044AA8">
        <w:rPr>
          <w:rFonts w:ascii="Calibri" w:hAnsi="Calibri"/>
          <w:sz w:val="24"/>
        </w:rPr>
        <w:t>13 Victorian State Budget</w:t>
      </w:r>
      <w:proofErr w:type="gramEnd"/>
      <w:r w:rsidRPr="00044AA8">
        <w:rPr>
          <w:rFonts w:ascii="Calibri" w:hAnsi="Calibri"/>
          <w:sz w:val="24"/>
        </w:rPr>
        <w:t xml:space="preserve"> provided $8 million over </w:t>
      </w:r>
      <w:r w:rsidR="00C33903">
        <w:rPr>
          <w:rFonts w:ascii="Calibri" w:hAnsi="Calibri"/>
          <w:sz w:val="24"/>
        </w:rPr>
        <w:t>four</w:t>
      </w:r>
      <w:r w:rsidR="00C33903" w:rsidRPr="00044AA8">
        <w:rPr>
          <w:rFonts w:ascii="Calibri" w:hAnsi="Calibri"/>
          <w:sz w:val="24"/>
        </w:rPr>
        <w:t xml:space="preserve"> </w:t>
      </w:r>
      <w:r w:rsidRPr="00044AA8">
        <w:rPr>
          <w:rFonts w:ascii="Calibri" w:hAnsi="Calibri"/>
          <w:sz w:val="24"/>
        </w:rPr>
        <w:t>years to</w:t>
      </w:r>
      <w:r w:rsidR="00B62AF1" w:rsidRPr="00044AA8">
        <w:rPr>
          <w:rFonts w:ascii="Calibri" w:hAnsi="Calibri"/>
          <w:sz w:val="24"/>
        </w:rPr>
        <w:t xml:space="preserve"> continue the Access to Early Learning sites in the Grampians, Eastern, Western and Southern regions</w:t>
      </w:r>
      <w:r w:rsidR="00B62AF1">
        <w:rPr>
          <w:rFonts w:ascii="Calibri" w:hAnsi="Calibri"/>
          <w:sz w:val="24"/>
        </w:rPr>
        <w:t xml:space="preserve"> </w:t>
      </w:r>
      <w:r w:rsidRPr="00044AA8">
        <w:rPr>
          <w:rFonts w:ascii="Calibri" w:hAnsi="Calibri"/>
          <w:sz w:val="24"/>
        </w:rPr>
        <w:t>and to continue to fun</w:t>
      </w:r>
      <w:r w:rsidR="00B63D50">
        <w:rPr>
          <w:rFonts w:ascii="Calibri" w:hAnsi="Calibri"/>
          <w:sz w:val="24"/>
        </w:rPr>
        <w:t>d Early Start Kinder.</w:t>
      </w:r>
    </w:p>
    <w:p w:rsidR="00D92BEA" w:rsidRDefault="00D92BEA">
      <w:pPr>
        <w:rPr>
          <w:rFonts w:ascii="Calibri" w:hAnsi="Calibri"/>
          <w:b/>
          <w:bCs/>
          <w:i/>
          <w:sz w:val="24"/>
          <w:szCs w:val="28"/>
          <w:lang w:val="bg-BG"/>
        </w:rPr>
      </w:pPr>
      <w:r>
        <w:br w:type="page"/>
      </w:r>
    </w:p>
    <w:p w:rsidR="001365FC" w:rsidRPr="001365FC" w:rsidRDefault="001365FC" w:rsidP="00D92BEA">
      <w:pPr>
        <w:pStyle w:val="Heading4"/>
      </w:pPr>
      <w:r w:rsidRPr="001365FC">
        <w:t>Community and Business</w:t>
      </w:r>
    </w:p>
    <w:p w:rsidR="00044AA8" w:rsidRPr="00044AA8" w:rsidRDefault="001365FC" w:rsidP="00044AA8">
      <w:pPr>
        <w:rPr>
          <w:rFonts w:ascii="Calibri" w:hAnsi="Calibri"/>
          <w:sz w:val="24"/>
        </w:rPr>
      </w:pPr>
      <w:r w:rsidRPr="001365FC">
        <w:rPr>
          <w:rFonts w:ascii="Calibri" w:hAnsi="Calibri"/>
          <w:sz w:val="24"/>
        </w:rPr>
        <w:t xml:space="preserve">The Victorian </w:t>
      </w:r>
      <w:r w:rsidR="001C4241">
        <w:rPr>
          <w:rFonts w:ascii="Calibri" w:hAnsi="Calibri"/>
          <w:sz w:val="24"/>
        </w:rPr>
        <w:t>DHS</w:t>
      </w:r>
      <w:r w:rsidRPr="001365FC">
        <w:rPr>
          <w:rFonts w:ascii="Calibri" w:hAnsi="Calibri"/>
          <w:sz w:val="24"/>
        </w:rPr>
        <w:t xml:space="preserve"> Aboriginal Strategic Framework establishes a shared leadership approach between the department and the Aboriginal community in Victoria. Six </w:t>
      </w:r>
      <w:proofErr w:type="spellStart"/>
      <w:r w:rsidR="00C33903">
        <w:rPr>
          <w:rFonts w:ascii="Calibri" w:hAnsi="Calibri"/>
          <w:sz w:val="24"/>
        </w:rPr>
        <w:t>statewide</w:t>
      </w:r>
      <w:proofErr w:type="spellEnd"/>
      <w:r w:rsidRPr="001365FC">
        <w:rPr>
          <w:rFonts w:ascii="Calibri" w:hAnsi="Calibri"/>
          <w:sz w:val="24"/>
        </w:rPr>
        <w:t xml:space="preserve"> Aboriginal</w:t>
      </w:r>
      <w:r w:rsidR="00B63D50">
        <w:rPr>
          <w:rFonts w:ascii="Calibri" w:hAnsi="Calibri"/>
          <w:sz w:val="24"/>
        </w:rPr>
        <w:t xml:space="preserve"> organisations are signatories to</w:t>
      </w:r>
      <w:r w:rsidRPr="001365FC">
        <w:rPr>
          <w:rFonts w:ascii="Calibri" w:hAnsi="Calibri"/>
          <w:sz w:val="24"/>
        </w:rPr>
        <w:t xml:space="preserve"> the framework and</w:t>
      </w:r>
      <w:r w:rsidR="00C33903">
        <w:rPr>
          <w:rFonts w:ascii="Calibri" w:hAnsi="Calibri"/>
          <w:sz w:val="24"/>
        </w:rPr>
        <w:t>,</w:t>
      </w:r>
      <w:r w:rsidRPr="001365FC">
        <w:rPr>
          <w:rFonts w:ascii="Calibri" w:hAnsi="Calibri"/>
          <w:sz w:val="24"/>
        </w:rPr>
        <w:t xml:space="preserve"> along with representatives of the department’s four Aboriginal advisory groups</w:t>
      </w:r>
      <w:r w:rsidR="00B63D50">
        <w:rPr>
          <w:rFonts w:ascii="Calibri" w:hAnsi="Calibri"/>
          <w:sz w:val="24"/>
        </w:rPr>
        <w:t>,</w:t>
      </w:r>
      <w:r w:rsidRPr="001365FC">
        <w:rPr>
          <w:rFonts w:ascii="Calibri" w:hAnsi="Calibri"/>
          <w:sz w:val="24"/>
        </w:rPr>
        <w:t xml:space="preserve"> meet four times a year with the department’s Board to monitor progress towards improved outcomes and identify and respond to emerging issues.</w:t>
      </w:r>
    </w:p>
    <w:p w:rsidR="00044AA8" w:rsidRPr="00044AA8" w:rsidRDefault="00044AA8" w:rsidP="00044AA8">
      <w:pPr>
        <w:rPr>
          <w:rFonts w:ascii="Calibri" w:hAnsi="Calibri"/>
          <w:sz w:val="24"/>
        </w:rPr>
      </w:pPr>
    </w:p>
    <w:p w:rsidR="00044AA8" w:rsidRDefault="00044AA8" w:rsidP="00044AA8">
      <w:pPr>
        <w:rPr>
          <w:rFonts w:ascii="Calibri" w:hAnsi="Calibri"/>
          <w:sz w:val="24"/>
        </w:rPr>
      </w:pPr>
      <w:r w:rsidRPr="00044AA8">
        <w:rPr>
          <w:rFonts w:ascii="Calibri" w:hAnsi="Calibri"/>
          <w:sz w:val="24"/>
        </w:rPr>
        <w:t>This strategy recognises the reality that many vulnerable children do not benefit from universal and commun</w:t>
      </w:r>
      <w:r w:rsidR="00B63D50">
        <w:rPr>
          <w:rFonts w:ascii="Calibri" w:hAnsi="Calibri"/>
          <w:sz w:val="24"/>
        </w:rPr>
        <w:t>ity resources as much as others</w:t>
      </w:r>
      <w:r w:rsidRPr="00044AA8">
        <w:rPr>
          <w:rFonts w:ascii="Calibri" w:hAnsi="Calibri"/>
          <w:sz w:val="24"/>
        </w:rPr>
        <w:t xml:space="preserve"> and emphas</w:t>
      </w:r>
      <w:r w:rsidR="00B63D50">
        <w:rPr>
          <w:rFonts w:ascii="Calibri" w:hAnsi="Calibri"/>
          <w:sz w:val="24"/>
        </w:rPr>
        <w:t>is</w:t>
      </w:r>
      <w:r w:rsidRPr="00044AA8">
        <w:rPr>
          <w:rFonts w:ascii="Calibri" w:hAnsi="Calibri"/>
          <w:sz w:val="24"/>
        </w:rPr>
        <w:t>es the need to change the way we engage with these children and families.</w:t>
      </w:r>
      <w:r w:rsidR="00D26B57">
        <w:rPr>
          <w:rFonts w:ascii="Calibri" w:hAnsi="Calibri"/>
          <w:sz w:val="24"/>
        </w:rPr>
        <w:t xml:space="preserve"> </w:t>
      </w:r>
      <w:r w:rsidRPr="00044AA8">
        <w:rPr>
          <w:rFonts w:ascii="Calibri" w:hAnsi="Calibri"/>
          <w:sz w:val="24"/>
        </w:rPr>
        <w:t>Schools, health services, early childhood services and other services need to foster safe, inclusive environments to enable the identification of family or child vulnerabilities and the provision of positive interventions.</w:t>
      </w:r>
    </w:p>
    <w:p w:rsidR="00044AA8" w:rsidRDefault="00044AA8" w:rsidP="00044AA8">
      <w:pPr>
        <w:rPr>
          <w:rFonts w:ascii="Calibri" w:hAnsi="Calibri"/>
          <w:sz w:val="24"/>
        </w:rPr>
      </w:pPr>
    </w:p>
    <w:p w:rsidR="00044AA8" w:rsidRDefault="00825DDC" w:rsidP="00044AA8">
      <w:pPr>
        <w:rPr>
          <w:rFonts w:ascii="Calibri" w:hAnsi="Calibri"/>
          <w:sz w:val="24"/>
        </w:rPr>
      </w:pPr>
      <w:r w:rsidRPr="00825DDC">
        <w:rPr>
          <w:rFonts w:ascii="Calibri" w:hAnsi="Calibri"/>
          <w:sz w:val="24"/>
        </w:rPr>
        <w:t xml:space="preserve">As part of Child Protection week, Victoria holds two </w:t>
      </w:r>
      <w:proofErr w:type="spellStart"/>
      <w:r w:rsidRPr="00825DDC">
        <w:rPr>
          <w:rFonts w:ascii="Calibri" w:hAnsi="Calibri"/>
          <w:sz w:val="24"/>
        </w:rPr>
        <w:t>statewide</w:t>
      </w:r>
      <w:proofErr w:type="spellEnd"/>
      <w:r w:rsidRPr="00825DDC">
        <w:rPr>
          <w:rFonts w:ascii="Calibri" w:hAnsi="Calibri"/>
          <w:sz w:val="24"/>
        </w:rPr>
        <w:t xml:space="preserve"> award ceremonies</w:t>
      </w:r>
      <w:r w:rsidR="00674754" w:rsidRPr="00674754">
        <w:t xml:space="preserve"> </w:t>
      </w:r>
      <w:r w:rsidR="00674754" w:rsidRPr="00674754">
        <w:rPr>
          <w:rFonts w:ascii="Calibri" w:hAnsi="Calibri"/>
          <w:sz w:val="24"/>
        </w:rPr>
        <w:t xml:space="preserve">to encourage greater engagement </w:t>
      </w:r>
      <w:r w:rsidR="00564FB4">
        <w:rPr>
          <w:rFonts w:ascii="Calibri" w:hAnsi="Calibri"/>
          <w:sz w:val="24"/>
        </w:rPr>
        <w:t xml:space="preserve">in, </w:t>
      </w:r>
      <w:r w:rsidR="00674754" w:rsidRPr="00674754">
        <w:rPr>
          <w:rFonts w:ascii="Calibri" w:hAnsi="Calibri"/>
          <w:sz w:val="24"/>
        </w:rPr>
        <w:t xml:space="preserve">and awareness </w:t>
      </w:r>
      <w:r w:rsidR="00564FB4">
        <w:rPr>
          <w:rFonts w:ascii="Calibri" w:hAnsi="Calibri"/>
          <w:sz w:val="24"/>
        </w:rPr>
        <w:t>of,</w:t>
      </w:r>
      <w:r w:rsidR="00674754" w:rsidRPr="00674754">
        <w:rPr>
          <w:rFonts w:ascii="Calibri" w:hAnsi="Calibri"/>
          <w:sz w:val="24"/>
        </w:rPr>
        <w:t xml:space="preserve"> the protection and wellbeing of children</w:t>
      </w:r>
      <w:r w:rsidRPr="00825DDC">
        <w:rPr>
          <w:rFonts w:ascii="Calibri" w:hAnsi="Calibri"/>
          <w:sz w:val="24"/>
        </w:rPr>
        <w:t>.</w:t>
      </w:r>
      <w:r w:rsidR="00A43557">
        <w:rPr>
          <w:rFonts w:ascii="Calibri" w:hAnsi="Calibri"/>
          <w:sz w:val="24"/>
        </w:rPr>
        <w:t xml:space="preserve"> </w:t>
      </w:r>
      <w:r w:rsidRPr="00825DDC">
        <w:rPr>
          <w:rFonts w:ascii="Calibri" w:hAnsi="Calibri"/>
          <w:sz w:val="24"/>
        </w:rPr>
        <w:t>These are the Protecting Children Awards</w:t>
      </w:r>
      <w:r w:rsidR="00C61C8B">
        <w:rPr>
          <w:rFonts w:ascii="Calibri" w:hAnsi="Calibri"/>
          <w:sz w:val="24"/>
        </w:rPr>
        <w:t>,</w:t>
      </w:r>
      <w:r w:rsidRPr="00825DDC">
        <w:rPr>
          <w:rFonts w:ascii="Calibri" w:hAnsi="Calibri"/>
          <w:sz w:val="24"/>
        </w:rPr>
        <w:t xml:space="preserve"> to recognise outstanding practice by child protection practitioners</w:t>
      </w:r>
      <w:r w:rsidR="00C61C8B">
        <w:rPr>
          <w:rFonts w:ascii="Calibri" w:hAnsi="Calibri"/>
          <w:sz w:val="24"/>
        </w:rPr>
        <w:t>,</w:t>
      </w:r>
      <w:r w:rsidRPr="00825DDC">
        <w:rPr>
          <w:rFonts w:ascii="Calibri" w:hAnsi="Calibri"/>
          <w:sz w:val="24"/>
        </w:rPr>
        <w:t xml:space="preserve"> and the Robin Clark Memorial Award</w:t>
      </w:r>
      <w:r w:rsidR="00C61C8B">
        <w:rPr>
          <w:rFonts w:ascii="Calibri" w:hAnsi="Calibri"/>
          <w:sz w:val="24"/>
        </w:rPr>
        <w:t>,</w:t>
      </w:r>
      <w:r w:rsidRPr="00825DDC">
        <w:rPr>
          <w:rFonts w:ascii="Calibri" w:hAnsi="Calibri"/>
          <w:sz w:val="24"/>
        </w:rPr>
        <w:t xml:space="preserve"> to acknowledge exceptional service provision and leadership that significantly improves the lives of vulnerable children, young people and families in Victoria.</w:t>
      </w:r>
    </w:p>
    <w:p w:rsidR="00AC7977" w:rsidRPr="00821556" w:rsidRDefault="004F1BA8" w:rsidP="003F7871">
      <w:pPr>
        <w:pStyle w:val="Heading3"/>
      </w:pPr>
      <w:bookmarkStart w:id="98" w:name="_Toc400007708"/>
      <w:r w:rsidRPr="00821556">
        <w:t>Western Australia</w:t>
      </w:r>
      <w:bookmarkEnd w:id="98"/>
    </w:p>
    <w:p w:rsidR="004B02E7" w:rsidRDefault="004B02E7" w:rsidP="00D92BEA">
      <w:pPr>
        <w:pStyle w:val="Heading4"/>
      </w:pPr>
      <w:r w:rsidRPr="005E0CCC">
        <w:t>Early Childhood</w:t>
      </w:r>
    </w:p>
    <w:p w:rsidR="004B02E7" w:rsidRDefault="004B02E7" w:rsidP="004B02E7">
      <w:pPr>
        <w:rPr>
          <w:rFonts w:ascii="Calibri" w:hAnsi="Calibri"/>
          <w:sz w:val="24"/>
        </w:rPr>
      </w:pPr>
      <w:r w:rsidRPr="005E0CCC">
        <w:rPr>
          <w:rFonts w:ascii="Calibri" w:hAnsi="Calibri"/>
          <w:sz w:val="24"/>
        </w:rPr>
        <w:t>The Department of Education collected AEDI data in approximately 99</w:t>
      </w:r>
      <w:r w:rsidR="00B4597F">
        <w:rPr>
          <w:rFonts w:ascii="Calibri" w:hAnsi="Calibri"/>
          <w:sz w:val="24"/>
        </w:rPr>
        <w:t xml:space="preserve"> per cent</w:t>
      </w:r>
      <w:r w:rsidRPr="005E0CCC">
        <w:rPr>
          <w:rFonts w:ascii="Calibri" w:hAnsi="Calibri"/>
          <w:sz w:val="24"/>
        </w:rPr>
        <w:t xml:space="preserve"> of Western Australian pre-primary children</w:t>
      </w:r>
      <w:r w:rsidR="00DB5F0F">
        <w:rPr>
          <w:rFonts w:ascii="Calibri" w:hAnsi="Calibri"/>
          <w:sz w:val="24"/>
        </w:rPr>
        <w:t>, and this</w:t>
      </w:r>
      <w:r w:rsidRPr="005E0CCC">
        <w:rPr>
          <w:rFonts w:ascii="Calibri" w:hAnsi="Calibri"/>
          <w:sz w:val="24"/>
        </w:rPr>
        <w:t xml:space="preserve"> is available at </w:t>
      </w:r>
      <w:r w:rsidR="002622C1">
        <w:rPr>
          <w:rFonts w:ascii="Calibri" w:hAnsi="Calibri"/>
          <w:sz w:val="24"/>
        </w:rPr>
        <w:t xml:space="preserve">the </w:t>
      </w:r>
      <w:hyperlink r:id="rId26" w:history="1">
        <w:r w:rsidR="002622C1">
          <w:rPr>
            <w:rStyle w:val="Hyperlink"/>
            <w:rFonts w:ascii="Calibri" w:hAnsi="Calibri"/>
            <w:sz w:val="24"/>
          </w:rPr>
          <w:t>Australian Early Development Census</w:t>
        </w:r>
      </w:hyperlink>
      <w:r w:rsidR="002622C1">
        <w:rPr>
          <w:rFonts w:ascii="Calibri" w:hAnsi="Calibri"/>
          <w:sz w:val="24"/>
        </w:rPr>
        <w:t xml:space="preserve"> </w:t>
      </w:r>
      <w:proofErr w:type="spellStart"/>
      <w:r w:rsidR="002622C1">
        <w:rPr>
          <w:rFonts w:ascii="Calibri" w:hAnsi="Calibri"/>
          <w:sz w:val="24"/>
        </w:rPr>
        <w:t>webiste</w:t>
      </w:r>
      <w:proofErr w:type="spellEnd"/>
      <w:r w:rsidRPr="005E0CCC">
        <w:rPr>
          <w:rFonts w:ascii="Calibri" w:hAnsi="Calibri"/>
          <w:sz w:val="24"/>
        </w:rPr>
        <w:t>. A Local Champions program will begin shortly</w:t>
      </w:r>
      <w:r w:rsidR="00B63D50">
        <w:rPr>
          <w:rFonts w:ascii="Calibri" w:hAnsi="Calibri"/>
          <w:sz w:val="24"/>
        </w:rPr>
        <w:t>,</w:t>
      </w:r>
      <w:r w:rsidRPr="005E0CCC">
        <w:rPr>
          <w:rFonts w:ascii="Calibri" w:hAnsi="Calibri"/>
          <w:sz w:val="24"/>
        </w:rPr>
        <w:t xml:space="preserve"> with grants provided to selected organisations throughout the </w:t>
      </w:r>
      <w:r w:rsidR="00C33903">
        <w:rPr>
          <w:rFonts w:ascii="Calibri" w:hAnsi="Calibri"/>
          <w:sz w:val="24"/>
        </w:rPr>
        <w:t>s</w:t>
      </w:r>
      <w:r w:rsidRPr="005E0CCC">
        <w:rPr>
          <w:rFonts w:ascii="Calibri" w:hAnsi="Calibri"/>
          <w:sz w:val="24"/>
        </w:rPr>
        <w:t>tate to work directly with a targeted region to promote activities to improve outcomes for children.</w:t>
      </w:r>
    </w:p>
    <w:p w:rsidR="004B02E7" w:rsidRDefault="004B02E7" w:rsidP="004B02E7">
      <w:pPr>
        <w:rPr>
          <w:rFonts w:ascii="Calibri" w:hAnsi="Calibri"/>
          <w:sz w:val="24"/>
        </w:rPr>
      </w:pPr>
    </w:p>
    <w:p w:rsidR="004B02E7" w:rsidRDefault="004B02E7" w:rsidP="004B02E7">
      <w:pPr>
        <w:rPr>
          <w:rFonts w:ascii="Calibri" w:hAnsi="Calibri"/>
          <w:sz w:val="24"/>
        </w:rPr>
      </w:pPr>
      <w:r w:rsidRPr="005E0CCC">
        <w:rPr>
          <w:rFonts w:ascii="Calibri" w:hAnsi="Calibri"/>
          <w:sz w:val="24"/>
        </w:rPr>
        <w:t xml:space="preserve">Five </w:t>
      </w:r>
      <w:r w:rsidR="00533153">
        <w:rPr>
          <w:rFonts w:ascii="Calibri" w:hAnsi="Calibri"/>
          <w:sz w:val="24"/>
        </w:rPr>
        <w:t>CFC</w:t>
      </w:r>
      <w:r w:rsidR="00AF2C22">
        <w:rPr>
          <w:rFonts w:ascii="Calibri" w:hAnsi="Calibri"/>
          <w:sz w:val="24"/>
        </w:rPr>
        <w:t xml:space="preserve">s </w:t>
      </w:r>
      <w:r w:rsidRPr="005E0CCC">
        <w:rPr>
          <w:rFonts w:ascii="Calibri" w:hAnsi="Calibri"/>
          <w:sz w:val="24"/>
        </w:rPr>
        <w:t>are being established in primary school sites at Halls Creek, Fitzroy Crossing, Kununurra</w:t>
      </w:r>
      <w:r w:rsidR="00C61C8B">
        <w:rPr>
          <w:rFonts w:ascii="Calibri" w:hAnsi="Calibri"/>
          <w:sz w:val="24"/>
        </w:rPr>
        <w:t xml:space="preserve"> and</w:t>
      </w:r>
      <w:r w:rsidRPr="005E0CCC">
        <w:rPr>
          <w:rFonts w:ascii="Calibri" w:hAnsi="Calibri"/>
          <w:sz w:val="24"/>
        </w:rPr>
        <w:t xml:space="preserve"> Roebourne and in the Middle Swan/North Metropolitan Education Region.</w:t>
      </w:r>
      <w:r w:rsidR="00D26B57">
        <w:rPr>
          <w:rFonts w:ascii="Calibri" w:hAnsi="Calibri"/>
          <w:sz w:val="24"/>
        </w:rPr>
        <w:t xml:space="preserve"> </w:t>
      </w:r>
      <w:r w:rsidRPr="005E0CCC">
        <w:rPr>
          <w:rFonts w:ascii="Calibri" w:hAnsi="Calibri"/>
          <w:sz w:val="24"/>
        </w:rPr>
        <w:t>The facilities will predomina</w:t>
      </w:r>
      <w:r w:rsidR="00C61C8B">
        <w:rPr>
          <w:rFonts w:ascii="Calibri" w:hAnsi="Calibri"/>
          <w:sz w:val="24"/>
        </w:rPr>
        <w:t>n</w:t>
      </w:r>
      <w:r w:rsidRPr="005E0CCC">
        <w:rPr>
          <w:rFonts w:ascii="Calibri" w:hAnsi="Calibri"/>
          <w:sz w:val="24"/>
        </w:rPr>
        <w:t xml:space="preserve">tly focus on Aboriginal families with children </w:t>
      </w:r>
      <w:r w:rsidR="00C33903">
        <w:rPr>
          <w:rFonts w:ascii="Calibri" w:hAnsi="Calibri"/>
          <w:sz w:val="24"/>
        </w:rPr>
        <w:t xml:space="preserve">from </w:t>
      </w:r>
      <w:r w:rsidRPr="005E0CCC">
        <w:rPr>
          <w:rFonts w:ascii="Calibri" w:hAnsi="Calibri"/>
          <w:sz w:val="24"/>
        </w:rPr>
        <w:t xml:space="preserve">birth to </w:t>
      </w:r>
      <w:r w:rsidR="002A5092">
        <w:rPr>
          <w:rFonts w:ascii="Calibri" w:hAnsi="Calibri"/>
          <w:sz w:val="24"/>
        </w:rPr>
        <w:t>8</w:t>
      </w:r>
      <w:r w:rsidR="002A5092" w:rsidRPr="005E0CCC">
        <w:rPr>
          <w:rFonts w:ascii="Calibri" w:hAnsi="Calibri"/>
          <w:sz w:val="24"/>
        </w:rPr>
        <w:t xml:space="preserve"> </w:t>
      </w:r>
      <w:r w:rsidRPr="005E0CCC">
        <w:rPr>
          <w:rFonts w:ascii="Calibri" w:hAnsi="Calibri"/>
          <w:sz w:val="24"/>
        </w:rPr>
        <w:t>years of age and will offer licensed child care facilities, heal</w:t>
      </w:r>
      <w:r w:rsidRPr="005304AC">
        <w:rPr>
          <w:rFonts w:ascii="Calibri" w:hAnsi="Calibri"/>
          <w:sz w:val="24"/>
        </w:rPr>
        <w:t>th, early learning and family support services.</w:t>
      </w:r>
      <w:r w:rsidR="00D26B57" w:rsidRPr="005304AC">
        <w:rPr>
          <w:rFonts w:ascii="Calibri" w:hAnsi="Calibri"/>
          <w:sz w:val="24"/>
        </w:rPr>
        <w:t xml:space="preserve"> </w:t>
      </w:r>
      <w:r w:rsidR="00CD6343" w:rsidRPr="005304AC">
        <w:rPr>
          <w:rFonts w:ascii="Calibri" w:hAnsi="Calibri"/>
          <w:sz w:val="24"/>
        </w:rPr>
        <w:t xml:space="preserve">The </w:t>
      </w:r>
      <w:r w:rsidRPr="005304AC">
        <w:rPr>
          <w:rFonts w:ascii="Calibri" w:hAnsi="Calibri"/>
          <w:sz w:val="24"/>
        </w:rPr>
        <w:t xml:space="preserve">Halls Creek, Fitzroy and Kununurra </w:t>
      </w:r>
      <w:r w:rsidR="00CD6343" w:rsidRPr="005304AC">
        <w:rPr>
          <w:rFonts w:ascii="Calibri" w:hAnsi="Calibri"/>
          <w:sz w:val="24"/>
        </w:rPr>
        <w:t xml:space="preserve">centres </w:t>
      </w:r>
      <w:r w:rsidRPr="005304AC">
        <w:rPr>
          <w:rFonts w:ascii="Calibri" w:hAnsi="Calibri"/>
          <w:sz w:val="24"/>
        </w:rPr>
        <w:t>are operational</w:t>
      </w:r>
      <w:r w:rsidR="005304AC">
        <w:rPr>
          <w:rFonts w:ascii="Calibri" w:hAnsi="Calibri"/>
          <w:sz w:val="24"/>
        </w:rPr>
        <w:t>,</w:t>
      </w:r>
      <w:r w:rsidR="00CD6343" w:rsidRPr="005304AC">
        <w:rPr>
          <w:rFonts w:ascii="Calibri" w:hAnsi="Calibri"/>
          <w:sz w:val="24"/>
        </w:rPr>
        <w:t xml:space="preserve"> and t</w:t>
      </w:r>
      <w:r w:rsidRPr="005304AC">
        <w:rPr>
          <w:rFonts w:ascii="Calibri" w:hAnsi="Calibri"/>
          <w:sz w:val="24"/>
        </w:rPr>
        <w:t>he remaining two are under construction</w:t>
      </w:r>
      <w:r w:rsidRPr="005E0CCC">
        <w:rPr>
          <w:rFonts w:ascii="Calibri" w:hAnsi="Calibri"/>
          <w:sz w:val="24"/>
        </w:rPr>
        <w:t>.</w:t>
      </w:r>
      <w:r w:rsidR="00D26B57">
        <w:rPr>
          <w:rFonts w:ascii="Calibri" w:hAnsi="Calibri"/>
          <w:sz w:val="24"/>
        </w:rPr>
        <w:t xml:space="preserve"> </w:t>
      </w:r>
    </w:p>
    <w:p w:rsidR="004B02E7" w:rsidRDefault="004B02E7" w:rsidP="004B02E7">
      <w:pPr>
        <w:rPr>
          <w:rFonts w:ascii="Calibri" w:hAnsi="Calibri"/>
          <w:sz w:val="24"/>
        </w:rPr>
      </w:pPr>
    </w:p>
    <w:p w:rsidR="004B02E7" w:rsidRDefault="004B02E7" w:rsidP="004B02E7">
      <w:pPr>
        <w:rPr>
          <w:rFonts w:ascii="Calibri" w:hAnsi="Calibri"/>
          <w:sz w:val="24"/>
        </w:rPr>
      </w:pPr>
      <w:r w:rsidRPr="005E0CCC">
        <w:rPr>
          <w:rFonts w:ascii="Calibri" w:hAnsi="Calibri"/>
          <w:sz w:val="24"/>
        </w:rPr>
        <w:t xml:space="preserve">As part of a priority </w:t>
      </w:r>
      <w:r w:rsidR="00C45680" w:rsidRPr="005E0CCC">
        <w:rPr>
          <w:rFonts w:ascii="Calibri" w:hAnsi="Calibri"/>
          <w:sz w:val="24"/>
        </w:rPr>
        <w:t>state government</w:t>
      </w:r>
      <w:r w:rsidRPr="005E0CCC">
        <w:rPr>
          <w:rFonts w:ascii="Calibri" w:hAnsi="Calibri"/>
          <w:sz w:val="24"/>
        </w:rPr>
        <w:t xml:space="preserve"> initiative, </w:t>
      </w:r>
      <w:r w:rsidR="00B63D50">
        <w:rPr>
          <w:rFonts w:ascii="Calibri" w:hAnsi="Calibri"/>
          <w:sz w:val="24"/>
        </w:rPr>
        <w:t>16</w:t>
      </w:r>
      <w:r w:rsidRPr="005E0CCC">
        <w:rPr>
          <w:rFonts w:ascii="Calibri" w:hAnsi="Calibri"/>
          <w:sz w:val="24"/>
        </w:rPr>
        <w:t xml:space="preserve"> Child and Parent Centres are being established on public school sites.</w:t>
      </w:r>
      <w:r w:rsidR="00D26B57">
        <w:rPr>
          <w:rFonts w:ascii="Calibri" w:hAnsi="Calibri"/>
          <w:sz w:val="24"/>
        </w:rPr>
        <w:t xml:space="preserve"> </w:t>
      </w:r>
      <w:r w:rsidRPr="005E0CCC">
        <w:rPr>
          <w:rFonts w:ascii="Calibri" w:hAnsi="Calibri"/>
          <w:sz w:val="24"/>
        </w:rPr>
        <w:t xml:space="preserve">This is an across-government and </w:t>
      </w:r>
      <w:r w:rsidR="00C8305C">
        <w:rPr>
          <w:rFonts w:ascii="Calibri" w:hAnsi="Calibri"/>
          <w:sz w:val="24"/>
        </w:rPr>
        <w:t>community sector</w:t>
      </w:r>
      <w:r w:rsidRPr="005E0CCC">
        <w:rPr>
          <w:rFonts w:ascii="Calibri" w:hAnsi="Calibri"/>
          <w:sz w:val="24"/>
        </w:rPr>
        <w:t xml:space="preserve"> strategy to support hard-to-reach families</w:t>
      </w:r>
      <w:r w:rsidR="00B63D50">
        <w:rPr>
          <w:rFonts w:ascii="Calibri" w:hAnsi="Calibri"/>
          <w:sz w:val="24"/>
        </w:rPr>
        <w:t>,</w:t>
      </w:r>
      <w:r w:rsidRPr="005E0CCC">
        <w:rPr>
          <w:rFonts w:ascii="Calibri" w:hAnsi="Calibri"/>
          <w:sz w:val="24"/>
        </w:rPr>
        <w:t xml:space="preserve"> with children </w:t>
      </w:r>
      <w:r w:rsidR="002A5092">
        <w:rPr>
          <w:rFonts w:ascii="Calibri" w:hAnsi="Calibri"/>
          <w:sz w:val="24"/>
        </w:rPr>
        <w:t xml:space="preserve">from </w:t>
      </w:r>
      <w:r w:rsidRPr="005E0CCC">
        <w:rPr>
          <w:rFonts w:ascii="Calibri" w:hAnsi="Calibri"/>
          <w:sz w:val="24"/>
        </w:rPr>
        <w:t xml:space="preserve">birth to </w:t>
      </w:r>
      <w:r w:rsidR="002A5092">
        <w:rPr>
          <w:rFonts w:ascii="Calibri" w:hAnsi="Calibri"/>
          <w:sz w:val="24"/>
        </w:rPr>
        <w:t>8</w:t>
      </w:r>
      <w:r w:rsidR="002A5092" w:rsidRPr="005E0CCC">
        <w:rPr>
          <w:rFonts w:ascii="Calibri" w:hAnsi="Calibri"/>
          <w:sz w:val="24"/>
        </w:rPr>
        <w:t xml:space="preserve"> </w:t>
      </w:r>
      <w:r w:rsidRPr="005E0CCC">
        <w:rPr>
          <w:rFonts w:ascii="Calibri" w:hAnsi="Calibri"/>
          <w:sz w:val="24"/>
        </w:rPr>
        <w:t>years of age</w:t>
      </w:r>
      <w:r w:rsidR="00B63D50">
        <w:rPr>
          <w:rFonts w:ascii="Calibri" w:hAnsi="Calibri"/>
          <w:sz w:val="24"/>
        </w:rPr>
        <w:t>,</w:t>
      </w:r>
      <w:r w:rsidRPr="005E0CCC">
        <w:rPr>
          <w:rFonts w:ascii="Calibri" w:hAnsi="Calibri"/>
          <w:sz w:val="24"/>
        </w:rPr>
        <w:t xml:space="preserve"> </w:t>
      </w:r>
      <w:r w:rsidR="002A5092">
        <w:rPr>
          <w:rFonts w:ascii="Calibri" w:hAnsi="Calibri"/>
          <w:sz w:val="24"/>
        </w:rPr>
        <w:t xml:space="preserve">to </w:t>
      </w:r>
      <w:r w:rsidRPr="005E0CCC">
        <w:rPr>
          <w:rFonts w:ascii="Calibri" w:hAnsi="Calibri"/>
          <w:sz w:val="24"/>
        </w:rPr>
        <w:t>engage in early childhood activities and access health, early learning and family support</w:t>
      </w:r>
      <w:r w:rsidR="00B63D50">
        <w:rPr>
          <w:rFonts w:ascii="Calibri" w:hAnsi="Calibri"/>
          <w:sz w:val="24"/>
        </w:rPr>
        <w:t xml:space="preserve"> in a more integrated manner. </w:t>
      </w:r>
      <w:r w:rsidRPr="005E0CCC">
        <w:rPr>
          <w:rFonts w:ascii="Calibri" w:hAnsi="Calibri"/>
          <w:sz w:val="24"/>
        </w:rPr>
        <w:t>As part of the implementation process, CPFS has provided advice so that:</w:t>
      </w:r>
    </w:p>
    <w:p w:rsidR="004B02E7" w:rsidRPr="005E0CCC" w:rsidRDefault="004B02E7" w:rsidP="002A5092">
      <w:pPr>
        <w:pStyle w:val="ListBullet"/>
      </w:pPr>
      <w:r w:rsidRPr="005E0CCC">
        <w:t>consideration is given to the development of appropriate responses to child protection concerns</w:t>
      </w:r>
    </w:p>
    <w:p w:rsidR="004B02E7" w:rsidRDefault="004B02E7" w:rsidP="002A5092">
      <w:pPr>
        <w:pStyle w:val="ListBullet"/>
      </w:pPr>
      <w:proofErr w:type="gramStart"/>
      <w:r w:rsidRPr="005E0CCC">
        <w:t>the</w:t>
      </w:r>
      <w:proofErr w:type="gramEnd"/>
      <w:r w:rsidRPr="005E0CCC">
        <w:t xml:space="preserve"> Centres connect with the </w:t>
      </w:r>
      <w:r w:rsidR="008742D2">
        <w:t>CPFS</w:t>
      </w:r>
      <w:r w:rsidR="00FA2D68">
        <w:t xml:space="preserve"> </w:t>
      </w:r>
      <w:r w:rsidRPr="005E0CCC">
        <w:t xml:space="preserve">Networks which provide secondary family support to vulnerable and </w:t>
      </w:r>
      <w:r w:rsidR="00CD7F4D" w:rsidRPr="005E0CCC">
        <w:t>at</w:t>
      </w:r>
      <w:r w:rsidR="00CD7F4D">
        <w:t>-</w:t>
      </w:r>
      <w:r w:rsidRPr="005E0CCC">
        <w:t>risk children, young people and families.</w:t>
      </w:r>
    </w:p>
    <w:p w:rsidR="004B02E7" w:rsidRDefault="004B02E7" w:rsidP="00D92BEA">
      <w:pPr>
        <w:pStyle w:val="Heading4"/>
      </w:pPr>
      <w:r w:rsidRPr="005E0CCC">
        <w:t>Educat</w:t>
      </w:r>
      <w:r w:rsidR="00871647">
        <w:t>ion</w:t>
      </w:r>
    </w:p>
    <w:p w:rsidR="004B02E7" w:rsidRDefault="004B02E7" w:rsidP="004B02E7">
      <w:pPr>
        <w:rPr>
          <w:rFonts w:ascii="Calibri" w:hAnsi="Calibri"/>
          <w:sz w:val="24"/>
        </w:rPr>
      </w:pPr>
      <w:r w:rsidRPr="005E0CCC">
        <w:rPr>
          <w:rFonts w:ascii="Calibri" w:hAnsi="Calibri"/>
          <w:sz w:val="24"/>
        </w:rPr>
        <w:t>The Department of Education is revising the Student Information Database to provide live information regarding:</w:t>
      </w:r>
    </w:p>
    <w:p w:rsidR="004B02E7" w:rsidRPr="005E0CCC" w:rsidRDefault="004B02E7" w:rsidP="002A5092">
      <w:pPr>
        <w:pStyle w:val="ListBullet"/>
      </w:pPr>
      <w:r w:rsidRPr="005E0CCC">
        <w:t xml:space="preserve">data about children </w:t>
      </w:r>
      <w:r w:rsidR="002A5092">
        <w:t>in care enrolled at each school</w:t>
      </w:r>
    </w:p>
    <w:p w:rsidR="004B02E7" w:rsidRPr="005E0CCC" w:rsidRDefault="004B02E7" w:rsidP="002A5092">
      <w:pPr>
        <w:pStyle w:val="ListBullet"/>
      </w:pPr>
      <w:r w:rsidRPr="005E0CCC">
        <w:t>documented education plans for students in care</w:t>
      </w:r>
    </w:p>
    <w:p w:rsidR="004B02E7" w:rsidRPr="005E0CCC" w:rsidRDefault="002A5092" w:rsidP="002A5092">
      <w:pPr>
        <w:pStyle w:val="ListBullet"/>
      </w:pPr>
      <w:proofErr w:type="gramStart"/>
      <w:r>
        <w:t>a</w:t>
      </w:r>
      <w:proofErr w:type="gramEnd"/>
      <w:r>
        <w:t xml:space="preserve"> </w:t>
      </w:r>
      <w:r w:rsidR="004B02E7" w:rsidRPr="005E0CCC">
        <w:t xml:space="preserve">review date </w:t>
      </w:r>
      <w:r>
        <w:t>for</w:t>
      </w:r>
      <w:r w:rsidR="004B02E7" w:rsidRPr="005E0CCC">
        <w:t xml:space="preserve"> documented education plans.</w:t>
      </w:r>
    </w:p>
    <w:p w:rsidR="004B02E7" w:rsidRPr="005E0CCC" w:rsidRDefault="004B02E7" w:rsidP="004B02E7">
      <w:pPr>
        <w:rPr>
          <w:rFonts w:ascii="Calibri" w:hAnsi="Calibri"/>
          <w:sz w:val="24"/>
        </w:rPr>
      </w:pPr>
    </w:p>
    <w:p w:rsidR="004B02E7" w:rsidRDefault="002A5092" w:rsidP="004B02E7">
      <w:pPr>
        <w:rPr>
          <w:rFonts w:ascii="Calibri" w:hAnsi="Calibri"/>
          <w:sz w:val="24"/>
        </w:rPr>
      </w:pPr>
      <w:r>
        <w:rPr>
          <w:rFonts w:ascii="Calibri" w:hAnsi="Calibri"/>
          <w:sz w:val="24"/>
        </w:rPr>
        <w:t xml:space="preserve">CPFS </w:t>
      </w:r>
      <w:r w:rsidR="004B02E7" w:rsidRPr="005E0CCC">
        <w:rPr>
          <w:rFonts w:ascii="Calibri" w:hAnsi="Calibri"/>
          <w:sz w:val="24"/>
        </w:rPr>
        <w:t xml:space="preserve">develops a Documented Education Plan for every child in care enrolled in </w:t>
      </w:r>
      <w:r>
        <w:rPr>
          <w:rFonts w:ascii="Calibri" w:hAnsi="Calibri"/>
          <w:sz w:val="24"/>
        </w:rPr>
        <w:t>preschool</w:t>
      </w:r>
      <w:r w:rsidR="004B02E7" w:rsidRPr="005E0CCC">
        <w:rPr>
          <w:rFonts w:ascii="Calibri" w:hAnsi="Calibri"/>
          <w:sz w:val="24"/>
        </w:rPr>
        <w:t>, public school or private school, identifying strategies to improve their education outcomes.</w:t>
      </w:r>
    </w:p>
    <w:p w:rsidR="004B02E7" w:rsidRDefault="004B02E7" w:rsidP="004B02E7">
      <w:pPr>
        <w:rPr>
          <w:rFonts w:ascii="Calibri" w:hAnsi="Calibri"/>
          <w:sz w:val="24"/>
        </w:rPr>
      </w:pPr>
    </w:p>
    <w:p w:rsidR="004B02E7" w:rsidRDefault="004B02E7" w:rsidP="004B02E7">
      <w:pPr>
        <w:rPr>
          <w:rFonts w:ascii="Calibri" w:hAnsi="Calibri"/>
          <w:sz w:val="24"/>
        </w:rPr>
      </w:pPr>
      <w:r w:rsidRPr="005E0CCC">
        <w:rPr>
          <w:rFonts w:ascii="Calibri" w:hAnsi="Calibri"/>
          <w:sz w:val="24"/>
        </w:rPr>
        <w:t xml:space="preserve">The Department of Education is introducing measures in response to the </w:t>
      </w:r>
      <w:proofErr w:type="spellStart"/>
      <w:r w:rsidRPr="005E0CCC">
        <w:rPr>
          <w:rFonts w:ascii="Calibri" w:hAnsi="Calibri"/>
          <w:sz w:val="24"/>
        </w:rPr>
        <w:t>Blaxell</w:t>
      </w:r>
      <w:proofErr w:type="spellEnd"/>
      <w:r w:rsidRPr="005E0CCC">
        <w:rPr>
          <w:rFonts w:ascii="Calibri" w:hAnsi="Calibri"/>
          <w:sz w:val="24"/>
        </w:rPr>
        <w:t xml:space="preserve"> Inquiry into child sexual abuse at St Andrew’s Country High School Hostel in Katanning.</w:t>
      </w:r>
      <w:r w:rsidR="00D26B57">
        <w:rPr>
          <w:rFonts w:ascii="Calibri" w:hAnsi="Calibri"/>
          <w:sz w:val="24"/>
        </w:rPr>
        <w:t xml:space="preserve"> </w:t>
      </w:r>
      <w:r w:rsidRPr="005E0CCC">
        <w:rPr>
          <w:rFonts w:ascii="Calibri" w:hAnsi="Calibri"/>
          <w:sz w:val="24"/>
        </w:rPr>
        <w:t>These include:</w:t>
      </w:r>
    </w:p>
    <w:p w:rsidR="004B02E7" w:rsidRPr="005E0CCC" w:rsidRDefault="004B02E7" w:rsidP="002A5092">
      <w:pPr>
        <w:pStyle w:val="ListBullet"/>
      </w:pPr>
      <w:r w:rsidRPr="005E0CCC">
        <w:t>working with the Country High Schools Hostel Authority to develop</w:t>
      </w:r>
      <w:r w:rsidR="002A5092">
        <w:t xml:space="preserve"> </w:t>
      </w:r>
      <w:r w:rsidRPr="005E0CCC">
        <w:t>a comprehensive</w:t>
      </w:r>
      <w:r w:rsidR="00CD7F4D">
        <w:t>,</w:t>
      </w:r>
      <w:r w:rsidRPr="005E0CCC">
        <w:t xml:space="preserve"> </w:t>
      </w:r>
      <w:r w:rsidR="00CD7F4D" w:rsidRPr="005E0CCC">
        <w:t>child</w:t>
      </w:r>
      <w:r w:rsidR="00CD7F4D">
        <w:t>-</w:t>
      </w:r>
      <w:r w:rsidRPr="005E0CCC">
        <w:t>focused complaints system</w:t>
      </w:r>
    </w:p>
    <w:p w:rsidR="004B02E7" w:rsidRPr="005E0CCC" w:rsidRDefault="004B02E7" w:rsidP="002A5092">
      <w:pPr>
        <w:pStyle w:val="ListBullet"/>
      </w:pPr>
      <w:proofErr w:type="gramStart"/>
      <w:r w:rsidRPr="005E0CCC">
        <w:t>increased</w:t>
      </w:r>
      <w:proofErr w:type="gramEnd"/>
      <w:r w:rsidRPr="005E0CCC">
        <w:t xml:space="preserve"> training about child abuse for Authority Board members and staff.</w:t>
      </w:r>
    </w:p>
    <w:p w:rsidR="004B02E7" w:rsidRPr="005E0CCC" w:rsidRDefault="004B02E7" w:rsidP="004B02E7">
      <w:pPr>
        <w:rPr>
          <w:rFonts w:ascii="Calibri" w:hAnsi="Calibri"/>
          <w:sz w:val="24"/>
        </w:rPr>
      </w:pPr>
    </w:p>
    <w:p w:rsidR="004B02E7" w:rsidRPr="005E0CCC" w:rsidRDefault="004B02E7" w:rsidP="004B02E7">
      <w:pPr>
        <w:rPr>
          <w:rFonts w:ascii="Calibri" w:hAnsi="Calibri"/>
          <w:sz w:val="24"/>
        </w:rPr>
      </w:pPr>
      <w:r w:rsidRPr="005E0CCC">
        <w:rPr>
          <w:rFonts w:ascii="Calibri" w:hAnsi="Calibri"/>
          <w:sz w:val="24"/>
        </w:rPr>
        <w:t xml:space="preserve">The Department of Education has undertaken a review of </w:t>
      </w:r>
      <w:r w:rsidR="00FA2D68">
        <w:rPr>
          <w:rFonts w:ascii="Calibri" w:hAnsi="Calibri"/>
          <w:sz w:val="24"/>
        </w:rPr>
        <w:t xml:space="preserve">the </w:t>
      </w:r>
      <w:r w:rsidRPr="005E0CCC">
        <w:rPr>
          <w:rFonts w:ascii="Calibri" w:hAnsi="Calibri"/>
          <w:sz w:val="24"/>
        </w:rPr>
        <w:t xml:space="preserve">existing child abuse prevention curriculum and is developing protective behaviours resources and training options for teachers. </w:t>
      </w:r>
    </w:p>
    <w:p w:rsidR="004B02E7" w:rsidRPr="005E0CCC" w:rsidRDefault="004B02E7" w:rsidP="004B02E7">
      <w:pPr>
        <w:rPr>
          <w:rFonts w:ascii="Calibri" w:hAnsi="Calibri"/>
          <w:sz w:val="24"/>
        </w:rPr>
      </w:pPr>
    </w:p>
    <w:p w:rsidR="004B02E7" w:rsidRDefault="00933856" w:rsidP="00DB5004">
      <w:pPr>
        <w:rPr>
          <w:rFonts w:ascii="Calibri" w:hAnsi="Calibri"/>
          <w:sz w:val="24"/>
        </w:rPr>
      </w:pPr>
      <w:r w:rsidRPr="00933856">
        <w:rPr>
          <w:rFonts w:ascii="Calibri" w:hAnsi="Calibri"/>
          <w:sz w:val="24"/>
        </w:rPr>
        <w:t xml:space="preserve">Through Operation Reset in </w:t>
      </w:r>
      <w:proofErr w:type="spellStart"/>
      <w:r w:rsidRPr="00933856">
        <w:rPr>
          <w:rFonts w:ascii="Calibri" w:hAnsi="Calibri"/>
          <w:sz w:val="24"/>
        </w:rPr>
        <w:t>Kalumburu</w:t>
      </w:r>
      <w:proofErr w:type="spellEnd"/>
      <w:r w:rsidRPr="00933856">
        <w:rPr>
          <w:rFonts w:ascii="Calibri" w:hAnsi="Calibri"/>
          <w:sz w:val="24"/>
        </w:rPr>
        <w:t>, a joint operation between the WA Police and CPFS to address child protection issues in the community, protective behaviours programs were conducted with the local children.</w:t>
      </w:r>
      <w:r w:rsidR="00A43557">
        <w:rPr>
          <w:rFonts w:ascii="Calibri" w:hAnsi="Calibri"/>
          <w:sz w:val="24"/>
        </w:rPr>
        <w:t xml:space="preserve"> </w:t>
      </w:r>
    </w:p>
    <w:p w:rsidR="00C0245E" w:rsidRPr="00D92BEA" w:rsidRDefault="00D92BEA" w:rsidP="00D92BEA">
      <w:pPr>
        <w:pStyle w:val="Heading4"/>
        <w:rPr>
          <w:lang w:val="en-AU"/>
        </w:rPr>
      </w:pPr>
      <w:r>
        <w:t>Community and Business</w:t>
      </w:r>
    </w:p>
    <w:p w:rsidR="00B1265D" w:rsidRPr="00B1265D" w:rsidRDefault="00B1265D" w:rsidP="00B1265D">
      <w:pPr>
        <w:rPr>
          <w:rFonts w:ascii="Calibri" w:hAnsi="Calibri"/>
          <w:sz w:val="24"/>
        </w:rPr>
      </w:pPr>
      <w:r w:rsidRPr="00B1265D">
        <w:rPr>
          <w:rFonts w:ascii="Calibri" w:hAnsi="Calibri"/>
          <w:sz w:val="24"/>
        </w:rPr>
        <w:t>The Department of Local Government and Communities (DLGC) is developing Parenting WA Guides for CALD families based on the South Australian multicultural Parent Easy Guides.</w:t>
      </w:r>
    </w:p>
    <w:p w:rsidR="00B1265D" w:rsidRPr="00B1265D" w:rsidRDefault="00B1265D" w:rsidP="00B1265D">
      <w:pPr>
        <w:rPr>
          <w:rFonts w:ascii="Calibri" w:hAnsi="Calibri"/>
          <w:sz w:val="24"/>
        </w:rPr>
      </w:pPr>
    </w:p>
    <w:p w:rsidR="00B1265D" w:rsidRPr="00B1265D" w:rsidRDefault="00B1265D" w:rsidP="00B1265D">
      <w:pPr>
        <w:rPr>
          <w:rFonts w:ascii="Calibri" w:hAnsi="Calibri"/>
          <w:sz w:val="24"/>
        </w:rPr>
      </w:pPr>
      <w:r w:rsidRPr="00B1265D">
        <w:rPr>
          <w:rFonts w:ascii="Calibri" w:hAnsi="Calibri"/>
          <w:sz w:val="24"/>
        </w:rPr>
        <w:t xml:space="preserve">The Department of Health, Department of Education and the Mental Health Commission collaborate in the provision of Integrated Services Centres at two Perth primary schools with a high number of children from refugee families. The services include two </w:t>
      </w:r>
      <w:bookmarkStart w:id="99" w:name="OLE_LINK4"/>
      <w:bookmarkStart w:id="100" w:name="OLE_LINK5"/>
      <w:r w:rsidR="00084772" w:rsidRPr="00B1265D">
        <w:rPr>
          <w:rFonts w:ascii="Calibri" w:hAnsi="Calibri"/>
          <w:sz w:val="24"/>
        </w:rPr>
        <w:t>Social Work</w:t>
      </w:r>
      <w:r w:rsidRPr="00B1265D">
        <w:rPr>
          <w:rFonts w:ascii="Calibri" w:hAnsi="Calibri"/>
          <w:sz w:val="24"/>
        </w:rPr>
        <w:t>ers</w:t>
      </w:r>
      <w:bookmarkEnd w:id="99"/>
      <w:bookmarkEnd w:id="100"/>
      <w:r w:rsidRPr="00B1265D">
        <w:rPr>
          <w:rFonts w:ascii="Calibri" w:hAnsi="Calibri"/>
          <w:sz w:val="24"/>
        </w:rPr>
        <w:t xml:space="preserve"> providing culturally appropriate and holistic psychological and social support and child health nurses who monitor the health and development of young children in these families.</w:t>
      </w:r>
      <w:r w:rsidR="00D26B57">
        <w:rPr>
          <w:rFonts w:ascii="Calibri" w:hAnsi="Calibri"/>
          <w:sz w:val="24"/>
        </w:rPr>
        <w:t xml:space="preserve"> </w:t>
      </w:r>
    </w:p>
    <w:p w:rsidR="00B1265D" w:rsidRPr="00B1265D" w:rsidRDefault="00B1265D" w:rsidP="00B1265D">
      <w:pPr>
        <w:rPr>
          <w:rFonts w:ascii="Calibri" w:hAnsi="Calibri"/>
          <w:sz w:val="24"/>
        </w:rPr>
      </w:pPr>
    </w:p>
    <w:p w:rsidR="00B1265D" w:rsidRPr="00B1265D" w:rsidRDefault="00B1265D" w:rsidP="00B1265D">
      <w:pPr>
        <w:rPr>
          <w:rFonts w:ascii="Calibri" w:hAnsi="Calibri"/>
          <w:sz w:val="24"/>
        </w:rPr>
      </w:pPr>
      <w:r w:rsidRPr="00B1265D">
        <w:rPr>
          <w:rFonts w:ascii="Calibri" w:hAnsi="Calibri"/>
          <w:sz w:val="24"/>
        </w:rPr>
        <w:t>The Western Australia Police (WA Police) developed policy and reporting mechanisms related to Honour Based Violence to assist in the identification and understanding of emerging trends and resource allocation.</w:t>
      </w:r>
      <w:r w:rsidR="00A43557">
        <w:rPr>
          <w:rFonts w:ascii="Calibri" w:hAnsi="Calibri"/>
          <w:sz w:val="24"/>
        </w:rPr>
        <w:t xml:space="preserve"> </w:t>
      </w:r>
    </w:p>
    <w:p w:rsidR="00B1265D" w:rsidRPr="00B1265D" w:rsidRDefault="00B1265D" w:rsidP="00B1265D">
      <w:pPr>
        <w:rPr>
          <w:rFonts w:ascii="Calibri" w:hAnsi="Calibri"/>
          <w:sz w:val="24"/>
        </w:rPr>
      </w:pPr>
    </w:p>
    <w:p w:rsidR="000C3B31" w:rsidRDefault="00FF6A15" w:rsidP="00B1265D">
      <w:pPr>
        <w:rPr>
          <w:rFonts w:ascii="Calibri" w:hAnsi="Calibri"/>
          <w:sz w:val="24"/>
        </w:rPr>
      </w:pPr>
      <w:r>
        <w:rPr>
          <w:rFonts w:ascii="Calibri" w:hAnsi="Calibri"/>
          <w:sz w:val="24"/>
        </w:rPr>
        <w:t xml:space="preserve">The </w:t>
      </w:r>
      <w:r w:rsidR="00B1265D" w:rsidRPr="00B1265D">
        <w:rPr>
          <w:rFonts w:ascii="Calibri" w:hAnsi="Calibri"/>
          <w:sz w:val="24"/>
        </w:rPr>
        <w:t xml:space="preserve">WA Police and </w:t>
      </w:r>
      <w:r w:rsidR="00FA2D68">
        <w:rPr>
          <w:rFonts w:ascii="Calibri" w:hAnsi="Calibri"/>
          <w:sz w:val="24"/>
        </w:rPr>
        <w:t>CPFS</w:t>
      </w:r>
      <w:r w:rsidR="00B1265D" w:rsidRPr="00B1265D">
        <w:rPr>
          <w:rFonts w:ascii="Calibri" w:hAnsi="Calibri"/>
          <w:sz w:val="24"/>
        </w:rPr>
        <w:t xml:space="preserve"> continued to work collaboratively on a number of operations, including Operation Deagon Goldfields and Operation Reset </w:t>
      </w:r>
      <w:r>
        <w:rPr>
          <w:rFonts w:ascii="Calibri" w:hAnsi="Calibri"/>
          <w:sz w:val="24"/>
        </w:rPr>
        <w:t xml:space="preserve">in the </w:t>
      </w:r>
      <w:proofErr w:type="spellStart"/>
      <w:r w:rsidR="00B1265D" w:rsidRPr="00B1265D">
        <w:rPr>
          <w:rFonts w:ascii="Calibri" w:hAnsi="Calibri"/>
          <w:sz w:val="24"/>
        </w:rPr>
        <w:t>Kalumburu</w:t>
      </w:r>
      <w:proofErr w:type="spellEnd"/>
      <w:r w:rsidR="00B1265D" w:rsidRPr="00B1265D">
        <w:rPr>
          <w:rFonts w:ascii="Calibri" w:hAnsi="Calibri"/>
          <w:sz w:val="24"/>
        </w:rPr>
        <w:t xml:space="preserve"> </w:t>
      </w:r>
      <w:r>
        <w:rPr>
          <w:rFonts w:ascii="Calibri" w:hAnsi="Calibri"/>
          <w:sz w:val="24"/>
        </w:rPr>
        <w:t>community</w:t>
      </w:r>
      <w:r w:rsidR="00B1265D" w:rsidRPr="00B1265D">
        <w:rPr>
          <w:rFonts w:ascii="Calibri" w:hAnsi="Calibri"/>
          <w:sz w:val="24"/>
        </w:rPr>
        <w:t>.</w:t>
      </w:r>
      <w:r w:rsidR="00D26B57">
        <w:rPr>
          <w:rFonts w:ascii="Calibri" w:hAnsi="Calibri"/>
          <w:sz w:val="24"/>
        </w:rPr>
        <w:t xml:space="preserve"> </w:t>
      </w:r>
      <w:r w:rsidR="00F82C30" w:rsidRPr="00F82C30">
        <w:rPr>
          <w:rFonts w:ascii="Calibri" w:hAnsi="Calibri"/>
          <w:sz w:val="24"/>
        </w:rPr>
        <w:t xml:space="preserve">These operations involved working with Indigenous community leaders and members to improve and implement measures to identify children at risk of abuse and </w:t>
      </w:r>
      <w:r w:rsidR="00564FB4">
        <w:rPr>
          <w:rFonts w:ascii="Calibri" w:hAnsi="Calibri"/>
          <w:sz w:val="24"/>
        </w:rPr>
        <w:t xml:space="preserve">to </w:t>
      </w:r>
      <w:r w:rsidR="00F82C30" w:rsidRPr="00F82C30">
        <w:rPr>
          <w:rFonts w:ascii="Calibri" w:hAnsi="Calibri"/>
          <w:sz w:val="24"/>
        </w:rPr>
        <w:t>resp</w:t>
      </w:r>
      <w:r w:rsidR="00F82C30">
        <w:rPr>
          <w:rFonts w:ascii="Calibri" w:hAnsi="Calibri"/>
          <w:sz w:val="24"/>
        </w:rPr>
        <w:t>ond to incidents of child abuse</w:t>
      </w:r>
      <w:r w:rsidR="00F82C30" w:rsidRPr="00F82C30">
        <w:rPr>
          <w:rFonts w:ascii="Calibri" w:hAnsi="Calibri"/>
          <w:sz w:val="24"/>
        </w:rPr>
        <w:t xml:space="preserve">. </w:t>
      </w:r>
    </w:p>
    <w:p w:rsidR="000C3B31" w:rsidRDefault="000C3B31" w:rsidP="00B1265D">
      <w:pPr>
        <w:rPr>
          <w:rFonts w:ascii="Calibri" w:hAnsi="Calibri"/>
          <w:sz w:val="24"/>
        </w:rPr>
      </w:pPr>
    </w:p>
    <w:p w:rsidR="00B1265D" w:rsidRPr="00B1265D" w:rsidRDefault="00B1265D" w:rsidP="00B1265D">
      <w:pPr>
        <w:rPr>
          <w:rFonts w:ascii="Calibri" w:hAnsi="Calibri"/>
          <w:sz w:val="24"/>
        </w:rPr>
      </w:pPr>
      <w:r w:rsidRPr="00B1265D">
        <w:rPr>
          <w:rFonts w:ascii="Calibri" w:hAnsi="Calibri"/>
          <w:sz w:val="24"/>
        </w:rPr>
        <w:t xml:space="preserve">As part of Operation Deagon, information sessions were conducted with refugees at the Leonora Alternative Place of Detention (LAPOD) about Australian law, customs and support services with respect to child protection. </w:t>
      </w:r>
    </w:p>
    <w:p w:rsidR="00B1265D" w:rsidRPr="00B1265D" w:rsidRDefault="00B1265D" w:rsidP="00B1265D">
      <w:pPr>
        <w:rPr>
          <w:rFonts w:ascii="Calibri" w:hAnsi="Calibri"/>
          <w:sz w:val="24"/>
        </w:rPr>
      </w:pPr>
    </w:p>
    <w:p w:rsidR="00B1265D" w:rsidRDefault="00B1265D" w:rsidP="00B1265D">
      <w:pPr>
        <w:rPr>
          <w:rFonts w:ascii="Calibri" w:hAnsi="Calibri"/>
          <w:sz w:val="24"/>
        </w:rPr>
      </w:pPr>
      <w:r w:rsidRPr="00B1265D">
        <w:rPr>
          <w:rFonts w:ascii="Calibri" w:hAnsi="Calibri"/>
          <w:sz w:val="24"/>
        </w:rPr>
        <w:t>During Operation Deagon, a media contingent from the West Australian Newspaper and The ABC 7.30 Report WA travelled to the Goldfields, producing a story about child protection issues in that region.</w:t>
      </w:r>
    </w:p>
    <w:p w:rsidR="000C3B31" w:rsidRDefault="000C3B31" w:rsidP="00B1265D">
      <w:pPr>
        <w:rPr>
          <w:rFonts w:ascii="Calibri" w:hAnsi="Calibri"/>
          <w:sz w:val="24"/>
        </w:rPr>
      </w:pPr>
    </w:p>
    <w:p w:rsidR="00B1265D" w:rsidRDefault="000C3B31" w:rsidP="00B1265D">
      <w:pPr>
        <w:rPr>
          <w:rFonts w:ascii="Calibri" w:hAnsi="Calibri"/>
          <w:sz w:val="24"/>
        </w:rPr>
      </w:pPr>
      <w:r w:rsidRPr="000C3B31">
        <w:rPr>
          <w:rFonts w:ascii="Calibri" w:hAnsi="Calibri"/>
          <w:sz w:val="24"/>
        </w:rPr>
        <w:t>Through partnerships with government and community sector organisations, CPFS presented information on child protection issues and services to newly arrived communities in districts with a high CALD population. CPFS also assisted in the implementation of an African Learning Circle, involving a community sector organisation engaging with the African community to discuss and resolve social and settlement issues, including child wellbeing issues.</w:t>
      </w:r>
    </w:p>
    <w:p w:rsidR="00420FA8" w:rsidRPr="00B1265D" w:rsidRDefault="00420FA8" w:rsidP="00420FA8">
      <w:pPr>
        <w:rPr>
          <w:rFonts w:ascii="Calibri" w:hAnsi="Calibri"/>
          <w:sz w:val="24"/>
        </w:rPr>
      </w:pPr>
    </w:p>
    <w:p w:rsidR="00B1265D" w:rsidRPr="00B1265D" w:rsidRDefault="00B1265D" w:rsidP="00B1265D">
      <w:pPr>
        <w:rPr>
          <w:rFonts w:ascii="Calibri" w:hAnsi="Calibri"/>
          <w:sz w:val="24"/>
        </w:rPr>
      </w:pPr>
      <w:r w:rsidRPr="00B1265D">
        <w:rPr>
          <w:rFonts w:ascii="Calibri" w:hAnsi="Calibri"/>
          <w:sz w:val="24"/>
        </w:rPr>
        <w:t>Lead agencies involved in providing interagency mandatory reporting of child sexual abuse prepared an educational video featuring prominent Aboriginal Leaders.</w:t>
      </w:r>
      <w:r w:rsidR="00D26B57">
        <w:rPr>
          <w:rFonts w:ascii="Calibri" w:hAnsi="Calibri"/>
          <w:sz w:val="24"/>
        </w:rPr>
        <w:t xml:space="preserve"> </w:t>
      </w:r>
      <w:r w:rsidRPr="00B1265D">
        <w:rPr>
          <w:rFonts w:ascii="Calibri" w:hAnsi="Calibri"/>
          <w:sz w:val="24"/>
        </w:rPr>
        <w:t>The video addresses a number of myths around sexual abuse of children and underage sexual behaviour and will be launched in late 2013.</w:t>
      </w:r>
    </w:p>
    <w:p w:rsidR="000C3B31" w:rsidRDefault="000C3B31" w:rsidP="00B1265D">
      <w:pPr>
        <w:rPr>
          <w:rFonts w:ascii="Calibri" w:hAnsi="Calibri"/>
          <w:sz w:val="24"/>
        </w:rPr>
      </w:pPr>
    </w:p>
    <w:p w:rsidR="00B1265D" w:rsidRDefault="000C3B31" w:rsidP="00B1265D">
      <w:pPr>
        <w:rPr>
          <w:rFonts w:ascii="Calibri" w:hAnsi="Calibri"/>
          <w:sz w:val="24"/>
        </w:rPr>
      </w:pPr>
      <w:r w:rsidRPr="000C3B31">
        <w:rPr>
          <w:rFonts w:ascii="Calibri" w:hAnsi="Calibri"/>
          <w:sz w:val="24"/>
        </w:rPr>
        <w:t xml:space="preserve">CPFS revised its Aboriginal Services Framework, which has a strong focus on </w:t>
      </w:r>
      <w:r w:rsidR="0041304F">
        <w:rPr>
          <w:rFonts w:ascii="Calibri" w:hAnsi="Calibri"/>
          <w:sz w:val="24"/>
        </w:rPr>
        <w:t xml:space="preserve">the ATSICPP </w:t>
      </w:r>
      <w:r w:rsidRPr="000C3B31">
        <w:rPr>
          <w:rFonts w:ascii="Calibri" w:hAnsi="Calibri"/>
          <w:sz w:val="24"/>
        </w:rPr>
        <w:t xml:space="preserve">and </w:t>
      </w:r>
      <w:r w:rsidR="00BE7D1F">
        <w:rPr>
          <w:rFonts w:ascii="Calibri" w:hAnsi="Calibri"/>
          <w:sz w:val="24"/>
        </w:rPr>
        <w:t xml:space="preserve">the role of </w:t>
      </w:r>
      <w:r w:rsidRPr="000C3B31">
        <w:rPr>
          <w:rFonts w:ascii="Calibri" w:hAnsi="Calibri"/>
          <w:sz w:val="24"/>
        </w:rPr>
        <w:t xml:space="preserve">Aboriginal Practice Leaders </w:t>
      </w:r>
      <w:r w:rsidR="00BE7D1F">
        <w:rPr>
          <w:rFonts w:ascii="Calibri" w:hAnsi="Calibri"/>
          <w:sz w:val="24"/>
        </w:rPr>
        <w:t xml:space="preserve">in </w:t>
      </w:r>
      <w:r w:rsidRPr="000C3B31">
        <w:rPr>
          <w:rFonts w:ascii="Calibri" w:hAnsi="Calibri"/>
          <w:sz w:val="24"/>
        </w:rPr>
        <w:t>providing support and guidance to all district staff in decisions to place, and ongoing planning for, Aboriginal children in care.</w:t>
      </w:r>
    </w:p>
    <w:p w:rsidR="000C3B31" w:rsidRPr="00B1265D" w:rsidRDefault="000C3B31" w:rsidP="00B1265D">
      <w:pPr>
        <w:rPr>
          <w:rFonts w:ascii="Calibri" w:hAnsi="Calibri"/>
          <w:sz w:val="24"/>
        </w:rPr>
      </w:pPr>
    </w:p>
    <w:p w:rsidR="00B1265D" w:rsidRPr="00B1265D" w:rsidRDefault="00FA2D68" w:rsidP="00B1265D">
      <w:pPr>
        <w:rPr>
          <w:rFonts w:ascii="Calibri" w:hAnsi="Calibri"/>
          <w:sz w:val="24"/>
        </w:rPr>
      </w:pPr>
      <w:r>
        <w:rPr>
          <w:rFonts w:ascii="Calibri" w:hAnsi="Calibri"/>
          <w:sz w:val="24"/>
        </w:rPr>
        <w:t>CPFS</w:t>
      </w:r>
      <w:r w:rsidR="00B1265D" w:rsidRPr="00B1265D">
        <w:rPr>
          <w:rFonts w:ascii="Calibri" w:hAnsi="Calibri"/>
          <w:sz w:val="24"/>
        </w:rPr>
        <w:t xml:space="preserve"> has </w:t>
      </w:r>
      <w:r w:rsidR="000C3B31">
        <w:rPr>
          <w:rFonts w:ascii="Calibri" w:hAnsi="Calibri"/>
          <w:sz w:val="24"/>
        </w:rPr>
        <w:t xml:space="preserve">also </w:t>
      </w:r>
      <w:r w:rsidR="000A559F">
        <w:rPr>
          <w:rFonts w:ascii="Calibri" w:hAnsi="Calibri"/>
          <w:sz w:val="24"/>
        </w:rPr>
        <w:t>established</w:t>
      </w:r>
      <w:r w:rsidR="000A559F" w:rsidRPr="00B1265D">
        <w:rPr>
          <w:rFonts w:ascii="Calibri" w:hAnsi="Calibri"/>
          <w:sz w:val="24"/>
        </w:rPr>
        <w:t xml:space="preserve"> </w:t>
      </w:r>
      <w:r w:rsidR="00B1265D" w:rsidRPr="00B1265D">
        <w:rPr>
          <w:rFonts w:ascii="Calibri" w:hAnsi="Calibri"/>
          <w:sz w:val="24"/>
        </w:rPr>
        <w:t xml:space="preserve">Aboriginal Practice Networks </w:t>
      </w:r>
      <w:r w:rsidR="000A559F">
        <w:rPr>
          <w:rFonts w:ascii="Calibri" w:hAnsi="Calibri"/>
          <w:sz w:val="24"/>
        </w:rPr>
        <w:t xml:space="preserve">with the aim of </w:t>
      </w:r>
      <w:r w:rsidR="00B1265D" w:rsidRPr="00B1265D">
        <w:rPr>
          <w:rFonts w:ascii="Calibri" w:hAnsi="Calibri"/>
          <w:sz w:val="24"/>
        </w:rPr>
        <w:t>engag</w:t>
      </w:r>
      <w:r w:rsidR="000A559F">
        <w:rPr>
          <w:rFonts w:ascii="Calibri" w:hAnsi="Calibri"/>
          <w:sz w:val="24"/>
        </w:rPr>
        <w:t>ing</w:t>
      </w:r>
      <w:r w:rsidR="00B1265D" w:rsidRPr="00B1265D">
        <w:rPr>
          <w:rFonts w:ascii="Calibri" w:hAnsi="Calibri"/>
          <w:sz w:val="24"/>
        </w:rPr>
        <w:t xml:space="preserve"> leaders from the Aboriginal community and Aboriginal organisations to work together to build support networks for protecting children and young people.</w:t>
      </w:r>
    </w:p>
    <w:p w:rsidR="00B1265D" w:rsidRPr="00B1265D" w:rsidRDefault="00B1265D" w:rsidP="00B1265D">
      <w:pPr>
        <w:rPr>
          <w:rFonts w:ascii="Calibri" w:hAnsi="Calibri"/>
          <w:sz w:val="24"/>
        </w:rPr>
      </w:pPr>
    </w:p>
    <w:p w:rsidR="005E0CCC" w:rsidRDefault="00B1265D" w:rsidP="00B1265D">
      <w:pPr>
        <w:rPr>
          <w:rFonts w:ascii="Calibri" w:hAnsi="Calibri"/>
          <w:sz w:val="24"/>
        </w:rPr>
      </w:pPr>
      <w:r w:rsidRPr="00B1265D">
        <w:rPr>
          <w:rFonts w:ascii="Calibri" w:hAnsi="Calibri"/>
          <w:sz w:val="24"/>
        </w:rPr>
        <w:t xml:space="preserve">Save the Children Australia </w:t>
      </w:r>
      <w:r w:rsidR="000C3B31">
        <w:rPr>
          <w:rFonts w:ascii="Calibri" w:hAnsi="Calibri"/>
          <w:sz w:val="24"/>
        </w:rPr>
        <w:t xml:space="preserve">was provided </w:t>
      </w:r>
      <w:r w:rsidR="00BE7D1F">
        <w:rPr>
          <w:rFonts w:ascii="Calibri" w:hAnsi="Calibri"/>
          <w:sz w:val="24"/>
        </w:rPr>
        <w:t xml:space="preserve">with </w:t>
      </w:r>
      <w:r w:rsidR="000C3B31">
        <w:rPr>
          <w:rFonts w:ascii="Calibri" w:hAnsi="Calibri"/>
          <w:sz w:val="24"/>
        </w:rPr>
        <w:t xml:space="preserve">funding </w:t>
      </w:r>
      <w:r w:rsidRPr="00B1265D">
        <w:rPr>
          <w:rFonts w:ascii="Calibri" w:hAnsi="Calibri"/>
          <w:sz w:val="24"/>
        </w:rPr>
        <w:t>for the Kununurra Night Youth Patrol Project</w:t>
      </w:r>
      <w:r w:rsidR="000C3B31" w:rsidRPr="000C3B31">
        <w:rPr>
          <w:rFonts w:ascii="Calibri" w:hAnsi="Calibri"/>
          <w:sz w:val="24"/>
        </w:rPr>
        <w:t>, which is a prevention and intervention strategy to support children and young people who are present on the streets at night, to be in the care of a responsible adult</w:t>
      </w:r>
      <w:r w:rsidRPr="00B1265D">
        <w:rPr>
          <w:rFonts w:ascii="Calibri" w:hAnsi="Calibri"/>
          <w:sz w:val="24"/>
        </w:rPr>
        <w:t>.</w:t>
      </w:r>
      <w:r w:rsidR="00D26B57">
        <w:rPr>
          <w:rFonts w:ascii="Calibri" w:hAnsi="Calibri"/>
          <w:sz w:val="24"/>
        </w:rPr>
        <w:t xml:space="preserve"> </w:t>
      </w:r>
      <w:r w:rsidRPr="00B1265D">
        <w:rPr>
          <w:rFonts w:ascii="Calibri" w:hAnsi="Calibri"/>
          <w:sz w:val="24"/>
        </w:rPr>
        <w:t xml:space="preserve">Save the Children Australia </w:t>
      </w:r>
      <w:r w:rsidR="000C3B31">
        <w:rPr>
          <w:rFonts w:ascii="Calibri" w:hAnsi="Calibri"/>
          <w:sz w:val="24"/>
        </w:rPr>
        <w:t>is undertaking the project</w:t>
      </w:r>
      <w:r w:rsidR="000C3B31" w:rsidRPr="00B1265D">
        <w:rPr>
          <w:rFonts w:ascii="Calibri" w:hAnsi="Calibri"/>
          <w:sz w:val="24"/>
        </w:rPr>
        <w:t xml:space="preserve"> </w:t>
      </w:r>
      <w:r w:rsidRPr="00B1265D">
        <w:rPr>
          <w:rFonts w:ascii="Calibri" w:hAnsi="Calibri"/>
          <w:sz w:val="24"/>
        </w:rPr>
        <w:t xml:space="preserve">in collaboration with the Indigenous community, in particular the </w:t>
      </w:r>
      <w:proofErr w:type="spellStart"/>
      <w:r w:rsidRPr="00B1265D">
        <w:rPr>
          <w:rFonts w:ascii="Calibri" w:hAnsi="Calibri"/>
          <w:sz w:val="24"/>
        </w:rPr>
        <w:t>Miriuwung</w:t>
      </w:r>
      <w:proofErr w:type="spellEnd"/>
      <w:r w:rsidRPr="00B1265D">
        <w:rPr>
          <w:rFonts w:ascii="Calibri" w:hAnsi="Calibri"/>
          <w:sz w:val="24"/>
        </w:rPr>
        <w:t xml:space="preserve"> </w:t>
      </w:r>
      <w:proofErr w:type="spellStart"/>
      <w:r w:rsidRPr="00B1265D">
        <w:rPr>
          <w:rFonts w:ascii="Calibri" w:hAnsi="Calibri"/>
          <w:sz w:val="24"/>
        </w:rPr>
        <w:t>Gajerrong</w:t>
      </w:r>
      <w:proofErr w:type="spellEnd"/>
      <w:r w:rsidRPr="00B1265D">
        <w:rPr>
          <w:rFonts w:ascii="Calibri" w:hAnsi="Calibri"/>
          <w:sz w:val="24"/>
        </w:rPr>
        <w:t xml:space="preserve"> people and partners of the Community Response for Our Children (CROC).</w:t>
      </w:r>
      <w:r w:rsidR="00D26B57">
        <w:rPr>
          <w:rFonts w:ascii="Calibri" w:hAnsi="Calibri"/>
          <w:sz w:val="24"/>
        </w:rPr>
        <w:t xml:space="preserve"> </w:t>
      </w:r>
    </w:p>
    <w:p w:rsidR="00BE7D1F" w:rsidRDefault="00BE7D1F" w:rsidP="00B1265D">
      <w:pPr>
        <w:rPr>
          <w:rFonts w:ascii="Calibri" w:hAnsi="Calibri"/>
          <w:sz w:val="24"/>
        </w:rPr>
      </w:pPr>
    </w:p>
    <w:p w:rsidR="005E0CCC" w:rsidRPr="005E0CCC" w:rsidRDefault="005E0CCC" w:rsidP="005E0CCC">
      <w:pPr>
        <w:rPr>
          <w:rFonts w:ascii="Calibri" w:hAnsi="Calibri"/>
          <w:sz w:val="24"/>
        </w:rPr>
      </w:pPr>
      <w:r w:rsidRPr="005E0CCC">
        <w:rPr>
          <w:rFonts w:ascii="Calibri" w:hAnsi="Calibri"/>
          <w:sz w:val="24"/>
        </w:rPr>
        <w:t>CPFS is building a framework for structured, regular and ongoing communication and engagement with Aboriginal organisations and communities</w:t>
      </w:r>
      <w:r w:rsidR="00420FA8">
        <w:rPr>
          <w:rFonts w:ascii="Calibri" w:hAnsi="Calibri"/>
          <w:sz w:val="24"/>
        </w:rPr>
        <w:t>,</w:t>
      </w:r>
      <w:r w:rsidRPr="005E0CCC">
        <w:rPr>
          <w:rFonts w:ascii="Calibri" w:hAnsi="Calibri"/>
          <w:sz w:val="24"/>
        </w:rPr>
        <w:t xml:space="preserve"> in order to work more collaboratively to enhance safety for children and young people.</w:t>
      </w:r>
      <w:r w:rsidR="00D26B57">
        <w:rPr>
          <w:rFonts w:ascii="Calibri" w:hAnsi="Calibri"/>
          <w:sz w:val="24"/>
        </w:rPr>
        <w:t xml:space="preserve"> </w:t>
      </w:r>
      <w:r w:rsidRPr="005E0CCC">
        <w:rPr>
          <w:rFonts w:ascii="Calibri" w:hAnsi="Calibri"/>
          <w:sz w:val="24"/>
        </w:rPr>
        <w:t>This includes organisations such as Native Title representative groups and Aboriginal medical and youth services organisations.</w:t>
      </w:r>
      <w:r w:rsidR="00D26B57">
        <w:rPr>
          <w:rFonts w:ascii="Calibri" w:hAnsi="Calibri"/>
          <w:sz w:val="24"/>
        </w:rPr>
        <w:t xml:space="preserve"> </w:t>
      </w:r>
      <w:r w:rsidRPr="005E0CCC">
        <w:rPr>
          <w:rFonts w:ascii="Calibri" w:hAnsi="Calibri"/>
          <w:sz w:val="24"/>
        </w:rPr>
        <w:t xml:space="preserve">Forums will also be held both at the </w:t>
      </w:r>
      <w:r w:rsidR="00C45680">
        <w:rPr>
          <w:rFonts w:ascii="Calibri" w:hAnsi="Calibri"/>
          <w:sz w:val="24"/>
        </w:rPr>
        <w:t>s</w:t>
      </w:r>
      <w:r w:rsidR="00C45680" w:rsidRPr="005E0CCC">
        <w:rPr>
          <w:rFonts w:ascii="Calibri" w:hAnsi="Calibri"/>
          <w:sz w:val="24"/>
        </w:rPr>
        <w:t xml:space="preserve">tate </w:t>
      </w:r>
      <w:r w:rsidRPr="005E0CCC">
        <w:rPr>
          <w:rFonts w:ascii="Calibri" w:hAnsi="Calibri"/>
          <w:sz w:val="24"/>
        </w:rPr>
        <w:t xml:space="preserve">level with </w:t>
      </w:r>
      <w:r w:rsidR="00C45680">
        <w:rPr>
          <w:rFonts w:ascii="Calibri" w:hAnsi="Calibri"/>
          <w:sz w:val="24"/>
        </w:rPr>
        <w:t>P</w:t>
      </w:r>
      <w:r w:rsidR="00C45680" w:rsidRPr="005E0CCC">
        <w:rPr>
          <w:rFonts w:ascii="Calibri" w:hAnsi="Calibri"/>
          <w:sz w:val="24"/>
        </w:rPr>
        <w:t xml:space="preserve">eak </w:t>
      </w:r>
      <w:r w:rsidRPr="005E0CCC">
        <w:rPr>
          <w:rFonts w:ascii="Calibri" w:hAnsi="Calibri"/>
          <w:sz w:val="24"/>
        </w:rPr>
        <w:t>bodies and at the District level with locally based organisations.</w:t>
      </w:r>
    </w:p>
    <w:p w:rsidR="005E0CCC" w:rsidRPr="005E0CCC" w:rsidRDefault="005E0CCC" w:rsidP="005E0CCC">
      <w:pPr>
        <w:rPr>
          <w:rFonts w:ascii="Calibri" w:hAnsi="Calibri"/>
          <w:sz w:val="24"/>
        </w:rPr>
      </w:pPr>
    </w:p>
    <w:p w:rsidR="000C3B31" w:rsidRDefault="000C3B31" w:rsidP="005E0CCC">
      <w:pPr>
        <w:rPr>
          <w:rFonts w:ascii="Calibri" w:hAnsi="Calibri" w:cs="Calibri"/>
          <w:bCs/>
          <w:sz w:val="24"/>
          <w:szCs w:val="24"/>
          <w:lang w:eastAsia="en-AU"/>
        </w:rPr>
      </w:pPr>
      <w:r w:rsidRPr="000C3B31">
        <w:rPr>
          <w:rFonts w:ascii="Calibri" w:hAnsi="Calibri" w:cs="Calibri"/>
          <w:bCs/>
          <w:sz w:val="24"/>
          <w:szCs w:val="24"/>
          <w:lang w:eastAsia="en-AU"/>
        </w:rPr>
        <w:t>An evaluation following 12 months</w:t>
      </w:r>
      <w:r w:rsidR="00571D0A">
        <w:rPr>
          <w:rFonts w:ascii="Calibri" w:hAnsi="Calibri" w:cs="Calibri"/>
          <w:bCs/>
          <w:sz w:val="24"/>
          <w:szCs w:val="24"/>
          <w:lang w:eastAsia="en-AU"/>
        </w:rPr>
        <w:t>’</w:t>
      </w:r>
      <w:r w:rsidRPr="000C3B31">
        <w:rPr>
          <w:rFonts w:ascii="Calibri" w:hAnsi="Calibri" w:cs="Calibri"/>
          <w:bCs/>
          <w:sz w:val="24"/>
          <w:szCs w:val="24"/>
          <w:lang w:eastAsia="en-AU"/>
        </w:rPr>
        <w:t xml:space="preserve"> operation of the Armadale Family Support Network </w:t>
      </w:r>
      <w:r w:rsidR="00571D0A">
        <w:rPr>
          <w:rFonts w:ascii="Calibri" w:hAnsi="Calibri" w:cs="Calibri"/>
          <w:bCs/>
          <w:sz w:val="24"/>
          <w:szCs w:val="24"/>
          <w:lang w:eastAsia="en-AU"/>
        </w:rPr>
        <w:t xml:space="preserve">(FSN) </w:t>
      </w:r>
      <w:r w:rsidRPr="000C3B31">
        <w:rPr>
          <w:rFonts w:ascii="Calibri" w:hAnsi="Calibri" w:cs="Calibri"/>
          <w:bCs/>
          <w:sz w:val="24"/>
          <w:szCs w:val="24"/>
          <w:lang w:eastAsia="en-AU"/>
        </w:rPr>
        <w:t xml:space="preserve">found early indications of positive outcomes for families receiving the service. </w:t>
      </w:r>
      <w:r w:rsidR="00571D0A">
        <w:rPr>
          <w:rFonts w:ascii="Calibri" w:hAnsi="Calibri" w:cs="Calibri"/>
          <w:bCs/>
          <w:sz w:val="24"/>
          <w:szCs w:val="24"/>
          <w:lang w:eastAsia="en-AU"/>
        </w:rPr>
        <w:t>FSN</w:t>
      </w:r>
      <w:r w:rsidR="00213B14" w:rsidRPr="00B1265D">
        <w:rPr>
          <w:rFonts w:ascii="Calibri" w:hAnsi="Calibri" w:cs="Calibri"/>
          <w:bCs/>
          <w:sz w:val="24"/>
          <w:szCs w:val="24"/>
          <w:lang w:eastAsia="en-AU"/>
        </w:rPr>
        <w:t xml:space="preserve">s are an alliance of </w:t>
      </w:r>
      <w:r w:rsidR="00B36891">
        <w:rPr>
          <w:rFonts w:ascii="Calibri" w:hAnsi="Calibri" w:cs="Calibri"/>
          <w:bCs/>
          <w:sz w:val="24"/>
          <w:szCs w:val="24"/>
          <w:lang w:eastAsia="en-AU"/>
        </w:rPr>
        <w:t>community sector</w:t>
      </w:r>
      <w:r w:rsidR="00213B14" w:rsidRPr="00B1265D">
        <w:rPr>
          <w:rFonts w:ascii="Calibri" w:hAnsi="Calibri" w:cs="Calibri"/>
          <w:bCs/>
          <w:sz w:val="24"/>
          <w:szCs w:val="24"/>
          <w:lang w:eastAsia="en-AU"/>
        </w:rPr>
        <w:t xml:space="preserve"> agencies and the CPFS, providing a</w:t>
      </w:r>
      <w:r w:rsidR="00213B14">
        <w:rPr>
          <w:rFonts w:ascii="Calibri" w:hAnsi="Calibri" w:cs="Calibri"/>
          <w:bCs/>
          <w:sz w:val="24"/>
          <w:szCs w:val="24"/>
          <w:lang w:eastAsia="en-AU"/>
        </w:rPr>
        <w:t xml:space="preserve"> common entry point to services and</w:t>
      </w:r>
      <w:r w:rsidR="00213B14" w:rsidRPr="00B1265D">
        <w:rPr>
          <w:rFonts w:ascii="Calibri" w:hAnsi="Calibri" w:cs="Calibri"/>
          <w:bCs/>
          <w:sz w:val="24"/>
          <w:szCs w:val="24"/>
          <w:lang w:eastAsia="en-AU"/>
        </w:rPr>
        <w:t xml:space="preserve"> delivering earlier, targeted support to families.</w:t>
      </w:r>
      <w:r w:rsidR="00213B14">
        <w:rPr>
          <w:rFonts w:ascii="Calibri" w:hAnsi="Calibri" w:cs="Calibri"/>
          <w:bCs/>
          <w:sz w:val="24"/>
          <w:szCs w:val="24"/>
          <w:lang w:eastAsia="en-AU"/>
        </w:rPr>
        <w:t xml:space="preserve"> </w:t>
      </w:r>
    </w:p>
    <w:p w:rsidR="000C3B31" w:rsidRDefault="000C3B31" w:rsidP="005E0CCC">
      <w:pPr>
        <w:rPr>
          <w:rFonts w:ascii="Calibri" w:hAnsi="Calibri" w:cs="Calibri"/>
          <w:bCs/>
          <w:sz w:val="24"/>
          <w:szCs w:val="24"/>
          <w:lang w:eastAsia="en-AU"/>
        </w:rPr>
      </w:pPr>
    </w:p>
    <w:p w:rsidR="005E0CCC" w:rsidRPr="005E0CCC" w:rsidRDefault="005E0CCC" w:rsidP="005E0CCC">
      <w:pPr>
        <w:rPr>
          <w:rFonts w:ascii="Calibri" w:hAnsi="Calibri"/>
          <w:sz w:val="24"/>
        </w:rPr>
      </w:pPr>
      <w:r w:rsidRPr="005E0CCC">
        <w:rPr>
          <w:rFonts w:ascii="Calibri" w:hAnsi="Calibri"/>
          <w:sz w:val="24"/>
        </w:rPr>
        <w:t xml:space="preserve">Parkerville Children and Youth Care, in partnership with CPFS, </w:t>
      </w:r>
      <w:proofErr w:type="gramStart"/>
      <w:r w:rsidRPr="005E0CCC">
        <w:rPr>
          <w:rFonts w:ascii="Calibri" w:hAnsi="Calibri"/>
          <w:sz w:val="24"/>
        </w:rPr>
        <w:t>is</w:t>
      </w:r>
      <w:proofErr w:type="gramEnd"/>
      <w:r w:rsidRPr="005E0CCC">
        <w:rPr>
          <w:rFonts w:ascii="Calibri" w:hAnsi="Calibri"/>
          <w:sz w:val="24"/>
        </w:rPr>
        <w:t xml:space="preserve"> establishing a second </w:t>
      </w:r>
      <w:r w:rsidR="000C3B31">
        <w:rPr>
          <w:rFonts w:ascii="Calibri" w:hAnsi="Calibri"/>
          <w:sz w:val="24"/>
        </w:rPr>
        <w:t>FSN</w:t>
      </w:r>
      <w:r w:rsidRPr="005E0CCC">
        <w:rPr>
          <w:rFonts w:ascii="Calibri" w:hAnsi="Calibri"/>
          <w:sz w:val="24"/>
        </w:rPr>
        <w:t xml:space="preserve"> in the </w:t>
      </w:r>
      <w:proofErr w:type="spellStart"/>
      <w:r w:rsidR="00463933">
        <w:rPr>
          <w:rFonts w:ascii="Calibri" w:hAnsi="Calibri"/>
          <w:sz w:val="24"/>
        </w:rPr>
        <w:t>Mid West</w:t>
      </w:r>
      <w:proofErr w:type="spellEnd"/>
      <w:r w:rsidR="00463933">
        <w:rPr>
          <w:rFonts w:ascii="Calibri" w:hAnsi="Calibri"/>
          <w:sz w:val="24"/>
        </w:rPr>
        <w:t xml:space="preserve"> region</w:t>
      </w:r>
      <w:r w:rsidRPr="005E0CCC">
        <w:rPr>
          <w:rFonts w:ascii="Calibri" w:hAnsi="Calibri"/>
          <w:sz w:val="24"/>
        </w:rPr>
        <w:t>, with operations commencing in November 2013. CPFS will provide a Senior Child Protection Worker for the provision of information, consultation and advice to the Network.</w:t>
      </w:r>
      <w:r w:rsidR="00D26B57">
        <w:rPr>
          <w:rFonts w:ascii="Calibri" w:hAnsi="Calibri"/>
          <w:sz w:val="24"/>
        </w:rPr>
        <w:t xml:space="preserve"> </w:t>
      </w:r>
      <w:r w:rsidRPr="005E0CCC">
        <w:rPr>
          <w:rFonts w:ascii="Calibri" w:hAnsi="Calibri"/>
          <w:sz w:val="24"/>
        </w:rPr>
        <w:t xml:space="preserve">A third </w:t>
      </w:r>
      <w:r w:rsidR="000C3B31">
        <w:rPr>
          <w:rFonts w:ascii="Calibri" w:hAnsi="Calibri"/>
          <w:sz w:val="24"/>
        </w:rPr>
        <w:t>FSN</w:t>
      </w:r>
      <w:r w:rsidRPr="005E0CCC">
        <w:rPr>
          <w:rFonts w:ascii="Calibri" w:hAnsi="Calibri"/>
          <w:sz w:val="24"/>
        </w:rPr>
        <w:t xml:space="preserve"> in Mirra</w:t>
      </w:r>
      <w:r w:rsidR="00FA2D68">
        <w:rPr>
          <w:rFonts w:ascii="Calibri" w:hAnsi="Calibri"/>
          <w:sz w:val="24"/>
        </w:rPr>
        <w:t>booka is also being established</w:t>
      </w:r>
      <w:r w:rsidRPr="005E0CCC">
        <w:rPr>
          <w:rFonts w:ascii="Calibri" w:hAnsi="Calibri"/>
          <w:sz w:val="24"/>
        </w:rPr>
        <w:t xml:space="preserve"> and should commence operations in 2014.</w:t>
      </w:r>
    </w:p>
    <w:p w:rsidR="000C3B31" w:rsidRDefault="000C3B31" w:rsidP="005E0CCC">
      <w:pPr>
        <w:rPr>
          <w:rFonts w:ascii="Calibri" w:hAnsi="Calibri"/>
          <w:sz w:val="24"/>
        </w:rPr>
      </w:pPr>
    </w:p>
    <w:p w:rsidR="005E0CCC" w:rsidRDefault="000C3B31" w:rsidP="005E0CCC">
      <w:pPr>
        <w:rPr>
          <w:rFonts w:ascii="Calibri" w:hAnsi="Calibri"/>
          <w:sz w:val="24"/>
        </w:rPr>
      </w:pPr>
      <w:r w:rsidRPr="000C3B31">
        <w:rPr>
          <w:rFonts w:ascii="Calibri" w:hAnsi="Calibri"/>
          <w:sz w:val="24"/>
        </w:rPr>
        <w:t xml:space="preserve">CPFS is working with the Community Sector Roundtable (CSR) to </w:t>
      </w:r>
      <w:r w:rsidR="00463933">
        <w:rPr>
          <w:rFonts w:ascii="Calibri" w:hAnsi="Calibri"/>
          <w:sz w:val="24"/>
        </w:rPr>
        <w:t xml:space="preserve">support the </w:t>
      </w:r>
      <w:r w:rsidRPr="000C3B31">
        <w:rPr>
          <w:rFonts w:ascii="Calibri" w:hAnsi="Calibri"/>
          <w:sz w:val="24"/>
        </w:rPr>
        <w:t>implement</w:t>
      </w:r>
      <w:r w:rsidR="00463933">
        <w:rPr>
          <w:rFonts w:ascii="Calibri" w:hAnsi="Calibri"/>
          <w:sz w:val="24"/>
        </w:rPr>
        <w:t>ation of</w:t>
      </w:r>
      <w:r w:rsidRPr="000C3B31">
        <w:rPr>
          <w:rFonts w:ascii="Calibri" w:hAnsi="Calibri"/>
          <w:sz w:val="24"/>
        </w:rPr>
        <w:t xml:space="preserve"> FSNs across WA. The CSR is an advisory body that reports directly to the CPFS’s Director General. It fosters positive and effective working relationships between the department and the community sector and provides advice on policy and practice with regard to funding arrangements in relation to child protection, children and young people in care and individual and family support services.</w:t>
      </w:r>
    </w:p>
    <w:p w:rsidR="000C3B31" w:rsidRPr="005E0CCC" w:rsidRDefault="000C3B31" w:rsidP="005E0CCC">
      <w:pPr>
        <w:rPr>
          <w:rFonts w:ascii="Calibri" w:hAnsi="Calibri"/>
          <w:sz w:val="24"/>
        </w:rPr>
      </w:pPr>
    </w:p>
    <w:p w:rsidR="005E0CCC" w:rsidRDefault="00A568F9" w:rsidP="005E0CCC">
      <w:pPr>
        <w:rPr>
          <w:rFonts w:ascii="Calibri" w:hAnsi="Calibri"/>
          <w:sz w:val="24"/>
        </w:rPr>
      </w:pPr>
      <w:r>
        <w:rPr>
          <w:rFonts w:ascii="Calibri" w:hAnsi="Calibri"/>
          <w:sz w:val="24"/>
        </w:rPr>
        <w:t>CFCs</w:t>
      </w:r>
      <w:r w:rsidR="005E0CCC" w:rsidRPr="005E0CCC">
        <w:rPr>
          <w:rFonts w:ascii="Calibri" w:hAnsi="Calibri"/>
          <w:sz w:val="24"/>
        </w:rPr>
        <w:t xml:space="preserve"> and Child and Parent Centres operated by </w:t>
      </w:r>
      <w:r w:rsidR="00C8305C">
        <w:rPr>
          <w:rFonts w:ascii="Calibri" w:hAnsi="Calibri"/>
          <w:sz w:val="24"/>
        </w:rPr>
        <w:t>community sector</w:t>
      </w:r>
      <w:r w:rsidR="005E0CCC" w:rsidRPr="005E0CCC">
        <w:rPr>
          <w:rFonts w:ascii="Calibri" w:hAnsi="Calibri"/>
          <w:sz w:val="24"/>
        </w:rPr>
        <w:t xml:space="preserve"> organisations are procured through </w:t>
      </w:r>
      <w:proofErr w:type="spellStart"/>
      <w:r w:rsidR="005E0CCC" w:rsidRPr="005E0CCC">
        <w:rPr>
          <w:rFonts w:ascii="Calibri" w:hAnsi="Calibri"/>
          <w:sz w:val="24"/>
        </w:rPr>
        <w:t>TendersWA</w:t>
      </w:r>
      <w:proofErr w:type="spellEnd"/>
      <w:r w:rsidR="005E0CCC" w:rsidRPr="005E0CCC">
        <w:rPr>
          <w:rFonts w:ascii="Calibri" w:hAnsi="Calibri"/>
          <w:sz w:val="24"/>
        </w:rPr>
        <w:t>.</w:t>
      </w:r>
      <w:r w:rsidR="00D26B57">
        <w:rPr>
          <w:rFonts w:ascii="Calibri" w:hAnsi="Calibri"/>
          <w:sz w:val="24"/>
        </w:rPr>
        <w:t xml:space="preserve"> </w:t>
      </w:r>
      <w:r w:rsidR="005E0CCC" w:rsidRPr="005E0CCC">
        <w:rPr>
          <w:rFonts w:ascii="Calibri" w:hAnsi="Calibri"/>
          <w:sz w:val="24"/>
        </w:rPr>
        <w:t>These organisations work in partnership with the schooling sector and government to strengthen community engagement in programs and services to enhance the developmental outcomes of the children.</w:t>
      </w:r>
      <w:r w:rsidR="00A43557">
        <w:rPr>
          <w:rFonts w:ascii="Calibri" w:hAnsi="Calibri"/>
          <w:sz w:val="24"/>
        </w:rPr>
        <w:t xml:space="preserve"> </w:t>
      </w:r>
    </w:p>
    <w:p w:rsidR="004B02E7" w:rsidRDefault="004B02E7" w:rsidP="00D92BEA">
      <w:pPr>
        <w:pStyle w:val="Heading4"/>
      </w:pPr>
      <w:r w:rsidRPr="004B02E7">
        <w:t>Other Supporting Actions</w:t>
      </w:r>
    </w:p>
    <w:p w:rsidR="000C3B31" w:rsidRPr="000C3B31" w:rsidRDefault="000C3B31" w:rsidP="000C3B31">
      <w:pPr>
        <w:rPr>
          <w:rFonts w:ascii="Calibri" w:hAnsi="Calibri"/>
          <w:sz w:val="24"/>
        </w:rPr>
      </w:pPr>
      <w:r w:rsidRPr="000C3B31">
        <w:rPr>
          <w:rFonts w:ascii="Calibri" w:hAnsi="Calibri"/>
          <w:sz w:val="24"/>
        </w:rPr>
        <w:t xml:space="preserve">A second phase of a </w:t>
      </w:r>
      <w:proofErr w:type="spellStart"/>
      <w:r w:rsidR="004B3C86">
        <w:rPr>
          <w:rFonts w:ascii="Calibri" w:hAnsi="Calibri"/>
          <w:sz w:val="24"/>
        </w:rPr>
        <w:t>s</w:t>
      </w:r>
      <w:r w:rsidRPr="000C3B31">
        <w:rPr>
          <w:rFonts w:ascii="Calibri" w:hAnsi="Calibri"/>
          <w:sz w:val="24"/>
        </w:rPr>
        <w:t>tatewide</w:t>
      </w:r>
      <w:proofErr w:type="spellEnd"/>
      <w:r w:rsidRPr="000C3B31">
        <w:rPr>
          <w:rFonts w:ascii="Calibri" w:hAnsi="Calibri"/>
          <w:sz w:val="24"/>
        </w:rPr>
        <w:t xml:space="preserve"> advertising campaign designed for Aboriginal people and communities</w:t>
      </w:r>
      <w:r w:rsidR="004B3C86">
        <w:rPr>
          <w:rFonts w:ascii="Calibri" w:hAnsi="Calibri"/>
          <w:sz w:val="24"/>
        </w:rPr>
        <w:t>,</w:t>
      </w:r>
      <w:r w:rsidRPr="000C3B31">
        <w:rPr>
          <w:rFonts w:ascii="Calibri" w:hAnsi="Calibri"/>
          <w:sz w:val="24"/>
        </w:rPr>
        <w:t xml:space="preserve"> to raise awareness about alcohol use during pregnancy, was undertaken in September to coincide with International </w:t>
      </w:r>
      <w:proofErr w:type="spellStart"/>
      <w:r w:rsidRPr="000C3B31">
        <w:rPr>
          <w:rFonts w:ascii="Calibri" w:hAnsi="Calibri"/>
          <w:sz w:val="24"/>
        </w:rPr>
        <w:t>Fetal</w:t>
      </w:r>
      <w:proofErr w:type="spellEnd"/>
      <w:r w:rsidRPr="000C3B31">
        <w:rPr>
          <w:rFonts w:ascii="Calibri" w:hAnsi="Calibri"/>
          <w:sz w:val="24"/>
        </w:rPr>
        <w:t xml:space="preserve"> Alcohol Spectrum Disorders Awareness Day.</w:t>
      </w:r>
      <w:r w:rsidR="00A973E8">
        <w:rPr>
          <w:rFonts w:ascii="Calibri" w:hAnsi="Calibri"/>
          <w:sz w:val="24"/>
        </w:rPr>
        <w:t xml:space="preserve"> </w:t>
      </w:r>
      <w:r w:rsidRPr="000C3B31">
        <w:rPr>
          <w:rFonts w:ascii="Calibri" w:hAnsi="Calibri"/>
          <w:sz w:val="24"/>
        </w:rPr>
        <w:t>The campaign is part of the Strong Spirit Strong Future:</w:t>
      </w:r>
      <w:r w:rsidR="004B3C86">
        <w:rPr>
          <w:rFonts w:ascii="Calibri" w:hAnsi="Calibri"/>
          <w:sz w:val="24"/>
        </w:rPr>
        <w:t xml:space="preserve"> </w:t>
      </w:r>
      <w:r w:rsidRPr="000C3B31">
        <w:rPr>
          <w:rFonts w:ascii="Calibri" w:hAnsi="Calibri"/>
          <w:sz w:val="24"/>
        </w:rPr>
        <w:t>Promoting Health</w:t>
      </w:r>
      <w:r w:rsidR="004B3C86">
        <w:rPr>
          <w:rFonts w:ascii="Calibri" w:hAnsi="Calibri"/>
          <w:sz w:val="24"/>
        </w:rPr>
        <w:t>y</w:t>
      </w:r>
      <w:r w:rsidRPr="000C3B31">
        <w:rPr>
          <w:rFonts w:ascii="Calibri" w:hAnsi="Calibri"/>
          <w:sz w:val="24"/>
        </w:rPr>
        <w:t xml:space="preserve"> Women and </w:t>
      </w:r>
      <w:r w:rsidR="004B3C86" w:rsidRPr="000C3B31">
        <w:rPr>
          <w:rFonts w:ascii="Calibri" w:hAnsi="Calibri"/>
          <w:sz w:val="24"/>
        </w:rPr>
        <w:t>Pregnancies</w:t>
      </w:r>
      <w:r w:rsidRPr="000C3B31">
        <w:rPr>
          <w:rFonts w:ascii="Calibri" w:hAnsi="Calibri"/>
          <w:sz w:val="24"/>
        </w:rPr>
        <w:t xml:space="preserve"> Project.</w:t>
      </w:r>
      <w:r w:rsidR="00A973E8">
        <w:rPr>
          <w:rFonts w:ascii="Calibri" w:hAnsi="Calibri"/>
          <w:sz w:val="24"/>
        </w:rPr>
        <w:t xml:space="preserve"> </w:t>
      </w:r>
      <w:r w:rsidRPr="000C3B31">
        <w:rPr>
          <w:rFonts w:ascii="Calibri" w:hAnsi="Calibri"/>
          <w:sz w:val="24"/>
        </w:rPr>
        <w:t xml:space="preserve">The campaign, consisting of television and radio advertisements, promotes a clear message that the safest thing to do when pregnant, planning a pregnancy or breastfeeding is not to drink alcohol. The campaign also highlights that partners, family and community all have a role in supporting women to have a healthy pregnancy. </w:t>
      </w:r>
    </w:p>
    <w:p w:rsidR="000C3B31" w:rsidRPr="000C3B31" w:rsidRDefault="000C3B31" w:rsidP="000C3B31">
      <w:pPr>
        <w:rPr>
          <w:rFonts w:ascii="Calibri" w:hAnsi="Calibri"/>
          <w:sz w:val="24"/>
        </w:rPr>
      </w:pPr>
    </w:p>
    <w:p w:rsidR="005E0CCC" w:rsidRDefault="004B3C86" w:rsidP="00B1265D">
      <w:pPr>
        <w:rPr>
          <w:rFonts w:ascii="Calibri" w:hAnsi="Calibri"/>
          <w:sz w:val="24"/>
        </w:rPr>
      </w:pPr>
      <w:r>
        <w:rPr>
          <w:rFonts w:ascii="Calibri" w:hAnsi="Calibri"/>
          <w:sz w:val="24"/>
        </w:rPr>
        <w:t>T</w:t>
      </w:r>
      <w:r w:rsidR="000C3B31" w:rsidRPr="000C3B31">
        <w:rPr>
          <w:rFonts w:ascii="Calibri" w:hAnsi="Calibri"/>
          <w:sz w:val="24"/>
        </w:rPr>
        <w:t>he Project consists of prevention campaigns, culturally secure resources and workforce development</w:t>
      </w:r>
      <w:r>
        <w:rPr>
          <w:rFonts w:ascii="Calibri" w:hAnsi="Calibri"/>
          <w:sz w:val="24"/>
        </w:rPr>
        <w:t>. An evaluation</w:t>
      </w:r>
      <w:r w:rsidR="000C3B31" w:rsidRPr="000C3B31">
        <w:rPr>
          <w:rFonts w:ascii="Calibri" w:hAnsi="Calibri"/>
          <w:sz w:val="24"/>
        </w:rPr>
        <w:t xml:space="preserve"> is being undertaken.</w:t>
      </w:r>
    </w:p>
    <w:p w:rsidR="00571D0A" w:rsidRDefault="00571D0A" w:rsidP="00B1265D">
      <w:pPr>
        <w:rPr>
          <w:rFonts w:ascii="Calibri" w:hAnsi="Calibri"/>
          <w:sz w:val="24"/>
        </w:rPr>
      </w:pPr>
    </w:p>
    <w:p w:rsidR="005E0CCC" w:rsidRDefault="005E0CCC" w:rsidP="00B1265D">
      <w:pPr>
        <w:rPr>
          <w:rFonts w:ascii="Calibri" w:hAnsi="Calibri"/>
          <w:sz w:val="24"/>
        </w:rPr>
      </w:pPr>
      <w:r w:rsidRPr="005E0CCC">
        <w:rPr>
          <w:rFonts w:ascii="Calibri" w:hAnsi="Calibri"/>
          <w:sz w:val="24"/>
        </w:rPr>
        <w:t>CPFS is developing policy about supporting victims of family and domestic violence in the workplace.</w:t>
      </w:r>
    </w:p>
    <w:p w:rsidR="00AC7977" w:rsidRPr="00247650" w:rsidRDefault="007D1D19" w:rsidP="00247650">
      <w:pPr>
        <w:pStyle w:val="Heading2"/>
      </w:pPr>
      <w:bookmarkStart w:id="101" w:name="_Toc400007709"/>
      <w:bookmarkStart w:id="102" w:name="_Toc400711476"/>
      <w:r w:rsidRPr="00247650">
        <w:t>Measuring progress</w:t>
      </w:r>
      <w:bookmarkEnd w:id="101"/>
      <w:bookmarkEnd w:id="102"/>
    </w:p>
    <w:p w:rsidR="000B29AC" w:rsidRDefault="000B29AC" w:rsidP="00084FFD">
      <w:pPr>
        <w:pStyle w:val="Heading3"/>
      </w:pPr>
      <w:bookmarkStart w:id="103" w:name="_Toc400007710"/>
      <w:r>
        <w:t>Family functioning</w:t>
      </w:r>
      <w:bookmarkEnd w:id="103"/>
    </w:p>
    <w:p w:rsidR="000B29AC" w:rsidRPr="00706368" w:rsidRDefault="000B29AC" w:rsidP="004B3342">
      <w:pPr>
        <w:pStyle w:val="Heading4a"/>
      </w:pPr>
      <w:r w:rsidRPr="00706368">
        <w:t>Indicator 1.1: Proportion of families who report ‘good’, ‘very good’ or ‘excellent’ family cohesion</w:t>
      </w:r>
    </w:p>
    <w:p w:rsidR="000B29AC" w:rsidRDefault="000B29AC" w:rsidP="000B29AC">
      <w:pPr>
        <w:rPr>
          <w:rFonts w:ascii="Calibri" w:hAnsi="Calibri" w:cs="Calibri"/>
          <w:sz w:val="24"/>
          <w:szCs w:val="24"/>
          <w:lang w:eastAsia="en-AU"/>
        </w:rPr>
      </w:pPr>
    </w:p>
    <w:p w:rsidR="000B29AC" w:rsidRDefault="000B29AC" w:rsidP="000B29AC">
      <w:pPr>
        <w:rPr>
          <w:rFonts w:ascii="Calibri" w:hAnsi="Calibri" w:cs="Calibri"/>
          <w:sz w:val="24"/>
          <w:szCs w:val="24"/>
          <w:lang w:eastAsia="en-AU"/>
        </w:rPr>
      </w:pPr>
      <w:r w:rsidRPr="00CD2EF5">
        <w:rPr>
          <w:rFonts w:ascii="Calibri" w:hAnsi="Calibri" w:cs="Calibri"/>
          <w:sz w:val="24"/>
          <w:szCs w:val="24"/>
          <w:lang w:eastAsia="en-AU"/>
        </w:rPr>
        <w:t>Family functioning relates to a family’s ability to interact, communicate, make decisions, solve problems and maintain relationships with each other. Benefits for young people living in strong and stable families include having positive role models for building relationships, the ability to cope with change and stressful life events, and higher self-esteem (</w:t>
      </w:r>
      <w:proofErr w:type="spellStart"/>
      <w:r w:rsidRPr="00CD2EF5">
        <w:rPr>
          <w:rFonts w:ascii="Calibri" w:hAnsi="Calibri" w:cs="Calibri"/>
          <w:sz w:val="24"/>
          <w:szCs w:val="24"/>
          <w:lang w:eastAsia="en-AU"/>
        </w:rPr>
        <w:t>Geggie</w:t>
      </w:r>
      <w:proofErr w:type="spellEnd"/>
      <w:r w:rsidR="00047893">
        <w:rPr>
          <w:rFonts w:ascii="Calibri" w:hAnsi="Calibri" w:cs="Calibri"/>
          <w:sz w:val="24"/>
          <w:szCs w:val="24"/>
          <w:lang w:eastAsia="en-AU"/>
        </w:rPr>
        <w:t xml:space="preserve">, </w:t>
      </w:r>
      <w:proofErr w:type="spellStart"/>
      <w:r w:rsidR="00047893">
        <w:rPr>
          <w:rFonts w:ascii="Calibri" w:hAnsi="Calibri" w:cs="Calibri"/>
          <w:sz w:val="24"/>
          <w:szCs w:val="24"/>
          <w:lang w:eastAsia="en-AU"/>
        </w:rPr>
        <w:t>DeFrain</w:t>
      </w:r>
      <w:proofErr w:type="spellEnd"/>
      <w:r w:rsidR="00047893">
        <w:rPr>
          <w:rFonts w:ascii="Calibri" w:hAnsi="Calibri" w:cs="Calibri"/>
          <w:sz w:val="24"/>
          <w:szCs w:val="24"/>
          <w:lang w:eastAsia="en-AU"/>
        </w:rPr>
        <w:t xml:space="preserve"> &amp; Hitchcock</w:t>
      </w:r>
      <w:r w:rsidRPr="00CD2EF5">
        <w:rPr>
          <w:rFonts w:ascii="Calibri" w:hAnsi="Calibri" w:cs="Calibri"/>
          <w:sz w:val="24"/>
          <w:szCs w:val="24"/>
          <w:lang w:eastAsia="en-AU"/>
        </w:rPr>
        <w:t xml:space="preserve"> 2000; </w:t>
      </w:r>
      <w:proofErr w:type="spellStart"/>
      <w:r w:rsidRPr="00CD2EF5">
        <w:rPr>
          <w:rFonts w:ascii="Calibri" w:hAnsi="Calibri" w:cs="Calibri"/>
          <w:sz w:val="24"/>
          <w:szCs w:val="24"/>
          <w:lang w:eastAsia="en-AU"/>
        </w:rPr>
        <w:t>Shek</w:t>
      </w:r>
      <w:proofErr w:type="spellEnd"/>
      <w:r w:rsidRPr="00CD2EF5">
        <w:rPr>
          <w:rFonts w:ascii="Calibri" w:hAnsi="Calibri" w:cs="Calibri"/>
          <w:sz w:val="24"/>
          <w:szCs w:val="24"/>
          <w:lang w:eastAsia="en-AU"/>
        </w:rPr>
        <w:t xml:space="preserve"> 2002). </w:t>
      </w:r>
    </w:p>
    <w:p w:rsidR="000B29AC" w:rsidRPr="00CD2EF5" w:rsidRDefault="000B29AC" w:rsidP="000B29AC">
      <w:pPr>
        <w:rPr>
          <w:rFonts w:ascii="Calibri" w:hAnsi="Calibri" w:cs="Calibri"/>
          <w:sz w:val="24"/>
          <w:szCs w:val="24"/>
          <w:lang w:eastAsia="en-AU"/>
        </w:rPr>
      </w:pPr>
    </w:p>
    <w:p w:rsidR="000B29AC" w:rsidRDefault="000B29AC" w:rsidP="000B29AC">
      <w:pPr>
        <w:rPr>
          <w:rFonts w:ascii="Calibri" w:hAnsi="Calibri" w:cs="Calibri"/>
          <w:sz w:val="24"/>
          <w:szCs w:val="24"/>
          <w:lang w:eastAsia="en-AU"/>
        </w:rPr>
      </w:pPr>
      <w:r w:rsidRPr="00CD2EF5">
        <w:rPr>
          <w:rFonts w:ascii="Calibri" w:hAnsi="Calibri" w:cs="Calibri"/>
          <w:sz w:val="24"/>
          <w:szCs w:val="24"/>
          <w:lang w:eastAsia="en-AU"/>
        </w:rPr>
        <w:t xml:space="preserve">There are currently no national data available on a single overarching measure of family functioning. However, national data are available on specific components of family functioning, such as family cohesion, which </w:t>
      </w:r>
      <w:r>
        <w:rPr>
          <w:rFonts w:ascii="Calibri" w:hAnsi="Calibri" w:cs="Calibri"/>
          <w:sz w:val="24"/>
          <w:szCs w:val="24"/>
          <w:lang w:eastAsia="en-AU"/>
        </w:rPr>
        <w:t>captures</w:t>
      </w:r>
      <w:r w:rsidRPr="00CD2EF5">
        <w:rPr>
          <w:rFonts w:ascii="Calibri" w:hAnsi="Calibri" w:cs="Calibri"/>
          <w:sz w:val="24"/>
          <w:szCs w:val="24"/>
          <w:lang w:eastAsia="en-AU"/>
        </w:rPr>
        <w:t xml:space="preserve"> the ability of the family to get along with one another. Growing Up in Australia: the Longitudinal Study of Australian Children (LSAC) measured family cohesion </w:t>
      </w:r>
      <w:r>
        <w:rPr>
          <w:rFonts w:ascii="Calibri" w:hAnsi="Calibri" w:cs="Calibri"/>
          <w:sz w:val="24"/>
          <w:szCs w:val="24"/>
          <w:lang w:eastAsia="en-AU"/>
        </w:rPr>
        <w:t>among</w:t>
      </w:r>
      <w:r w:rsidRPr="00CD2EF5">
        <w:rPr>
          <w:rFonts w:ascii="Calibri" w:hAnsi="Calibri" w:cs="Calibri"/>
          <w:sz w:val="24"/>
          <w:szCs w:val="24"/>
          <w:lang w:eastAsia="en-AU"/>
        </w:rPr>
        <w:t xml:space="preserve"> families of two cohorts of children</w:t>
      </w:r>
      <w:r w:rsidR="001A50D3">
        <w:rPr>
          <w:rFonts w:ascii="Calibri" w:hAnsi="Calibri" w:cs="Calibri"/>
          <w:sz w:val="24"/>
          <w:szCs w:val="24"/>
          <w:lang w:eastAsia="en-AU"/>
        </w:rPr>
        <w:t xml:space="preserve">, </w:t>
      </w:r>
      <w:r w:rsidRPr="00CD2EF5">
        <w:rPr>
          <w:rFonts w:ascii="Calibri" w:hAnsi="Calibri" w:cs="Calibri"/>
          <w:sz w:val="24"/>
          <w:szCs w:val="24"/>
          <w:lang w:eastAsia="en-AU"/>
        </w:rPr>
        <w:t>one aged 6</w:t>
      </w:r>
      <w:r w:rsidR="00945F81">
        <w:rPr>
          <w:rFonts w:ascii="Calibri" w:hAnsi="Calibri" w:cs="Calibri"/>
          <w:sz w:val="24"/>
          <w:szCs w:val="24"/>
          <w:lang w:eastAsia="en-AU"/>
        </w:rPr>
        <w:t xml:space="preserve"> to </w:t>
      </w:r>
      <w:r w:rsidRPr="00CD2EF5">
        <w:rPr>
          <w:rFonts w:ascii="Calibri" w:hAnsi="Calibri" w:cs="Calibri"/>
          <w:sz w:val="24"/>
          <w:szCs w:val="24"/>
          <w:lang w:eastAsia="en-AU"/>
        </w:rPr>
        <w:t>7 (birth cohort) and the other aged 10</w:t>
      </w:r>
      <w:r w:rsidR="00945F81">
        <w:rPr>
          <w:rFonts w:ascii="Calibri" w:hAnsi="Calibri" w:cs="Calibri"/>
          <w:sz w:val="24"/>
          <w:szCs w:val="24"/>
          <w:lang w:eastAsia="en-AU"/>
        </w:rPr>
        <w:t xml:space="preserve"> to </w:t>
      </w:r>
      <w:r w:rsidRPr="00CD2EF5">
        <w:rPr>
          <w:rFonts w:ascii="Calibri" w:hAnsi="Calibri" w:cs="Calibri"/>
          <w:sz w:val="24"/>
          <w:szCs w:val="24"/>
          <w:lang w:eastAsia="en-AU"/>
        </w:rPr>
        <w:t>11 (kinder cohort</w:t>
      </w:r>
      <w:r w:rsidR="001A50D3" w:rsidRPr="00CD2EF5">
        <w:rPr>
          <w:rFonts w:ascii="Calibri" w:hAnsi="Calibri" w:cs="Calibri"/>
          <w:sz w:val="24"/>
          <w:szCs w:val="24"/>
          <w:lang w:eastAsia="en-AU"/>
        </w:rPr>
        <w:t>)</w:t>
      </w:r>
      <w:r w:rsidR="001A50D3">
        <w:rPr>
          <w:rFonts w:ascii="Calibri" w:hAnsi="Calibri" w:cs="Calibri"/>
          <w:sz w:val="24"/>
          <w:szCs w:val="24"/>
          <w:lang w:eastAsia="en-AU"/>
        </w:rPr>
        <w:t xml:space="preserve">, </w:t>
      </w:r>
      <w:r w:rsidRPr="00CD2EF5">
        <w:rPr>
          <w:rFonts w:ascii="Calibri" w:hAnsi="Calibri" w:cs="Calibri"/>
          <w:sz w:val="24"/>
          <w:szCs w:val="24"/>
          <w:lang w:eastAsia="en-AU"/>
        </w:rPr>
        <w:t>in 2010–11 (Wave 4).</w:t>
      </w:r>
    </w:p>
    <w:p w:rsidR="000B29AC" w:rsidRPr="00CD2EF5" w:rsidRDefault="000B29AC" w:rsidP="000B29AC">
      <w:pPr>
        <w:rPr>
          <w:rFonts w:ascii="Calibri" w:hAnsi="Calibri" w:cs="Calibri"/>
          <w:sz w:val="24"/>
          <w:szCs w:val="24"/>
          <w:lang w:eastAsia="en-AU"/>
        </w:rPr>
      </w:pPr>
    </w:p>
    <w:p w:rsidR="000B29AC" w:rsidRDefault="000B29AC" w:rsidP="000B29AC">
      <w:pPr>
        <w:rPr>
          <w:rFonts w:ascii="Calibri" w:hAnsi="Calibri" w:cs="Calibri"/>
          <w:sz w:val="24"/>
          <w:szCs w:val="24"/>
          <w:lang w:eastAsia="en-AU"/>
        </w:rPr>
      </w:pPr>
      <w:r>
        <w:rPr>
          <w:rFonts w:ascii="Calibri" w:hAnsi="Calibri" w:cs="Calibri"/>
          <w:sz w:val="24"/>
          <w:szCs w:val="24"/>
          <w:lang w:eastAsia="en-AU"/>
        </w:rPr>
        <w:t>In 2010</w:t>
      </w:r>
      <w:r w:rsidRPr="00123661">
        <w:rPr>
          <w:rFonts w:ascii="Calibri" w:hAnsi="Calibri" w:cs="Calibri"/>
          <w:sz w:val="24"/>
          <w:szCs w:val="24"/>
          <w:lang w:eastAsia="en-AU"/>
        </w:rPr>
        <w:t>–11</w:t>
      </w:r>
      <w:r w:rsidRPr="00CD2EF5">
        <w:rPr>
          <w:rFonts w:ascii="Calibri" w:hAnsi="Calibri" w:cs="Calibri"/>
          <w:sz w:val="24"/>
          <w:szCs w:val="24"/>
          <w:lang w:eastAsia="en-AU"/>
        </w:rPr>
        <w:t>, family cohesion was reported to be ‘good’, ‘very good’ or ‘excellent’ in the vast majority of families of both cohorts</w:t>
      </w:r>
      <w:r>
        <w:rPr>
          <w:rFonts w:ascii="Calibri" w:hAnsi="Calibri" w:cs="Calibri"/>
          <w:sz w:val="24"/>
          <w:szCs w:val="24"/>
          <w:lang w:eastAsia="en-AU"/>
        </w:rPr>
        <w:t xml:space="preserve"> of children</w:t>
      </w:r>
      <w:r w:rsidRPr="00CD2EF5">
        <w:rPr>
          <w:rFonts w:ascii="Calibri" w:hAnsi="Calibri" w:cs="Calibri"/>
          <w:sz w:val="24"/>
          <w:szCs w:val="24"/>
          <w:lang w:eastAsia="en-AU"/>
        </w:rPr>
        <w:t>—91</w:t>
      </w:r>
      <w:r>
        <w:rPr>
          <w:rFonts w:ascii="Calibri" w:hAnsi="Calibri" w:cs="Calibri"/>
          <w:sz w:val="24"/>
          <w:szCs w:val="24"/>
          <w:lang w:eastAsia="en-AU"/>
        </w:rPr>
        <w:t xml:space="preserve"> per cent</w:t>
      </w:r>
      <w:r w:rsidRPr="00CD2EF5">
        <w:rPr>
          <w:rFonts w:ascii="Calibri" w:hAnsi="Calibri" w:cs="Calibri"/>
          <w:sz w:val="24"/>
          <w:szCs w:val="24"/>
          <w:lang w:eastAsia="en-AU"/>
        </w:rPr>
        <w:t xml:space="preserve"> for the birth cohort and 90</w:t>
      </w:r>
      <w:r>
        <w:rPr>
          <w:rFonts w:ascii="Calibri" w:hAnsi="Calibri" w:cs="Calibri"/>
          <w:sz w:val="24"/>
          <w:szCs w:val="24"/>
          <w:lang w:eastAsia="en-AU"/>
        </w:rPr>
        <w:t xml:space="preserve"> per cent</w:t>
      </w:r>
      <w:r w:rsidRPr="00CD2EF5">
        <w:rPr>
          <w:rFonts w:ascii="Calibri" w:hAnsi="Calibri" w:cs="Calibri"/>
          <w:sz w:val="24"/>
          <w:szCs w:val="24"/>
          <w:lang w:eastAsia="en-AU"/>
        </w:rPr>
        <w:t xml:space="preserve"> for the kinder cohort families. The remainder of families reported ‘fair’ or ‘poor’ family cohesion. A higher proportion of couple families reported high levels of family cohesion. Among couple families, 93</w:t>
      </w:r>
      <w:r>
        <w:rPr>
          <w:rFonts w:ascii="Calibri" w:hAnsi="Calibri" w:cs="Calibri"/>
          <w:sz w:val="24"/>
          <w:szCs w:val="24"/>
          <w:lang w:eastAsia="en-AU"/>
        </w:rPr>
        <w:t xml:space="preserve"> per cent</w:t>
      </w:r>
      <w:r w:rsidRPr="00CD2EF5">
        <w:rPr>
          <w:rFonts w:ascii="Calibri" w:hAnsi="Calibri" w:cs="Calibri"/>
          <w:sz w:val="24"/>
          <w:szCs w:val="24"/>
          <w:lang w:eastAsia="en-AU"/>
        </w:rPr>
        <w:t xml:space="preserve"> of the birth cohort and 91</w:t>
      </w:r>
      <w:r>
        <w:rPr>
          <w:rFonts w:ascii="Calibri" w:hAnsi="Calibri" w:cs="Calibri"/>
          <w:sz w:val="24"/>
          <w:szCs w:val="24"/>
          <w:lang w:eastAsia="en-AU"/>
        </w:rPr>
        <w:t xml:space="preserve"> per cent</w:t>
      </w:r>
      <w:r w:rsidRPr="00CD2EF5">
        <w:rPr>
          <w:rFonts w:ascii="Calibri" w:hAnsi="Calibri" w:cs="Calibri"/>
          <w:sz w:val="24"/>
          <w:szCs w:val="24"/>
          <w:lang w:eastAsia="en-AU"/>
        </w:rPr>
        <w:t xml:space="preserve"> of the kinder cohort families reported ‘good’ to ‘excellent’ family cohesion, compared with 83 and 81</w:t>
      </w:r>
      <w:r>
        <w:rPr>
          <w:rFonts w:ascii="Calibri" w:hAnsi="Calibri" w:cs="Calibri"/>
          <w:sz w:val="24"/>
          <w:szCs w:val="24"/>
          <w:lang w:eastAsia="en-AU"/>
        </w:rPr>
        <w:t xml:space="preserve"> per cent</w:t>
      </w:r>
      <w:r w:rsidRPr="00CD2EF5">
        <w:rPr>
          <w:rFonts w:ascii="Calibri" w:hAnsi="Calibri" w:cs="Calibri"/>
          <w:sz w:val="24"/>
          <w:szCs w:val="24"/>
          <w:lang w:eastAsia="en-AU"/>
        </w:rPr>
        <w:t xml:space="preserve"> of one-parent families respectively.</w:t>
      </w:r>
    </w:p>
    <w:p w:rsidR="00871647" w:rsidRDefault="00871647">
      <w:pPr>
        <w:rPr>
          <w:rFonts w:ascii="Arial" w:hAnsi="Arial"/>
          <w:b/>
        </w:rPr>
      </w:pPr>
    </w:p>
    <w:p w:rsidR="000B29AC" w:rsidRPr="00821556" w:rsidRDefault="005C08DD" w:rsidP="00C73C17">
      <w:pPr>
        <w:pStyle w:val="Figure"/>
        <w:ind w:right="2527"/>
      </w:pPr>
      <w:bookmarkStart w:id="104" w:name="_Toc400010296"/>
      <w:r>
        <w:t xml:space="preserve">Table </w:t>
      </w:r>
      <w:fldSimple w:instr=" SEQ Table \* ARABIC ">
        <w:r w:rsidR="00BF1EC9">
          <w:rPr>
            <w:noProof/>
          </w:rPr>
          <w:t>10</w:t>
        </w:r>
      </w:fldSimple>
      <w:r>
        <w:t xml:space="preserve">: </w:t>
      </w:r>
      <w:r w:rsidRPr="0071792E">
        <w:t xml:space="preserve">Families with children </w:t>
      </w:r>
      <w:r>
        <w:t>reporting</w:t>
      </w:r>
      <w:r w:rsidRPr="0071792E">
        <w:t xml:space="preserve"> good, very good or excellent family cohesion, 2010–11</w:t>
      </w:r>
      <w:bookmarkEnd w:id="104"/>
    </w:p>
    <w:tbl>
      <w:tblPr>
        <w:tblW w:w="4163" w:type="pct"/>
        <w:tblLook w:val="04A0" w:firstRow="1" w:lastRow="0" w:firstColumn="1" w:lastColumn="0" w:noHBand="0" w:noVBand="1"/>
        <w:tblDescription w:val="Table 10: Families with children reporting good, very good or excellent family cohesion, 2010–11, by one parent families, couple families and all families for child cohorts 6-7 years and 10-11 years."/>
      </w:tblPr>
      <w:tblGrid>
        <w:gridCol w:w="2087"/>
        <w:gridCol w:w="1135"/>
        <w:gridCol w:w="1137"/>
        <w:gridCol w:w="1135"/>
        <w:gridCol w:w="1135"/>
        <w:gridCol w:w="1133"/>
        <w:gridCol w:w="1131"/>
      </w:tblGrid>
      <w:tr w:rsidR="006D3FA7" w:rsidRPr="00821556" w:rsidTr="006D3FA7">
        <w:tc>
          <w:tcPr>
            <w:tcW w:w="1174" w:type="pct"/>
            <w:tcBorders>
              <w:top w:val="single" w:sz="4" w:space="0" w:color="auto"/>
              <w:bottom w:val="single" w:sz="4" w:space="0" w:color="auto"/>
            </w:tcBorders>
            <w:shd w:val="clear" w:color="auto" w:fill="auto"/>
          </w:tcPr>
          <w:p w:rsidR="006D3FA7" w:rsidRPr="00C87565" w:rsidRDefault="006D3FA7" w:rsidP="00135409">
            <w:pPr>
              <w:keepLines/>
              <w:tabs>
                <w:tab w:val="left" w:pos="198"/>
              </w:tabs>
              <w:spacing w:before="60" w:after="60" w:line="200" w:lineRule="atLeast"/>
              <w:rPr>
                <w:rFonts w:ascii="Arial" w:hAnsi="Arial"/>
                <w:b/>
                <w:color w:val="000000"/>
                <w:sz w:val="16"/>
                <w:lang w:eastAsia="en-US"/>
              </w:rPr>
            </w:pPr>
            <w:r w:rsidRPr="00C87565">
              <w:rPr>
                <w:rFonts w:ascii="Arial" w:hAnsi="Arial"/>
                <w:b/>
                <w:color w:val="000000"/>
                <w:sz w:val="16"/>
                <w:lang w:eastAsia="en-US"/>
              </w:rPr>
              <w:t>Child cohort</w:t>
            </w:r>
          </w:p>
        </w:tc>
        <w:tc>
          <w:tcPr>
            <w:tcW w:w="638" w:type="pct"/>
            <w:tcBorders>
              <w:top w:val="single" w:sz="4" w:space="0" w:color="auto"/>
              <w:bottom w:val="single" w:sz="4" w:space="0" w:color="auto"/>
            </w:tcBorders>
            <w:shd w:val="clear" w:color="auto" w:fill="auto"/>
          </w:tcPr>
          <w:p w:rsidR="006D3FA7" w:rsidRPr="00C87565"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One parent families</w:t>
            </w:r>
            <w:r>
              <w:rPr>
                <w:rFonts w:ascii="Arial" w:hAnsi="Arial"/>
                <w:b/>
                <w:color w:val="000000"/>
                <w:sz w:val="16"/>
                <w:lang w:eastAsia="en-US"/>
              </w:rPr>
              <w:br/>
            </w:r>
            <w:r w:rsidRPr="00C87565">
              <w:rPr>
                <w:rFonts w:ascii="Arial" w:hAnsi="Arial"/>
                <w:b/>
                <w:color w:val="000000"/>
                <w:sz w:val="16"/>
                <w:lang w:eastAsia="en-US"/>
              </w:rPr>
              <w:t>Per cent</w:t>
            </w:r>
          </w:p>
        </w:tc>
        <w:tc>
          <w:tcPr>
            <w:tcW w:w="639" w:type="pct"/>
            <w:tcBorders>
              <w:top w:val="single" w:sz="4" w:space="0" w:color="auto"/>
              <w:bottom w:val="single" w:sz="4" w:space="0" w:color="auto"/>
            </w:tcBorders>
          </w:tcPr>
          <w:p w:rsidR="006D3FA7" w:rsidRPr="00C87565"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One parent families</w:t>
            </w:r>
            <w:r>
              <w:rPr>
                <w:rFonts w:ascii="Arial" w:hAnsi="Arial"/>
                <w:b/>
                <w:color w:val="000000"/>
                <w:sz w:val="16"/>
                <w:lang w:eastAsia="en-US"/>
              </w:rPr>
              <w:br/>
            </w:r>
            <w:r w:rsidRPr="00C87565">
              <w:rPr>
                <w:rFonts w:ascii="Arial" w:hAnsi="Arial"/>
                <w:b/>
                <w:color w:val="000000"/>
                <w:sz w:val="16"/>
                <w:lang w:eastAsia="en-US"/>
              </w:rPr>
              <w:t>95% CI</w:t>
            </w:r>
          </w:p>
        </w:tc>
        <w:tc>
          <w:tcPr>
            <w:tcW w:w="638" w:type="pct"/>
            <w:tcBorders>
              <w:top w:val="single" w:sz="4" w:space="0" w:color="auto"/>
              <w:bottom w:val="single" w:sz="4" w:space="0" w:color="auto"/>
            </w:tcBorders>
            <w:shd w:val="clear" w:color="auto" w:fill="auto"/>
          </w:tcPr>
          <w:p w:rsidR="006D3FA7" w:rsidRPr="00C87565"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Couple families</w:t>
            </w:r>
            <w:r>
              <w:rPr>
                <w:rFonts w:ascii="Arial" w:hAnsi="Arial"/>
                <w:b/>
                <w:color w:val="000000"/>
                <w:sz w:val="16"/>
                <w:lang w:eastAsia="en-US"/>
              </w:rPr>
              <w:br/>
            </w:r>
            <w:r w:rsidRPr="00C87565">
              <w:rPr>
                <w:rFonts w:ascii="Arial" w:hAnsi="Arial"/>
                <w:b/>
                <w:color w:val="000000"/>
                <w:sz w:val="16"/>
                <w:lang w:eastAsia="en-US"/>
              </w:rPr>
              <w:t>Per cent</w:t>
            </w:r>
          </w:p>
        </w:tc>
        <w:tc>
          <w:tcPr>
            <w:tcW w:w="638" w:type="pct"/>
            <w:tcBorders>
              <w:top w:val="single" w:sz="4" w:space="0" w:color="auto"/>
              <w:bottom w:val="single" w:sz="4" w:space="0" w:color="auto"/>
            </w:tcBorders>
          </w:tcPr>
          <w:p w:rsidR="006D3FA7" w:rsidRPr="00C87565"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Couple families</w:t>
            </w:r>
            <w:r>
              <w:rPr>
                <w:rFonts w:ascii="Arial" w:hAnsi="Arial"/>
                <w:b/>
                <w:color w:val="000000"/>
                <w:sz w:val="16"/>
                <w:lang w:eastAsia="en-US"/>
              </w:rPr>
              <w:br/>
            </w:r>
            <w:r w:rsidRPr="00C87565">
              <w:rPr>
                <w:rFonts w:ascii="Arial" w:hAnsi="Arial"/>
                <w:b/>
                <w:color w:val="000000"/>
                <w:sz w:val="16"/>
                <w:lang w:eastAsia="en-US"/>
              </w:rPr>
              <w:t>95% CI</w:t>
            </w:r>
          </w:p>
        </w:tc>
        <w:tc>
          <w:tcPr>
            <w:tcW w:w="637" w:type="pct"/>
            <w:tcBorders>
              <w:top w:val="single" w:sz="4" w:space="0" w:color="auto"/>
              <w:bottom w:val="single" w:sz="4" w:space="0" w:color="auto"/>
            </w:tcBorders>
          </w:tcPr>
          <w:p w:rsidR="006D3FA7" w:rsidRPr="00C87565"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All families</w:t>
            </w:r>
            <w:r>
              <w:rPr>
                <w:rFonts w:ascii="Arial" w:hAnsi="Arial"/>
                <w:b/>
                <w:color w:val="000000"/>
                <w:sz w:val="16"/>
                <w:lang w:eastAsia="en-US"/>
              </w:rPr>
              <w:br/>
            </w:r>
            <w:r w:rsidRPr="00C87565">
              <w:rPr>
                <w:rFonts w:ascii="Arial" w:hAnsi="Arial"/>
                <w:b/>
                <w:color w:val="000000"/>
                <w:sz w:val="16"/>
                <w:lang w:eastAsia="en-US"/>
              </w:rPr>
              <w:t>Per cent</w:t>
            </w:r>
          </w:p>
        </w:tc>
        <w:tc>
          <w:tcPr>
            <w:tcW w:w="637" w:type="pct"/>
            <w:tcBorders>
              <w:top w:val="single" w:sz="4" w:space="0" w:color="auto"/>
              <w:bottom w:val="single" w:sz="4" w:space="0" w:color="auto"/>
            </w:tcBorders>
          </w:tcPr>
          <w:p w:rsidR="006D3FA7" w:rsidRPr="00C87565" w:rsidRDefault="006D3FA7"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All families</w:t>
            </w:r>
            <w:r>
              <w:rPr>
                <w:rFonts w:ascii="Arial" w:hAnsi="Arial"/>
                <w:b/>
                <w:color w:val="000000"/>
                <w:sz w:val="16"/>
                <w:lang w:eastAsia="en-US"/>
              </w:rPr>
              <w:br/>
            </w:r>
            <w:r w:rsidRPr="00C87565">
              <w:rPr>
                <w:rFonts w:ascii="Arial" w:hAnsi="Arial"/>
                <w:b/>
                <w:color w:val="000000"/>
                <w:sz w:val="16"/>
                <w:lang w:eastAsia="en-US"/>
              </w:rPr>
              <w:t>95% CI</w:t>
            </w:r>
          </w:p>
        </w:tc>
      </w:tr>
      <w:tr w:rsidR="006D3FA7" w:rsidRPr="00821556" w:rsidTr="006D3FA7">
        <w:tc>
          <w:tcPr>
            <w:tcW w:w="1174" w:type="pct"/>
            <w:tcBorders>
              <w:top w:val="single" w:sz="4" w:space="0" w:color="auto"/>
            </w:tcBorders>
            <w:shd w:val="clear" w:color="auto" w:fill="auto"/>
          </w:tcPr>
          <w:p w:rsidR="006D3FA7" w:rsidRPr="00821556" w:rsidRDefault="006D3FA7" w:rsidP="00135409">
            <w:pPr>
              <w:keepLines/>
              <w:tabs>
                <w:tab w:val="left" w:pos="198"/>
              </w:tabs>
              <w:spacing w:before="60" w:after="60" w:line="200" w:lineRule="atLeast"/>
              <w:rPr>
                <w:rFonts w:ascii="Arial" w:hAnsi="Arial"/>
                <w:color w:val="000000"/>
                <w:sz w:val="16"/>
                <w:lang w:eastAsia="en-US"/>
              </w:rPr>
            </w:pPr>
            <w:r>
              <w:rPr>
                <w:rFonts w:ascii="Arial" w:hAnsi="Arial"/>
                <w:color w:val="000000"/>
                <w:sz w:val="16"/>
                <w:lang w:eastAsia="en-US"/>
              </w:rPr>
              <w:t>Birth (</w:t>
            </w:r>
            <w:r w:rsidRPr="0071792E">
              <w:rPr>
                <w:rFonts w:ascii="Arial" w:hAnsi="Arial"/>
                <w:color w:val="000000"/>
                <w:sz w:val="16"/>
                <w:lang w:eastAsia="en-US"/>
              </w:rPr>
              <w:t>6–7 years</w:t>
            </w:r>
            <w:r>
              <w:rPr>
                <w:rFonts w:ascii="Arial" w:hAnsi="Arial"/>
                <w:color w:val="000000"/>
                <w:sz w:val="16"/>
                <w:lang w:eastAsia="en-US"/>
              </w:rPr>
              <w:t>)</w:t>
            </w:r>
          </w:p>
        </w:tc>
        <w:tc>
          <w:tcPr>
            <w:tcW w:w="638" w:type="pct"/>
            <w:tcBorders>
              <w:top w:val="single" w:sz="4" w:space="0" w:color="auto"/>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color w:val="000000"/>
                <w:sz w:val="16"/>
                <w:lang w:eastAsia="en-US"/>
              </w:rPr>
            </w:pPr>
            <w:r w:rsidRPr="00C87565">
              <w:rPr>
                <w:rFonts w:ascii="Arial" w:hAnsi="Arial"/>
                <w:color w:val="000000"/>
                <w:sz w:val="16"/>
                <w:lang w:eastAsia="en-US"/>
              </w:rPr>
              <w:t>82.8</w:t>
            </w:r>
          </w:p>
        </w:tc>
        <w:tc>
          <w:tcPr>
            <w:tcW w:w="639" w:type="pct"/>
            <w:tcBorders>
              <w:top w:val="single" w:sz="4" w:space="0" w:color="auto"/>
            </w:tcBorders>
          </w:tcPr>
          <w:p w:rsidR="006D3FA7" w:rsidRPr="00C87565" w:rsidRDefault="006D3FA7" w:rsidP="00135409">
            <w:pPr>
              <w:keepLines/>
              <w:tabs>
                <w:tab w:val="left" w:pos="198"/>
              </w:tabs>
              <w:spacing w:before="60" w:after="60" w:line="200" w:lineRule="atLeast"/>
              <w:jc w:val="right"/>
              <w:rPr>
                <w:rFonts w:ascii="Arial" w:hAnsi="Arial"/>
                <w:color w:val="000000"/>
                <w:sz w:val="16"/>
                <w:lang w:eastAsia="en-US"/>
              </w:rPr>
            </w:pPr>
            <w:r w:rsidRPr="00C87565">
              <w:rPr>
                <w:rFonts w:ascii="Arial" w:hAnsi="Arial"/>
                <w:color w:val="000000"/>
                <w:sz w:val="16"/>
                <w:lang w:eastAsia="en-US"/>
              </w:rPr>
              <w:t>78.8</w:t>
            </w:r>
            <w:r>
              <w:rPr>
                <w:rFonts w:ascii="Arial" w:hAnsi="Arial"/>
                <w:color w:val="000000"/>
                <w:sz w:val="16"/>
                <w:lang w:eastAsia="en-US"/>
              </w:rPr>
              <w:t>–</w:t>
            </w:r>
            <w:r w:rsidRPr="00C87565">
              <w:rPr>
                <w:rFonts w:ascii="Arial" w:hAnsi="Arial"/>
                <w:color w:val="000000"/>
                <w:sz w:val="16"/>
                <w:lang w:eastAsia="en-US"/>
              </w:rPr>
              <w:t>86.2</w:t>
            </w:r>
          </w:p>
        </w:tc>
        <w:tc>
          <w:tcPr>
            <w:tcW w:w="638" w:type="pct"/>
            <w:tcBorders>
              <w:top w:val="single" w:sz="4" w:space="0" w:color="auto"/>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color w:val="000000"/>
                <w:sz w:val="16"/>
                <w:lang w:eastAsia="en-US"/>
              </w:rPr>
            </w:pPr>
            <w:r w:rsidRPr="00C87565">
              <w:rPr>
                <w:rFonts w:ascii="Arial" w:hAnsi="Arial"/>
                <w:color w:val="000000"/>
                <w:sz w:val="16"/>
                <w:lang w:eastAsia="en-US"/>
              </w:rPr>
              <w:t>92.5</w:t>
            </w:r>
          </w:p>
        </w:tc>
        <w:tc>
          <w:tcPr>
            <w:tcW w:w="638" w:type="pct"/>
            <w:tcBorders>
              <w:top w:val="single" w:sz="4" w:space="0" w:color="auto"/>
            </w:tcBorders>
          </w:tcPr>
          <w:p w:rsidR="006D3FA7" w:rsidRPr="00C87565" w:rsidRDefault="006D3FA7" w:rsidP="00135409">
            <w:pPr>
              <w:keepLines/>
              <w:tabs>
                <w:tab w:val="left" w:pos="198"/>
              </w:tabs>
              <w:spacing w:before="60" w:after="60" w:line="200" w:lineRule="atLeast"/>
              <w:jc w:val="right"/>
              <w:rPr>
                <w:rFonts w:ascii="Arial" w:hAnsi="Arial"/>
                <w:color w:val="000000"/>
                <w:sz w:val="16"/>
                <w:lang w:eastAsia="en-US"/>
              </w:rPr>
            </w:pPr>
            <w:r w:rsidRPr="00C87565">
              <w:rPr>
                <w:rFonts w:ascii="Arial" w:hAnsi="Arial"/>
                <w:color w:val="000000"/>
                <w:sz w:val="16"/>
                <w:lang w:eastAsia="en-US"/>
              </w:rPr>
              <w:t>91.4</w:t>
            </w:r>
            <w:r>
              <w:rPr>
                <w:rFonts w:ascii="Arial" w:hAnsi="Arial"/>
                <w:color w:val="000000"/>
                <w:sz w:val="16"/>
                <w:lang w:eastAsia="en-US"/>
              </w:rPr>
              <w:t>–</w:t>
            </w:r>
            <w:r w:rsidRPr="00C87565">
              <w:rPr>
                <w:rFonts w:ascii="Arial" w:hAnsi="Arial"/>
                <w:color w:val="000000"/>
                <w:sz w:val="16"/>
                <w:lang w:eastAsia="en-US"/>
              </w:rPr>
              <w:t>93.5</w:t>
            </w:r>
          </w:p>
        </w:tc>
        <w:tc>
          <w:tcPr>
            <w:tcW w:w="637" w:type="pct"/>
            <w:tcBorders>
              <w:top w:val="single" w:sz="4" w:space="0" w:color="auto"/>
            </w:tcBorders>
          </w:tcPr>
          <w:p w:rsidR="006D3FA7" w:rsidRDefault="006D3FA7" w:rsidP="00135409">
            <w:pPr>
              <w:keepLines/>
              <w:tabs>
                <w:tab w:val="left" w:pos="198"/>
              </w:tabs>
              <w:spacing w:before="60" w:after="60" w:line="200" w:lineRule="atLeast"/>
              <w:jc w:val="right"/>
              <w:rPr>
                <w:rFonts w:ascii="Arial" w:hAnsi="Arial"/>
                <w:color w:val="000000"/>
                <w:sz w:val="16"/>
                <w:lang w:eastAsia="en-US"/>
              </w:rPr>
            </w:pPr>
            <w:r w:rsidRPr="00C87565">
              <w:rPr>
                <w:rFonts w:ascii="Arial" w:hAnsi="Arial"/>
                <w:color w:val="000000"/>
                <w:sz w:val="16"/>
                <w:lang w:eastAsia="en-US"/>
              </w:rPr>
              <w:t>91.0</w:t>
            </w:r>
          </w:p>
        </w:tc>
        <w:tc>
          <w:tcPr>
            <w:tcW w:w="637" w:type="pct"/>
            <w:tcBorders>
              <w:top w:val="single" w:sz="4" w:space="0" w:color="auto"/>
            </w:tcBorders>
          </w:tcPr>
          <w:p w:rsidR="006D3FA7" w:rsidRPr="00C87565" w:rsidRDefault="006D3FA7" w:rsidP="00135409">
            <w:pPr>
              <w:keepLines/>
              <w:tabs>
                <w:tab w:val="left" w:pos="198"/>
              </w:tabs>
              <w:spacing w:before="60" w:after="60" w:line="200" w:lineRule="atLeast"/>
              <w:jc w:val="right"/>
              <w:rPr>
                <w:rFonts w:ascii="Arial" w:hAnsi="Arial"/>
                <w:color w:val="000000"/>
                <w:sz w:val="16"/>
                <w:lang w:eastAsia="en-US"/>
              </w:rPr>
            </w:pPr>
            <w:r w:rsidRPr="00C87565">
              <w:rPr>
                <w:rFonts w:ascii="Arial" w:hAnsi="Arial"/>
                <w:color w:val="000000"/>
                <w:sz w:val="16"/>
                <w:lang w:eastAsia="en-US"/>
              </w:rPr>
              <w:t>89.9</w:t>
            </w:r>
            <w:r>
              <w:rPr>
                <w:rFonts w:ascii="Arial" w:hAnsi="Arial"/>
                <w:color w:val="000000"/>
                <w:sz w:val="16"/>
                <w:lang w:eastAsia="en-US"/>
              </w:rPr>
              <w:t>–</w:t>
            </w:r>
            <w:r w:rsidRPr="00C87565">
              <w:rPr>
                <w:rFonts w:ascii="Arial" w:hAnsi="Arial"/>
                <w:color w:val="000000"/>
                <w:sz w:val="16"/>
                <w:lang w:eastAsia="en-US"/>
              </w:rPr>
              <w:t>91.9</w:t>
            </w:r>
          </w:p>
        </w:tc>
      </w:tr>
      <w:tr w:rsidR="006D3FA7" w:rsidRPr="00821556" w:rsidTr="006D3FA7">
        <w:tc>
          <w:tcPr>
            <w:tcW w:w="1174" w:type="pct"/>
            <w:tcBorders>
              <w:bottom w:val="single" w:sz="4" w:space="0" w:color="auto"/>
            </w:tcBorders>
            <w:shd w:val="clear" w:color="auto" w:fill="auto"/>
          </w:tcPr>
          <w:p w:rsidR="006D3FA7" w:rsidRPr="00821556" w:rsidRDefault="006D3FA7" w:rsidP="00135409">
            <w:pPr>
              <w:keepLines/>
              <w:tabs>
                <w:tab w:val="left" w:pos="198"/>
              </w:tabs>
              <w:spacing w:before="60" w:after="60" w:line="200" w:lineRule="atLeast"/>
              <w:rPr>
                <w:rFonts w:ascii="Arial" w:hAnsi="Arial"/>
                <w:color w:val="000000"/>
                <w:sz w:val="16"/>
                <w:lang w:eastAsia="en-US"/>
              </w:rPr>
            </w:pPr>
            <w:r>
              <w:rPr>
                <w:rFonts w:ascii="Arial" w:hAnsi="Arial"/>
                <w:color w:val="000000"/>
                <w:sz w:val="16"/>
                <w:lang w:eastAsia="en-US"/>
              </w:rPr>
              <w:t>Kinder (</w:t>
            </w:r>
            <w:r w:rsidRPr="0071792E">
              <w:rPr>
                <w:rFonts w:ascii="Arial" w:hAnsi="Arial"/>
                <w:color w:val="000000"/>
                <w:sz w:val="16"/>
                <w:lang w:eastAsia="en-US"/>
              </w:rPr>
              <w:t>10–11 years</w:t>
            </w:r>
            <w:r>
              <w:rPr>
                <w:rFonts w:ascii="Arial" w:hAnsi="Arial"/>
                <w:color w:val="000000"/>
                <w:sz w:val="16"/>
                <w:lang w:eastAsia="en-US"/>
              </w:rPr>
              <w:t>)</w:t>
            </w:r>
          </w:p>
        </w:tc>
        <w:tc>
          <w:tcPr>
            <w:tcW w:w="638" w:type="pct"/>
            <w:tcBorders>
              <w:bottom w:val="single" w:sz="4" w:space="0" w:color="auto"/>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color w:val="000000"/>
                <w:sz w:val="16"/>
                <w:lang w:eastAsia="en-US"/>
              </w:rPr>
            </w:pPr>
            <w:r w:rsidRPr="00C87565">
              <w:rPr>
                <w:rFonts w:ascii="Arial" w:hAnsi="Arial"/>
                <w:color w:val="000000"/>
                <w:sz w:val="16"/>
                <w:lang w:eastAsia="en-US"/>
              </w:rPr>
              <w:t>81.4</w:t>
            </w:r>
          </w:p>
        </w:tc>
        <w:tc>
          <w:tcPr>
            <w:tcW w:w="639" w:type="pct"/>
            <w:tcBorders>
              <w:bottom w:val="single" w:sz="4" w:space="0" w:color="auto"/>
            </w:tcBorders>
          </w:tcPr>
          <w:p w:rsidR="006D3FA7" w:rsidRPr="00C87565" w:rsidRDefault="006D3FA7" w:rsidP="00135409">
            <w:pPr>
              <w:keepLines/>
              <w:tabs>
                <w:tab w:val="left" w:pos="198"/>
              </w:tabs>
              <w:spacing w:before="60" w:after="60" w:line="200" w:lineRule="atLeast"/>
              <w:jc w:val="right"/>
              <w:rPr>
                <w:rFonts w:ascii="Arial" w:hAnsi="Arial"/>
                <w:color w:val="000000"/>
                <w:sz w:val="16"/>
                <w:lang w:eastAsia="en-US"/>
              </w:rPr>
            </w:pPr>
            <w:r w:rsidRPr="00C87565">
              <w:rPr>
                <w:rFonts w:ascii="Arial" w:hAnsi="Arial"/>
                <w:color w:val="000000"/>
                <w:sz w:val="16"/>
                <w:lang w:eastAsia="en-US"/>
              </w:rPr>
              <w:t>77.6</w:t>
            </w:r>
            <w:r>
              <w:rPr>
                <w:rFonts w:ascii="Arial" w:hAnsi="Arial"/>
                <w:color w:val="000000"/>
                <w:sz w:val="16"/>
                <w:lang w:eastAsia="en-US"/>
              </w:rPr>
              <w:t>–</w:t>
            </w:r>
            <w:r w:rsidRPr="00C87565">
              <w:rPr>
                <w:rFonts w:ascii="Arial" w:hAnsi="Arial"/>
                <w:color w:val="000000"/>
                <w:sz w:val="16"/>
                <w:lang w:eastAsia="en-US"/>
              </w:rPr>
              <w:t>84.7</w:t>
            </w:r>
          </w:p>
        </w:tc>
        <w:tc>
          <w:tcPr>
            <w:tcW w:w="638" w:type="pct"/>
            <w:tcBorders>
              <w:bottom w:val="single" w:sz="4" w:space="0" w:color="auto"/>
            </w:tcBorders>
            <w:shd w:val="clear" w:color="auto" w:fill="auto"/>
          </w:tcPr>
          <w:p w:rsidR="006D3FA7" w:rsidRPr="00821556" w:rsidRDefault="006D3FA7" w:rsidP="00135409">
            <w:pPr>
              <w:keepLines/>
              <w:tabs>
                <w:tab w:val="left" w:pos="198"/>
              </w:tabs>
              <w:spacing w:before="60" w:after="60" w:line="200" w:lineRule="atLeast"/>
              <w:jc w:val="right"/>
              <w:rPr>
                <w:rFonts w:ascii="Arial" w:hAnsi="Arial"/>
                <w:color w:val="000000"/>
                <w:sz w:val="16"/>
                <w:lang w:eastAsia="en-US"/>
              </w:rPr>
            </w:pPr>
            <w:r w:rsidRPr="00C87565">
              <w:rPr>
                <w:rFonts w:ascii="Arial" w:hAnsi="Arial"/>
                <w:color w:val="000000"/>
                <w:sz w:val="16"/>
                <w:lang w:eastAsia="en-US"/>
              </w:rPr>
              <w:t>91.4</w:t>
            </w:r>
          </w:p>
        </w:tc>
        <w:tc>
          <w:tcPr>
            <w:tcW w:w="638" w:type="pct"/>
            <w:tcBorders>
              <w:bottom w:val="single" w:sz="4" w:space="0" w:color="auto"/>
            </w:tcBorders>
          </w:tcPr>
          <w:p w:rsidR="006D3FA7" w:rsidRPr="00C87565" w:rsidRDefault="006D3FA7" w:rsidP="00135409">
            <w:pPr>
              <w:keepLines/>
              <w:tabs>
                <w:tab w:val="left" w:pos="198"/>
              </w:tabs>
              <w:spacing w:before="60" w:after="60" w:line="200" w:lineRule="atLeast"/>
              <w:jc w:val="right"/>
              <w:rPr>
                <w:rFonts w:ascii="Arial" w:hAnsi="Arial"/>
                <w:color w:val="000000"/>
                <w:sz w:val="16"/>
                <w:lang w:eastAsia="en-US"/>
              </w:rPr>
            </w:pPr>
            <w:r w:rsidRPr="00C87565">
              <w:rPr>
                <w:rFonts w:ascii="Arial" w:hAnsi="Arial"/>
                <w:color w:val="000000"/>
                <w:sz w:val="16"/>
                <w:lang w:eastAsia="en-US"/>
              </w:rPr>
              <w:t>90.3</w:t>
            </w:r>
            <w:r>
              <w:rPr>
                <w:rFonts w:ascii="Arial" w:hAnsi="Arial"/>
                <w:color w:val="000000"/>
                <w:sz w:val="16"/>
                <w:lang w:eastAsia="en-US"/>
              </w:rPr>
              <w:t>–</w:t>
            </w:r>
            <w:r w:rsidRPr="00C87565">
              <w:rPr>
                <w:rFonts w:ascii="Arial" w:hAnsi="Arial"/>
                <w:color w:val="000000"/>
                <w:sz w:val="16"/>
                <w:lang w:eastAsia="en-US"/>
              </w:rPr>
              <w:t>92.4</w:t>
            </w:r>
          </w:p>
        </w:tc>
        <w:tc>
          <w:tcPr>
            <w:tcW w:w="637" w:type="pct"/>
            <w:tcBorders>
              <w:bottom w:val="single" w:sz="4" w:space="0" w:color="auto"/>
            </w:tcBorders>
          </w:tcPr>
          <w:p w:rsidR="006D3FA7" w:rsidRDefault="006D3FA7" w:rsidP="00135409">
            <w:pPr>
              <w:keepLines/>
              <w:tabs>
                <w:tab w:val="left" w:pos="198"/>
              </w:tabs>
              <w:spacing w:before="60" w:after="60" w:line="200" w:lineRule="atLeast"/>
              <w:jc w:val="right"/>
              <w:rPr>
                <w:rFonts w:ascii="Arial" w:hAnsi="Arial"/>
                <w:color w:val="000000"/>
                <w:sz w:val="16"/>
                <w:lang w:eastAsia="en-US"/>
              </w:rPr>
            </w:pPr>
            <w:r w:rsidRPr="00C87565">
              <w:rPr>
                <w:rFonts w:ascii="Arial" w:hAnsi="Arial"/>
                <w:color w:val="000000"/>
                <w:sz w:val="16"/>
                <w:lang w:eastAsia="en-US"/>
              </w:rPr>
              <w:t>89.6</w:t>
            </w:r>
          </w:p>
        </w:tc>
        <w:tc>
          <w:tcPr>
            <w:tcW w:w="637" w:type="pct"/>
            <w:tcBorders>
              <w:bottom w:val="single" w:sz="4" w:space="0" w:color="auto"/>
            </w:tcBorders>
          </w:tcPr>
          <w:p w:rsidR="006D3FA7" w:rsidRPr="00C87565" w:rsidRDefault="006D3FA7" w:rsidP="00135409">
            <w:pPr>
              <w:keepLines/>
              <w:tabs>
                <w:tab w:val="left" w:pos="198"/>
              </w:tabs>
              <w:spacing w:before="60" w:after="60" w:line="200" w:lineRule="atLeast"/>
              <w:jc w:val="right"/>
              <w:rPr>
                <w:rFonts w:ascii="Arial" w:hAnsi="Arial"/>
                <w:color w:val="000000"/>
                <w:sz w:val="16"/>
                <w:lang w:eastAsia="en-US"/>
              </w:rPr>
            </w:pPr>
            <w:r w:rsidRPr="00C87565">
              <w:rPr>
                <w:rFonts w:ascii="Arial" w:hAnsi="Arial"/>
                <w:color w:val="000000"/>
                <w:sz w:val="16"/>
                <w:lang w:eastAsia="en-US"/>
              </w:rPr>
              <w:t>88.4</w:t>
            </w:r>
            <w:r>
              <w:rPr>
                <w:rFonts w:ascii="Arial" w:hAnsi="Arial"/>
                <w:color w:val="000000"/>
                <w:sz w:val="16"/>
                <w:lang w:eastAsia="en-US"/>
              </w:rPr>
              <w:t>–</w:t>
            </w:r>
            <w:r w:rsidRPr="00C87565">
              <w:rPr>
                <w:rFonts w:ascii="Arial" w:hAnsi="Arial"/>
                <w:color w:val="000000"/>
                <w:sz w:val="16"/>
                <w:lang w:eastAsia="en-US"/>
              </w:rPr>
              <w:t>90.7</w:t>
            </w:r>
          </w:p>
        </w:tc>
      </w:tr>
    </w:tbl>
    <w:p w:rsidR="000B29AC" w:rsidRDefault="000B29AC" w:rsidP="00343B82">
      <w:pPr>
        <w:pStyle w:val="StyleArial7ptLeft0cmHanging075cmBefore6pt"/>
        <w:rPr>
          <w:lang w:eastAsia="en-US"/>
        </w:rPr>
      </w:pPr>
      <w:r>
        <w:rPr>
          <w:lang w:eastAsia="en-US"/>
        </w:rPr>
        <w:t xml:space="preserve">Note: </w:t>
      </w:r>
      <w:r w:rsidR="00A5154F">
        <w:rPr>
          <w:lang w:eastAsia="en-US"/>
        </w:rPr>
        <w:tab/>
      </w:r>
      <w:r w:rsidRPr="00566543">
        <w:rPr>
          <w:lang w:eastAsia="en-US"/>
        </w:rPr>
        <w:t xml:space="preserve">Due to the </w:t>
      </w:r>
      <w:r>
        <w:rPr>
          <w:lang w:eastAsia="en-US"/>
        </w:rPr>
        <w:t xml:space="preserve">cohort-based study design and </w:t>
      </w:r>
      <w:r w:rsidRPr="00566543">
        <w:rPr>
          <w:lang w:eastAsia="en-US"/>
        </w:rPr>
        <w:t xml:space="preserve">small sample sizes for Indigenous people </w:t>
      </w:r>
      <w:r>
        <w:rPr>
          <w:lang w:eastAsia="en-US"/>
        </w:rPr>
        <w:t xml:space="preserve">in </w:t>
      </w:r>
      <w:r w:rsidRPr="00566543">
        <w:rPr>
          <w:lang w:eastAsia="en-US"/>
        </w:rPr>
        <w:t xml:space="preserve">the </w:t>
      </w:r>
      <w:r>
        <w:rPr>
          <w:lang w:eastAsia="en-US"/>
        </w:rPr>
        <w:t>LSAC</w:t>
      </w:r>
      <w:r w:rsidRPr="00566543">
        <w:rPr>
          <w:lang w:eastAsia="en-US"/>
        </w:rPr>
        <w:t xml:space="preserve">, estimates for Indigenous </w:t>
      </w:r>
      <w:r>
        <w:rPr>
          <w:lang w:eastAsia="en-US"/>
        </w:rPr>
        <w:t>families</w:t>
      </w:r>
      <w:r w:rsidRPr="00566543">
        <w:rPr>
          <w:lang w:eastAsia="en-US"/>
        </w:rPr>
        <w:t xml:space="preserve"> were not considered sufficiently reliable for reporting.</w:t>
      </w:r>
    </w:p>
    <w:p w:rsidR="000B29AC" w:rsidRPr="00821556" w:rsidRDefault="000B29AC" w:rsidP="000B29AC">
      <w:pPr>
        <w:keepLines/>
        <w:tabs>
          <w:tab w:val="left" w:pos="425"/>
          <w:tab w:val="left" w:pos="851"/>
        </w:tabs>
        <w:spacing w:before="120"/>
        <w:rPr>
          <w:rFonts w:ascii="Arial" w:hAnsi="Arial" w:cs="Arial"/>
          <w:sz w:val="14"/>
          <w:lang w:eastAsia="en-US"/>
        </w:rPr>
      </w:pPr>
      <w:r w:rsidRPr="00A57CA4">
        <w:rPr>
          <w:rFonts w:ascii="Arial" w:hAnsi="Arial" w:cs="Arial"/>
          <w:sz w:val="14"/>
          <w:lang w:eastAsia="en-US"/>
        </w:rPr>
        <w:t>Source</w:t>
      </w:r>
      <w:r w:rsidRPr="00821556">
        <w:rPr>
          <w:rFonts w:ascii="Arial" w:hAnsi="Arial" w:cs="Arial"/>
          <w:sz w:val="14"/>
          <w:lang w:eastAsia="en-US"/>
        </w:rPr>
        <w:t xml:space="preserve">: </w:t>
      </w:r>
      <w:r>
        <w:rPr>
          <w:rFonts w:ascii="Arial" w:hAnsi="Arial" w:cs="Arial"/>
          <w:sz w:val="14"/>
          <w:lang w:eastAsia="en-US"/>
        </w:rPr>
        <w:t>LSAC Wave 4 (2010–11) data sourced from AIHW 2013c</w:t>
      </w:r>
      <w:r w:rsidRPr="00821556">
        <w:rPr>
          <w:rFonts w:ascii="Arial" w:hAnsi="Arial" w:cs="Arial"/>
          <w:sz w:val="14"/>
          <w:lang w:eastAsia="en-US"/>
        </w:rPr>
        <w:t>.</w:t>
      </w:r>
      <w:r w:rsidRPr="009C4E65">
        <w:t xml:space="preserve"> </w:t>
      </w:r>
    </w:p>
    <w:p w:rsidR="000B29AC" w:rsidRPr="0060478E" w:rsidRDefault="000B29AC" w:rsidP="003F7871">
      <w:pPr>
        <w:pStyle w:val="Heading3"/>
      </w:pPr>
      <w:bookmarkStart w:id="105" w:name="_Toc400007711"/>
      <w:r>
        <w:t>Perceived safety</w:t>
      </w:r>
      <w:bookmarkEnd w:id="105"/>
    </w:p>
    <w:p w:rsidR="000B29AC" w:rsidRPr="00247650" w:rsidRDefault="000B29AC" w:rsidP="004B3342">
      <w:pPr>
        <w:pStyle w:val="Heading4a"/>
      </w:pPr>
      <w:r w:rsidRPr="00247650">
        <w:t>Indicator 1.2: Proportion of households with children aged 0–14 years where their neighbourhood is perceived as safe</w:t>
      </w:r>
    </w:p>
    <w:p w:rsidR="000B29AC" w:rsidRPr="00D44281" w:rsidRDefault="000B29AC" w:rsidP="000B29AC">
      <w:pPr>
        <w:rPr>
          <w:rFonts w:ascii="Calibri" w:hAnsi="Calibri"/>
          <w:sz w:val="24"/>
          <w:lang w:eastAsia="en-AU"/>
        </w:rPr>
      </w:pPr>
    </w:p>
    <w:p w:rsidR="000B29AC" w:rsidRDefault="000B29AC" w:rsidP="000B29AC">
      <w:pPr>
        <w:rPr>
          <w:rFonts w:ascii="Calibri" w:hAnsi="Calibri" w:cs="Calibri"/>
          <w:sz w:val="24"/>
          <w:szCs w:val="24"/>
          <w:lang w:eastAsia="en-AU"/>
        </w:rPr>
      </w:pPr>
      <w:r w:rsidRPr="00F0065E">
        <w:rPr>
          <w:rFonts w:ascii="Calibri" w:hAnsi="Calibri" w:cs="Calibri"/>
          <w:sz w:val="24"/>
          <w:szCs w:val="24"/>
          <w:lang w:eastAsia="en-AU"/>
        </w:rPr>
        <w:t>Parental perception of neighbourhood safety affects children’s activities and can have a significant impact on children’s health, development and wellbeing. Low levels of perceived neighbourhood safety may be contributing to the decline in children’s independent mobility over time. Increasing restrictions on outdoor activities, particularly unsupervised activities, could lead to negative effects on mental, social and physical development, a more sedentary lifestyle and poorer health outcomes overall (AIHW 20</w:t>
      </w:r>
      <w:r>
        <w:rPr>
          <w:rFonts w:ascii="Calibri" w:hAnsi="Calibri" w:cs="Calibri"/>
          <w:sz w:val="24"/>
          <w:szCs w:val="24"/>
          <w:lang w:eastAsia="en-AU"/>
        </w:rPr>
        <w:t>12a</w:t>
      </w:r>
      <w:r w:rsidRPr="00F0065E">
        <w:rPr>
          <w:rFonts w:ascii="Calibri" w:hAnsi="Calibri" w:cs="Calibri"/>
          <w:sz w:val="24"/>
          <w:szCs w:val="24"/>
          <w:lang w:eastAsia="en-AU"/>
        </w:rPr>
        <w:t xml:space="preserve">; </w:t>
      </w:r>
      <w:proofErr w:type="spellStart"/>
      <w:r w:rsidRPr="00F0065E">
        <w:rPr>
          <w:rFonts w:ascii="Calibri" w:hAnsi="Calibri" w:cs="Calibri"/>
          <w:sz w:val="24"/>
          <w:szCs w:val="24"/>
          <w:lang w:eastAsia="en-AU"/>
        </w:rPr>
        <w:t>Zubrick</w:t>
      </w:r>
      <w:proofErr w:type="spellEnd"/>
      <w:r w:rsidRPr="00F0065E">
        <w:rPr>
          <w:rFonts w:ascii="Calibri" w:hAnsi="Calibri" w:cs="Calibri"/>
          <w:sz w:val="24"/>
          <w:szCs w:val="24"/>
          <w:lang w:eastAsia="en-AU"/>
        </w:rPr>
        <w:t xml:space="preserve"> et al. 2010). </w:t>
      </w:r>
    </w:p>
    <w:p w:rsidR="000B29AC" w:rsidRPr="00F0065E" w:rsidRDefault="000B29AC" w:rsidP="000B29AC">
      <w:pPr>
        <w:rPr>
          <w:rFonts w:ascii="Calibri" w:hAnsi="Calibri" w:cs="Calibri"/>
          <w:sz w:val="24"/>
          <w:szCs w:val="24"/>
          <w:lang w:eastAsia="en-AU"/>
        </w:rPr>
      </w:pPr>
    </w:p>
    <w:p w:rsidR="000B29AC" w:rsidRPr="00F0065E" w:rsidRDefault="000B29AC" w:rsidP="000B29AC">
      <w:pPr>
        <w:rPr>
          <w:rFonts w:ascii="Calibri" w:hAnsi="Calibri" w:cs="Calibri"/>
          <w:sz w:val="24"/>
          <w:szCs w:val="24"/>
          <w:lang w:eastAsia="en-AU"/>
        </w:rPr>
      </w:pPr>
      <w:r w:rsidRPr="00F0065E">
        <w:rPr>
          <w:rFonts w:ascii="Calibri" w:hAnsi="Calibri" w:cs="Calibri"/>
          <w:sz w:val="24"/>
          <w:szCs w:val="24"/>
          <w:lang w:eastAsia="en-AU"/>
        </w:rPr>
        <w:t xml:space="preserve">Perceptions of safety when alone at home often relate to </w:t>
      </w:r>
      <w:r w:rsidRPr="000416AA">
        <w:rPr>
          <w:rFonts w:ascii="Calibri" w:hAnsi="Calibri" w:cs="Calibri"/>
          <w:sz w:val="24"/>
          <w:szCs w:val="24"/>
          <w:lang w:eastAsia="en-AU"/>
        </w:rPr>
        <w:t xml:space="preserve">perceptions of </w:t>
      </w:r>
      <w:r>
        <w:rPr>
          <w:rFonts w:ascii="Calibri" w:hAnsi="Calibri" w:cs="Calibri"/>
          <w:sz w:val="24"/>
          <w:szCs w:val="24"/>
          <w:lang w:eastAsia="en-AU"/>
        </w:rPr>
        <w:t xml:space="preserve">crime and social </w:t>
      </w:r>
      <w:r w:rsidRPr="000416AA">
        <w:rPr>
          <w:rFonts w:ascii="Calibri" w:hAnsi="Calibri" w:cs="Calibri"/>
          <w:sz w:val="24"/>
          <w:szCs w:val="24"/>
          <w:lang w:eastAsia="en-AU"/>
        </w:rPr>
        <w:t xml:space="preserve">problems in the neighbourhood, previous experience </w:t>
      </w:r>
      <w:r>
        <w:rPr>
          <w:rFonts w:ascii="Calibri" w:hAnsi="Calibri" w:cs="Calibri"/>
          <w:sz w:val="24"/>
          <w:szCs w:val="24"/>
          <w:lang w:eastAsia="en-AU"/>
        </w:rPr>
        <w:t>as a victim of</w:t>
      </w:r>
      <w:r w:rsidRPr="000416AA">
        <w:rPr>
          <w:rFonts w:ascii="Calibri" w:hAnsi="Calibri" w:cs="Calibri"/>
          <w:sz w:val="24"/>
          <w:szCs w:val="24"/>
          <w:lang w:eastAsia="en-AU"/>
        </w:rPr>
        <w:t xml:space="preserve"> crime and the level of trust in the local community</w:t>
      </w:r>
      <w:r w:rsidRPr="00F0065E">
        <w:rPr>
          <w:rFonts w:ascii="Calibri" w:hAnsi="Calibri" w:cs="Calibri"/>
          <w:sz w:val="24"/>
          <w:szCs w:val="24"/>
          <w:lang w:eastAsia="en-AU"/>
        </w:rPr>
        <w:t xml:space="preserve"> (ABS 201</w:t>
      </w:r>
      <w:r>
        <w:rPr>
          <w:rFonts w:ascii="Calibri" w:hAnsi="Calibri" w:cs="Calibri"/>
          <w:sz w:val="24"/>
          <w:szCs w:val="24"/>
          <w:lang w:eastAsia="en-AU"/>
        </w:rPr>
        <w:t>0</w:t>
      </w:r>
      <w:r w:rsidRPr="00F0065E">
        <w:rPr>
          <w:rFonts w:ascii="Calibri" w:hAnsi="Calibri" w:cs="Calibri"/>
          <w:sz w:val="24"/>
          <w:szCs w:val="24"/>
          <w:lang w:eastAsia="en-AU"/>
        </w:rPr>
        <w:t>).</w:t>
      </w:r>
    </w:p>
    <w:p w:rsidR="000B29AC" w:rsidRPr="003F7871" w:rsidRDefault="000B29AC" w:rsidP="003F7871">
      <w:pPr>
        <w:rPr>
          <w:rFonts w:asciiTheme="minorHAnsi" w:hAnsiTheme="minorHAnsi"/>
          <w:sz w:val="24"/>
        </w:rPr>
      </w:pPr>
    </w:p>
    <w:p w:rsidR="000B29AC" w:rsidRDefault="000B29AC" w:rsidP="000B29AC">
      <w:pPr>
        <w:rPr>
          <w:rFonts w:ascii="Calibri" w:hAnsi="Calibri" w:cs="Calibri"/>
          <w:sz w:val="24"/>
          <w:szCs w:val="24"/>
          <w:lang w:eastAsia="en-AU"/>
        </w:rPr>
      </w:pPr>
      <w:r>
        <w:rPr>
          <w:rFonts w:ascii="Calibri" w:hAnsi="Calibri" w:cs="Calibri"/>
          <w:sz w:val="24"/>
          <w:szCs w:val="24"/>
          <w:lang w:eastAsia="en-AU"/>
        </w:rPr>
        <w:t>In 2010</w:t>
      </w:r>
      <w:r w:rsidRPr="00FC568D">
        <w:rPr>
          <w:rFonts w:ascii="Calibri" w:hAnsi="Calibri" w:cs="Calibri"/>
          <w:sz w:val="24"/>
          <w:szCs w:val="24"/>
          <w:lang w:eastAsia="en-AU"/>
        </w:rPr>
        <w:t>,</w:t>
      </w:r>
      <w:r>
        <w:rPr>
          <w:rFonts w:ascii="Calibri" w:hAnsi="Calibri" w:cs="Calibri"/>
          <w:sz w:val="24"/>
          <w:szCs w:val="24"/>
          <w:lang w:eastAsia="en-AU"/>
        </w:rPr>
        <w:t xml:space="preserve"> among</w:t>
      </w:r>
      <w:r w:rsidRPr="00FC568D">
        <w:rPr>
          <w:rFonts w:ascii="Calibri" w:hAnsi="Calibri" w:cs="Calibri"/>
          <w:sz w:val="24"/>
          <w:szCs w:val="24"/>
          <w:lang w:eastAsia="en-AU"/>
        </w:rPr>
        <w:t xml:space="preserve"> </w:t>
      </w:r>
      <w:r>
        <w:rPr>
          <w:rFonts w:ascii="Calibri" w:hAnsi="Calibri" w:cs="Calibri"/>
          <w:sz w:val="24"/>
          <w:szCs w:val="24"/>
          <w:lang w:eastAsia="en-AU"/>
        </w:rPr>
        <w:t>adult</w:t>
      </w:r>
      <w:r w:rsidRPr="00FC568D">
        <w:rPr>
          <w:rFonts w:ascii="Calibri" w:hAnsi="Calibri" w:cs="Calibri"/>
          <w:sz w:val="24"/>
          <w:szCs w:val="24"/>
          <w:lang w:eastAsia="en-AU"/>
        </w:rPr>
        <w:t xml:space="preserve"> respondents (aged 18 and over) </w:t>
      </w:r>
      <w:r>
        <w:rPr>
          <w:rFonts w:ascii="Calibri" w:hAnsi="Calibri" w:cs="Calibri"/>
          <w:sz w:val="24"/>
          <w:szCs w:val="24"/>
          <w:lang w:eastAsia="en-AU"/>
        </w:rPr>
        <w:t xml:space="preserve">who lived </w:t>
      </w:r>
      <w:r w:rsidRPr="00FC568D">
        <w:rPr>
          <w:rFonts w:ascii="Calibri" w:hAnsi="Calibri" w:cs="Calibri"/>
          <w:sz w:val="24"/>
          <w:szCs w:val="24"/>
          <w:lang w:eastAsia="en-AU"/>
        </w:rPr>
        <w:t>in households with children aged 0</w:t>
      </w:r>
      <w:r w:rsidR="00414D77">
        <w:rPr>
          <w:rFonts w:ascii="Calibri" w:hAnsi="Calibri" w:cs="Calibri"/>
          <w:sz w:val="24"/>
          <w:szCs w:val="24"/>
          <w:lang w:eastAsia="en-AU"/>
        </w:rPr>
        <w:t xml:space="preserve"> to </w:t>
      </w:r>
      <w:proofErr w:type="gramStart"/>
      <w:r w:rsidRPr="00FC568D">
        <w:rPr>
          <w:rFonts w:ascii="Calibri" w:hAnsi="Calibri" w:cs="Calibri"/>
          <w:sz w:val="24"/>
          <w:szCs w:val="24"/>
          <w:lang w:eastAsia="en-AU"/>
        </w:rPr>
        <w:t>14</w:t>
      </w:r>
      <w:r>
        <w:rPr>
          <w:rFonts w:ascii="Calibri" w:hAnsi="Calibri" w:cs="Calibri"/>
          <w:sz w:val="24"/>
          <w:szCs w:val="24"/>
          <w:lang w:eastAsia="en-AU"/>
        </w:rPr>
        <w:t>,</w:t>
      </w:r>
      <w:proofErr w:type="gramEnd"/>
      <w:r>
        <w:rPr>
          <w:rFonts w:ascii="Calibri" w:hAnsi="Calibri" w:cs="Calibri"/>
          <w:sz w:val="24"/>
          <w:szCs w:val="24"/>
          <w:lang w:eastAsia="en-AU"/>
        </w:rPr>
        <w:t xml:space="preserve"> t</w:t>
      </w:r>
      <w:r w:rsidRPr="00FC568D">
        <w:rPr>
          <w:rFonts w:ascii="Calibri" w:hAnsi="Calibri" w:cs="Calibri"/>
          <w:sz w:val="24"/>
          <w:szCs w:val="24"/>
          <w:lang w:eastAsia="en-AU"/>
        </w:rPr>
        <w:t>he majority (85</w:t>
      </w:r>
      <w:r>
        <w:rPr>
          <w:rFonts w:ascii="Calibri" w:hAnsi="Calibri" w:cs="Calibri"/>
          <w:sz w:val="24"/>
          <w:szCs w:val="24"/>
          <w:lang w:eastAsia="en-AU"/>
        </w:rPr>
        <w:t xml:space="preserve"> per cent</w:t>
      </w:r>
      <w:r w:rsidRPr="00FC568D">
        <w:rPr>
          <w:rFonts w:ascii="Calibri" w:hAnsi="Calibri" w:cs="Calibri"/>
          <w:sz w:val="24"/>
          <w:szCs w:val="24"/>
          <w:lang w:eastAsia="en-AU"/>
        </w:rPr>
        <w:t xml:space="preserve">) reported feeling </w:t>
      </w:r>
      <w:r>
        <w:rPr>
          <w:rFonts w:ascii="Calibri" w:hAnsi="Calibri" w:cs="Calibri"/>
          <w:sz w:val="24"/>
          <w:szCs w:val="24"/>
          <w:lang w:eastAsia="en-AU"/>
        </w:rPr>
        <w:t>‘</w:t>
      </w:r>
      <w:r w:rsidRPr="00FC568D">
        <w:rPr>
          <w:rFonts w:ascii="Calibri" w:hAnsi="Calibri" w:cs="Calibri"/>
          <w:sz w:val="24"/>
          <w:szCs w:val="24"/>
          <w:lang w:eastAsia="en-AU"/>
        </w:rPr>
        <w:t>safe</w:t>
      </w:r>
      <w:r>
        <w:rPr>
          <w:rFonts w:ascii="Calibri" w:hAnsi="Calibri" w:cs="Calibri"/>
          <w:sz w:val="24"/>
          <w:szCs w:val="24"/>
          <w:lang w:eastAsia="en-AU"/>
        </w:rPr>
        <w:t>’ or ‘</w:t>
      </w:r>
      <w:r w:rsidRPr="00FC568D">
        <w:rPr>
          <w:rFonts w:ascii="Calibri" w:hAnsi="Calibri" w:cs="Calibri"/>
          <w:sz w:val="24"/>
          <w:szCs w:val="24"/>
          <w:lang w:eastAsia="en-AU"/>
        </w:rPr>
        <w:t>very safe</w:t>
      </w:r>
      <w:r>
        <w:rPr>
          <w:rFonts w:ascii="Calibri" w:hAnsi="Calibri" w:cs="Calibri"/>
          <w:sz w:val="24"/>
          <w:szCs w:val="24"/>
          <w:lang w:eastAsia="en-AU"/>
        </w:rPr>
        <w:t xml:space="preserve">’ </w:t>
      </w:r>
      <w:r w:rsidRPr="00FC568D">
        <w:rPr>
          <w:rFonts w:ascii="Calibri" w:hAnsi="Calibri" w:cs="Calibri"/>
          <w:sz w:val="24"/>
          <w:szCs w:val="24"/>
          <w:lang w:eastAsia="en-AU"/>
        </w:rPr>
        <w:t>at home alone during both the day and at night</w:t>
      </w:r>
      <w:r>
        <w:rPr>
          <w:rFonts w:ascii="Calibri" w:hAnsi="Calibri" w:cs="Calibri"/>
          <w:sz w:val="24"/>
          <w:szCs w:val="24"/>
          <w:lang w:eastAsia="en-AU"/>
        </w:rPr>
        <w:t>. These were similar findings to</w:t>
      </w:r>
      <w:r w:rsidRPr="00FC568D">
        <w:rPr>
          <w:rFonts w:ascii="Calibri" w:hAnsi="Calibri" w:cs="Calibri"/>
          <w:sz w:val="24"/>
          <w:szCs w:val="24"/>
          <w:lang w:eastAsia="en-AU"/>
        </w:rPr>
        <w:t xml:space="preserve"> those</w:t>
      </w:r>
      <w:r>
        <w:rPr>
          <w:rFonts w:ascii="Calibri" w:hAnsi="Calibri" w:cs="Calibri"/>
          <w:sz w:val="24"/>
          <w:szCs w:val="24"/>
          <w:lang w:eastAsia="en-AU"/>
        </w:rPr>
        <w:t xml:space="preserve"> reported in</w:t>
      </w:r>
      <w:r w:rsidRPr="00FC568D">
        <w:rPr>
          <w:rFonts w:ascii="Calibri" w:hAnsi="Calibri" w:cs="Calibri"/>
          <w:sz w:val="24"/>
          <w:szCs w:val="24"/>
          <w:lang w:eastAsia="en-AU"/>
        </w:rPr>
        <w:t xml:space="preserve"> 2006</w:t>
      </w:r>
      <w:r>
        <w:rPr>
          <w:rFonts w:ascii="Calibri" w:hAnsi="Calibri" w:cs="Calibri"/>
          <w:sz w:val="24"/>
          <w:szCs w:val="24"/>
          <w:lang w:eastAsia="en-AU"/>
        </w:rPr>
        <w:t xml:space="preserve"> </w:t>
      </w:r>
      <w:r w:rsidRPr="00FC568D">
        <w:rPr>
          <w:rFonts w:ascii="Calibri" w:hAnsi="Calibri" w:cs="Calibri"/>
          <w:sz w:val="24"/>
          <w:szCs w:val="24"/>
          <w:lang w:eastAsia="en-AU"/>
        </w:rPr>
        <w:t>(86</w:t>
      </w:r>
      <w:r>
        <w:rPr>
          <w:rFonts w:ascii="Calibri" w:hAnsi="Calibri" w:cs="Calibri"/>
          <w:sz w:val="24"/>
          <w:szCs w:val="24"/>
          <w:lang w:eastAsia="en-AU"/>
        </w:rPr>
        <w:t xml:space="preserve"> per cent</w:t>
      </w:r>
      <w:r w:rsidRPr="00FC568D">
        <w:rPr>
          <w:rFonts w:ascii="Calibri" w:hAnsi="Calibri" w:cs="Calibri"/>
          <w:sz w:val="24"/>
          <w:szCs w:val="24"/>
          <w:lang w:eastAsia="en-AU"/>
        </w:rPr>
        <w:t>)</w:t>
      </w:r>
      <w:r>
        <w:rPr>
          <w:rFonts w:ascii="Calibri" w:hAnsi="Calibri" w:cs="Calibri"/>
          <w:sz w:val="24"/>
          <w:szCs w:val="24"/>
          <w:lang w:eastAsia="en-AU"/>
        </w:rPr>
        <w:t xml:space="preserve"> (AIHW 2012a)</w:t>
      </w:r>
      <w:r w:rsidRPr="00FC568D">
        <w:rPr>
          <w:rFonts w:ascii="Calibri" w:hAnsi="Calibri" w:cs="Calibri"/>
          <w:sz w:val="24"/>
          <w:szCs w:val="24"/>
          <w:lang w:eastAsia="en-AU"/>
        </w:rPr>
        <w:t>.</w:t>
      </w:r>
      <w:r>
        <w:rPr>
          <w:rFonts w:ascii="Calibri" w:hAnsi="Calibri" w:cs="Calibri"/>
          <w:sz w:val="24"/>
          <w:szCs w:val="24"/>
          <w:lang w:eastAsia="en-AU"/>
        </w:rPr>
        <w:t xml:space="preserve"> R</w:t>
      </w:r>
      <w:r w:rsidRPr="00FC568D">
        <w:rPr>
          <w:rFonts w:ascii="Calibri" w:hAnsi="Calibri" w:cs="Calibri"/>
          <w:sz w:val="24"/>
          <w:szCs w:val="24"/>
          <w:lang w:eastAsia="en-AU"/>
        </w:rPr>
        <w:t>espondents were more likely to feel safe</w:t>
      </w:r>
      <w:r>
        <w:rPr>
          <w:rFonts w:ascii="Calibri" w:hAnsi="Calibri" w:cs="Calibri"/>
          <w:sz w:val="24"/>
          <w:szCs w:val="24"/>
          <w:lang w:eastAsia="en-AU"/>
        </w:rPr>
        <w:t xml:space="preserve"> or </w:t>
      </w:r>
      <w:r w:rsidRPr="00FC568D">
        <w:rPr>
          <w:rFonts w:ascii="Calibri" w:hAnsi="Calibri" w:cs="Calibri"/>
          <w:sz w:val="24"/>
          <w:szCs w:val="24"/>
          <w:lang w:eastAsia="en-AU"/>
        </w:rPr>
        <w:t>very</w:t>
      </w:r>
      <w:r>
        <w:rPr>
          <w:rFonts w:ascii="Calibri" w:hAnsi="Calibri" w:cs="Calibri"/>
          <w:sz w:val="24"/>
          <w:szCs w:val="24"/>
          <w:lang w:eastAsia="en-AU"/>
        </w:rPr>
        <w:t xml:space="preserve"> </w:t>
      </w:r>
      <w:r w:rsidRPr="00FC568D">
        <w:rPr>
          <w:rFonts w:ascii="Calibri" w:hAnsi="Calibri" w:cs="Calibri"/>
          <w:sz w:val="24"/>
          <w:szCs w:val="24"/>
          <w:lang w:eastAsia="en-AU"/>
        </w:rPr>
        <w:t xml:space="preserve">safe </w:t>
      </w:r>
      <w:r>
        <w:rPr>
          <w:rFonts w:ascii="Calibri" w:hAnsi="Calibri" w:cs="Calibri"/>
          <w:sz w:val="24"/>
          <w:szCs w:val="24"/>
          <w:lang w:eastAsia="en-AU"/>
        </w:rPr>
        <w:t xml:space="preserve">at home </w:t>
      </w:r>
      <w:r w:rsidRPr="00FC568D">
        <w:rPr>
          <w:rFonts w:ascii="Calibri" w:hAnsi="Calibri" w:cs="Calibri"/>
          <w:sz w:val="24"/>
          <w:szCs w:val="24"/>
          <w:lang w:eastAsia="en-AU"/>
        </w:rPr>
        <w:t>during the day (94</w:t>
      </w:r>
      <w:r>
        <w:rPr>
          <w:rFonts w:ascii="Calibri" w:hAnsi="Calibri" w:cs="Calibri"/>
          <w:sz w:val="24"/>
          <w:szCs w:val="24"/>
          <w:lang w:eastAsia="en-AU"/>
        </w:rPr>
        <w:t xml:space="preserve"> per cent</w:t>
      </w:r>
      <w:r w:rsidRPr="00FC568D">
        <w:rPr>
          <w:rFonts w:ascii="Calibri" w:hAnsi="Calibri" w:cs="Calibri"/>
          <w:sz w:val="24"/>
          <w:szCs w:val="24"/>
          <w:lang w:eastAsia="en-AU"/>
        </w:rPr>
        <w:t>) than at night (86</w:t>
      </w:r>
      <w:r>
        <w:rPr>
          <w:rFonts w:ascii="Calibri" w:hAnsi="Calibri" w:cs="Calibri"/>
          <w:sz w:val="24"/>
          <w:szCs w:val="24"/>
          <w:lang w:eastAsia="en-AU"/>
        </w:rPr>
        <w:t xml:space="preserve"> per cent</w:t>
      </w:r>
      <w:r w:rsidRPr="00FC568D">
        <w:rPr>
          <w:rFonts w:ascii="Calibri" w:hAnsi="Calibri" w:cs="Calibri"/>
          <w:sz w:val="24"/>
          <w:szCs w:val="24"/>
          <w:lang w:eastAsia="en-AU"/>
        </w:rPr>
        <w:t>)</w:t>
      </w:r>
      <w:r>
        <w:rPr>
          <w:rFonts w:ascii="Calibri" w:hAnsi="Calibri" w:cs="Calibri"/>
          <w:sz w:val="24"/>
          <w:szCs w:val="24"/>
          <w:lang w:eastAsia="en-AU"/>
        </w:rPr>
        <w:t>. About three-fifths</w:t>
      </w:r>
      <w:r w:rsidRPr="00FC568D">
        <w:rPr>
          <w:rFonts w:ascii="Calibri" w:hAnsi="Calibri" w:cs="Calibri"/>
          <w:sz w:val="24"/>
          <w:szCs w:val="24"/>
          <w:lang w:eastAsia="en-AU"/>
        </w:rPr>
        <w:t xml:space="preserve"> of respondents (59</w:t>
      </w:r>
      <w:r>
        <w:rPr>
          <w:rFonts w:ascii="Calibri" w:hAnsi="Calibri" w:cs="Calibri"/>
          <w:sz w:val="24"/>
          <w:szCs w:val="24"/>
          <w:lang w:eastAsia="en-AU"/>
        </w:rPr>
        <w:t xml:space="preserve"> per cent</w:t>
      </w:r>
      <w:r w:rsidRPr="00FC568D">
        <w:rPr>
          <w:rFonts w:ascii="Calibri" w:hAnsi="Calibri" w:cs="Calibri"/>
          <w:sz w:val="24"/>
          <w:szCs w:val="24"/>
          <w:lang w:eastAsia="en-AU"/>
        </w:rPr>
        <w:t>) reported</w:t>
      </w:r>
      <w:r>
        <w:rPr>
          <w:rFonts w:ascii="Calibri" w:hAnsi="Calibri" w:cs="Calibri"/>
          <w:sz w:val="24"/>
          <w:szCs w:val="24"/>
          <w:lang w:eastAsia="en-AU"/>
        </w:rPr>
        <w:t xml:space="preserve"> </w:t>
      </w:r>
      <w:r w:rsidRPr="00FC568D">
        <w:rPr>
          <w:rFonts w:ascii="Calibri" w:hAnsi="Calibri" w:cs="Calibri"/>
          <w:sz w:val="24"/>
          <w:szCs w:val="24"/>
          <w:lang w:eastAsia="en-AU"/>
        </w:rPr>
        <w:t>feeling safe</w:t>
      </w:r>
      <w:r>
        <w:rPr>
          <w:rFonts w:ascii="Calibri" w:hAnsi="Calibri" w:cs="Calibri"/>
          <w:sz w:val="24"/>
          <w:szCs w:val="24"/>
          <w:lang w:eastAsia="en-AU"/>
        </w:rPr>
        <w:t xml:space="preserve"> or </w:t>
      </w:r>
      <w:r w:rsidRPr="00FC568D">
        <w:rPr>
          <w:rFonts w:ascii="Calibri" w:hAnsi="Calibri" w:cs="Calibri"/>
          <w:sz w:val="24"/>
          <w:szCs w:val="24"/>
          <w:lang w:eastAsia="en-AU"/>
        </w:rPr>
        <w:t>very safe walking alone in their local</w:t>
      </w:r>
      <w:r>
        <w:rPr>
          <w:rFonts w:ascii="Calibri" w:hAnsi="Calibri" w:cs="Calibri"/>
          <w:sz w:val="24"/>
          <w:szCs w:val="24"/>
          <w:lang w:eastAsia="en-AU"/>
        </w:rPr>
        <w:t xml:space="preserve"> </w:t>
      </w:r>
      <w:r w:rsidRPr="00FC568D">
        <w:rPr>
          <w:rFonts w:ascii="Calibri" w:hAnsi="Calibri" w:cs="Calibri"/>
          <w:sz w:val="24"/>
          <w:szCs w:val="24"/>
          <w:lang w:eastAsia="en-AU"/>
        </w:rPr>
        <w:t>area at night.</w:t>
      </w:r>
    </w:p>
    <w:p w:rsidR="000B29AC" w:rsidRDefault="000B29AC" w:rsidP="000B29AC">
      <w:pPr>
        <w:rPr>
          <w:rFonts w:ascii="Calibri" w:hAnsi="Calibri" w:cs="Calibri"/>
          <w:sz w:val="24"/>
          <w:szCs w:val="24"/>
          <w:lang w:eastAsia="en-AU"/>
        </w:rPr>
      </w:pPr>
    </w:p>
    <w:p w:rsidR="000B29AC" w:rsidRPr="009C77E8" w:rsidRDefault="005C08DD" w:rsidP="00C73C17">
      <w:pPr>
        <w:pStyle w:val="Figure"/>
        <w:ind w:right="2527"/>
      </w:pPr>
      <w:bookmarkStart w:id="106" w:name="_Toc400010297"/>
      <w:r>
        <w:t xml:space="preserve">Table </w:t>
      </w:r>
      <w:fldSimple w:instr=" SEQ Table \* ARABIC ">
        <w:r w:rsidR="00BF1EC9">
          <w:rPr>
            <w:noProof/>
          </w:rPr>
          <w:t>11</w:t>
        </w:r>
      </w:fldSimple>
      <w:r>
        <w:t xml:space="preserve">: </w:t>
      </w:r>
      <w:r w:rsidRPr="0023440E">
        <w:t>Households with children aged 0–14 where neighbourhood</w:t>
      </w:r>
      <w:r w:rsidR="00246760">
        <w:t xml:space="preserve"> </w:t>
      </w:r>
      <w:r w:rsidRPr="0023440E">
        <w:t>is perceived as sa</w:t>
      </w:r>
      <w:r>
        <w:t>fe or very safe, 2010</w:t>
      </w:r>
      <w:bookmarkEnd w:id="106"/>
    </w:p>
    <w:tbl>
      <w:tblPr>
        <w:tblStyle w:val="TableGrid"/>
        <w:tblW w:w="27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11: Households with children aged 0–14 where the neighbourhood is perceived as safe or very safe; during 2010 by percentage for children at home alone during the day and at night, during the day, at night and walking alone in the local area at night. "/>
      </w:tblPr>
      <w:tblGrid>
        <w:gridCol w:w="3510"/>
        <w:gridCol w:w="2409"/>
      </w:tblGrid>
      <w:tr w:rsidR="000B29AC" w:rsidTr="00AD411A">
        <w:trPr>
          <w:tblHeader/>
        </w:trPr>
        <w:tc>
          <w:tcPr>
            <w:tcW w:w="2965" w:type="pct"/>
            <w:tcBorders>
              <w:top w:val="single" w:sz="4" w:space="0" w:color="auto"/>
              <w:bottom w:val="single" w:sz="4" w:space="0" w:color="auto"/>
            </w:tcBorders>
          </w:tcPr>
          <w:p w:rsidR="000B29AC" w:rsidRPr="0023440E" w:rsidRDefault="000B29AC" w:rsidP="00135409">
            <w:pPr>
              <w:keepLines/>
              <w:tabs>
                <w:tab w:val="left" w:pos="198"/>
              </w:tabs>
              <w:spacing w:before="60" w:after="60" w:line="200" w:lineRule="atLeast"/>
              <w:rPr>
                <w:rFonts w:ascii="Arial" w:hAnsi="Arial"/>
                <w:b/>
                <w:color w:val="000000"/>
                <w:sz w:val="16"/>
                <w:lang w:eastAsia="en-US"/>
              </w:rPr>
            </w:pPr>
            <w:r w:rsidRPr="0023440E">
              <w:rPr>
                <w:rFonts w:ascii="Arial" w:hAnsi="Arial"/>
                <w:b/>
                <w:color w:val="000000"/>
                <w:sz w:val="16"/>
                <w:lang w:eastAsia="en-US"/>
              </w:rPr>
              <w:t>Feels safe or very safe</w:t>
            </w:r>
          </w:p>
        </w:tc>
        <w:tc>
          <w:tcPr>
            <w:tcW w:w="2035" w:type="pct"/>
            <w:tcBorders>
              <w:top w:val="single" w:sz="4" w:space="0" w:color="auto"/>
              <w:bottom w:val="single" w:sz="4" w:space="0" w:color="auto"/>
            </w:tcBorders>
          </w:tcPr>
          <w:p w:rsidR="000B29AC" w:rsidRPr="0023440E" w:rsidRDefault="000B29AC" w:rsidP="00135409">
            <w:pPr>
              <w:keepLines/>
              <w:tabs>
                <w:tab w:val="left" w:pos="198"/>
              </w:tabs>
              <w:spacing w:before="60" w:after="60" w:line="200" w:lineRule="atLeast"/>
              <w:jc w:val="right"/>
              <w:rPr>
                <w:rFonts w:ascii="Arial" w:hAnsi="Arial"/>
                <w:b/>
                <w:color w:val="000000"/>
                <w:sz w:val="16"/>
                <w:lang w:eastAsia="en-US"/>
              </w:rPr>
            </w:pPr>
            <w:r w:rsidRPr="0023440E">
              <w:rPr>
                <w:rFonts w:ascii="Arial" w:hAnsi="Arial"/>
                <w:b/>
                <w:color w:val="000000"/>
                <w:sz w:val="16"/>
                <w:lang w:eastAsia="en-US"/>
              </w:rPr>
              <w:t>Per cent</w:t>
            </w:r>
          </w:p>
        </w:tc>
      </w:tr>
      <w:tr w:rsidR="000B29AC" w:rsidTr="00AD411A">
        <w:tc>
          <w:tcPr>
            <w:tcW w:w="2965" w:type="pct"/>
            <w:tcBorders>
              <w:top w:val="single" w:sz="4" w:space="0" w:color="auto"/>
            </w:tcBorders>
          </w:tcPr>
          <w:p w:rsidR="000B29AC" w:rsidRPr="00FC568D" w:rsidRDefault="000B29AC" w:rsidP="00135409">
            <w:pPr>
              <w:keepLines/>
              <w:tabs>
                <w:tab w:val="left" w:pos="198"/>
              </w:tabs>
              <w:spacing w:before="60" w:after="60" w:line="200" w:lineRule="atLeast"/>
              <w:rPr>
                <w:rFonts w:ascii="Arial" w:hAnsi="Arial"/>
                <w:color w:val="000000"/>
                <w:sz w:val="16"/>
                <w:lang w:eastAsia="en-US"/>
              </w:rPr>
            </w:pPr>
            <w:r w:rsidRPr="00FC568D">
              <w:rPr>
                <w:rFonts w:ascii="Arial" w:hAnsi="Arial"/>
                <w:color w:val="000000"/>
                <w:sz w:val="16"/>
                <w:lang w:eastAsia="en-US"/>
              </w:rPr>
              <w:t>At home</w:t>
            </w:r>
            <w:r>
              <w:rPr>
                <w:rFonts w:ascii="Arial" w:hAnsi="Arial"/>
                <w:color w:val="000000"/>
                <w:sz w:val="16"/>
                <w:lang w:eastAsia="en-US"/>
              </w:rPr>
              <w:t xml:space="preserve"> alone</w:t>
            </w:r>
          </w:p>
        </w:tc>
        <w:tc>
          <w:tcPr>
            <w:tcW w:w="2035" w:type="pct"/>
            <w:tcBorders>
              <w:top w:val="single" w:sz="4" w:space="0" w:color="auto"/>
            </w:tcBorders>
          </w:tcPr>
          <w:p w:rsidR="000B29AC" w:rsidRPr="00FC568D" w:rsidRDefault="000B29AC" w:rsidP="00135409">
            <w:pPr>
              <w:keepLines/>
              <w:tabs>
                <w:tab w:val="left" w:pos="198"/>
              </w:tabs>
              <w:spacing w:before="60" w:after="60" w:line="200" w:lineRule="atLeast"/>
              <w:jc w:val="right"/>
              <w:rPr>
                <w:rFonts w:ascii="Arial" w:hAnsi="Arial"/>
                <w:color w:val="000000"/>
                <w:sz w:val="16"/>
                <w:lang w:eastAsia="en-US"/>
              </w:rPr>
            </w:pPr>
          </w:p>
        </w:tc>
      </w:tr>
      <w:tr w:rsidR="000B29AC" w:rsidTr="00AD411A">
        <w:tc>
          <w:tcPr>
            <w:tcW w:w="2965" w:type="pct"/>
          </w:tcPr>
          <w:p w:rsidR="000B29AC" w:rsidRPr="00FC568D" w:rsidRDefault="000B29AC" w:rsidP="00135409">
            <w:pPr>
              <w:keepLines/>
              <w:tabs>
                <w:tab w:val="left" w:pos="198"/>
              </w:tabs>
              <w:spacing w:before="60" w:after="60" w:line="200" w:lineRule="atLeast"/>
              <w:ind w:firstLine="284"/>
              <w:rPr>
                <w:rFonts w:ascii="Arial" w:hAnsi="Arial"/>
                <w:color w:val="000000"/>
                <w:sz w:val="16"/>
                <w:lang w:eastAsia="en-US"/>
              </w:rPr>
            </w:pPr>
            <w:r w:rsidRPr="00FC568D">
              <w:rPr>
                <w:rFonts w:ascii="Arial" w:hAnsi="Arial"/>
                <w:color w:val="000000"/>
                <w:sz w:val="16"/>
                <w:lang w:eastAsia="en-US"/>
              </w:rPr>
              <w:t>During day and at night</w:t>
            </w:r>
          </w:p>
        </w:tc>
        <w:tc>
          <w:tcPr>
            <w:tcW w:w="2035" w:type="pct"/>
          </w:tcPr>
          <w:p w:rsidR="000B29AC" w:rsidRPr="00FC568D" w:rsidRDefault="000B29A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85.4</w:t>
            </w:r>
          </w:p>
        </w:tc>
      </w:tr>
      <w:tr w:rsidR="000B29AC" w:rsidTr="00AD411A">
        <w:tc>
          <w:tcPr>
            <w:tcW w:w="2965" w:type="pct"/>
          </w:tcPr>
          <w:p w:rsidR="000B29AC" w:rsidRPr="00FC568D" w:rsidRDefault="000B29AC" w:rsidP="00135409">
            <w:pPr>
              <w:keepLines/>
              <w:tabs>
                <w:tab w:val="left" w:pos="198"/>
              </w:tabs>
              <w:spacing w:before="60" w:after="60" w:line="200" w:lineRule="atLeast"/>
              <w:ind w:firstLine="284"/>
              <w:rPr>
                <w:rFonts w:ascii="Arial" w:hAnsi="Arial"/>
                <w:color w:val="000000"/>
                <w:sz w:val="16"/>
                <w:lang w:eastAsia="en-US"/>
              </w:rPr>
            </w:pPr>
            <w:r w:rsidRPr="00FC568D">
              <w:rPr>
                <w:rFonts w:ascii="Arial" w:hAnsi="Arial"/>
                <w:color w:val="000000"/>
                <w:sz w:val="16"/>
                <w:lang w:eastAsia="en-US"/>
              </w:rPr>
              <w:t>During day</w:t>
            </w:r>
          </w:p>
        </w:tc>
        <w:tc>
          <w:tcPr>
            <w:tcW w:w="2035" w:type="pct"/>
          </w:tcPr>
          <w:p w:rsidR="000B29AC" w:rsidRPr="00FC568D" w:rsidRDefault="000B29A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94.4</w:t>
            </w:r>
          </w:p>
        </w:tc>
      </w:tr>
      <w:tr w:rsidR="000B29AC" w:rsidTr="00AD411A">
        <w:tc>
          <w:tcPr>
            <w:tcW w:w="2965" w:type="pct"/>
          </w:tcPr>
          <w:p w:rsidR="000B29AC" w:rsidRPr="00FC568D" w:rsidRDefault="000B29AC" w:rsidP="00135409">
            <w:pPr>
              <w:keepLines/>
              <w:tabs>
                <w:tab w:val="left" w:pos="198"/>
              </w:tabs>
              <w:spacing w:before="60" w:after="60" w:line="200" w:lineRule="atLeast"/>
              <w:ind w:firstLine="284"/>
              <w:rPr>
                <w:rFonts w:ascii="Arial" w:hAnsi="Arial"/>
                <w:color w:val="000000"/>
                <w:sz w:val="16"/>
                <w:lang w:eastAsia="en-US"/>
              </w:rPr>
            </w:pPr>
            <w:r w:rsidRPr="00FC568D">
              <w:rPr>
                <w:rFonts w:ascii="Arial" w:hAnsi="Arial"/>
                <w:color w:val="000000"/>
                <w:sz w:val="16"/>
                <w:lang w:eastAsia="en-US"/>
              </w:rPr>
              <w:t>At night</w:t>
            </w:r>
          </w:p>
        </w:tc>
        <w:tc>
          <w:tcPr>
            <w:tcW w:w="2035" w:type="pct"/>
          </w:tcPr>
          <w:p w:rsidR="000B29AC" w:rsidRPr="00FC568D" w:rsidRDefault="000B29A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85.5</w:t>
            </w:r>
          </w:p>
        </w:tc>
      </w:tr>
      <w:tr w:rsidR="000B29AC" w:rsidTr="00AD411A">
        <w:tc>
          <w:tcPr>
            <w:tcW w:w="2965" w:type="pct"/>
            <w:tcBorders>
              <w:bottom w:val="single" w:sz="4" w:space="0" w:color="auto"/>
            </w:tcBorders>
          </w:tcPr>
          <w:p w:rsidR="000B29AC" w:rsidRPr="00FC568D" w:rsidRDefault="000B29AC" w:rsidP="00135409">
            <w:pPr>
              <w:keepLines/>
              <w:tabs>
                <w:tab w:val="left" w:pos="198"/>
              </w:tabs>
              <w:spacing w:before="60" w:after="60" w:line="200" w:lineRule="atLeast"/>
              <w:rPr>
                <w:rFonts w:ascii="Arial" w:hAnsi="Arial"/>
                <w:color w:val="000000"/>
                <w:sz w:val="16"/>
                <w:lang w:eastAsia="en-US"/>
              </w:rPr>
            </w:pPr>
            <w:r w:rsidRPr="00FC568D">
              <w:rPr>
                <w:rFonts w:ascii="Arial" w:hAnsi="Arial"/>
                <w:color w:val="000000"/>
                <w:sz w:val="16"/>
                <w:lang w:eastAsia="en-US"/>
              </w:rPr>
              <w:t xml:space="preserve">Walking </w:t>
            </w:r>
            <w:r>
              <w:rPr>
                <w:rFonts w:ascii="Arial" w:hAnsi="Arial"/>
                <w:color w:val="000000"/>
                <w:sz w:val="16"/>
                <w:lang w:eastAsia="en-US"/>
              </w:rPr>
              <w:t xml:space="preserve">alone </w:t>
            </w:r>
            <w:r w:rsidRPr="00FC568D">
              <w:rPr>
                <w:rFonts w:ascii="Arial" w:hAnsi="Arial"/>
                <w:color w:val="000000"/>
                <w:sz w:val="16"/>
                <w:lang w:eastAsia="en-US"/>
              </w:rPr>
              <w:t>in local area</w:t>
            </w:r>
            <w:r>
              <w:rPr>
                <w:rFonts w:ascii="Arial" w:hAnsi="Arial"/>
                <w:color w:val="000000"/>
                <w:sz w:val="16"/>
                <w:lang w:eastAsia="en-US"/>
              </w:rPr>
              <w:t xml:space="preserve"> at night</w:t>
            </w:r>
          </w:p>
        </w:tc>
        <w:tc>
          <w:tcPr>
            <w:tcW w:w="2035" w:type="pct"/>
            <w:tcBorders>
              <w:bottom w:val="single" w:sz="4" w:space="0" w:color="auto"/>
            </w:tcBorders>
          </w:tcPr>
          <w:p w:rsidR="000B29AC" w:rsidRPr="00FC568D" w:rsidRDefault="000B29A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59.5</w:t>
            </w:r>
          </w:p>
        </w:tc>
      </w:tr>
    </w:tbl>
    <w:p w:rsidR="000B29AC" w:rsidRPr="003F7871" w:rsidRDefault="000B29AC" w:rsidP="00A6091A">
      <w:pPr>
        <w:pStyle w:val="StyleArial7ptBefore6pt"/>
        <w:rPr>
          <w:lang w:eastAsia="en-US"/>
        </w:rPr>
      </w:pPr>
      <w:r w:rsidRPr="003F7871">
        <w:rPr>
          <w:lang w:eastAsia="en-US"/>
        </w:rPr>
        <w:t>Note:</w:t>
      </w:r>
      <w:r w:rsidR="00A5154F" w:rsidRPr="003F7871">
        <w:rPr>
          <w:lang w:eastAsia="en-US"/>
        </w:rPr>
        <w:t xml:space="preserve"> </w:t>
      </w:r>
      <w:r w:rsidRPr="003F7871">
        <w:rPr>
          <w:lang w:eastAsia="en-US"/>
        </w:rPr>
        <w:t>Data on Indigenous status are not available from the ABS 2010 General Social Survey.</w:t>
      </w:r>
    </w:p>
    <w:p w:rsidR="005304AC" w:rsidRPr="003F7871" w:rsidRDefault="000B29AC" w:rsidP="00A6091A">
      <w:pPr>
        <w:pStyle w:val="StyleArial7ptBefore6pt"/>
        <w:rPr>
          <w:lang w:eastAsia="en-US"/>
        </w:rPr>
      </w:pPr>
      <w:r w:rsidRPr="003F7871">
        <w:rPr>
          <w:lang w:eastAsia="en-US"/>
        </w:rPr>
        <w:t>Source: ABS 2010 General Social Survey data sourced from AIHW 2012a.</w:t>
      </w:r>
    </w:p>
    <w:p w:rsidR="00A568F9" w:rsidRPr="00ED4FA5" w:rsidRDefault="005304AC" w:rsidP="00ED4FA5">
      <w:pPr>
        <w:rPr>
          <w:rFonts w:ascii="Arial" w:hAnsi="Arial" w:cs="Arial"/>
          <w:sz w:val="14"/>
          <w:lang w:eastAsia="en-US"/>
        </w:rPr>
      </w:pPr>
      <w:r>
        <w:rPr>
          <w:rFonts w:ascii="Arial" w:hAnsi="Arial" w:cs="Arial"/>
          <w:sz w:val="14"/>
          <w:lang w:eastAsia="en-US"/>
        </w:rPr>
        <w:br w:type="page"/>
      </w:r>
    </w:p>
    <w:p w:rsidR="00D37C71" w:rsidRPr="00356B6E" w:rsidRDefault="00D37C71" w:rsidP="00B940CF">
      <w:pPr>
        <w:pStyle w:val="Heading1"/>
      </w:pPr>
      <w:bookmarkStart w:id="107" w:name="_Toc400007712"/>
      <w:bookmarkStart w:id="108" w:name="_Toc400711477"/>
      <w:r>
        <w:t>Chapter four: Outcome 2</w:t>
      </w:r>
      <w:r>
        <w:noBreakHyphen/>
        <w:t>Children and families access adequate support to promote safety and intervene early</w:t>
      </w:r>
      <w:bookmarkEnd w:id="107"/>
      <w:bookmarkEnd w:id="108"/>
    </w:p>
    <w:p w:rsidR="001145E1" w:rsidRPr="00B71ABA" w:rsidRDefault="00754A9B" w:rsidP="003F7871">
      <w:pPr>
        <w:pBdr>
          <w:top w:val="single" w:sz="4" w:space="1" w:color="auto"/>
          <w:left w:val="single" w:sz="4" w:space="4" w:color="auto"/>
          <w:bottom w:val="single" w:sz="4" w:space="1" w:color="auto"/>
          <w:right w:val="single" w:sz="4" w:space="4" w:color="auto"/>
        </w:pBdr>
        <w:tabs>
          <w:tab w:val="left" w:pos="851"/>
        </w:tabs>
        <w:ind w:left="426" w:right="1109"/>
        <w:jc w:val="center"/>
      </w:pPr>
      <w:r w:rsidRPr="008A242D">
        <w:rPr>
          <w:rFonts w:ascii="Arial" w:hAnsi="Arial" w:cs="Arial"/>
          <w:sz w:val="28"/>
          <w:szCs w:val="28"/>
        </w:rPr>
        <w:t>A</w:t>
      </w:r>
      <w:r w:rsidR="001145E1" w:rsidRPr="008A242D">
        <w:rPr>
          <w:rFonts w:ascii="Arial" w:hAnsi="Arial" w:cs="Arial"/>
          <w:sz w:val="28"/>
          <w:szCs w:val="28"/>
        </w:rPr>
        <w:t>ll children and families receive appropriate support and services to create the conditions for safety and care.</w:t>
      </w:r>
      <w:r w:rsidR="003B4864" w:rsidRPr="008A242D">
        <w:rPr>
          <w:rFonts w:ascii="Arial" w:hAnsi="Arial" w:cs="Arial"/>
          <w:sz w:val="28"/>
          <w:szCs w:val="28"/>
        </w:rPr>
        <w:t xml:space="preserve"> </w:t>
      </w:r>
      <w:proofErr w:type="gramStart"/>
      <w:r w:rsidR="001145E1" w:rsidRPr="008A242D">
        <w:rPr>
          <w:rFonts w:ascii="Arial" w:hAnsi="Arial" w:cs="Arial"/>
          <w:sz w:val="28"/>
          <w:szCs w:val="28"/>
        </w:rPr>
        <w:t xml:space="preserve">When required, early intervention and specialist services are available to meet </w:t>
      </w:r>
      <w:r w:rsidR="00D043EC" w:rsidRPr="008A242D">
        <w:rPr>
          <w:rFonts w:ascii="Arial" w:hAnsi="Arial" w:cs="Arial"/>
          <w:sz w:val="28"/>
          <w:szCs w:val="28"/>
        </w:rPr>
        <w:t xml:space="preserve">the </w:t>
      </w:r>
      <w:r w:rsidR="001145E1" w:rsidRPr="008A242D">
        <w:rPr>
          <w:rFonts w:ascii="Arial" w:hAnsi="Arial" w:cs="Arial"/>
          <w:sz w:val="28"/>
          <w:szCs w:val="28"/>
        </w:rPr>
        <w:t>additional needs of vulnerable families, to ensure children’s safety and wellbeing.</w:t>
      </w:r>
      <w:proofErr w:type="gramEnd"/>
    </w:p>
    <w:p w:rsidR="001145E1" w:rsidRPr="00714270" w:rsidRDefault="009250A1" w:rsidP="00247650">
      <w:pPr>
        <w:pStyle w:val="Heading2"/>
      </w:pPr>
      <w:bookmarkStart w:id="109" w:name="_Toc400007713"/>
      <w:bookmarkStart w:id="110" w:name="_Toc400711478"/>
      <w:r w:rsidRPr="00714270">
        <w:t>Overview</w:t>
      </w:r>
      <w:bookmarkEnd w:id="109"/>
      <w:bookmarkEnd w:id="110"/>
    </w:p>
    <w:p w:rsidR="00585120" w:rsidRDefault="00EC5572" w:rsidP="00D700C8">
      <w:pPr>
        <w:rPr>
          <w:rFonts w:ascii="Calibri" w:hAnsi="Calibri" w:cs="Calibri"/>
          <w:sz w:val="24"/>
          <w:szCs w:val="24"/>
        </w:rPr>
      </w:pPr>
      <w:r w:rsidRPr="00714270">
        <w:rPr>
          <w:rFonts w:ascii="Calibri" w:hAnsi="Calibri" w:cs="Calibri"/>
          <w:sz w:val="24"/>
          <w:szCs w:val="24"/>
        </w:rPr>
        <w:t>National Priorities</w:t>
      </w:r>
      <w:r w:rsidR="00714270" w:rsidRPr="00714270">
        <w:rPr>
          <w:rFonts w:ascii="Calibri" w:hAnsi="Calibri" w:cs="Calibri"/>
          <w:sz w:val="24"/>
          <w:szCs w:val="24"/>
        </w:rPr>
        <w:t xml:space="preserve"> identified </w:t>
      </w:r>
      <w:r w:rsidR="00C475E2">
        <w:rPr>
          <w:rFonts w:ascii="Calibri" w:hAnsi="Calibri" w:cs="Calibri"/>
          <w:sz w:val="24"/>
          <w:szCs w:val="24"/>
        </w:rPr>
        <w:t xml:space="preserve">under the Second Action Plan </w:t>
      </w:r>
      <w:r w:rsidR="00714270" w:rsidRPr="00714270">
        <w:rPr>
          <w:rFonts w:ascii="Calibri" w:hAnsi="Calibri" w:cs="Calibri"/>
          <w:sz w:val="24"/>
          <w:szCs w:val="24"/>
        </w:rPr>
        <w:t xml:space="preserve">against </w:t>
      </w:r>
      <w:r w:rsidR="008A242D" w:rsidRPr="00714270">
        <w:rPr>
          <w:rFonts w:ascii="Calibri" w:hAnsi="Calibri" w:cs="Calibri"/>
          <w:sz w:val="24"/>
          <w:szCs w:val="24"/>
        </w:rPr>
        <w:t xml:space="preserve">Supporting Outcome 2 </w:t>
      </w:r>
      <w:r w:rsidR="00714270" w:rsidRPr="00714270">
        <w:rPr>
          <w:rFonts w:ascii="Calibri" w:hAnsi="Calibri" w:cs="Calibri"/>
          <w:sz w:val="24"/>
          <w:szCs w:val="24"/>
        </w:rPr>
        <w:t>aim to ensure that</w:t>
      </w:r>
      <w:r w:rsidR="00BE1191" w:rsidRPr="00714270">
        <w:rPr>
          <w:rFonts w:ascii="Calibri" w:hAnsi="Calibri" w:cs="Calibri"/>
          <w:sz w:val="24"/>
          <w:szCs w:val="24"/>
        </w:rPr>
        <w:t xml:space="preserve"> </w:t>
      </w:r>
      <w:r w:rsidR="00D326FC" w:rsidRPr="00714270">
        <w:rPr>
          <w:rFonts w:ascii="Calibri" w:hAnsi="Calibri" w:cs="Calibri"/>
          <w:sz w:val="24"/>
          <w:szCs w:val="24"/>
        </w:rPr>
        <w:t xml:space="preserve">vulnerable </w:t>
      </w:r>
      <w:r w:rsidR="00714270" w:rsidRPr="00714270">
        <w:rPr>
          <w:rFonts w:ascii="Calibri" w:hAnsi="Calibri" w:cs="Calibri"/>
          <w:sz w:val="24"/>
          <w:szCs w:val="24"/>
        </w:rPr>
        <w:t>families are</w:t>
      </w:r>
      <w:r w:rsidR="00BE1191" w:rsidRPr="00714270">
        <w:rPr>
          <w:rFonts w:ascii="Calibri" w:hAnsi="Calibri" w:cs="Calibri"/>
          <w:sz w:val="24"/>
          <w:szCs w:val="24"/>
        </w:rPr>
        <w:t xml:space="preserve"> able to access the range of services </w:t>
      </w:r>
      <w:r w:rsidR="00D043EC" w:rsidRPr="00714270">
        <w:rPr>
          <w:rFonts w:ascii="Calibri" w:hAnsi="Calibri" w:cs="Calibri"/>
          <w:sz w:val="24"/>
          <w:szCs w:val="24"/>
        </w:rPr>
        <w:t xml:space="preserve">they </w:t>
      </w:r>
      <w:r w:rsidR="00BE1191" w:rsidRPr="00714270">
        <w:rPr>
          <w:rFonts w:ascii="Calibri" w:hAnsi="Calibri" w:cs="Calibri"/>
          <w:sz w:val="24"/>
          <w:szCs w:val="24"/>
        </w:rPr>
        <w:t xml:space="preserve">may </w:t>
      </w:r>
      <w:r w:rsidR="00D043EC" w:rsidRPr="00714270">
        <w:rPr>
          <w:rFonts w:ascii="Calibri" w:hAnsi="Calibri" w:cs="Calibri"/>
          <w:sz w:val="24"/>
          <w:szCs w:val="24"/>
        </w:rPr>
        <w:t>need</w:t>
      </w:r>
      <w:r w:rsidR="00BE1191" w:rsidRPr="00714270">
        <w:rPr>
          <w:rFonts w:ascii="Calibri" w:hAnsi="Calibri" w:cs="Calibri"/>
          <w:sz w:val="24"/>
          <w:szCs w:val="24"/>
        </w:rPr>
        <w:t xml:space="preserve"> to </w:t>
      </w:r>
      <w:r w:rsidR="00585120" w:rsidRPr="00714270">
        <w:rPr>
          <w:rFonts w:ascii="Calibri" w:hAnsi="Calibri" w:cs="Calibri"/>
          <w:sz w:val="24"/>
          <w:szCs w:val="24"/>
        </w:rPr>
        <w:t>wor</w:t>
      </w:r>
      <w:r w:rsidR="00D326FC" w:rsidRPr="00714270">
        <w:rPr>
          <w:rFonts w:ascii="Calibri" w:hAnsi="Calibri" w:cs="Calibri"/>
          <w:sz w:val="24"/>
          <w:szCs w:val="24"/>
        </w:rPr>
        <w:t xml:space="preserve">k with them and </w:t>
      </w:r>
      <w:r w:rsidR="00BE1191" w:rsidRPr="00714270">
        <w:rPr>
          <w:rFonts w:ascii="Calibri" w:hAnsi="Calibri" w:cs="Calibri"/>
          <w:sz w:val="24"/>
          <w:szCs w:val="24"/>
        </w:rPr>
        <w:t>support them during</w:t>
      </w:r>
      <w:r w:rsidR="00585120" w:rsidRPr="00714270">
        <w:rPr>
          <w:rFonts w:ascii="Calibri" w:hAnsi="Calibri" w:cs="Calibri"/>
          <w:sz w:val="24"/>
          <w:szCs w:val="24"/>
        </w:rPr>
        <w:t xml:space="preserve"> and following</w:t>
      </w:r>
      <w:r w:rsidR="00BE1191" w:rsidRPr="00714270">
        <w:rPr>
          <w:rFonts w:ascii="Calibri" w:hAnsi="Calibri" w:cs="Calibri"/>
          <w:sz w:val="24"/>
          <w:szCs w:val="24"/>
        </w:rPr>
        <w:t xml:space="preserve"> a difficult period</w:t>
      </w:r>
      <w:r w:rsidR="00585120" w:rsidRPr="00714270">
        <w:rPr>
          <w:rFonts w:ascii="Calibri" w:hAnsi="Calibri" w:cs="Calibri"/>
          <w:sz w:val="24"/>
          <w:szCs w:val="24"/>
        </w:rPr>
        <w:t>.</w:t>
      </w:r>
      <w:r w:rsidR="00D26B57">
        <w:rPr>
          <w:rFonts w:ascii="Calibri" w:hAnsi="Calibri" w:cs="Calibri"/>
          <w:sz w:val="24"/>
          <w:szCs w:val="24"/>
        </w:rPr>
        <w:t xml:space="preserve"> </w:t>
      </w:r>
      <w:r w:rsidR="00714270" w:rsidRPr="00714270">
        <w:rPr>
          <w:rFonts w:ascii="Calibri" w:hAnsi="Calibri" w:cs="Calibri"/>
          <w:sz w:val="24"/>
          <w:szCs w:val="24"/>
        </w:rPr>
        <w:t xml:space="preserve">These </w:t>
      </w:r>
      <w:r w:rsidRPr="00714270">
        <w:rPr>
          <w:rFonts w:ascii="Calibri" w:hAnsi="Calibri" w:cs="Calibri"/>
          <w:sz w:val="24"/>
          <w:szCs w:val="24"/>
        </w:rPr>
        <w:t>National Priorities</w:t>
      </w:r>
      <w:r w:rsidR="00714270" w:rsidRPr="00714270">
        <w:rPr>
          <w:rFonts w:ascii="Calibri" w:hAnsi="Calibri" w:cs="Calibri"/>
          <w:sz w:val="24"/>
          <w:szCs w:val="24"/>
        </w:rPr>
        <w:t xml:space="preserve"> are:</w:t>
      </w:r>
    </w:p>
    <w:p w:rsidR="004B02E7" w:rsidRDefault="004B02E7" w:rsidP="00414D77">
      <w:pPr>
        <w:pStyle w:val="ListBullet"/>
      </w:pPr>
      <w:r>
        <w:t>Sharing Information</w:t>
      </w:r>
    </w:p>
    <w:p w:rsidR="00714270" w:rsidRDefault="00414D77" w:rsidP="00414D77">
      <w:pPr>
        <w:pStyle w:val="ListBullet3"/>
      </w:pPr>
      <w:r>
        <w:t>This e</w:t>
      </w:r>
      <w:r w:rsidR="004B02E7">
        <w:t xml:space="preserve">xplores and improves information sharing protocols across </w:t>
      </w:r>
      <w:r w:rsidR="00714270">
        <w:t>all levels of government</w:t>
      </w:r>
      <w:r w:rsidR="004B02E7">
        <w:t>.</w:t>
      </w:r>
    </w:p>
    <w:p w:rsidR="00714270" w:rsidRDefault="004B02E7" w:rsidP="00414D77">
      <w:pPr>
        <w:pStyle w:val="ListBullet"/>
      </w:pPr>
      <w:r>
        <w:t>Seeing the Early Warning Signs of Child Abuse and Neglect and Taking Early A</w:t>
      </w:r>
      <w:r w:rsidR="00714270">
        <w:t>ction</w:t>
      </w:r>
    </w:p>
    <w:p w:rsidR="004B02E7" w:rsidRDefault="00414D77" w:rsidP="00414D77">
      <w:pPr>
        <w:pStyle w:val="ListBullet3"/>
      </w:pPr>
      <w:r>
        <w:t>This f</w:t>
      </w:r>
      <w:r w:rsidR="004B02E7">
        <w:t xml:space="preserve">ocuses on testing the applicability of CAARS in different settings, including 13 </w:t>
      </w:r>
      <w:r w:rsidR="002A38B6">
        <w:t>FMHSS</w:t>
      </w:r>
      <w:r w:rsidR="004B02E7">
        <w:t>s across Australia.</w:t>
      </w:r>
    </w:p>
    <w:p w:rsidR="004B02E7" w:rsidRDefault="004B02E7" w:rsidP="00414D77">
      <w:pPr>
        <w:pStyle w:val="ListBullet"/>
      </w:pPr>
      <w:r>
        <w:t>Joining Up Service D</w:t>
      </w:r>
      <w:r w:rsidR="0007351F">
        <w:t xml:space="preserve">elivery </w:t>
      </w:r>
    </w:p>
    <w:p w:rsidR="0007351F" w:rsidRPr="0007351F" w:rsidRDefault="00414D77" w:rsidP="00414D77">
      <w:pPr>
        <w:pStyle w:val="ListBullet3"/>
      </w:pPr>
      <w:r>
        <w:t xml:space="preserve">This emphasises </w:t>
      </w:r>
      <w:r w:rsidR="004B02E7">
        <w:t xml:space="preserve">locally based responses by bringing together the efforts of government and </w:t>
      </w:r>
      <w:r w:rsidR="00C8305C">
        <w:t>community sector</w:t>
      </w:r>
      <w:r w:rsidR="004B02E7">
        <w:t xml:space="preserve"> organisations to meet the needs of families who experience multiple or complex needs.</w:t>
      </w:r>
    </w:p>
    <w:p w:rsidR="00F9393E" w:rsidRPr="0007351F" w:rsidRDefault="00F9393E" w:rsidP="001D253E">
      <w:pPr>
        <w:rPr>
          <w:rFonts w:ascii="Calibri" w:hAnsi="Calibri" w:cs="Calibri"/>
          <w:sz w:val="24"/>
          <w:szCs w:val="24"/>
        </w:rPr>
      </w:pPr>
    </w:p>
    <w:p w:rsidR="005A0DDC" w:rsidRPr="00903B58" w:rsidRDefault="00714270" w:rsidP="005A0DDC">
      <w:pPr>
        <w:rPr>
          <w:rFonts w:ascii="Calibri" w:hAnsi="Calibri" w:cs="Calibri"/>
          <w:sz w:val="24"/>
          <w:szCs w:val="24"/>
        </w:rPr>
      </w:pPr>
      <w:r>
        <w:rPr>
          <w:rFonts w:ascii="Calibri" w:hAnsi="Calibri" w:cs="Calibri"/>
          <w:sz w:val="24"/>
          <w:szCs w:val="24"/>
        </w:rPr>
        <w:t xml:space="preserve">The actions taken by each jurisdiction under these </w:t>
      </w:r>
      <w:r w:rsidR="00EC5572">
        <w:rPr>
          <w:rFonts w:ascii="Calibri" w:hAnsi="Calibri" w:cs="Calibri"/>
          <w:sz w:val="24"/>
          <w:szCs w:val="24"/>
        </w:rPr>
        <w:t>National Priorities</w:t>
      </w:r>
      <w:r w:rsidR="00CB728E">
        <w:rPr>
          <w:rFonts w:ascii="Calibri" w:hAnsi="Calibri" w:cs="Calibri"/>
          <w:sz w:val="24"/>
          <w:szCs w:val="24"/>
        </w:rPr>
        <w:t>, including other associated supporting actions,</w:t>
      </w:r>
      <w:r>
        <w:rPr>
          <w:rFonts w:ascii="Calibri" w:hAnsi="Calibri" w:cs="Calibri"/>
          <w:sz w:val="24"/>
          <w:szCs w:val="24"/>
        </w:rPr>
        <w:t xml:space="preserve"> are described in detail below.</w:t>
      </w:r>
      <w:r w:rsidR="005A0DDC">
        <w:rPr>
          <w:rFonts w:ascii="Calibri" w:hAnsi="Calibri" w:cs="Calibri"/>
          <w:sz w:val="24"/>
          <w:szCs w:val="24"/>
        </w:rPr>
        <w:t xml:space="preserve"> At the end of the </w:t>
      </w:r>
      <w:r w:rsidR="008D421A">
        <w:rPr>
          <w:rFonts w:ascii="Calibri" w:hAnsi="Calibri" w:cs="Calibri"/>
          <w:sz w:val="24"/>
          <w:szCs w:val="24"/>
        </w:rPr>
        <w:t>c</w:t>
      </w:r>
      <w:r w:rsidR="005A0DDC">
        <w:rPr>
          <w:rFonts w:ascii="Calibri" w:hAnsi="Calibri" w:cs="Calibri"/>
          <w:sz w:val="24"/>
          <w:szCs w:val="24"/>
        </w:rPr>
        <w:t>hapter, there is a discussion of performance against the three</w:t>
      </w:r>
      <w:r w:rsidR="005A0DDC" w:rsidRPr="00903B58">
        <w:rPr>
          <w:rFonts w:ascii="Calibri" w:hAnsi="Calibri" w:cs="Calibri"/>
          <w:sz w:val="24"/>
          <w:szCs w:val="24"/>
        </w:rPr>
        <w:t xml:space="preserve"> indicators </w:t>
      </w:r>
      <w:r w:rsidR="005A0DDC">
        <w:rPr>
          <w:rFonts w:ascii="Calibri" w:hAnsi="Calibri" w:cs="Calibri"/>
          <w:sz w:val="24"/>
          <w:szCs w:val="24"/>
        </w:rPr>
        <w:t>which</w:t>
      </w:r>
      <w:r w:rsidR="005A0DDC" w:rsidRPr="00903B58">
        <w:rPr>
          <w:rFonts w:ascii="Calibri" w:hAnsi="Calibri" w:cs="Calibri"/>
          <w:sz w:val="24"/>
          <w:szCs w:val="24"/>
        </w:rPr>
        <w:t xml:space="preserve"> me</w:t>
      </w:r>
      <w:r w:rsidR="005A0DDC">
        <w:rPr>
          <w:rFonts w:ascii="Calibri" w:hAnsi="Calibri" w:cs="Calibri"/>
          <w:sz w:val="24"/>
          <w:szCs w:val="24"/>
        </w:rPr>
        <w:t>asure progress towards Outcome 2, namely:</w:t>
      </w:r>
    </w:p>
    <w:p w:rsidR="005A0DDC" w:rsidRPr="00903B58" w:rsidRDefault="005A0DDC" w:rsidP="005A0DDC">
      <w:pPr>
        <w:pStyle w:val="ListBullet"/>
      </w:pPr>
      <w:r>
        <w:t>Family support service use</w:t>
      </w:r>
    </w:p>
    <w:p w:rsidR="005A0DDC" w:rsidRDefault="005A0DDC" w:rsidP="005A0DDC">
      <w:pPr>
        <w:pStyle w:val="ListBullet"/>
      </w:pPr>
      <w:r>
        <w:t>Early childhood education</w:t>
      </w:r>
    </w:p>
    <w:p w:rsidR="00CB728E" w:rsidRDefault="005A0DDC" w:rsidP="005A0DDC">
      <w:pPr>
        <w:pStyle w:val="ListBullet"/>
      </w:pPr>
      <w:r>
        <w:t>Antenatal care.</w:t>
      </w:r>
    </w:p>
    <w:p w:rsidR="00374CED" w:rsidRPr="00121421" w:rsidRDefault="00374CED" w:rsidP="00247650">
      <w:pPr>
        <w:pStyle w:val="Heading2"/>
      </w:pPr>
      <w:bookmarkStart w:id="111" w:name="_Toc400007714"/>
      <w:bookmarkStart w:id="112" w:name="_Toc400711479"/>
      <w:r>
        <w:t>Australian, state and territory government activities</w:t>
      </w:r>
      <w:bookmarkEnd w:id="111"/>
      <w:bookmarkEnd w:id="112"/>
    </w:p>
    <w:p w:rsidR="004B3587" w:rsidRDefault="004B3587" w:rsidP="00247650">
      <w:pPr>
        <w:pStyle w:val="Heading3"/>
      </w:pPr>
      <w:bookmarkStart w:id="113" w:name="_Toc400007715"/>
      <w:r w:rsidRPr="004B3587">
        <w:t>Australian Government</w:t>
      </w:r>
      <w:bookmarkEnd w:id="113"/>
    </w:p>
    <w:p w:rsidR="00CE713C" w:rsidRDefault="00CE713C" w:rsidP="00AA522D">
      <w:pPr>
        <w:pStyle w:val="Heading4"/>
      </w:pPr>
      <w:r>
        <w:t>Sharing Information</w:t>
      </w:r>
    </w:p>
    <w:p w:rsidR="002C3550" w:rsidRDefault="002C3550" w:rsidP="002C3550">
      <w:pPr>
        <w:pStyle w:val="ListParagraph"/>
        <w:spacing w:after="0" w:line="240" w:lineRule="auto"/>
        <w:ind w:left="0"/>
        <w:rPr>
          <w:rFonts w:ascii="Calibri" w:hAnsi="Calibri" w:cs="Calibri"/>
          <w:sz w:val="24"/>
          <w:szCs w:val="24"/>
        </w:rPr>
      </w:pPr>
      <w:r>
        <w:rPr>
          <w:rFonts w:ascii="Calibri" w:hAnsi="Calibri" w:cs="Calibri"/>
          <w:sz w:val="24"/>
          <w:szCs w:val="24"/>
        </w:rPr>
        <w:t xml:space="preserve">The Information Sharing Protocol </w:t>
      </w:r>
      <w:r w:rsidR="00A77328">
        <w:rPr>
          <w:rFonts w:ascii="Calibri" w:hAnsi="Calibri" w:cs="Calibri"/>
          <w:sz w:val="24"/>
          <w:szCs w:val="24"/>
        </w:rPr>
        <w:t>has been</w:t>
      </w:r>
      <w:r>
        <w:rPr>
          <w:rFonts w:ascii="Calibri" w:hAnsi="Calibri" w:cs="Calibri"/>
          <w:sz w:val="24"/>
          <w:szCs w:val="24"/>
        </w:rPr>
        <w:t xml:space="preserve"> expanded. </w:t>
      </w:r>
      <w:r w:rsidRPr="00E711C5">
        <w:rPr>
          <w:rFonts w:ascii="Calibri" w:hAnsi="Calibri" w:cs="Calibri"/>
          <w:sz w:val="24"/>
          <w:szCs w:val="24"/>
        </w:rPr>
        <w:t xml:space="preserve">The purpose of the Protocol is to outline procedures on how the </w:t>
      </w:r>
      <w:r>
        <w:rPr>
          <w:rFonts w:ascii="Calibri" w:hAnsi="Calibri" w:cs="Calibri"/>
          <w:sz w:val="24"/>
          <w:szCs w:val="24"/>
        </w:rPr>
        <w:t>Australian Government</w:t>
      </w:r>
      <w:r w:rsidRPr="00E711C5">
        <w:rPr>
          <w:rFonts w:ascii="Calibri" w:hAnsi="Calibri" w:cs="Calibri"/>
          <w:sz w:val="24"/>
          <w:szCs w:val="24"/>
        </w:rPr>
        <w:t xml:space="preserve"> and child protection agencies can share information in order to provide more responsive care and protection services to children.</w:t>
      </w:r>
      <w:r>
        <w:rPr>
          <w:rFonts w:ascii="Calibri" w:hAnsi="Calibri" w:cs="Calibri"/>
          <w:sz w:val="24"/>
          <w:szCs w:val="24"/>
        </w:rPr>
        <w:t xml:space="preserve"> </w:t>
      </w:r>
      <w:r w:rsidRPr="00E711C5">
        <w:rPr>
          <w:rFonts w:ascii="Calibri" w:hAnsi="Calibri" w:cs="Calibri"/>
          <w:sz w:val="24"/>
          <w:szCs w:val="24"/>
        </w:rPr>
        <w:t xml:space="preserve">Three </w:t>
      </w:r>
      <w:r>
        <w:rPr>
          <w:rFonts w:ascii="Calibri" w:hAnsi="Calibri" w:cs="Calibri"/>
          <w:sz w:val="24"/>
          <w:szCs w:val="24"/>
        </w:rPr>
        <w:t>Australian Government</w:t>
      </w:r>
      <w:r w:rsidRPr="00E711C5">
        <w:rPr>
          <w:rFonts w:ascii="Calibri" w:hAnsi="Calibri" w:cs="Calibri"/>
          <w:sz w:val="24"/>
          <w:szCs w:val="24"/>
        </w:rPr>
        <w:t xml:space="preserve"> agencies</w:t>
      </w:r>
      <w:r>
        <w:rPr>
          <w:rFonts w:ascii="Calibri" w:hAnsi="Calibri" w:cs="Calibri"/>
          <w:sz w:val="24"/>
          <w:szCs w:val="24"/>
        </w:rPr>
        <w:t xml:space="preserve"> within the Department of Human Services—</w:t>
      </w:r>
      <w:r w:rsidRPr="00E711C5">
        <w:rPr>
          <w:rFonts w:ascii="Calibri" w:hAnsi="Calibri" w:cs="Calibri"/>
          <w:sz w:val="24"/>
          <w:szCs w:val="24"/>
        </w:rPr>
        <w:t>Centrelink, Medicare and the Child Support Agency</w:t>
      </w:r>
      <w:r w:rsidR="004B3C86">
        <w:rPr>
          <w:rFonts w:ascii="Calibri" w:hAnsi="Calibri" w:cs="Calibri"/>
          <w:sz w:val="24"/>
          <w:szCs w:val="24"/>
        </w:rPr>
        <w:t xml:space="preserve">, </w:t>
      </w:r>
      <w:r w:rsidRPr="00E711C5">
        <w:rPr>
          <w:rFonts w:ascii="Calibri" w:hAnsi="Calibri" w:cs="Calibri"/>
          <w:sz w:val="24"/>
          <w:szCs w:val="24"/>
        </w:rPr>
        <w:t>as well as all state and territory child protection agencies</w:t>
      </w:r>
      <w:r>
        <w:rPr>
          <w:rFonts w:ascii="Calibri" w:hAnsi="Calibri" w:cs="Calibri"/>
          <w:sz w:val="24"/>
          <w:szCs w:val="24"/>
        </w:rPr>
        <w:t>,</w:t>
      </w:r>
      <w:r w:rsidRPr="00E711C5">
        <w:rPr>
          <w:rFonts w:ascii="Calibri" w:hAnsi="Calibri" w:cs="Calibri"/>
          <w:sz w:val="24"/>
          <w:szCs w:val="24"/>
        </w:rPr>
        <w:t xml:space="preserve"> are currently parties to the Protocol. </w:t>
      </w:r>
      <w:r w:rsidR="0080366E" w:rsidRPr="0080366E">
        <w:rPr>
          <w:rFonts w:ascii="Calibri" w:hAnsi="Calibri" w:cs="Calibri"/>
          <w:sz w:val="24"/>
          <w:szCs w:val="24"/>
        </w:rPr>
        <w:t xml:space="preserve">Since the introduction of the </w:t>
      </w:r>
      <w:r w:rsidR="00442A5E" w:rsidRPr="0080366E">
        <w:rPr>
          <w:rFonts w:ascii="Calibri" w:hAnsi="Calibri" w:cs="Calibri"/>
          <w:sz w:val="24"/>
          <w:szCs w:val="24"/>
        </w:rPr>
        <w:t>Information Sharing Protocol</w:t>
      </w:r>
      <w:r w:rsidR="0080366E" w:rsidRPr="0080366E">
        <w:rPr>
          <w:rFonts w:ascii="Calibri" w:hAnsi="Calibri" w:cs="Calibri"/>
          <w:sz w:val="24"/>
          <w:szCs w:val="24"/>
        </w:rPr>
        <w:t xml:space="preserve"> in 20</w:t>
      </w:r>
      <w:r w:rsidR="00B21AC7">
        <w:rPr>
          <w:rFonts w:ascii="Calibri" w:hAnsi="Calibri" w:cs="Calibri"/>
          <w:sz w:val="24"/>
          <w:szCs w:val="24"/>
        </w:rPr>
        <w:t>09, there have been more than 47</w:t>
      </w:r>
      <w:r w:rsidR="00442A5E">
        <w:rPr>
          <w:rFonts w:ascii="Calibri" w:hAnsi="Calibri" w:cs="Calibri"/>
          <w:sz w:val="24"/>
          <w:szCs w:val="24"/>
        </w:rPr>
        <w:t> </w:t>
      </w:r>
      <w:r w:rsidR="0080366E" w:rsidRPr="0080366E">
        <w:rPr>
          <w:rFonts w:ascii="Calibri" w:hAnsi="Calibri" w:cs="Calibri"/>
          <w:sz w:val="24"/>
          <w:szCs w:val="24"/>
        </w:rPr>
        <w:t>000 individual requests for information from state and territory child protection agencies to Centrelink, Medicare Australia and the Child Support Agency.</w:t>
      </w:r>
      <w:r w:rsidR="0080366E">
        <w:rPr>
          <w:rFonts w:ascii="Calibri" w:hAnsi="Calibri" w:cs="Calibri"/>
          <w:sz w:val="24"/>
          <w:szCs w:val="24"/>
        </w:rPr>
        <w:t xml:space="preserve"> There is additional w</w:t>
      </w:r>
      <w:r w:rsidRPr="00821556">
        <w:rPr>
          <w:rFonts w:ascii="Calibri" w:hAnsi="Calibri" w:cs="Calibri"/>
          <w:sz w:val="24"/>
          <w:szCs w:val="24"/>
        </w:rPr>
        <w:t xml:space="preserve">ork </w:t>
      </w:r>
      <w:r>
        <w:rPr>
          <w:rFonts w:ascii="Calibri" w:hAnsi="Calibri" w:cs="Calibri"/>
          <w:sz w:val="24"/>
          <w:szCs w:val="24"/>
        </w:rPr>
        <w:t>u</w:t>
      </w:r>
      <w:r w:rsidRPr="00821556">
        <w:rPr>
          <w:rFonts w:ascii="Calibri" w:hAnsi="Calibri" w:cs="Calibri"/>
          <w:sz w:val="24"/>
          <w:szCs w:val="24"/>
        </w:rPr>
        <w:t xml:space="preserve">nderway </w:t>
      </w:r>
      <w:r w:rsidR="0080366E">
        <w:rPr>
          <w:rFonts w:ascii="Calibri" w:hAnsi="Calibri" w:cs="Calibri"/>
          <w:sz w:val="24"/>
          <w:szCs w:val="24"/>
        </w:rPr>
        <w:t xml:space="preserve">that </w:t>
      </w:r>
      <w:r>
        <w:rPr>
          <w:rFonts w:ascii="Calibri" w:hAnsi="Calibri" w:cs="Calibri"/>
          <w:sz w:val="24"/>
          <w:szCs w:val="24"/>
        </w:rPr>
        <w:t>includes</w:t>
      </w:r>
      <w:r w:rsidRPr="00821556">
        <w:rPr>
          <w:rFonts w:ascii="Calibri" w:hAnsi="Calibri" w:cs="Calibri"/>
          <w:sz w:val="24"/>
          <w:szCs w:val="24"/>
        </w:rPr>
        <w:t xml:space="preserve"> exploring the inclusion of </w:t>
      </w:r>
      <w:r>
        <w:rPr>
          <w:rFonts w:ascii="Calibri" w:hAnsi="Calibri" w:cs="Calibri"/>
          <w:sz w:val="24"/>
          <w:szCs w:val="24"/>
        </w:rPr>
        <w:t xml:space="preserve">relevant information held by </w:t>
      </w:r>
      <w:r w:rsidRPr="00821556">
        <w:rPr>
          <w:rFonts w:ascii="Calibri" w:hAnsi="Calibri" w:cs="Calibri"/>
          <w:sz w:val="24"/>
          <w:szCs w:val="24"/>
        </w:rPr>
        <w:t>the Department of Immigration and Citizenship in information sharing in the future.</w:t>
      </w:r>
      <w:r>
        <w:rPr>
          <w:rFonts w:ascii="Calibri" w:hAnsi="Calibri" w:cs="Calibri"/>
          <w:sz w:val="24"/>
          <w:szCs w:val="24"/>
        </w:rPr>
        <w:t xml:space="preserve"> </w:t>
      </w:r>
      <w:r w:rsidRPr="00821556">
        <w:rPr>
          <w:rFonts w:ascii="Calibri" w:hAnsi="Calibri" w:cs="Calibri"/>
          <w:sz w:val="24"/>
          <w:szCs w:val="24"/>
        </w:rPr>
        <w:t>The Attorney-General’s Department is also examining how collaboration can be improved between the family law system and child protection systems.</w:t>
      </w:r>
      <w:r>
        <w:rPr>
          <w:rFonts w:ascii="Calibri" w:hAnsi="Calibri" w:cs="Calibri"/>
          <w:sz w:val="24"/>
          <w:szCs w:val="24"/>
        </w:rPr>
        <w:t xml:space="preserve"> At state and territory level, protocols have been developed to ensure that the protection of children and support of families is given priority in many departments and agencies where information sharing can potentially improve outcomes.</w:t>
      </w:r>
    </w:p>
    <w:p w:rsidR="00A5238D" w:rsidRPr="00AA522D" w:rsidRDefault="00044AA8" w:rsidP="00AA522D">
      <w:pPr>
        <w:pStyle w:val="Heading4"/>
        <w:rPr>
          <w:lang w:val="en-AU"/>
        </w:rPr>
      </w:pPr>
      <w:r w:rsidRPr="00044AA8">
        <w:t>Seeing Early Warning Signs and Taking Ea</w:t>
      </w:r>
      <w:r w:rsidR="00AA522D">
        <w:t>rly Action</w:t>
      </w:r>
    </w:p>
    <w:p w:rsidR="00D91771" w:rsidRPr="00D91771" w:rsidRDefault="00D91771" w:rsidP="00D91771">
      <w:pPr>
        <w:pStyle w:val="CommentText"/>
        <w:rPr>
          <w:rFonts w:asciiTheme="minorHAnsi" w:hAnsiTheme="minorHAnsi"/>
          <w:sz w:val="24"/>
          <w:szCs w:val="24"/>
          <w:lang w:val="en-AU"/>
        </w:rPr>
      </w:pPr>
      <w:r w:rsidRPr="00D91771">
        <w:rPr>
          <w:rFonts w:asciiTheme="minorHAnsi" w:hAnsiTheme="minorHAnsi"/>
          <w:sz w:val="24"/>
          <w:szCs w:val="24"/>
          <w:lang w:val="en-AU"/>
        </w:rPr>
        <w:t>The CAARS tool was a key achievement under the First Action Plan 2009</w:t>
      </w:r>
      <w:r>
        <w:rPr>
          <w:rFonts w:asciiTheme="minorHAnsi" w:hAnsiTheme="minorHAnsi"/>
          <w:sz w:val="24"/>
          <w:szCs w:val="24"/>
          <w:lang w:val="en-AU"/>
        </w:rPr>
        <w:t>–</w:t>
      </w:r>
      <w:r w:rsidRPr="00D91771">
        <w:rPr>
          <w:rFonts w:asciiTheme="minorHAnsi" w:hAnsiTheme="minorHAnsi"/>
          <w:sz w:val="24"/>
          <w:szCs w:val="24"/>
          <w:lang w:val="en-AU"/>
        </w:rPr>
        <w:t>12 of the National Framework.</w:t>
      </w:r>
      <w:r w:rsidR="00A43557">
        <w:rPr>
          <w:rFonts w:asciiTheme="minorHAnsi" w:hAnsiTheme="minorHAnsi"/>
          <w:sz w:val="24"/>
          <w:szCs w:val="24"/>
          <w:lang w:val="en-AU"/>
        </w:rPr>
        <w:t xml:space="preserve"> </w:t>
      </w:r>
      <w:r w:rsidRPr="00D91771">
        <w:rPr>
          <w:rFonts w:asciiTheme="minorHAnsi" w:hAnsiTheme="minorHAnsi"/>
          <w:sz w:val="24"/>
          <w:szCs w:val="24"/>
          <w:lang w:val="en-AU"/>
        </w:rPr>
        <w:t>The tool was successfully trialled in four sites in 2012</w:t>
      </w:r>
      <w:r>
        <w:rPr>
          <w:rFonts w:asciiTheme="minorHAnsi" w:hAnsiTheme="minorHAnsi"/>
          <w:sz w:val="24"/>
          <w:szCs w:val="24"/>
          <w:lang w:val="en-AU"/>
        </w:rPr>
        <w:t>—</w:t>
      </w:r>
      <w:r w:rsidRPr="00D91771">
        <w:rPr>
          <w:rFonts w:asciiTheme="minorHAnsi" w:hAnsiTheme="minorHAnsi"/>
          <w:sz w:val="24"/>
          <w:szCs w:val="24"/>
          <w:lang w:val="en-AU"/>
        </w:rPr>
        <w:t>Elizabeth (SA), Lismore (NSW), Gippsland (</w:t>
      </w:r>
      <w:r w:rsidR="00BE6770">
        <w:rPr>
          <w:rFonts w:asciiTheme="minorHAnsi" w:hAnsiTheme="minorHAnsi"/>
          <w:sz w:val="24"/>
          <w:szCs w:val="24"/>
          <w:lang w:val="en-AU"/>
        </w:rPr>
        <w:t>Victoria</w:t>
      </w:r>
      <w:r w:rsidRPr="00D91771">
        <w:rPr>
          <w:rFonts w:asciiTheme="minorHAnsi" w:hAnsiTheme="minorHAnsi"/>
          <w:sz w:val="24"/>
          <w:szCs w:val="24"/>
          <w:lang w:val="en-AU"/>
        </w:rPr>
        <w:t>) and Kwinana (WA)</w:t>
      </w:r>
      <w:r w:rsidR="00EB2874">
        <w:rPr>
          <w:rFonts w:asciiTheme="minorHAnsi" w:hAnsiTheme="minorHAnsi"/>
          <w:sz w:val="24"/>
          <w:szCs w:val="24"/>
          <w:lang w:val="en-AU"/>
        </w:rPr>
        <w:t>—</w:t>
      </w:r>
      <w:r w:rsidRPr="00D91771">
        <w:rPr>
          <w:rFonts w:asciiTheme="minorHAnsi" w:hAnsiTheme="minorHAnsi"/>
          <w:sz w:val="24"/>
          <w:szCs w:val="24"/>
          <w:lang w:val="en-AU"/>
        </w:rPr>
        <w:t>to improve the identification and referral of vulnerable children and families.</w:t>
      </w:r>
    </w:p>
    <w:p w:rsidR="00D91771" w:rsidRPr="00D91771" w:rsidRDefault="00D91771" w:rsidP="00D91771">
      <w:pPr>
        <w:pStyle w:val="CommentText"/>
        <w:rPr>
          <w:rFonts w:asciiTheme="minorHAnsi" w:hAnsiTheme="minorHAnsi"/>
          <w:sz w:val="24"/>
          <w:szCs w:val="24"/>
          <w:lang w:val="en-AU"/>
        </w:rPr>
      </w:pPr>
    </w:p>
    <w:p w:rsidR="00D91771" w:rsidRPr="00D91771" w:rsidRDefault="00D91771" w:rsidP="00D91771">
      <w:pPr>
        <w:pStyle w:val="CommentText"/>
        <w:rPr>
          <w:rFonts w:asciiTheme="minorHAnsi" w:hAnsiTheme="minorHAnsi"/>
          <w:sz w:val="24"/>
          <w:szCs w:val="24"/>
          <w:lang w:val="en-AU"/>
        </w:rPr>
      </w:pPr>
      <w:r w:rsidRPr="00D91771">
        <w:rPr>
          <w:rFonts w:asciiTheme="minorHAnsi" w:hAnsiTheme="minorHAnsi"/>
          <w:sz w:val="24"/>
          <w:szCs w:val="24"/>
          <w:lang w:val="en-AU"/>
        </w:rPr>
        <w:t xml:space="preserve">A formative evaluation was conducted throughout the CAARS trial by the Social Policy Research Centre at </w:t>
      </w:r>
      <w:r w:rsidR="00EB2874">
        <w:rPr>
          <w:rFonts w:asciiTheme="minorHAnsi" w:hAnsiTheme="minorHAnsi"/>
          <w:sz w:val="24"/>
          <w:szCs w:val="24"/>
          <w:lang w:val="en-AU"/>
        </w:rPr>
        <w:t xml:space="preserve">the </w:t>
      </w:r>
      <w:r w:rsidRPr="00D91771">
        <w:rPr>
          <w:rFonts w:asciiTheme="minorHAnsi" w:hAnsiTheme="minorHAnsi"/>
          <w:sz w:val="24"/>
          <w:szCs w:val="24"/>
          <w:lang w:val="en-AU"/>
        </w:rPr>
        <w:t>University of New South Wales</w:t>
      </w:r>
      <w:r w:rsidR="00EB2874">
        <w:rPr>
          <w:rFonts w:asciiTheme="minorHAnsi" w:hAnsiTheme="minorHAnsi"/>
          <w:sz w:val="24"/>
          <w:szCs w:val="24"/>
          <w:lang w:val="en-AU"/>
        </w:rPr>
        <w:t>,</w:t>
      </w:r>
      <w:r w:rsidRPr="00D91771">
        <w:rPr>
          <w:rFonts w:asciiTheme="minorHAnsi" w:hAnsiTheme="minorHAnsi"/>
          <w:sz w:val="24"/>
          <w:szCs w:val="24"/>
          <w:lang w:val="en-AU"/>
        </w:rPr>
        <w:t xml:space="preserve"> and the evaluation report was released in early 2013. </w:t>
      </w:r>
    </w:p>
    <w:p w:rsidR="00D91771" w:rsidRPr="00D91771" w:rsidRDefault="00D91771" w:rsidP="00D91771">
      <w:pPr>
        <w:pStyle w:val="CommentText"/>
        <w:rPr>
          <w:rFonts w:asciiTheme="minorHAnsi" w:hAnsiTheme="minorHAnsi"/>
          <w:sz w:val="24"/>
          <w:szCs w:val="24"/>
          <w:lang w:val="en-AU"/>
        </w:rPr>
      </w:pPr>
    </w:p>
    <w:p w:rsidR="00EB2874" w:rsidRPr="00D46E9A" w:rsidRDefault="00D91771" w:rsidP="00EB2874">
      <w:pPr>
        <w:pStyle w:val="CommentText"/>
        <w:rPr>
          <w:rFonts w:asciiTheme="minorHAnsi" w:hAnsiTheme="minorHAnsi"/>
          <w:sz w:val="24"/>
          <w:szCs w:val="24"/>
          <w:lang w:val="en-AU"/>
        </w:rPr>
      </w:pPr>
      <w:r w:rsidRPr="00D91771">
        <w:rPr>
          <w:rFonts w:asciiTheme="minorHAnsi" w:hAnsiTheme="minorHAnsi"/>
          <w:sz w:val="24"/>
          <w:szCs w:val="24"/>
          <w:lang w:val="en-AU"/>
        </w:rPr>
        <w:t xml:space="preserve">Building on the pilot, CAARS was adapted in 2012 and trialled in 13 new </w:t>
      </w:r>
      <w:r w:rsidR="002A38B6">
        <w:rPr>
          <w:rFonts w:asciiTheme="minorHAnsi" w:hAnsiTheme="minorHAnsi"/>
          <w:sz w:val="24"/>
          <w:szCs w:val="24"/>
          <w:lang w:val="en-AU"/>
        </w:rPr>
        <w:t>FMHSSs</w:t>
      </w:r>
      <w:r w:rsidRPr="00D91771">
        <w:rPr>
          <w:rFonts w:asciiTheme="minorHAnsi" w:hAnsiTheme="minorHAnsi"/>
          <w:sz w:val="24"/>
          <w:szCs w:val="24"/>
          <w:lang w:val="en-AU"/>
        </w:rPr>
        <w:t xml:space="preserve"> across Australia.</w:t>
      </w:r>
      <w:r w:rsidR="00A43557">
        <w:rPr>
          <w:rFonts w:asciiTheme="minorHAnsi" w:hAnsiTheme="minorHAnsi"/>
          <w:sz w:val="24"/>
          <w:szCs w:val="24"/>
          <w:lang w:val="en-AU"/>
        </w:rPr>
        <w:t xml:space="preserve"> </w:t>
      </w:r>
      <w:r w:rsidRPr="00D91771">
        <w:rPr>
          <w:rFonts w:asciiTheme="minorHAnsi" w:hAnsiTheme="minorHAnsi"/>
          <w:sz w:val="24"/>
          <w:szCs w:val="24"/>
          <w:lang w:val="en-AU"/>
        </w:rPr>
        <w:t>Providers have valued the flexibility in the use of CAARS tools and have developed different and creative ways to trial them in their practice</w:t>
      </w:r>
      <w:r w:rsidR="00165E5A">
        <w:rPr>
          <w:rFonts w:asciiTheme="minorHAnsi" w:hAnsiTheme="minorHAnsi"/>
          <w:sz w:val="24"/>
          <w:szCs w:val="24"/>
          <w:lang w:val="en-AU"/>
        </w:rPr>
        <w:t>s</w:t>
      </w:r>
      <w:r w:rsidRPr="00D91771">
        <w:rPr>
          <w:rFonts w:asciiTheme="minorHAnsi" w:hAnsiTheme="minorHAnsi"/>
          <w:sz w:val="24"/>
          <w:szCs w:val="24"/>
          <w:lang w:val="en-AU"/>
        </w:rPr>
        <w:t xml:space="preserve"> or organisations.</w:t>
      </w:r>
    </w:p>
    <w:p w:rsidR="00A5238D" w:rsidRPr="00B71ABA" w:rsidRDefault="00A5238D" w:rsidP="00AA522D">
      <w:pPr>
        <w:pStyle w:val="Heading4"/>
        <w:rPr>
          <w:i/>
        </w:rPr>
      </w:pPr>
      <w:r w:rsidRPr="00A5238D">
        <w:t>Joining Up Service Delivery</w:t>
      </w:r>
    </w:p>
    <w:p w:rsidR="00A5238D" w:rsidRDefault="00A5238D" w:rsidP="007611DD">
      <w:pPr>
        <w:pStyle w:val="CommentText"/>
        <w:rPr>
          <w:rFonts w:asciiTheme="minorHAnsi" w:hAnsiTheme="minorHAnsi"/>
          <w:sz w:val="24"/>
          <w:szCs w:val="24"/>
          <w:lang w:val="en-AU"/>
        </w:rPr>
      </w:pPr>
      <w:r>
        <w:rPr>
          <w:rFonts w:asciiTheme="minorHAnsi" w:hAnsiTheme="minorHAnsi"/>
          <w:sz w:val="24"/>
          <w:szCs w:val="24"/>
          <w:lang w:val="en-AU"/>
        </w:rPr>
        <w:t xml:space="preserve">As part of the Stronger Futures in the Northern Territory package, $73.5 million is being provided over </w:t>
      </w:r>
      <w:r w:rsidR="00D31C59">
        <w:rPr>
          <w:rFonts w:asciiTheme="minorHAnsi" w:hAnsiTheme="minorHAnsi"/>
          <w:sz w:val="24"/>
          <w:szCs w:val="24"/>
          <w:lang w:val="en-AU"/>
        </w:rPr>
        <w:t xml:space="preserve">10 </w:t>
      </w:r>
      <w:r>
        <w:rPr>
          <w:rFonts w:asciiTheme="minorHAnsi" w:hAnsiTheme="minorHAnsi"/>
          <w:sz w:val="24"/>
          <w:szCs w:val="24"/>
          <w:lang w:val="en-AU"/>
        </w:rPr>
        <w:t>years to increase the number of Communities for Children sites from four to 19, with a focus on remote communities. Five communities</w:t>
      </w:r>
      <w:r w:rsidR="00D31C59">
        <w:rPr>
          <w:rFonts w:asciiTheme="minorHAnsi" w:hAnsiTheme="minorHAnsi"/>
          <w:sz w:val="24"/>
          <w:szCs w:val="24"/>
          <w:lang w:val="en-AU"/>
        </w:rPr>
        <w:t>—</w:t>
      </w:r>
      <w:r>
        <w:rPr>
          <w:rFonts w:asciiTheme="minorHAnsi" w:hAnsiTheme="minorHAnsi"/>
          <w:sz w:val="24"/>
          <w:szCs w:val="24"/>
          <w:lang w:val="en-AU"/>
        </w:rPr>
        <w:t xml:space="preserve">Ngukurr, Galiwinku, Wadeye, </w:t>
      </w:r>
      <w:proofErr w:type="spellStart"/>
      <w:r>
        <w:rPr>
          <w:rFonts w:asciiTheme="minorHAnsi" w:hAnsiTheme="minorHAnsi"/>
          <w:sz w:val="24"/>
          <w:szCs w:val="24"/>
          <w:lang w:val="en-AU"/>
        </w:rPr>
        <w:t>Ntaria</w:t>
      </w:r>
      <w:proofErr w:type="spellEnd"/>
      <w:r>
        <w:rPr>
          <w:rFonts w:asciiTheme="minorHAnsi" w:hAnsiTheme="minorHAnsi"/>
          <w:sz w:val="24"/>
          <w:szCs w:val="24"/>
          <w:lang w:val="en-AU"/>
        </w:rPr>
        <w:t xml:space="preserve"> and Santa Teresa</w:t>
      </w:r>
      <w:r w:rsidR="00D31C59">
        <w:rPr>
          <w:rFonts w:asciiTheme="minorHAnsi" w:hAnsiTheme="minorHAnsi"/>
          <w:sz w:val="24"/>
          <w:szCs w:val="24"/>
          <w:lang w:val="en-AU"/>
        </w:rPr>
        <w:t>—</w:t>
      </w:r>
      <w:r>
        <w:rPr>
          <w:rFonts w:asciiTheme="minorHAnsi" w:hAnsiTheme="minorHAnsi"/>
          <w:sz w:val="24"/>
          <w:szCs w:val="24"/>
          <w:lang w:val="en-AU"/>
        </w:rPr>
        <w:t xml:space="preserve">will implement the Stronger </w:t>
      </w:r>
      <w:r w:rsidR="00D31C59">
        <w:rPr>
          <w:rFonts w:asciiTheme="minorHAnsi" w:hAnsiTheme="minorHAnsi"/>
          <w:sz w:val="24"/>
          <w:szCs w:val="24"/>
          <w:lang w:val="en-AU"/>
        </w:rPr>
        <w:t xml:space="preserve">Communities </w:t>
      </w:r>
      <w:r>
        <w:rPr>
          <w:rFonts w:asciiTheme="minorHAnsi" w:hAnsiTheme="minorHAnsi"/>
          <w:sz w:val="24"/>
          <w:szCs w:val="24"/>
          <w:lang w:val="en-AU"/>
        </w:rPr>
        <w:t xml:space="preserve">for Children </w:t>
      </w:r>
      <w:r w:rsidR="0075472C">
        <w:rPr>
          <w:rFonts w:asciiTheme="minorHAnsi" w:hAnsiTheme="minorHAnsi"/>
          <w:sz w:val="24"/>
          <w:szCs w:val="24"/>
          <w:lang w:val="en-AU"/>
        </w:rPr>
        <w:t>(</w:t>
      </w:r>
      <w:proofErr w:type="spellStart"/>
      <w:r w:rsidR="0075472C">
        <w:rPr>
          <w:rFonts w:asciiTheme="minorHAnsi" w:hAnsiTheme="minorHAnsi"/>
          <w:sz w:val="24"/>
          <w:szCs w:val="24"/>
          <w:lang w:val="en-AU"/>
        </w:rPr>
        <w:t>SCfC</w:t>
      </w:r>
      <w:proofErr w:type="spellEnd"/>
      <w:r w:rsidR="0075472C">
        <w:rPr>
          <w:rFonts w:asciiTheme="minorHAnsi" w:hAnsiTheme="minorHAnsi"/>
          <w:sz w:val="24"/>
          <w:szCs w:val="24"/>
          <w:lang w:val="en-AU"/>
        </w:rPr>
        <w:t xml:space="preserve">) </w:t>
      </w:r>
      <w:r>
        <w:rPr>
          <w:rFonts w:asciiTheme="minorHAnsi" w:hAnsiTheme="minorHAnsi"/>
          <w:sz w:val="24"/>
          <w:szCs w:val="24"/>
          <w:lang w:val="en-AU"/>
        </w:rPr>
        <w:t>program from July 2013. Another five communities</w:t>
      </w:r>
      <w:r w:rsidR="00D31C59">
        <w:rPr>
          <w:rFonts w:asciiTheme="minorHAnsi" w:hAnsiTheme="minorHAnsi"/>
          <w:sz w:val="24"/>
          <w:szCs w:val="24"/>
          <w:lang w:val="en-AU"/>
        </w:rPr>
        <w:t>—</w:t>
      </w:r>
      <w:proofErr w:type="spellStart"/>
      <w:r>
        <w:rPr>
          <w:rFonts w:asciiTheme="minorHAnsi" w:hAnsiTheme="minorHAnsi"/>
          <w:sz w:val="24"/>
          <w:szCs w:val="24"/>
          <w:lang w:val="en-AU"/>
        </w:rPr>
        <w:t>Gunbalanya</w:t>
      </w:r>
      <w:proofErr w:type="spellEnd"/>
      <w:r>
        <w:rPr>
          <w:rFonts w:asciiTheme="minorHAnsi" w:hAnsiTheme="minorHAnsi"/>
          <w:sz w:val="24"/>
          <w:szCs w:val="24"/>
          <w:lang w:val="en-AU"/>
        </w:rPr>
        <w:t xml:space="preserve">, Maningrida, Utopia, </w:t>
      </w:r>
      <w:proofErr w:type="spellStart"/>
      <w:r>
        <w:rPr>
          <w:rFonts w:asciiTheme="minorHAnsi" w:hAnsiTheme="minorHAnsi"/>
          <w:sz w:val="24"/>
          <w:szCs w:val="24"/>
          <w:lang w:val="en-AU"/>
        </w:rPr>
        <w:t>Engawala</w:t>
      </w:r>
      <w:proofErr w:type="spellEnd"/>
      <w:r>
        <w:rPr>
          <w:rFonts w:asciiTheme="minorHAnsi" w:hAnsiTheme="minorHAnsi"/>
          <w:sz w:val="24"/>
          <w:szCs w:val="24"/>
          <w:lang w:val="en-AU"/>
        </w:rPr>
        <w:t xml:space="preserve"> and Lajamanu</w:t>
      </w:r>
      <w:r w:rsidR="00D31C59">
        <w:rPr>
          <w:rFonts w:asciiTheme="minorHAnsi" w:hAnsiTheme="minorHAnsi"/>
          <w:sz w:val="24"/>
          <w:szCs w:val="24"/>
          <w:lang w:val="en-AU"/>
        </w:rPr>
        <w:t>—</w:t>
      </w:r>
      <w:r>
        <w:rPr>
          <w:rFonts w:asciiTheme="minorHAnsi" w:hAnsiTheme="minorHAnsi"/>
          <w:sz w:val="24"/>
          <w:szCs w:val="24"/>
          <w:lang w:val="en-AU"/>
        </w:rPr>
        <w:t xml:space="preserve">will be established as </w:t>
      </w:r>
      <w:proofErr w:type="spellStart"/>
      <w:r w:rsidR="0075472C">
        <w:rPr>
          <w:rFonts w:asciiTheme="minorHAnsi" w:hAnsiTheme="minorHAnsi"/>
          <w:sz w:val="24"/>
          <w:szCs w:val="24"/>
          <w:lang w:val="en-AU"/>
        </w:rPr>
        <w:t>SCfC</w:t>
      </w:r>
      <w:proofErr w:type="spellEnd"/>
      <w:r>
        <w:rPr>
          <w:rFonts w:asciiTheme="minorHAnsi" w:hAnsiTheme="minorHAnsi"/>
          <w:sz w:val="24"/>
          <w:szCs w:val="24"/>
          <w:lang w:val="en-AU"/>
        </w:rPr>
        <w:t xml:space="preserve"> communities </w:t>
      </w:r>
      <w:r w:rsidR="007151F0">
        <w:rPr>
          <w:rFonts w:asciiTheme="minorHAnsi" w:hAnsiTheme="minorHAnsi"/>
          <w:sz w:val="24"/>
          <w:szCs w:val="24"/>
          <w:lang w:val="en-AU"/>
        </w:rPr>
        <w:t>from July 2014. A further five communities will be selected to implement the program from July 2017.</w:t>
      </w:r>
    </w:p>
    <w:p w:rsidR="007151F0" w:rsidRDefault="007151F0" w:rsidP="007611DD">
      <w:pPr>
        <w:pStyle w:val="CommentText"/>
        <w:rPr>
          <w:rFonts w:asciiTheme="minorHAnsi" w:hAnsiTheme="minorHAnsi"/>
          <w:sz w:val="24"/>
          <w:szCs w:val="24"/>
          <w:lang w:val="en-AU"/>
        </w:rPr>
      </w:pPr>
    </w:p>
    <w:p w:rsidR="007151F0" w:rsidRPr="007151F0" w:rsidRDefault="007151F0" w:rsidP="007611DD">
      <w:pPr>
        <w:pStyle w:val="CommentText"/>
        <w:rPr>
          <w:rFonts w:asciiTheme="minorHAnsi" w:hAnsiTheme="minorHAnsi"/>
          <w:sz w:val="24"/>
          <w:szCs w:val="24"/>
          <w:lang w:val="en-AU"/>
        </w:rPr>
      </w:pPr>
      <w:r>
        <w:rPr>
          <w:rFonts w:asciiTheme="minorHAnsi" w:hAnsiTheme="minorHAnsi"/>
          <w:sz w:val="24"/>
          <w:szCs w:val="24"/>
          <w:lang w:val="en-AU"/>
        </w:rPr>
        <w:t>Facilitating Partners have been selected for the first five sites</w:t>
      </w:r>
      <w:r w:rsidR="00D31C59">
        <w:rPr>
          <w:rFonts w:asciiTheme="minorHAnsi" w:hAnsiTheme="minorHAnsi"/>
          <w:sz w:val="24"/>
          <w:szCs w:val="24"/>
          <w:lang w:val="en-AU"/>
        </w:rPr>
        <w:t>,</w:t>
      </w:r>
      <w:r>
        <w:rPr>
          <w:rFonts w:asciiTheme="minorHAnsi" w:hAnsiTheme="minorHAnsi"/>
          <w:sz w:val="24"/>
          <w:szCs w:val="24"/>
          <w:lang w:val="en-AU"/>
        </w:rPr>
        <w:t xml:space="preserve"> and service delivery will commence from January 2014. An external Alice </w:t>
      </w:r>
      <w:r w:rsidR="00165E5A">
        <w:rPr>
          <w:rFonts w:asciiTheme="minorHAnsi" w:hAnsiTheme="minorHAnsi"/>
          <w:sz w:val="24"/>
          <w:szCs w:val="24"/>
          <w:lang w:val="en-AU"/>
        </w:rPr>
        <w:t>Springs-</w:t>
      </w:r>
      <w:r>
        <w:rPr>
          <w:rFonts w:asciiTheme="minorHAnsi" w:hAnsiTheme="minorHAnsi"/>
          <w:sz w:val="24"/>
          <w:szCs w:val="24"/>
          <w:lang w:val="en-AU"/>
        </w:rPr>
        <w:t xml:space="preserve">based organisation, </w:t>
      </w:r>
      <w:proofErr w:type="spellStart"/>
      <w:r w:rsidRPr="00AE7DB5">
        <w:rPr>
          <w:rFonts w:asciiTheme="minorHAnsi" w:hAnsiTheme="minorHAnsi"/>
          <w:sz w:val="24"/>
          <w:szCs w:val="24"/>
          <w:lang w:val="en-AU"/>
        </w:rPr>
        <w:t>Ninti</w:t>
      </w:r>
      <w:proofErr w:type="spellEnd"/>
      <w:r w:rsidRPr="00AE7DB5">
        <w:rPr>
          <w:rFonts w:asciiTheme="minorHAnsi" w:hAnsiTheme="minorHAnsi"/>
          <w:sz w:val="24"/>
          <w:szCs w:val="24"/>
          <w:lang w:val="en-AU"/>
        </w:rPr>
        <w:t xml:space="preserve"> One</w:t>
      </w:r>
      <w:r>
        <w:rPr>
          <w:rFonts w:asciiTheme="minorHAnsi" w:hAnsiTheme="minorHAnsi"/>
          <w:sz w:val="24"/>
          <w:szCs w:val="24"/>
          <w:lang w:val="en-AU"/>
        </w:rPr>
        <w:t>, will work closely w</w:t>
      </w:r>
      <w:r w:rsidR="00995435">
        <w:rPr>
          <w:rFonts w:asciiTheme="minorHAnsi" w:hAnsiTheme="minorHAnsi"/>
          <w:sz w:val="24"/>
          <w:szCs w:val="24"/>
          <w:lang w:val="en-AU"/>
        </w:rPr>
        <w:t>ith local Aboriginal organisatio</w:t>
      </w:r>
      <w:r>
        <w:rPr>
          <w:rFonts w:asciiTheme="minorHAnsi" w:hAnsiTheme="minorHAnsi"/>
          <w:sz w:val="24"/>
          <w:szCs w:val="24"/>
          <w:lang w:val="en-AU"/>
        </w:rPr>
        <w:t>ns to design and deliver services to ensure that communities have a say in the delivery of services.</w:t>
      </w:r>
    </w:p>
    <w:p w:rsidR="00044AA8" w:rsidRDefault="00044AA8" w:rsidP="007611DD">
      <w:pPr>
        <w:pStyle w:val="CommentText"/>
        <w:rPr>
          <w:rFonts w:asciiTheme="minorHAnsi" w:hAnsiTheme="minorHAnsi"/>
          <w:sz w:val="24"/>
          <w:szCs w:val="24"/>
          <w:lang w:val="en-AU"/>
        </w:rPr>
      </w:pPr>
    </w:p>
    <w:p w:rsidR="00044AA8" w:rsidRDefault="00044AA8" w:rsidP="00044AA8">
      <w:pPr>
        <w:pStyle w:val="CommentText"/>
        <w:rPr>
          <w:rFonts w:asciiTheme="minorHAnsi" w:hAnsiTheme="minorHAnsi"/>
          <w:color w:val="FF0000"/>
          <w:sz w:val="24"/>
          <w:szCs w:val="24"/>
          <w:lang w:val="en-AU"/>
        </w:rPr>
      </w:pPr>
      <w:r w:rsidRPr="00044AA8">
        <w:rPr>
          <w:rFonts w:asciiTheme="minorHAnsi" w:hAnsiTheme="minorHAnsi"/>
          <w:sz w:val="24"/>
          <w:szCs w:val="24"/>
          <w:lang w:val="en-AU"/>
        </w:rPr>
        <w:t>In 2011</w:t>
      </w:r>
      <w:r w:rsidR="00D31C59">
        <w:rPr>
          <w:rFonts w:asciiTheme="minorHAnsi" w:hAnsiTheme="minorHAnsi"/>
          <w:sz w:val="24"/>
          <w:szCs w:val="24"/>
          <w:lang w:val="en-AU"/>
        </w:rPr>
        <w:t>–</w:t>
      </w:r>
      <w:r w:rsidRPr="00044AA8">
        <w:rPr>
          <w:rFonts w:asciiTheme="minorHAnsi" w:hAnsiTheme="minorHAnsi"/>
          <w:sz w:val="24"/>
          <w:szCs w:val="24"/>
          <w:lang w:val="en-AU"/>
        </w:rPr>
        <w:t xml:space="preserve">12, the </w:t>
      </w:r>
      <w:r w:rsidR="00D31C59">
        <w:rPr>
          <w:rFonts w:asciiTheme="minorHAnsi" w:hAnsiTheme="minorHAnsi"/>
          <w:sz w:val="24"/>
          <w:szCs w:val="24"/>
          <w:lang w:val="en-AU"/>
        </w:rPr>
        <w:t>Australian Government</w:t>
      </w:r>
      <w:r w:rsidR="00D31C59" w:rsidRPr="00044AA8">
        <w:rPr>
          <w:rFonts w:asciiTheme="minorHAnsi" w:hAnsiTheme="minorHAnsi"/>
          <w:sz w:val="24"/>
          <w:szCs w:val="24"/>
          <w:lang w:val="en-AU"/>
        </w:rPr>
        <w:t xml:space="preserve"> </w:t>
      </w:r>
      <w:r w:rsidRPr="00044AA8">
        <w:rPr>
          <w:rFonts w:asciiTheme="minorHAnsi" w:hAnsiTheme="minorHAnsi"/>
          <w:sz w:val="24"/>
          <w:szCs w:val="24"/>
          <w:lang w:val="en-AU"/>
        </w:rPr>
        <w:t>invested $5.7 million in the Child Aware Approaches funding round</w:t>
      </w:r>
      <w:r w:rsidR="00D31C59">
        <w:rPr>
          <w:rFonts w:asciiTheme="minorHAnsi" w:hAnsiTheme="minorHAnsi"/>
          <w:sz w:val="24"/>
          <w:szCs w:val="24"/>
          <w:lang w:val="en-AU"/>
        </w:rPr>
        <w:t>, which</w:t>
      </w:r>
      <w:r w:rsidRPr="00044AA8">
        <w:rPr>
          <w:rFonts w:asciiTheme="minorHAnsi" w:hAnsiTheme="minorHAnsi"/>
          <w:sz w:val="24"/>
          <w:szCs w:val="24"/>
          <w:lang w:val="en-AU"/>
        </w:rPr>
        <w:t xml:space="preserve"> focused on holistic prevention and early intervention strategies to promote better understanding of the relationship between risk factors for child abuse and neglect.</w:t>
      </w:r>
      <w:r w:rsidR="00D26B57">
        <w:rPr>
          <w:rFonts w:asciiTheme="minorHAnsi" w:hAnsiTheme="minorHAnsi"/>
          <w:sz w:val="24"/>
          <w:szCs w:val="24"/>
          <w:lang w:val="en-AU"/>
        </w:rPr>
        <w:t xml:space="preserve"> </w:t>
      </w:r>
      <w:r w:rsidRPr="00044AA8">
        <w:rPr>
          <w:rFonts w:asciiTheme="minorHAnsi" w:hAnsiTheme="minorHAnsi"/>
          <w:sz w:val="24"/>
          <w:szCs w:val="24"/>
          <w:lang w:val="en-AU"/>
        </w:rPr>
        <w:t xml:space="preserve">The funding round supported 43 </w:t>
      </w:r>
      <w:r w:rsidR="00C8305C">
        <w:rPr>
          <w:rFonts w:asciiTheme="minorHAnsi" w:hAnsiTheme="minorHAnsi"/>
          <w:sz w:val="24"/>
          <w:szCs w:val="24"/>
          <w:lang w:val="en-AU"/>
        </w:rPr>
        <w:t>community sector</w:t>
      </w:r>
      <w:r w:rsidRPr="00044AA8">
        <w:rPr>
          <w:rFonts w:asciiTheme="minorHAnsi" w:hAnsiTheme="minorHAnsi"/>
          <w:sz w:val="24"/>
          <w:szCs w:val="24"/>
          <w:lang w:val="en-AU"/>
        </w:rPr>
        <w:t xml:space="preserve"> organisations across Australia to deliver practical resources and information for practitioners working with vulnerable children and families.</w:t>
      </w:r>
      <w:r w:rsidR="00D26B57">
        <w:rPr>
          <w:rFonts w:asciiTheme="minorHAnsi" w:hAnsiTheme="minorHAnsi"/>
          <w:sz w:val="24"/>
          <w:szCs w:val="24"/>
          <w:lang w:val="en-AU"/>
        </w:rPr>
        <w:t xml:space="preserve"> </w:t>
      </w:r>
      <w:r w:rsidR="00087F8C">
        <w:rPr>
          <w:rFonts w:asciiTheme="minorHAnsi" w:hAnsiTheme="minorHAnsi"/>
          <w:sz w:val="24"/>
          <w:szCs w:val="24"/>
          <w:lang w:val="en-AU"/>
        </w:rPr>
        <w:t xml:space="preserve">Organisations </w:t>
      </w:r>
      <w:r w:rsidR="009F52CC">
        <w:rPr>
          <w:rFonts w:asciiTheme="minorHAnsi" w:hAnsiTheme="minorHAnsi"/>
          <w:sz w:val="24"/>
          <w:szCs w:val="24"/>
          <w:lang w:val="en-AU"/>
        </w:rPr>
        <w:t>receiving</w:t>
      </w:r>
      <w:r w:rsidR="00087F8C">
        <w:rPr>
          <w:rFonts w:asciiTheme="minorHAnsi" w:hAnsiTheme="minorHAnsi"/>
          <w:sz w:val="24"/>
          <w:szCs w:val="24"/>
          <w:lang w:val="en-AU"/>
        </w:rPr>
        <w:t xml:space="preserve"> funding included those providing services in the areas of mental health, substance abuse, disability, prisons, women’s safety and </w:t>
      </w:r>
      <w:r w:rsidR="009F52CC">
        <w:rPr>
          <w:rFonts w:asciiTheme="minorHAnsi" w:hAnsiTheme="minorHAnsi"/>
          <w:sz w:val="24"/>
          <w:szCs w:val="24"/>
          <w:lang w:val="en-AU"/>
        </w:rPr>
        <w:t>support for families and their children.</w:t>
      </w:r>
    </w:p>
    <w:p w:rsidR="0054408E" w:rsidRPr="00044AA8" w:rsidRDefault="0054408E" w:rsidP="00044AA8">
      <w:pPr>
        <w:pStyle w:val="CommentText"/>
        <w:rPr>
          <w:rFonts w:asciiTheme="minorHAnsi" w:hAnsiTheme="minorHAnsi"/>
          <w:sz w:val="24"/>
          <w:szCs w:val="24"/>
          <w:lang w:val="en-AU"/>
        </w:rPr>
      </w:pPr>
    </w:p>
    <w:p w:rsidR="00E90475" w:rsidRDefault="00044AA8" w:rsidP="00044AA8">
      <w:pPr>
        <w:pStyle w:val="CommentText"/>
        <w:rPr>
          <w:rFonts w:asciiTheme="minorHAnsi" w:hAnsiTheme="minorHAnsi"/>
          <w:sz w:val="24"/>
          <w:szCs w:val="24"/>
          <w:lang w:val="en-AU"/>
        </w:rPr>
      </w:pPr>
      <w:r w:rsidRPr="00044AA8">
        <w:rPr>
          <w:rFonts w:asciiTheme="minorHAnsi" w:hAnsiTheme="minorHAnsi"/>
          <w:sz w:val="24"/>
          <w:szCs w:val="24"/>
          <w:lang w:val="en-AU"/>
        </w:rPr>
        <w:t xml:space="preserve">The </w:t>
      </w:r>
      <w:r w:rsidR="00D31C59">
        <w:rPr>
          <w:rFonts w:asciiTheme="minorHAnsi" w:hAnsiTheme="minorHAnsi"/>
          <w:sz w:val="24"/>
          <w:szCs w:val="24"/>
          <w:lang w:val="en-AU"/>
        </w:rPr>
        <w:t>Australian Government</w:t>
      </w:r>
      <w:r w:rsidRPr="00044AA8">
        <w:rPr>
          <w:rFonts w:asciiTheme="minorHAnsi" w:hAnsiTheme="minorHAnsi"/>
          <w:sz w:val="24"/>
          <w:szCs w:val="24"/>
          <w:lang w:val="en-AU"/>
        </w:rPr>
        <w:t xml:space="preserve"> also invested $200</w:t>
      </w:r>
      <w:r w:rsidR="00A2145C">
        <w:rPr>
          <w:rFonts w:asciiTheme="minorHAnsi" w:hAnsiTheme="minorHAnsi"/>
          <w:sz w:val="24"/>
          <w:szCs w:val="24"/>
          <w:lang w:val="en-AU"/>
        </w:rPr>
        <w:t> </w:t>
      </w:r>
      <w:r w:rsidRPr="00044AA8">
        <w:rPr>
          <w:rFonts w:asciiTheme="minorHAnsi" w:hAnsiTheme="minorHAnsi"/>
          <w:sz w:val="24"/>
          <w:szCs w:val="24"/>
          <w:lang w:val="en-AU"/>
        </w:rPr>
        <w:t>000 for the inaugural national Child Aware Approaches Conference</w:t>
      </w:r>
      <w:r w:rsidR="006457EC">
        <w:rPr>
          <w:rFonts w:asciiTheme="minorHAnsi" w:hAnsiTheme="minorHAnsi"/>
          <w:sz w:val="24"/>
          <w:szCs w:val="24"/>
          <w:lang w:val="en-AU"/>
        </w:rPr>
        <w:t>, held</w:t>
      </w:r>
      <w:r w:rsidR="006457EC" w:rsidRPr="006457EC">
        <w:rPr>
          <w:rFonts w:asciiTheme="minorHAnsi" w:hAnsiTheme="minorHAnsi"/>
          <w:sz w:val="24"/>
          <w:szCs w:val="24"/>
        </w:rPr>
        <w:t xml:space="preserve"> </w:t>
      </w:r>
      <w:r w:rsidR="006457EC" w:rsidRPr="00E90475">
        <w:rPr>
          <w:rFonts w:asciiTheme="minorHAnsi" w:hAnsiTheme="minorHAnsi"/>
          <w:sz w:val="24"/>
          <w:szCs w:val="24"/>
        </w:rPr>
        <w:t>at the Melbourne Exhibition Centre</w:t>
      </w:r>
      <w:r w:rsidRPr="00044AA8">
        <w:rPr>
          <w:rFonts w:asciiTheme="minorHAnsi" w:hAnsiTheme="minorHAnsi"/>
          <w:sz w:val="24"/>
          <w:szCs w:val="24"/>
          <w:lang w:val="en-AU"/>
        </w:rPr>
        <w:t xml:space="preserve"> </w:t>
      </w:r>
      <w:r w:rsidR="00995435">
        <w:rPr>
          <w:rFonts w:asciiTheme="minorHAnsi" w:hAnsiTheme="minorHAnsi"/>
          <w:sz w:val="24"/>
          <w:szCs w:val="24"/>
          <w:lang w:val="en-AU"/>
        </w:rPr>
        <w:t>on 11</w:t>
      </w:r>
      <w:r w:rsidR="00A2145C">
        <w:rPr>
          <w:rFonts w:asciiTheme="minorHAnsi" w:hAnsiTheme="minorHAnsi"/>
          <w:sz w:val="24"/>
          <w:szCs w:val="24"/>
          <w:lang w:val="en-AU"/>
        </w:rPr>
        <w:t>–</w:t>
      </w:r>
      <w:r w:rsidRPr="00044AA8">
        <w:rPr>
          <w:rFonts w:asciiTheme="minorHAnsi" w:hAnsiTheme="minorHAnsi"/>
          <w:sz w:val="24"/>
          <w:szCs w:val="24"/>
          <w:lang w:val="en-AU"/>
        </w:rPr>
        <w:t>12 April 2013.</w:t>
      </w:r>
      <w:r w:rsidR="00D26B57">
        <w:rPr>
          <w:rFonts w:asciiTheme="minorHAnsi" w:hAnsiTheme="minorHAnsi"/>
          <w:sz w:val="24"/>
          <w:szCs w:val="24"/>
          <w:lang w:val="en-AU"/>
        </w:rPr>
        <w:t xml:space="preserve"> </w:t>
      </w:r>
      <w:r w:rsidRPr="00044AA8">
        <w:rPr>
          <w:rFonts w:asciiTheme="minorHAnsi" w:hAnsiTheme="minorHAnsi"/>
          <w:sz w:val="24"/>
          <w:szCs w:val="24"/>
          <w:lang w:val="en-AU"/>
        </w:rPr>
        <w:t>The conference showcase</w:t>
      </w:r>
      <w:r w:rsidR="006457EC">
        <w:rPr>
          <w:rFonts w:asciiTheme="minorHAnsi" w:hAnsiTheme="minorHAnsi"/>
          <w:sz w:val="24"/>
          <w:szCs w:val="24"/>
          <w:lang w:val="en-AU"/>
        </w:rPr>
        <w:t>d</w:t>
      </w:r>
      <w:r w:rsidRPr="00044AA8">
        <w:rPr>
          <w:rFonts w:asciiTheme="minorHAnsi" w:hAnsiTheme="minorHAnsi"/>
          <w:sz w:val="24"/>
          <w:szCs w:val="24"/>
          <w:lang w:val="en-AU"/>
        </w:rPr>
        <w:t xml:space="preserve"> good practice and innovation in implementing a child</w:t>
      </w:r>
      <w:r w:rsidR="00B30B95">
        <w:rPr>
          <w:rFonts w:asciiTheme="minorHAnsi" w:hAnsiTheme="minorHAnsi"/>
          <w:sz w:val="24"/>
          <w:szCs w:val="24"/>
          <w:lang w:val="en-AU"/>
        </w:rPr>
        <w:t>-</w:t>
      </w:r>
      <w:r w:rsidRPr="00044AA8">
        <w:rPr>
          <w:rFonts w:asciiTheme="minorHAnsi" w:hAnsiTheme="minorHAnsi"/>
          <w:sz w:val="24"/>
          <w:szCs w:val="24"/>
          <w:lang w:val="en-AU"/>
        </w:rPr>
        <w:t>aware approach and putting the child at the centre when working with vulnerable families.</w:t>
      </w:r>
      <w:r w:rsidR="00D26B57">
        <w:rPr>
          <w:rFonts w:asciiTheme="minorHAnsi" w:hAnsiTheme="minorHAnsi"/>
          <w:sz w:val="24"/>
          <w:szCs w:val="24"/>
          <w:lang w:val="en-AU"/>
        </w:rPr>
        <w:t xml:space="preserve"> </w:t>
      </w:r>
    </w:p>
    <w:p w:rsidR="00247650" w:rsidRDefault="00247650">
      <w:pPr>
        <w:rPr>
          <w:rFonts w:asciiTheme="minorHAnsi" w:hAnsiTheme="minorHAnsi"/>
          <w:sz w:val="24"/>
          <w:szCs w:val="24"/>
        </w:rPr>
      </w:pPr>
      <w:r>
        <w:rPr>
          <w:rFonts w:asciiTheme="minorHAnsi" w:hAnsiTheme="minorHAnsi"/>
          <w:sz w:val="24"/>
          <w:szCs w:val="24"/>
        </w:rPr>
        <w:br w:type="page"/>
      </w:r>
    </w:p>
    <w:p w:rsidR="00E90475" w:rsidRDefault="00E90475" w:rsidP="00044AA8">
      <w:pPr>
        <w:pStyle w:val="CommentText"/>
        <w:rPr>
          <w:rFonts w:asciiTheme="minorHAnsi" w:hAnsiTheme="minorHAnsi"/>
          <w:sz w:val="24"/>
          <w:szCs w:val="24"/>
          <w:lang w:val="en-AU"/>
        </w:rPr>
      </w:pPr>
    </w:p>
    <w:p w:rsidR="00E90475" w:rsidRPr="005E2F96" w:rsidRDefault="006457EC" w:rsidP="00E04658">
      <w:pPr>
        <w:pBdr>
          <w:top w:val="single" w:sz="12" w:space="1" w:color="006600"/>
          <w:left w:val="single" w:sz="12" w:space="4" w:color="006600"/>
          <w:bottom w:val="single" w:sz="12" w:space="1" w:color="006600"/>
          <w:right w:val="single" w:sz="12" w:space="4" w:color="006600"/>
        </w:pBdr>
        <w:shd w:val="clear" w:color="auto" w:fill="D1FFD1"/>
        <w:spacing w:after="120"/>
        <w:rPr>
          <w:rFonts w:asciiTheme="minorHAnsi" w:hAnsiTheme="minorHAnsi"/>
          <w:b/>
          <w:sz w:val="24"/>
          <w:szCs w:val="24"/>
        </w:rPr>
      </w:pPr>
      <w:r w:rsidRPr="006457EC">
        <w:rPr>
          <w:rFonts w:asciiTheme="minorHAnsi" w:hAnsiTheme="minorHAnsi"/>
          <w:b/>
          <w:color w:val="006600"/>
          <w:sz w:val="24"/>
          <w:szCs w:val="24"/>
        </w:rPr>
        <w:t>Child Aware Approaches</w:t>
      </w:r>
      <w:r>
        <w:rPr>
          <w:rFonts w:asciiTheme="minorHAnsi" w:hAnsiTheme="minorHAnsi"/>
          <w:b/>
          <w:color w:val="006600"/>
          <w:sz w:val="24"/>
          <w:szCs w:val="24"/>
        </w:rPr>
        <w:t>: an innovative c</w:t>
      </w:r>
      <w:r w:rsidRPr="006457EC">
        <w:rPr>
          <w:rFonts w:asciiTheme="minorHAnsi" w:hAnsiTheme="minorHAnsi"/>
          <w:b/>
          <w:color w:val="006600"/>
          <w:sz w:val="24"/>
          <w:szCs w:val="24"/>
        </w:rPr>
        <w:t>onference</w:t>
      </w:r>
    </w:p>
    <w:p w:rsidR="00E04658" w:rsidRPr="00E90475" w:rsidRDefault="00E90475" w:rsidP="00E04658">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r w:rsidRPr="00E90475">
        <w:rPr>
          <w:rFonts w:asciiTheme="minorHAnsi" w:hAnsiTheme="minorHAnsi"/>
          <w:sz w:val="24"/>
          <w:szCs w:val="24"/>
        </w:rPr>
        <w:t xml:space="preserve">The conference brought together </w:t>
      </w:r>
      <w:r w:rsidR="00E04658">
        <w:rPr>
          <w:rFonts w:asciiTheme="minorHAnsi" w:hAnsiTheme="minorHAnsi"/>
          <w:sz w:val="24"/>
          <w:szCs w:val="24"/>
        </w:rPr>
        <w:t>over</w:t>
      </w:r>
      <w:r w:rsidR="006457EC" w:rsidRPr="00044AA8">
        <w:rPr>
          <w:rFonts w:asciiTheme="minorHAnsi" w:hAnsiTheme="minorHAnsi"/>
          <w:sz w:val="24"/>
          <w:szCs w:val="24"/>
        </w:rPr>
        <w:t xml:space="preserve"> 300 experts</w:t>
      </w:r>
      <w:r w:rsidRPr="00E90475">
        <w:rPr>
          <w:rFonts w:asciiTheme="minorHAnsi" w:hAnsiTheme="minorHAnsi"/>
          <w:sz w:val="24"/>
          <w:szCs w:val="24"/>
        </w:rPr>
        <w:t xml:space="preserve"> from government, </w:t>
      </w:r>
      <w:r w:rsidR="00E04658">
        <w:rPr>
          <w:rFonts w:asciiTheme="minorHAnsi" w:hAnsiTheme="minorHAnsi"/>
          <w:sz w:val="24"/>
          <w:szCs w:val="24"/>
        </w:rPr>
        <w:t>community</w:t>
      </w:r>
      <w:r w:rsidRPr="00E90475">
        <w:rPr>
          <w:rFonts w:asciiTheme="minorHAnsi" w:hAnsiTheme="minorHAnsi"/>
          <w:sz w:val="24"/>
          <w:szCs w:val="24"/>
        </w:rPr>
        <w:t xml:space="preserve"> and research sectors to share innovative practices and resources and to contribute to the national campaign to make the wellbeing and safety of Australia's children everyone's business and </w:t>
      </w:r>
      <w:r w:rsidR="000B6AEE">
        <w:rPr>
          <w:rFonts w:asciiTheme="minorHAnsi" w:hAnsiTheme="minorHAnsi"/>
          <w:sz w:val="24"/>
          <w:szCs w:val="24"/>
        </w:rPr>
        <w:t xml:space="preserve">a </w:t>
      </w:r>
      <w:r w:rsidRPr="00E90475">
        <w:rPr>
          <w:rFonts w:asciiTheme="minorHAnsi" w:hAnsiTheme="minorHAnsi"/>
          <w:sz w:val="24"/>
          <w:szCs w:val="24"/>
        </w:rPr>
        <w:t xml:space="preserve">shared responsibility. </w:t>
      </w:r>
      <w:r w:rsidR="00E04658" w:rsidRPr="00E90475">
        <w:rPr>
          <w:rFonts w:asciiTheme="minorHAnsi" w:hAnsiTheme="minorHAnsi"/>
          <w:sz w:val="24"/>
          <w:szCs w:val="24"/>
        </w:rPr>
        <w:t>Complimentary registrations were given to six rural and remote practitioners</w:t>
      </w:r>
      <w:r w:rsidR="00BD42F8">
        <w:rPr>
          <w:rFonts w:asciiTheme="minorHAnsi" w:hAnsiTheme="minorHAnsi"/>
          <w:sz w:val="24"/>
          <w:szCs w:val="24"/>
        </w:rPr>
        <w:t>,</w:t>
      </w:r>
      <w:r w:rsidR="00E04658" w:rsidRPr="00E90475">
        <w:rPr>
          <w:rFonts w:asciiTheme="minorHAnsi" w:hAnsiTheme="minorHAnsi"/>
          <w:sz w:val="24"/>
          <w:szCs w:val="24"/>
        </w:rPr>
        <w:t xml:space="preserve"> to maximise</w:t>
      </w:r>
      <w:r w:rsidR="00BD42F8">
        <w:rPr>
          <w:rFonts w:asciiTheme="minorHAnsi" w:hAnsiTheme="minorHAnsi"/>
          <w:sz w:val="24"/>
          <w:szCs w:val="24"/>
        </w:rPr>
        <w:t xml:space="preserve"> the</w:t>
      </w:r>
      <w:r w:rsidR="00E04658" w:rsidRPr="00E90475">
        <w:rPr>
          <w:rFonts w:asciiTheme="minorHAnsi" w:hAnsiTheme="minorHAnsi"/>
          <w:sz w:val="24"/>
          <w:szCs w:val="24"/>
        </w:rPr>
        <w:t xml:space="preserve"> engagement of the broader community.</w:t>
      </w:r>
    </w:p>
    <w:p w:rsidR="00E90475" w:rsidRPr="00E90475" w:rsidRDefault="00E90475" w:rsidP="00E04658">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p>
    <w:p w:rsidR="00E90475" w:rsidRPr="00E90475" w:rsidRDefault="00E90475" w:rsidP="00E04658">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r w:rsidRPr="00E90475">
        <w:rPr>
          <w:rFonts w:asciiTheme="minorHAnsi" w:hAnsiTheme="minorHAnsi"/>
          <w:sz w:val="24"/>
          <w:szCs w:val="24"/>
        </w:rPr>
        <w:t>The aim of the conference was to ensure that there was an opportunity to advance thinking, showcase promising and innovative practice and help to chart directions in four key areas:</w:t>
      </w:r>
    </w:p>
    <w:p w:rsidR="00E90475" w:rsidRPr="00E90475" w:rsidRDefault="00E90475" w:rsidP="00E04658">
      <w:pPr>
        <w:pStyle w:val="ListBullet"/>
        <w:pBdr>
          <w:top w:val="single" w:sz="12" w:space="1" w:color="006600"/>
          <w:left w:val="single" w:sz="12" w:space="4" w:color="006600"/>
          <w:bottom w:val="single" w:sz="12" w:space="1" w:color="006600"/>
          <w:right w:val="single" w:sz="12" w:space="4" w:color="006600"/>
        </w:pBdr>
        <w:shd w:val="clear" w:color="auto" w:fill="D1FFD1"/>
      </w:pPr>
      <w:r w:rsidRPr="00E90475">
        <w:t>promoting child and family wellbeing and safety</w:t>
      </w:r>
    </w:p>
    <w:p w:rsidR="00E90475" w:rsidRPr="00E90475" w:rsidRDefault="00E90475" w:rsidP="00E04658">
      <w:pPr>
        <w:pStyle w:val="ListBullet"/>
        <w:pBdr>
          <w:top w:val="single" w:sz="12" w:space="1" w:color="006600"/>
          <w:left w:val="single" w:sz="12" w:space="4" w:color="006600"/>
          <w:bottom w:val="single" w:sz="12" w:space="1" w:color="006600"/>
          <w:right w:val="single" w:sz="12" w:space="4" w:color="006600"/>
        </w:pBdr>
        <w:shd w:val="clear" w:color="auto" w:fill="D1FFD1"/>
      </w:pPr>
      <w:r w:rsidRPr="00E90475">
        <w:t>responding to risk factors</w:t>
      </w:r>
      <w:r w:rsidR="000B6AEE">
        <w:t>—</w:t>
      </w:r>
      <w:r w:rsidRPr="00E90475">
        <w:t>family violence, mental health and substance misuse</w:t>
      </w:r>
    </w:p>
    <w:p w:rsidR="00E90475" w:rsidRPr="00E90475" w:rsidRDefault="00E90475" w:rsidP="00E04658">
      <w:pPr>
        <w:pStyle w:val="ListBullet"/>
        <w:pBdr>
          <w:top w:val="single" w:sz="12" w:space="1" w:color="006600"/>
          <w:left w:val="single" w:sz="12" w:space="4" w:color="006600"/>
          <w:bottom w:val="single" w:sz="12" w:space="1" w:color="006600"/>
          <w:right w:val="single" w:sz="12" w:space="4" w:color="006600"/>
        </w:pBdr>
        <w:shd w:val="clear" w:color="auto" w:fill="D1FFD1"/>
      </w:pPr>
      <w:r w:rsidRPr="00E90475">
        <w:t>integrating service delivery to families and</w:t>
      </w:r>
      <w:r w:rsidR="000B6AEE">
        <w:t xml:space="preserve"> children, including place-based</w:t>
      </w:r>
      <w:r w:rsidRPr="00E90475">
        <w:t xml:space="preserve"> solutions</w:t>
      </w:r>
    </w:p>
    <w:p w:rsidR="00E90475" w:rsidRPr="00E90475" w:rsidRDefault="00E90475" w:rsidP="00E04658">
      <w:pPr>
        <w:pStyle w:val="ListBullet"/>
        <w:pBdr>
          <w:top w:val="single" w:sz="12" w:space="1" w:color="006600"/>
          <w:left w:val="single" w:sz="12" w:space="4" w:color="006600"/>
          <w:bottom w:val="single" w:sz="12" w:space="1" w:color="006600"/>
          <w:right w:val="single" w:sz="12" w:space="4" w:color="006600"/>
        </w:pBdr>
        <w:shd w:val="clear" w:color="auto" w:fill="D1FFD1"/>
      </w:pPr>
      <w:proofErr w:type="gramStart"/>
      <w:r w:rsidRPr="00E90475">
        <w:t>embedding</w:t>
      </w:r>
      <w:proofErr w:type="gramEnd"/>
      <w:r w:rsidRPr="00E90475">
        <w:t xml:space="preserve"> child awareness in everyone's business.</w:t>
      </w:r>
    </w:p>
    <w:p w:rsidR="00E90475" w:rsidRPr="00E90475" w:rsidRDefault="00E90475" w:rsidP="00E04658">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p>
    <w:p w:rsidR="00E90475" w:rsidRPr="00DC1B19" w:rsidRDefault="00E90475" w:rsidP="00E04658">
      <w:pPr>
        <w:pBdr>
          <w:top w:val="single" w:sz="12" w:space="1" w:color="006600"/>
          <w:left w:val="single" w:sz="12" w:space="4" w:color="006600"/>
          <w:bottom w:val="single" w:sz="12" w:space="1" w:color="006600"/>
          <w:right w:val="single" w:sz="12" w:space="4" w:color="006600"/>
        </w:pBdr>
        <w:shd w:val="clear" w:color="auto" w:fill="D1FFD1"/>
        <w:rPr>
          <w:rStyle w:val="StyleBodyCalibri12pt"/>
        </w:rPr>
      </w:pPr>
      <w:r w:rsidRPr="00DC1B19">
        <w:rPr>
          <w:rStyle w:val="StyleBodyCalibri12pt"/>
        </w:rPr>
        <w:t xml:space="preserve">The conference contributed to the </w:t>
      </w:r>
      <w:r w:rsidR="00E04658" w:rsidRPr="000433CA">
        <w:rPr>
          <w:rStyle w:val="StyleBodyCalibri12ptItalic"/>
        </w:rPr>
        <w:t>Second Three-Year Action Plan 2012–2015</w:t>
      </w:r>
      <w:r w:rsidRPr="00DC1B19">
        <w:rPr>
          <w:rStyle w:val="StyleBodyCalibri12pt"/>
        </w:rPr>
        <w:t xml:space="preserve"> under the </w:t>
      </w:r>
      <w:r w:rsidRPr="000433CA">
        <w:rPr>
          <w:rStyle w:val="StyleBodyCalibri12ptItalic"/>
        </w:rPr>
        <w:t xml:space="preserve">National Framework </w:t>
      </w:r>
      <w:r w:rsidR="00E04658" w:rsidRPr="000433CA">
        <w:rPr>
          <w:rStyle w:val="StyleBodyCalibri12ptItalic"/>
        </w:rPr>
        <w:t xml:space="preserve">for </w:t>
      </w:r>
      <w:r w:rsidRPr="000433CA">
        <w:rPr>
          <w:rStyle w:val="StyleBodyCalibri12ptItalic"/>
        </w:rPr>
        <w:t xml:space="preserve">Protecting Australia's Children </w:t>
      </w:r>
      <w:r w:rsidR="00E04658" w:rsidRPr="000433CA">
        <w:rPr>
          <w:rStyle w:val="StyleBodyCalibri12ptItalic"/>
        </w:rPr>
        <w:t>2009–2020</w:t>
      </w:r>
      <w:r w:rsidRPr="00DC1B19">
        <w:rPr>
          <w:rStyle w:val="StyleBodyCalibri12pt"/>
        </w:rPr>
        <w:t xml:space="preserve">, </w:t>
      </w:r>
      <w:r w:rsidR="0076533C" w:rsidRPr="00DC1B19">
        <w:rPr>
          <w:rStyle w:val="StyleBodyCalibri12pt"/>
        </w:rPr>
        <w:t xml:space="preserve">to </w:t>
      </w:r>
      <w:r w:rsidRPr="00DC1B19">
        <w:rPr>
          <w:rStyle w:val="StyleBodyCalibri12pt"/>
        </w:rPr>
        <w:t xml:space="preserve">the </w:t>
      </w:r>
      <w:r w:rsidR="00E04658" w:rsidRPr="000433CA">
        <w:rPr>
          <w:rStyle w:val="StyleBodyCalibri12ptItalic"/>
        </w:rPr>
        <w:t xml:space="preserve">Roadmap for </w:t>
      </w:r>
      <w:r w:rsidRPr="000433CA">
        <w:rPr>
          <w:rStyle w:val="StyleBodyCalibri12ptItalic"/>
        </w:rPr>
        <w:t>National Mental Health Reform</w:t>
      </w:r>
      <w:r w:rsidRPr="00DC1B19">
        <w:rPr>
          <w:rStyle w:val="StyleBodyCalibri12pt"/>
        </w:rPr>
        <w:t xml:space="preserve"> and </w:t>
      </w:r>
      <w:r w:rsidR="0076533C" w:rsidRPr="00DC1B19">
        <w:rPr>
          <w:rStyle w:val="StyleBodyCalibri12pt"/>
        </w:rPr>
        <w:t xml:space="preserve">to </w:t>
      </w:r>
      <w:r w:rsidRPr="00DC1B19">
        <w:rPr>
          <w:rStyle w:val="StyleBodyCalibri12pt"/>
        </w:rPr>
        <w:t xml:space="preserve">the </w:t>
      </w:r>
      <w:r w:rsidRPr="000433CA">
        <w:rPr>
          <w:rStyle w:val="StyleBodyCalibri12ptItalic"/>
        </w:rPr>
        <w:t>National Plan to Reduce Violence against Women and their Children 2010</w:t>
      </w:r>
      <w:r w:rsidR="00E04658" w:rsidRPr="000433CA">
        <w:rPr>
          <w:rStyle w:val="StyleBodyCalibri12ptItalic"/>
        </w:rPr>
        <w:t>–</w:t>
      </w:r>
      <w:r w:rsidRPr="000433CA">
        <w:rPr>
          <w:rStyle w:val="StyleBodyCalibri12ptItalic"/>
        </w:rPr>
        <w:t>2022</w:t>
      </w:r>
      <w:r w:rsidRPr="00DC1B19">
        <w:rPr>
          <w:rStyle w:val="StyleBodyCalibri12pt"/>
        </w:rPr>
        <w:t>.</w:t>
      </w:r>
      <w:r w:rsidR="0076533C" w:rsidRPr="00DC1B19">
        <w:rPr>
          <w:rStyle w:val="StyleBodyCalibri12pt"/>
        </w:rPr>
        <w:t xml:space="preserve"> It </w:t>
      </w:r>
      <w:r w:rsidRPr="00DC1B19">
        <w:rPr>
          <w:rStyle w:val="StyleBodyCalibri12pt"/>
        </w:rPr>
        <w:t>brought together professionals across multiple sectors (family violence, mental health, alcohol and other drugs, child and family support and child protection) in lively discussion about strategies and practices found useful for supporting children and their families.</w:t>
      </w:r>
    </w:p>
    <w:p w:rsidR="00E90475" w:rsidRPr="00E90475" w:rsidRDefault="00E90475" w:rsidP="00E04658">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p>
    <w:p w:rsidR="00E90475" w:rsidRPr="00E90475" w:rsidRDefault="00E04658" w:rsidP="00E04658">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r>
        <w:rPr>
          <w:rFonts w:asciiTheme="minorHAnsi" w:hAnsiTheme="minorHAnsi"/>
          <w:sz w:val="24"/>
          <w:szCs w:val="24"/>
        </w:rPr>
        <w:t xml:space="preserve">Inaugural Children’s Commissioner </w:t>
      </w:r>
      <w:r w:rsidR="00E90475" w:rsidRPr="00E90475">
        <w:rPr>
          <w:rFonts w:asciiTheme="minorHAnsi" w:hAnsiTheme="minorHAnsi"/>
          <w:sz w:val="24"/>
          <w:szCs w:val="24"/>
        </w:rPr>
        <w:t>Megan Mitchell</w:t>
      </w:r>
      <w:r>
        <w:rPr>
          <w:rFonts w:asciiTheme="minorHAnsi" w:hAnsiTheme="minorHAnsi"/>
          <w:sz w:val="24"/>
          <w:szCs w:val="24"/>
        </w:rPr>
        <w:t xml:space="preserve"> </w:t>
      </w:r>
      <w:r w:rsidR="00E90475" w:rsidRPr="00E90475">
        <w:rPr>
          <w:rFonts w:asciiTheme="minorHAnsi" w:hAnsiTheme="minorHAnsi"/>
          <w:sz w:val="24"/>
          <w:szCs w:val="24"/>
        </w:rPr>
        <w:t xml:space="preserve">delivered the conference oration, </w:t>
      </w:r>
      <w:r>
        <w:rPr>
          <w:rFonts w:asciiTheme="minorHAnsi" w:hAnsiTheme="minorHAnsi"/>
          <w:sz w:val="24"/>
          <w:szCs w:val="24"/>
        </w:rPr>
        <w:t>‘</w:t>
      </w:r>
      <w:r w:rsidR="00E90475" w:rsidRPr="00E90475">
        <w:rPr>
          <w:rFonts w:asciiTheme="minorHAnsi" w:hAnsiTheme="minorHAnsi"/>
          <w:sz w:val="24"/>
          <w:szCs w:val="24"/>
        </w:rPr>
        <w:t>Walking the Talk: towards authentic child voice</w:t>
      </w:r>
      <w:r>
        <w:rPr>
          <w:rFonts w:asciiTheme="minorHAnsi" w:hAnsiTheme="minorHAnsi"/>
          <w:sz w:val="24"/>
          <w:szCs w:val="24"/>
        </w:rPr>
        <w:t>’</w:t>
      </w:r>
      <w:r w:rsidR="00E90475" w:rsidRPr="00E90475">
        <w:rPr>
          <w:rFonts w:asciiTheme="minorHAnsi" w:hAnsiTheme="minorHAnsi"/>
          <w:sz w:val="24"/>
          <w:szCs w:val="24"/>
        </w:rPr>
        <w:t xml:space="preserve">, </w:t>
      </w:r>
      <w:r>
        <w:rPr>
          <w:rFonts w:asciiTheme="minorHAnsi" w:hAnsiTheme="minorHAnsi"/>
          <w:sz w:val="24"/>
          <w:szCs w:val="24"/>
        </w:rPr>
        <w:t xml:space="preserve">as </w:t>
      </w:r>
      <w:r w:rsidR="00E90475" w:rsidRPr="00E90475">
        <w:rPr>
          <w:rFonts w:asciiTheme="minorHAnsi" w:hAnsiTheme="minorHAnsi"/>
          <w:sz w:val="24"/>
          <w:szCs w:val="24"/>
        </w:rPr>
        <w:t>her first public address.</w:t>
      </w:r>
    </w:p>
    <w:p w:rsidR="00E90475" w:rsidRPr="00E90475" w:rsidRDefault="00E90475" w:rsidP="00E04658">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p>
    <w:p w:rsidR="00E90475" w:rsidRPr="00E90475" w:rsidRDefault="00E90475" w:rsidP="00E04658">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r w:rsidRPr="00E90475">
        <w:rPr>
          <w:rFonts w:asciiTheme="minorHAnsi" w:hAnsiTheme="minorHAnsi"/>
          <w:sz w:val="24"/>
          <w:szCs w:val="24"/>
        </w:rPr>
        <w:t>Keynote speakers included: Professor Alan Hayes AM, Director</w:t>
      </w:r>
      <w:r w:rsidR="00931027">
        <w:rPr>
          <w:rFonts w:asciiTheme="minorHAnsi" w:hAnsiTheme="minorHAnsi"/>
          <w:sz w:val="24"/>
          <w:szCs w:val="24"/>
        </w:rPr>
        <w:t>,</w:t>
      </w:r>
      <w:r w:rsidRPr="00E90475">
        <w:rPr>
          <w:rFonts w:asciiTheme="minorHAnsi" w:hAnsiTheme="minorHAnsi"/>
          <w:sz w:val="24"/>
          <w:szCs w:val="24"/>
        </w:rPr>
        <w:t xml:space="preserve"> Australian Institute of Family Studies; Professor Marie Connolly, School of Social Work, University of Melbourne; Maree Walk, Chief Execut</w:t>
      </w:r>
      <w:r w:rsidR="00CC16F4">
        <w:rPr>
          <w:rFonts w:asciiTheme="minorHAnsi" w:hAnsiTheme="minorHAnsi"/>
          <w:sz w:val="24"/>
          <w:szCs w:val="24"/>
        </w:rPr>
        <w:t xml:space="preserve">ive, Community Services, NSW </w:t>
      </w:r>
      <w:r w:rsidRPr="00E90475">
        <w:rPr>
          <w:rFonts w:asciiTheme="minorHAnsi" w:hAnsiTheme="minorHAnsi"/>
          <w:sz w:val="24"/>
          <w:szCs w:val="24"/>
        </w:rPr>
        <w:t>F</w:t>
      </w:r>
      <w:r w:rsidR="00CC16F4">
        <w:rPr>
          <w:rFonts w:asciiTheme="minorHAnsi" w:hAnsiTheme="minorHAnsi"/>
          <w:sz w:val="24"/>
          <w:szCs w:val="24"/>
        </w:rPr>
        <w:t>ACS</w:t>
      </w:r>
      <w:r w:rsidRPr="00E90475">
        <w:rPr>
          <w:rFonts w:asciiTheme="minorHAnsi" w:hAnsiTheme="minorHAnsi"/>
          <w:sz w:val="24"/>
          <w:szCs w:val="24"/>
        </w:rPr>
        <w:t xml:space="preserve">; Adjunct Associate Professor Geoff </w:t>
      </w:r>
      <w:proofErr w:type="spellStart"/>
      <w:r w:rsidRPr="00E90475">
        <w:rPr>
          <w:rFonts w:asciiTheme="minorHAnsi" w:hAnsiTheme="minorHAnsi"/>
          <w:sz w:val="24"/>
          <w:szCs w:val="24"/>
        </w:rPr>
        <w:t>Woolcock</w:t>
      </w:r>
      <w:proofErr w:type="spellEnd"/>
      <w:r w:rsidRPr="00E90475">
        <w:rPr>
          <w:rFonts w:asciiTheme="minorHAnsi" w:hAnsiTheme="minorHAnsi"/>
          <w:sz w:val="24"/>
          <w:szCs w:val="24"/>
        </w:rPr>
        <w:t xml:space="preserve">, Senior Research Fellow, Wesley Mission, Brisbane; Professor Fiona </w:t>
      </w:r>
      <w:proofErr w:type="spellStart"/>
      <w:r w:rsidRPr="00E90475">
        <w:rPr>
          <w:rFonts w:asciiTheme="minorHAnsi" w:hAnsiTheme="minorHAnsi"/>
          <w:sz w:val="24"/>
          <w:szCs w:val="24"/>
        </w:rPr>
        <w:t>Arney</w:t>
      </w:r>
      <w:proofErr w:type="spellEnd"/>
      <w:r w:rsidRPr="00E90475">
        <w:rPr>
          <w:rFonts w:asciiTheme="minorHAnsi" w:hAnsiTheme="minorHAnsi"/>
          <w:sz w:val="24"/>
          <w:szCs w:val="24"/>
        </w:rPr>
        <w:t xml:space="preserve">, Director, </w:t>
      </w:r>
      <w:r w:rsidR="00CC16F4">
        <w:rPr>
          <w:rFonts w:asciiTheme="minorHAnsi" w:hAnsiTheme="minorHAnsi"/>
          <w:sz w:val="24"/>
          <w:szCs w:val="24"/>
        </w:rPr>
        <w:t>ACCP</w:t>
      </w:r>
      <w:r w:rsidRPr="00E90475">
        <w:rPr>
          <w:rFonts w:asciiTheme="minorHAnsi" w:hAnsiTheme="minorHAnsi"/>
          <w:sz w:val="24"/>
          <w:szCs w:val="24"/>
        </w:rPr>
        <w:t xml:space="preserve">, University of South Australia; and Professor Muriel </w:t>
      </w:r>
      <w:proofErr w:type="spellStart"/>
      <w:r w:rsidRPr="00E90475">
        <w:rPr>
          <w:rFonts w:asciiTheme="minorHAnsi" w:hAnsiTheme="minorHAnsi"/>
          <w:sz w:val="24"/>
          <w:szCs w:val="24"/>
        </w:rPr>
        <w:t>Bamblett</w:t>
      </w:r>
      <w:proofErr w:type="spellEnd"/>
      <w:r w:rsidRPr="00E90475">
        <w:rPr>
          <w:rFonts w:asciiTheme="minorHAnsi" w:hAnsiTheme="minorHAnsi"/>
          <w:sz w:val="24"/>
          <w:szCs w:val="24"/>
        </w:rPr>
        <w:t xml:space="preserve"> AM, CEO, Victorian Aboriginal Child Care Agency.</w:t>
      </w:r>
    </w:p>
    <w:p w:rsidR="00E90475" w:rsidRPr="00E90475" w:rsidRDefault="00E90475" w:rsidP="00E04658">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p>
    <w:p w:rsidR="0076533C" w:rsidRPr="00E90475" w:rsidRDefault="0076533C" w:rsidP="0076533C">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r w:rsidRPr="00E90475">
        <w:rPr>
          <w:rFonts w:asciiTheme="minorHAnsi" w:hAnsiTheme="minorHAnsi"/>
          <w:sz w:val="24"/>
          <w:szCs w:val="24"/>
        </w:rPr>
        <w:t>Delegates</w:t>
      </w:r>
      <w:r>
        <w:rPr>
          <w:rFonts w:asciiTheme="minorHAnsi" w:hAnsiTheme="minorHAnsi"/>
          <w:sz w:val="24"/>
          <w:szCs w:val="24"/>
        </w:rPr>
        <w:t>’ feedback was very positive. Ninety per cent</w:t>
      </w:r>
      <w:r w:rsidRPr="00E90475">
        <w:rPr>
          <w:rFonts w:asciiTheme="minorHAnsi" w:hAnsiTheme="minorHAnsi"/>
          <w:sz w:val="24"/>
          <w:szCs w:val="24"/>
        </w:rPr>
        <w:t xml:space="preserve"> of survey respondents agreed or strongly agreed that the keynote speakers were engaging and covered interesting and thought</w:t>
      </w:r>
      <w:r w:rsidR="00931027">
        <w:rPr>
          <w:rFonts w:asciiTheme="minorHAnsi" w:hAnsiTheme="minorHAnsi"/>
          <w:sz w:val="24"/>
          <w:szCs w:val="24"/>
        </w:rPr>
        <w:t>-</w:t>
      </w:r>
      <w:r w:rsidRPr="00E90475">
        <w:rPr>
          <w:rFonts w:asciiTheme="minorHAnsi" w:hAnsiTheme="minorHAnsi"/>
          <w:sz w:val="24"/>
          <w:szCs w:val="24"/>
        </w:rPr>
        <w:t>provoking topics;</w:t>
      </w:r>
      <w:r>
        <w:rPr>
          <w:rFonts w:asciiTheme="minorHAnsi" w:hAnsiTheme="minorHAnsi"/>
          <w:sz w:val="24"/>
          <w:szCs w:val="24"/>
        </w:rPr>
        <w:t xml:space="preserve"> </w:t>
      </w:r>
      <w:r w:rsidRPr="00E90475">
        <w:rPr>
          <w:rFonts w:asciiTheme="minorHAnsi" w:hAnsiTheme="minorHAnsi"/>
          <w:sz w:val="24"/>
          <w:szCs w:val="24"/>
        </w:rPr>
        <w:t>93</w:t>
      </w:r>
      <w:r>
        <w:rPr>
          <w:rFonts w:asciiTheme="minorHAnsi" w:hAnsiTheme="minorHAnsi"/>
          <w:sz w:val="24"/>
          <w:szCs w:val="24"/>
        </w:rPr>
        <w:t xml:space="preserve"> per cent</w:t>
      </w:r>
      <w:r w:rsidRPr="00E90475">
        <w:rPr>
          <w:rFonts w:asciiTheme="minorHAnsi" w:hAnsiTheme="minorHAnsi"/>
          <w:sz w:val="24"/>
          <w:szCs w:val="24"/>
        </w:rPr>
        <w:t xml:space="preserve"> either agreed or strongly agreed that they would be able to use the conference information and resources in their work;</w:t>
      </w:r>
      <w:r>
        <w:rPr>
          <w:rFonts w:asciiTheme="minorHAnsi" w:hAnsiTheme="minorHAnsi"/>
          <w:sz w:val="24"/>
          <w:szCs w:val="24"/>
        </w:rPr>
        <w:t xml:space="preserve"> </w:t>
      </w:r>
      <w:r w:rsidRPr="00E90475">
        <w:rPr>
          <w:rFonts w:asciiTheme="minorHAnsi" w:hAnsiTheme="minorHAnsi"/>
          <w:sz w:val="24"/>
          <w:szCs w:val="24"/>
        </w:rPr>
        <w:t>92</w:t>
      </w:r>
      <w:r>
        <w:rPr>
          <w:rFonts w:asciiTheme="minorHAnsi" w:hAnsiTheme="minorHAnsi"/>
          <w:sz w:val="24"/>
          <w:szCs w:val="24"/>
        </w:rPr>
        <w:t xml:space="preserve"> per cent</w:t>
      </w:r>
      <w:r w:rsidRPr="00E90475">
        <w:rPr>
          <w:rFonts w:asciiTheme="minorHAnsi" w:hAnsiTheme="minorHAnsi"/>
          <w:sz w:val="24"/>
          <w:szCs w:val="24"/>
        </w:rPr>
        <w:t xml:space="preserve"> stated that the conference provided information and ideas that would benefit their organisation;</w:t>
      </w:r>
      <w:r>
        <w:rPr>
          <w:rFonts w:asciiTheme="minorHAnsi" w:hAnsiTheme="minorHAnsi"/>
          <w:sz w:val="24"/>
          <w:szCs w:val="24"/>
        </w:rPr>
        <w:t xml:space="preserve"> and </w:t>
      </w:r>
      <w:r w:rsidRPr="00E90475">
        <w:rPr>
          <w:rFonts w:asciiTheme="minorHAnsi" w:hAnsiTheme="minorHAnsi"/>
          <w:sz w:val="24"/>
          <w:szCs w:val="24"/>
        </w:rPr>
        <w:t>95</w:t>
      </w:r>
      <w:r>
        <w:rPr>
          <w:rFonts w:asciiTheme="minorHAnsi" w:hAnsiTheme="minorHAnsi"/>
          <w:sz w:val="24"/>
          <w:szCs w:val="24"/>
        </w:rPr>
        <w:t xml:space="preserve"> per cent</w:t>
      </w:r>
      <w:r w:rsidRPr="00E90475">
        <w:rPr>
          <w:rFonts w:asciiTheme="minorHAnsi" w:hAnsiTheme="minorHAnsi"/>
          <w:sz w:val="24"/>
          <w:szCs w:val="24"/>
        </w:rPr>
        <w:t xml:space="preserve"> would be interested in future conferences of this nature.</w:t>
      </w:r>
    </w:p>
    <w:p w:rsidR="0076533C" w:rsidRDefault="0076533C" w:rsidP="00E04658">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p>
    <w:p w:rsidR="00E90475" w:rsidRPr="00DC1B19" w:rsidRDefault="00C9666F" w:rsidP="00E04658">
      <w:pPr>
        <w:pBdr>
          <w:top w:val="single" w:sz="12" w:space="1" w:color="006600"/>
          <w:left w:val="single" w:sz="12" w:space="4" w:color="006600"/>
          <w:bottom w:val="single" w:sz="12" w:space="1" w:color="006600"/>
          <w:right w:val="single" w:sz="12" w:space="4" w:color="006600"/>
        </w:pBdr>
        <w:shd w:val="clear" w:color="auto" w:fill="D1FFD1"/>
        <w:rPr>
          <w:rStyle w:val="StyleBodyCalibri12pt"/>
        </w:rPr>
      </w:pPr>
      <w:r w:rsidRPr="00DC1B19">
        <w:rPr>
          <w:rStyle w:val="StyleBodyCalibri12pt"/>
        </w:rPr>
        <w:t>Outcomes from</w:t>
      </w:r>
      <w:r w:rsidR="00DF195A">
        <w:rPr>
          <w:rStyle w:val="StyleBodyCalibri12pt"/>
        </w:rPr>
        <w:t xml:space="preserve"> the conference are available </w:t>
      </w:r>
      <w:proofErr w:type="spellStart"/>
      <w:r w:rsidR="00DF195A">
        <w:rPr>
          <w:rStyle w:val="StyleBodyCalibri12pt"/>
        </w:rPr>
        <w:t>frp</w:t>
      </w:r>
      <w:proofErr w:type="spellEnd"/>
      <w:r w:rsidR="00DF195A">
        <w:rPr>
          <w:rStyle w:val="StyleBodyCalibri12pt"/>
        </w:rPr>
        <w:t xml:space="preserve">, the </w:t>
      </w:r>
      <w:hyperlink r:id="rId27" w:history="1">
        <w:r w:rsidR="00DF195A">
          <w:rPr>
            <w:rStyle w:val="Hyperlink"/>
            <w:rFonts w:asciiTheme="minorHAnsi" w:hAnsiTheme="minorHAnsi"/>
            <w:sz w:val="24"/>
          </w:rPr>
          <w:t>Families Australia</w:t>
        </w:r>
      </w:hyperlink>
      <w:r w:rsidR="00DF195A">
        <w:rPr>
          <w:rStyle w:val="StyleBodyCalibri12pt"/>
        </w:rPr>
        <w:t xml:space="preserve"> website</w:t>
      </w:r>
      <w:r w:rsidRPr="00DC1B19">
        <w:rPr>
          <w:rStyle w:val="StyleBodyCalibri12pt"/>
        </w:rPr>
        <w:t xml:space="preserve">. </w:t>
      </w:r>
      <w:r w:rsidR="00E90475" w:rsidRPr="00DC1B19">
        <w:rPr>
          <w:rStyle w:val="StyleBodyCalibri12pt"/>
        </w:rPr>
        <w:t>Following the two-day conference, the conference website became host to a library of Child Aware resources</w:t>
      </w:r>
      <w:r w:rsidRPr="00DC1B19">
        <w:rPr>
          <w:rStyle w:val="StyleBodyCalibri12pt"/>
        </w:rPr>
        <w:t>,</w:t>
      </w:r>
      <w:r w:rsidR="00E90475" w:rsidRPr="00DC1B19">
        <w:rPr>
          <w:rStyle w:val="StyleBodyCalibri12pt"/>
        </w:rPr>
        <w:t xml:space="preserve"> including video, audio and paper presentations from the conference and electronic copies of resource materials and posters. The resource section of the website will continue to play an important role as a place where future conference presentations and promising practice information can be accessed to assist both practitioners and policy</w:t>
      </w:r>
      <w:r w:rsidR="000044C6" w:rsidRPr="00DC1B19">
        <w:rPr>
          <w:rStyle w:val="StyleBodyCalibri12pt"/>
        </w:rPr>
        <w:t xml:space="preserve"> </w:t>
      </w:r>
      <w:r w:rsidR="00E90475" w:rsidRPr="00DC1B19">
        <w:rPr>
          <w:rStyle w:val="StyleBodyCalibri12pt"/>
        </w:rPr>
        <w:t xml:space="preserve">makers in their work. The Child Aware website will host future iterations of Child Aware research and resources to promote continuing interest in innovative and practical solutions, located within local communities. </w:t>
      </w:r>
    </w:p>
    <w:p w:rsidR="00E90475" w:rsidRPr="00E90475" w:rsidRDefault="00E90475" w:rsidP="00E04658">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p>
    <w:p w:rsidR="006457EC" w:rsidRPr="00E90475" w:rsidRDefault="00E90475" w:rsidP="00E04658">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r w:rsidRPr="00E90475">
        <w:rPr>
          <w:rFonts w:asciiTheme="minorHAnsi" w:hAnsiTheme="minorHAnsi"/>
          <w:sz w:val="24"/>
          <w:szCs w:val="24"/>
        </w:rPr>
        <w:t xml:space="preserve">The inaugural Child Aware Approaches </w:t>
      </w:r>
      <w:r w:rsidR="00097279">
        <w:rPr>
          <w:rFonts w:asciiTheme="minorHAnsi" w:hAnsiTheme="minorHAnsi"/>
          <w:sz w:val="24"/>
          <w:szCs w:val="24"/>
        </w:rPr>
        <w:t>C</w:t>
      </w:r>
      <w:r w:rsidRPr="00E90475">
        <w:rPr>
          <w:rFonts w:asciiTheme="minorHAnsi" w:hAnsiTheme="minorHAnsi"/>
          <w:sz w:val="24"/>
          <w:szCs w:val="24"/>
        </w:rPr>
        <w:t xml:space="preserve">onference provided an impetus </w:t>
      </w:r>
      <w:r w:rsidR="000044C6">
        <w:rPr>
          <w:rFonts w:asciiTheme="minorHAnsi" w:hAnsiTheme="minorHAnsi"/>
          <w:sz w:val="24"/>
          <w:szCs w:val="24"/>
        </w:rPr>
        <w:t>for</w:t>
      </w:r>
      <w:r w:rsidRPr="00E90475">
        <w:rPr>
          <w:rFonts w:asciiTheme="minorHAnsi" w:hAnsiTheme="minorHAnsi"/>
          <w:sz w:val="24"/>
          <w:szCs w:val="24"/>
        </w:rPr>
        <w:t xml:space="preserve"> more extensive engagement between the National Framework policy initiatives and those who offer support to children, young people and their families, in particular those children, young people and families experiencing vu</w:t>
      </w:r>
      <w:r w:rsidR="000044C6">
        <w:rPr>
          <w:rFonts w:asciiTheme="minorHAnsi" w:hAnsiTheme="minorHAnsi"/>
          <w:sz w:val="24"/>
          <w:szCs w:val="24"/>
        </w:rPr>
        <w:t>lnerability.</w:t>
      </w:r>
    </w:p>
    <w:p w:rsidR="00044AA8" w:rsidRPr="00044AA8" w:rsidRDefault="00044AA8" w:rsidP="00044AA8">
      <w:pPr>
        <w:pStyle w:val="CommentText"/>
        <w:rPr>
          <w:rFonts w:asciiTheme="minorHAnsi" w:hAnsiTheme="minorHAnsi"/>
          <w:sz w:val="24"/>
          <w:szCs w:val="24"/>
          <w:lang w:val="en-AU"/>
        </w:rPr>
      </w:pPr>
    </w:p>
    <w:p w:rsidR="00044AA8" w:rsidRDefault="00044AA8" w:rsidP="00044AA8">
      <w:pPr>
        <w:pStyle w:val="CommentText"/>
        <w:rPr>
          <w:rFonts w:asciiTheme="minorHAnsi" w:hAnsiTheme="minorHAnsi"/>
          <w:sz w:val="24"/>
          <w:szCs w:val="24"/>
          <w:lang w:val="en-AU"/>
        </w:rPr>
      </w:pPr>
      <w:r w:rsidRPr="00044AA8">
        <w:rPr>
          <w:rFonts w:asciiTheme="minorHAnsi" w:hAnsiTheme="minorHAnsi"/>
          <w:sz w:val="24"/>
          <w:szCs w:val="24"/>
          <w:lang w:val="en-AU"/>
        </w:rPr>
        <w:t>In 2012</w:t>
      </w:r>
      <w:r w:rsidR="00C636E2">
        <w:rPr>
          <w:rFonts w:asciiTheme="minorHAnsi" w:hAnsiTheme="minorHAnsi"/>
          <w:sz w:val="24"/>
          <w:szCs w:val="24"/>
          <w:lang w:val="en-AU"/>
        </w:rPr>
        <w:t>–</w:t>
      </w:r>
      <w:r w:rsidRPr="00044AA8">
        <w:rPr>
          <w:rFonts w:asciiTheme="minorHAnsi" w:hAnsiTheme="minorHAnsi"/>
          <w:sz w:val="24"/>
          <w:szCs w:val="24"/>
          <w:lang w:val="en-AU"/>
        </w:rPr>
        <w:t xml:space="preserve">13, the </w:t>
      </w:r>
      <w:r w:rsidR="00D31C59">
        <w:rPr>
          <w:rFonts w:asciiTheme="minorHAnsi" w:hAnsiTheme="minorHAnsi"/>
          <w:sz w:val="24"/>
          <w:szCs w:val="24"/>
          <w:lang w:val="en-AU"/>
        </w:rPr>
        <w:t>Australian Government</w:t>
      </w:r>
      <w:r w:rsidRPr="00044AA8">
        <w:rPr>
          <w:rFonts w:asciiTheme="minorHAnsi" w:hAnsiTheme="minorHAnsi"/>
          <w:sz w:val="24"/>
          <w:szCs w:val="24"/>
          <w:lang w:val="en-AU"/>
        </w:rPr>
        <w:t xml:space="preserve"> invested a further $1.57 million in new Child Aware initiatives to strengthen prevention and early intervention strategies for protecting children under the Second Action Plan.</w:t>
      </w:r>
      <w:r w:rsidR="00D26B57">
        <w:rPr>
          <w:rFonts w:asciiTheme="minorHAnsi" w:hAnsiTheme="minorHAnsi"/>
          <w:sz w:val="24"/>
          <w:szCs w:val="24"/>
          <w:lang w:val="en-AU"/>
        </w:rPr>
        <w:t xml:space="preserve"> </w:t>
      </w:r>
      <w:r w:rsidRPr="00044AA8">
        <w:rPr>
          <w:rFonts w:asciiTheme="minorHAnsi" w:hAnsiTheme="minorHAnsi"/>
          <w:sz w:val="24"/>
          <w:szCs w:val="24"/>
          <w:lang w:val="en-AU"/>
        </w:rPr>
        <w:t>These initiatives will:</w:t>
      </w:r>
    </w:p>
    <w:p w:rsidR="00044AA8" w:rsidRPr="00044AA8" w:rsidRDefault="006E298C" w:rsidP="00A2145C">
      <w:pPr>
        <w:pStyle w:val="ListBullet"/>
      </w:pPr>
      <w:r>
        <w:t>be progressed through a partnership approach</w:t>
      </w:r>
      <w:r w:rsidR="0054408E">
        <w:t>,</w:t>
      </w:r>
      <w:r>
        <w:t xml:space="preserve"> to ensure that local communities and community organisations are actively engaged and supported to develop local solutions to better protect children and help them flourish</w:t>
      </w:r>
    </w:p>
    <w:p w:rsidR="00044AA8" w:rsidRPr="007404C0" w:rsidRDefault="00044AA8" w:rsidP="00A2145C">
      <w:pPr>
        <w:pStyle w:val="ListBullet"/>
      </w:pPr>
      <w:r w:rsidRPr="00044AA8">
        <w:t xml:space="preserve">deliver two more national Child Aware Approaches Conferences in 2014 and 2015, building </w:t>
      </w:r>
      <w:r w:rsidRPr="007404C0">
        <w:t>on the success of the inaugural conference</w:t>
      </w:r>
    </w:p>
    <w:p w:rsidR="00044AA8" w:rsidRPr="007404C0" w:rsidRDefault="00044AA8" w:rsidP="00A2145C">
      <w:pPr>
        <w:pStyle w:val="ListBullet"/>
      </w:pPr>
      <w:proofErr w:type="gramStart"/>
      <w:r w:rsidRPr="007404C0">
        <w:t>develop</w:t>
      </w:r>
      <w:proofErr w:type="gramEnd"/>
      <w:r w:rsidRPr="007404C0">
        <w:t xml:space="preserve"> an interactive web platform to capture </w:t>
      </w:r>
      <w:r w:rsidR="00A2145C" w:rsidRPr="007404C0">
        <w:t xml:space="preserve">and </w:t>
      </w:r>
      <w:r w:rsidRPr="007404C0">
        <w:t>showcase positive and innovative ways of working with Indigenous children and families.</w:t>
      </w:r>
      <w:r w:rsidR="00D26B57" w:rsidRPr="007404C0">
        <w:t xml:space="preserve"> </w:t>
      </w:r>
    </w:p>
    <w:p w:rsidR="00E80EE2" w:rsidRPr="00247650" w:rsidRDefault="004F1BA8" w:rsidP="00247650">
      <w:pPr>
        <w:pStyle w:val="Heading3"/>
      </w:pPr>
      <w:bookmarkStart w:id="114" w:name="_Toc400007716"/>
      <w:r w:rsidRPr="00247650">
        <w:t>Australian Capital Territory</w:t>
      </w:r>
      <w:bookmarkEnd w:id="114"/>
    </w:p>
    <w:p w:rsidR="002C09D5" w:rsidRDefault="002C09D5" w:rsidP="00AA522D">
      <w:pPr>
        <w:pStyle w:val="Heading4"/>
      </w:pPr>
      <w:r>
        <w:t>Joining Up Service Delivery</w:t>
      </w:r>
    </w:p>
    <w:p w:rsidR="002C09D5" w:rsidRPr="00814E41" w:rsidRDefault="00324D61" w:rsidP="002C09D5">
      <w:pPr>
        <w:rPr>
          <w:rFonts w:ascii="Calibri" w:hAnsi="Calibri"/>
          <w:sz w:val="24"/>
          <w:szCs w:val="24"/>
        </w:rPr>
      </w:pPr>
      <w:r>
        <w:rPr>
          <w:rFonts w:ascii="Calibri" w:hAnsi="Calibri"/>
          <w:sz w:val="24"/>
          <w:szCs w:val="24"/>
        </w:rPr>
        <w:t xml:space="preserve">The </w:t>
      </w:r>
      <w:r w:rsidR="002C09D5" w:rsidRPr="00814E41">
        <w:rPr>
          <w:rFonts w:ascii="Calibri" w:hAnsi="Calibri"/>
          <w:sz w:val="24"/>
          <w:szCs w:val="24"/>
        </w:rPr>
        <w:t xml:space="preserve">Strengthening Families </w:t>
      </w:r>
      <w:r>
        <w:rPr>
          <w:rFonts w:ascii="Calibri" w:hAnsi="Calibri"/>
          <w:sz w:val="24"/>
          <w:szCs w:val="24"/>
        </w:rPr>
        <w:t xml:space="preserve">Project </w:t>
      </w:r>
      <w:r w:rsidR="002C09D5" w:rsidRPr="00814E41">
        <w:rPr>
          <w:rFonts w:ascii="Calibri" w:hAnsi="Calibri"/>
          <w:sz w:val="24"/>
          <w:szCs w:val="24"/>
        </w:rPr>
        <w:t xml:space="preserve">was instigated in recognition </w:t>
      </w:r>
      <w:r w:rsidR="00814E41">
        <w:rPr>
          <w:rFonts w:ascii="Calibri" w:hAnsi="Calibri"/>
          <w:sz w:val="24"/>
          <w:szCs w:val="24"/>
        </w:rPr>
        <w:t xml:space="preserve">of the poor outcomes experienced by </w:t>
      </w:r>
      <w:r w:rsidR="002C09D5" w:rsidRPr="00814E41">
        <w:rPr>
          <w:rFonts w:ascii="Calibri" w:hAnsi="Calibri"/>
          <w:sz w:val="24"/>
          <w:szCs w:val="24"/>
        </w:rPr>
        <w:t xml:space="preserve">a group of individuals and families in the ACT against a range of indicators, which in turn can trigger or perpetuate cycles of disadvantage. </w:t>
      </w:r>
    </w:p>
    <w:p w:rsidR="002C09D5" w:rsidRPr="00814E41" w:rsidRDefault="002C09D5" w:rsidP="002C09D5">
      <w:pPr>
        <w:rPr>
          <w:rFonts w:ascii="Calibri" w:hAnsi="Calibri"/>
          <w:sz w:val="24"/>
          <w:szCs w:val="24"/>
        </w:rPr>
      </w:pPr>
    </w:p>
    <w:p w:rsidR="002C09D5" w:rsidRPr="00814E41" w:rsidRDefault="002C09D5" w:rsidP="002C09D5">
      <w:pPr>
        <w:rPr>
          <w:rFonts w:ascii="Calibri" w:hAnsi="Calibri"/>
          <w:sz w:val="24"/>
          <w:szCs w:val="24"/>
        </w:rPr>
      </w:pPr>
      <w:r w:rsidRPr="00814E41">
        <w:rPr>
          <w:rFonts w:ascii="Calibri" w:hAnsi="Calibri"/>
          <w:sz w:val="24"/>
          <w:szCs w:val="24"/>
        </w:rPr>
        <w:t xml:space="preserve">Stage 1: </w:t>
      </w:r>
      <w:r w:rsidRPr="00814E41">
        <w:rPr>
          <w:rFonts w:ascii="Calibri" w:hAnsi="Calibri"/>
          <w:i/>
          <w:iCs/>
          <w:sz w:val="24"/>
          <w:szCs w:val="24"/>
        </w:rPr>
        <w:t xml:space="preserve">Listening to Families </w:t>
      </w:r>
      <w:r w:rsidRPr="00814E41">
        <w:rPr>
          <w:rFonts w:ascii="Calibri" w:hAnsi="Calibri"/>
          <w:sz w:val="24"/>
          <w:szCs w:val="24"/>
        </w:rPr>
        <w:t>was about understanding the experiences of families currently accessing multiple services to inform future policy and service delivery in the ACT. This work was undertaken through an innovative co-design approach with families, government and community service providers. Based on the findings from stage 1, a new service approach was designed for prototyping in stage 2.</w:t>
      </w:r>
    </w:p>
    <w:p w:rsidR="002C09D5" w:rsidRPr="00814E41" w:rsidRDefault="002C09D5" w:rsidP="002C09D5">
      <w:pPr>
        <w:rPr>
          <w:rFonts w:ascii="Calibri" w:hAnsi="Calibri"/>
          <w:sz w:val="24"/>
          <w:szCs w:val="24"/>
        </w:rPr>
      </w:pPr>
    </w:p>
    <w:p w:rsidR="002C09D5" w:rsidRPr="00D77D9E" w:rsidRDefault="002C09D5" w:rsidP="002C09D5">
      <w:pPr>
        <w:rPr>
          <w:rFonts w:ascii="Calibri" w:hAnsi="Calibri"/>
          <w:sz w:val="24"/>
          <w:szCs w:val="24"/>
        </w:rPr>
      </w:pPr>
      <w:r w:rsidRPr="00814E41">
        <w:rPr>
          <w:rFonts w:ascii="Calibri" w:hAnsi="Calibri"/>
          <w:sz w:val="24"/>
          <w:szCs w:val="24"/>
        </w:rPr>
        <w:t xml:space="preserve">Stage 2: </w:t>
      </w:r>
      <w:r w:rsidRPr="00814E41">
        <w:rPr>
          <w:rFonts w:ascii="Calibri" w:hAnsi="Calibri"/>
          <w:i/>
          <w:iCs/>
          <w:sz w:val="24"/>
          <w:szCs w:val="24"/>
        </w:rPr>
        <w:t xml:space="preserve">Improving Services </w:t>
      </w:r>
      <w:proofErr w:type="gramStart"/>
      <w:r w:rsidRPr="00814E41">
        <w:rPr>
          <w:rFonts w:ascii="Calibri" w:hAnsi="Calibri"/>
          <w:i/>
          <w:iCs/>
          <w:sz w:val="24"/>
          <w:szCs w:val="24"/>
        </w:rPr>
        <w:t>With</w:t>
      </w:r>
      <w:proofErr w:type="gramEnd"/>
      <w:r w:rsidRPr="00814E41">
        <w:rPr>
          <w:rFonts w:ascii="Calibri" w:hAnsi="Calibri"/>
          <w:i/>
          <w:iCs/>
          <w:sz w:val="24"/>
          <w:szCs w:val="24"/>
        </w:rPr>
        <w:t xml:space="preserve"> Families </w:t>
      </w:r>
      <w:r w:rsidRPr="00814E41">
        <w:rPr>
          <w:rFonts w:ascii="Calibri" w:hAnsi="Calibri"/>
          <w:sz w:val="24"/>
          <w:szCs w:val="24"/>
        </w:rPr>
        <w:t xml:space="preserve">has co-produced the new service response with ten families. The project aims to ensure </w:t>
      </w:r>
      <w:r w:rsidR="00D77D9E">
        <w:rPr>
          <w:rFonts w:ascii="Calibri" w:hAnsi="Calibri"/>
          <w:sz w:val="24"/>
          <w:szCs w:val="24"/>
        </w:rPr>
        <w:t xml:space="preserve">that </w:t>
      </w:r>
      <w:r w:rsidRPr="00814E41">
        <w:rPr>
          <w:rFonts w:ascii="Calibri" w:hAnsi="Calibri"/>
          <w:sz w:val="24"/>
          <w:szCs w:val="24"/>
        </w:rPr>
        <w:t xml:space="preserve">the right supports are put in </w:t>
      </w:r>
      <w:proofErr w:type="gramStart"/>
      <w:r w:rsidRPr="00814E41">
        <w:rPr>
          <w:rFonts w:ascii="Calibri" w:hAnsi="Calibri"/>
          <w:sz w:val="24"/>
          <w:szCs w:val="24"/>
        </w:rPr>
        <w:t>place,</w:t>
      </w:r>
      <w:proofErr w:type="gramEnd"/>
      <w:r w:rsidRPr="00814E41">
        <w:rPr>
          <w:rFonts w:ascii="Calibri" w:hAnsi="Calibri"/>
          <w:sz w:val="24"/>
          <w:szCs w:val="24"/>
        </w:rPr>
        <w:t xml:space="preserve"> avoid service</w:t>
      </w:r>
      <w:r w:rsidRPr="00774E3F">
        <w:rPr>
          <w:sz w:val="24"/>
          <w:szCs w:val="24"/>
        </w:rPr>
        <w:t xml:space="preserve"> </w:t>
      </w:r>
      <w:r w:rsidRPr="00D77D9E">
        <w:rPr>
          <w:rFonts w:ascii="Calibri" w:hAnsi="Calibri"/>
          <w:sz w:val="24"/>
          <w:szCs w:val="24"/>
        </w:rPr>
        <w:t xml:space="preserve">duplication and build capacity within families for </w:t>
      </w:r>
      <w:r w:rsidR="00D77D9E" w:rsidRPr="00D77D9E">
        <w:rPr>
          <w:rFonts w:ascii="Calibri" w:hAnsi="Calibri"/>
          <w:sz w:val="24"/>
          <w:szCs w:val="24"/>
        </w:rPr>
        <w:t>self-management</w:t>
      </w:r>
      <w:r w:rsidRPr="00D77D9E">
        <w:rPr>
          <w:rFonts w:ascii="Calibri" w:hAnsi="Calibri"/>
          <w:sz w:val="24"/>
          <w:szCs w:val="24"/>
        </w:rPr>
        <w:t xml:space="preserve"> where possible. Tailored service offers were developed in conjunction with families on the basis of what is Desirable, Possible, and Sustainable. </w:t>
      </w:r>
    </w:p>
    <w:p w:rsidR="002C09D5" w:rsidRPr="00D77D9E" w:rsidRDefault="002C09D5" w:rsidP="002C09D5">
      <w:pPr>
        <w:rPr>
          <w:rFonts w:ascii="Calibri" w:hAnsi="Calibri"/>
          <w:sz w:val="24"/>
          <w:szCs w:val="24"/>
        </w:rPr>
      </w:pPr>
    </w:p>
    <w:p w:rsidR="002C09D5" w:rsidRPr="00D77D9E" w:rsidRDefault="002C09D5" w:rsidP="002C09D5">
      <w:pPr>
        <w:rPr>
          <w:rFonts w:ascii="Calibri" w:hAnsi="Calibri"/>
          <w:sz w:val="24"/>
          <w:szCs w:val="24"/>
        </w:rPr>
      </w:pPr>
      <w:r w:rsidRPr="00D77D9E">
        <w:rPr>
          <w:rFonts w:ascii="Calibri" w:hAnsi="Calibri"/>
          <w:sz w:val="24"/>
          <w:szCs w:val="24"/>
        </w:rPr>
        <w:t>Lead Workers were authorised to work with</w:t>
      </w:r>
      <w:r w:rsidR="00D77D9E">
        <w:rPr>
          <w:rFonts w:ascii="Calibri" w:hAnsi="Calibri"/>
          <w:sz w:val="24"/>
          <w:szCs w:val="24"/>
        </w:rPr>
        <w:t>,</w:t>
      </w:r>
      <w:r w:rsidRPr="00D77D9E">
        <w:rPr>
          <w:rFonts w:ascii="Calibri" w:hAnsi="Calibri"/>
          <w:sz w:val="24"/>
          <w:szCs w:val="24"/>
        </w:rPr>
        <w:t xml:space="preserve"> and on behalf of</w:t>
      </w:r>
      <w:r w:rsidR="00D77D9E">
        <w:rPr>
          <w:rFonts w:ascii="Calibri" w:hAnsi="Calibri"/>
          <w:sz w:val="24"/>
          <w:szCs w:val="24"/>
        </w:rPr>
        <w:t>,</w:t>
      </w:r>
      <w:r w:rsidRPr="00D77D9E">
        <w:rPr>
          <w:rFonts w:ascii="Calibri" w:hAnsi="Calibri"/>
          <w:sz w:val="24"/>
          <w:szCs w:val="24"/>
        </w:rPr>
        <w:t xml:space="preserve"> the whole family, to ensure accountability of service responses and to work with Government Directorates to identify and address service system barriers. Lead workers and families worked together to map the services providing support in order to determine how coordination of supports could best be achieved. The project also prototyped </w:t>
      </w:r>
      <w:proofErr w:type="gramStart"/>
      <w:r w:rsidRPr="00D77D9E">
        <w:rPr>
          <w:rFonts w:ascii="Calibri" w:hAnsi="Calibri"/>
          <w:sz w:val="24"/>
          <w:szCs w:val="24"/>
        </w:rPr>
        <w:t>a Family</w:t>
      </w:r>
      <w:proofErr w:type="gramEnd"/>
      <w:r w:rsidRPr="00D77D9E">
        <w:rPr>
          <w:rFonts w:ascii="Calibri" w:hAnsi="Calibri"/>
          <w:sz w:val="24"/>
          <w:szCs w:val="24"/>
        </w:rPr>
        <w:t xml:space="preserve"> Information Profile to support consumer</w:t>
      </w:r>
      <w:r w:rsidR="00D77D9E">
        <w:rPr>
          <w:rFonts w:ascii="Calibri" w:hAnsi="Calibri"/>
          <w:sz w:val="24"/>
          <w:szCs w:val="24"/>
        </w:rPr>
        <w:t>-</w:t>
      </w:r>
      <w:r w:rsidRPr="00D77D9E">
        <w:rPr>
          <w:rFonts w:ascii="Calibri" w:hAnsi="Calibri"/>
          <w:sz w:val="24"/>
          <w:szCs w:val="24"/>
        </w:rPr>
        <w:t>driven information sharing across the service system. The Family Information Profile will allow information sharing to be choice based and consumer controlled where possible.</w:t>
      </w:r>
      <w:r w:rsidR="00A43557">
        <w:rPr>
          <w:rFonts w:ascii="Calibri" w:hAnsi="Calibri"/>
          <w:sz w:val="24"/>
          <w:szCs w:val="24"/>
        </w:rPr>
        <w:t xml:space="preserve"> </w:t>
      </w:r>
    </w:p>
    <w:p w:rsidR="002C09D5" w:rsidRPr="00D77D9E" w:rsidRDefault="002C09D5" w:rsidP="002C09D5">
      <w:pPr>
        <w:rPr>
          <w:rFonts w:ascii="Calibri" w:hAnsi="Calibri"/>
          <w:sz w:val="24"/>
          <w:szCs w:val="24"/>
        </w:rPr>
      </w:pPr>
    </w:p>
    <w:p w:rsidR="002C09D5" w:rsidRPr="00D77D9E" w:rsidRDefault="002C09D5" w:rsidP="002C09D5">
      <w:pPr>
        <w:rPr>
          <w:rFonts w:ascii="Calibri" w:hAnsi="Calibri"/>
          <w:sz w:val="24"/>
          <w:szCs w:val="24"/>
        </w:rPr>
      </w:pPr>
      <w:r w:rsidRPr="00D77D9E">
        <w:rPr>
          <w:rFonts w:ascii="Calibri" w:hAnsi="Calibri"/>
          <w:sz w:val="24"/>
          <w:szCs w:val="24"/>
        </w:rPr>
        <w:t>Lead Workers have identified a range of positive outcomes for families</w:t>
      </w:r>
      <w:r w:rsidR="00D544B5">
        <w:rPr>
          <w:rFonts w:ascii="Calibri" w:hAnsi="Calibri"/>
          <w:sz w:val="24"/>
          <w:szCs w:val="24"/>
        </w:rPr>
        <w:t>,</w:t>
      </w:r>
      <w:r w:rsidRPr="00D77D9E">
        <w:rPr>
          <w:rFonts w:ascii="Calibri" w:hAnsi="Calibri"/>
          <w:sz w:val="24"/>
          <w:szCs w:val="24"/>
        </w:rPr>
        <w:t xml:space="preserve"> including: l</w:t>
      </w:r>
      <w:r w:rsidR="00D77D9E">
        <w:rPr>
          <w:rFonts w:ascii="Calibri" w:hAnsi="Calibri"/>
          <w:sz w:val="24"/>
          <w:szCs w:val="24"/>
        </w:rPr>
        <w:t>ess domestic violence; less non-</w:t>
      </w:r>
      <w:r w:rsidRPr="00D77D9E">
        <w:rPr>
          <w:rFonts w:ascii="Calibri" w:hAnsi="Calibri"/>
          <w:sz w:val="24"/>
          <w:szCs w:val="24"/>
        </w:rPr>
        <w:t>attendance at school; less damage to property; renewed engagement with services; an</w:t>
      </w:r>
      <w:r w:rsidR="00A43557">
        <w:rPr>
          <w:rFonts w:ascii="Calibri" w:hAnsi="Calibri"/>
          <w:sz w:val="24"/>
          <w:szCs w:val="24"/>
        </w:rPr>
        <w:t xml:space="preserve"> </w:t>
      </w:r>
      <w:r w:rsidRPr="00D77D9E">
        <w:rPr>
          <w:rFonts w:ascii="Calibri" w:hAnsi="Calibri"/>
          <w:sz w:val="24"/>
          <w:szCs w:val="24"/>
        </w:rPr>
        <w:t xml:space="preserve">increase in the dignity, confidence and </w:t>
      </w:r>
      <w:r w:rsidR="00D77D9E" w:rsidRPr="00D77D9E">
        <w:rPr>
          <w:rFonts w:ascii="Calibri" w:hAnsi="Calibri"/>
          <w:sz w:val="24"/>
          <w:szCs w:val="24"/>
        </w:rPr>
        <w:t>self-respect</w:t>
      </w:r>
      <w:r w:rsidRPr="00D77D9E">
        <w:rPr>
          <w:rFonts w:ascii="Calibri" w:hAnsi="Calibri"/>
          <w:sz w:val="24"/>
          <w:szCs w:val="24"/>
        </w:rPr>
        <w:t xml:space="preserve"> of families; and a shift to a future focus.</w:t>
      </w:r>
    </w:p>
    <w:p w:rsidR="00E80EE2" w:rsidRPr="00B71ABA" w:rsidRDefault="00404E0F" w:rsidP="00AA522D">
      <w:pPr>
        <w:pStyle w:val="Heading4"/>
        <w:rPr>
          <w:i/>
        </w:rPr>
      </w:pPr>
      <w:r w:rsidRPr="00404E0F">
        <w:t xml:space="preserve">Other </w:t>
      </w:r>
      <w:r w:rsidR="00CB728E">
        <w:t>Supporting Actions</w:t>
      </w:r>
    </w:p>
    <w:p w:rsidR="00404E0F" w:rsidRPr="00404E0F" w:rsidRDefault="00404E0F" w:rsidP="00404E0F">
      <w:pPr>
        <w:rPr>
          <w:rFonts w:ascii="Calibri" w:hAnsi="Calibri" w:cs="Calibri"/>
          <w:sz w:val="24"/>
          <w:szCs w:val="24"/>
        </w:rPr>
      </w:pPr>
      <w:r w:rsidRPr="00404E0F">
        <w:rPr>
          <w:rFonts w:ascii="Calibri" w:hAnsi="Calibri" w:cs="Calibri"/>
          <w:sz w:val="24"/>
          <w:szCs w:val="24"/>
        </w:rPr>
        <w:t>When children and young people come into contact with the ACT child protection system, case conferencing is one part of the suite of services that aims to work with the broader service system to better support children</w:t>
      </w:r>
      <w:r w:rsidR="00C7391D">
        <w:rPr>
          <w:rFonts w:ascii="Calibri" w:hAnsi="Calibri" w:cs="Calibri"/>
          <w:sz w:val="24"/>
          <w:szCs w:val="24"/>
        </w:rPr>
        <w:t>,</w:t>
      </w:r>
      <w:r w:rsidRPr="00404E0F">
        <w:rPr>
          <w:rFonts w:ascii="Calibri" w:hAnsi="Calibri" w:cs="Calibri"/>
          <w:sz w:val="24"/>
          <w:szCs w:val="24"/>
        </w:rPr>
        <w:t xml:space="preserve"> young people and their families and, wherever possible, </w:t>
      </w:r>
      <w:r w:rsidR="00931027">
        <w:rPr>
          <w:rFonts w:ascii="Calibri" w:hAnsi="Calibri" w:cs="Calibri"/>
          <w:sz w:val="24"/>
          <w:szCs w:val="24"/>
        </w:rPr>
        <w:t xml:space="preserve">to </w:t>
      </w:r>
      <w:r w:rsidRPr="00404E0F">
        <w:rPr>
          <w:rFonts w:ascii="Calibri" w:hAnsi="Calibri" w:cs="Calibri"/>
          <w:sz w:val="24"/>
          <w:szCs w:val="24"/>
        </w:rPr>
        <w:t>prevent children from entering the child protection system. An important part of the process is for the child or young person’s voice to be heard</w:t>
      </w:r>
      <w:r w:rsidR="00931027">
        <w:rPr>
          <w:rFonts w:ascii="Calibri" w:hAnsi="Calibri" w:cs="Calibri"/>
          <w:sz w:val="24"/>
          <w:szCs w:val="24"/>
        </w:rPr>
        <w:t>,</w:t>
      </w:r>
      <w:r w:rsidRPr="00404E0F">
        <w:rPr>
          <w:rFonts w:ascii="Calibri" w:hAnsi="Calibri" w:cs="Calibri"/>
          <w:sz w:val="24"/>
          <w:szCs w:val="24"/>
        </w:rPr>
        <w:t xml:space="preserve"> and views considered</w:t>
      </w:r>
      <w:r w:rsidR="00931027">
        <w:rPr>
          <w:rFonts w:ascii="Calibri" w:hAnsi="Calibri" w:cs="Calibri"/>
          <w:sz w:val="24"/>
          <w:szCs w:val="24"/>
        </w:rPr>
        <w:t>,</w:t>
      </w:r>
      <w:r w:rsidRPr="00404E0F">
        <w:rPr>
          <w:rFonts w:ascii="Calibri" w:hAnsi="Calibri" w:cs="Calibri"/>
          <w:sz w:val="24"/>
          <w:szCs w:val="24"/>
        </w:rPr>
        <w:t xml:space="preserve"> when decisions</w:t>
      </w:r>
      <w:r w:rsidR="00C7391D">
        <w:rPr>
          <w:rFonts w:ascii="Calibri" w:hAnsi="Calibri" w:cs="Calibri"/>
          <w:sz w:val="24"/>
          <w:szCs w:val="24"/>
        </w:rPr>
        <w:t xml:space="preserve"> are being made</w:t>
      </w:r>
      <w:r w:rsidRPr="00404E0F">
        <w:rPr>
          <w:rFonts w:ascii="Calibri" w:hAnsi="Calibri" w:cs="Calibri"/>
          <w:sz w:val="24"/>
          <w:szCs w:val="24"/>
        </w:rPr>
        <w:t xml:space="preserve"> about </w:t>
      </w:r>
      <w:r w:rsidR="00931027">
        <w:rPr>
          <w:rFonts w:ascii="Calibri" w:hAnsi="Calibri" w:cs="Calibri"/>
          <w:sz w:val="24"/>
          <w:szCs w:val="24"/>
        </w:rPr>
        <w:t>his or her</w:t>
      </w:r>
      <w:r w:rsidRPr="00404E0F">
        <w:rPr>
          <w:rFonts w:ascii="Calibri" w:hAnsi="Calibri" w:cs="Calibri"/>
          <w:sz w:val="24"/>
          <w:szCs w:val="24"/>
        </w:rPr>
        <w:t xml:space="preserve"> li</w:t>
      </w:r>
      <w:r w:rsidR="00931027">
        <w:rPr>
          <w:rFonts w:ascii="Calibri" w:hAnsi="Calibri" w:cs="Calibri"/>
          <w:sz w:val="24"/>
          <w:szCs w:val="24"/>
        </w:rPr>
        <w:t>fe</w:t>
      </w:r>
      <w:r w:rsidRPr="00404E0F">
        <w:rPr>
          <w:rFonts w:ascii="Calibri" w:hAnsi="Calibri" w:cs="Calibri"/>
          <w:sz w:val="24"/>
          <w:szCs w:val="24"/>
        </w:rPr>
        <w:t>.</w:t>
      </w:r>
    </w:p>
    <w:p w:rsidR="00404E0F" w:rsidRPr="00404E0F" w:rsidRDefault="00404E0F" w:rsidP="00404E0F">
      <w:pPr>
        <w:rPr>
          <w:rFonts w:ascii="Calibri" w:hAnsi="Calibri" w:cs="Calibri"/>
          <w:sz w:val="24"/>
          <w:szCs w:val="24"/>
        </w:rPr>
      </w:pPr>
    </w:p>
    <w:p w:rsidR="00404E0F" w:rsidRDefault="00404E0F" w:rsidP="00404E0F">
      <w:pPr>
        <w:rPr>
          <w:rFonts w:ascii="Calibri" w:hAnsi="Calibri" w:cs="Calibri"/>
          <w:sz w:val="24"/>
          <w:szCs w:val="24"/>
        </w:rPr>
      </w:pPr>
      <w:r w:rsidRPr="00404E0F">
        <w:rPr>
          <w:rFonts w:ascii="Calibri" w:hAnsi="Calibri" w:cs="Calibri"/>
          <w:sz w:val="24"/>
          <w:szCs w:val="24"/>
        </w:rPr>
        <w:t>The ACT has embedded the Child, Youth and Family Services Program</w:t>
      </w:r>
      <w:r w:rsidR="00C7391D">
        <w:rPr>
          <w:rFonts w:ascii="Calibri" w:hAnsi="Calibri" w:cs="Calibri"/>
          <w:sz w:val="24"/>
          <w:szCs w:val="24"/>
        </w:rPr>
        <w:t>, which</w:t>
      </w:r>
      <w:r w:rsidRPr="00404E0F">
        <w:rPr>
          <w:rFonts w:ascii="Calibri" w:hAnsi="Calibri" w:cs="Calibri"/>
          <w:sz w:val="24"/>
          <w:szCs w:val="24"/>
        </w:rPr>
        <w:t xml:space="preserve"> provides an integrated suite of programs</w:t>
      </w:r>
      <w:r w:rsidR="00995435">
        <w:rPr>
          <w:rFonts w:ascii="Calibri" w:hAnsi="Calibri" w:cs="Calibri"/>
          <w:sz w:val="24"/>
          <w:szCs w:val="24"/>
        </w:rPr>
        <w:t>,</w:t>
      </w:r>
      <w:r w:rsidRPr="00404E0F">
        <w:rPr>
          <w:rFonts w:ascii="Calibri" w:hAnsi="Calibri" w:cs="Calibri"/>
          <w:sz w:val="24"/>
          <w:szCs w:val="24"/>
        </w:rPr>
        <w:t xml:space="preserve"> including a central intake service, network coordination, case management, youth engagement</w:t>
      </w:r>
      <w:r w:rsidR="00C7391D">
        <w:rPr>
          <w:rFonts w:ascii="Calibri" w:hAnsi="Calibri" w:cs="Calibri"/>
          <w:sz w:val="24"/>
          <w:szCs w:val="24"/>
        </w:rPr>
        <w:t xml:space="preserve"> and</w:t>
      </w:r>
      <w:r w:rsidR="00C7391D" w:rsidRPr="00404E0F">
        <w:rPr>
          <w:rFonts w:ascii="Calibri" w:hAnsi="Calibri" w:cs="Calibri"/>
          <w:sz w:val="24"/>
          <w:szCs w:val="24"/>
        </w:rPr>
        <w:t xml:space="preserve"> </w:t>
      </w:r>
      <w:r w:rsidRPr="00404E0F">
        <w:rPr>
          <w:rFonts w:ascii="Calibri" w:hAnsi="Calibri" w:cs="Calibri"/>
          <w:sz w:val="24"/>
          <w:szCs w:val="24"/>
        </w:rPr>
        <w:t xml:space="preserve">group and therapeutic services for vulnerable children, young people and their families. The new central intake service is called the Child, Youth and Family Gateway </w:t>
      </w:r>
      <w:r w:rsidR="00DA7A5C">
        <w:rPr>
          <w:rFonts w:ascii="Calibri" w:hAnsi="Calibri" w:cs="Calibri"/>
          <w:sz w:val="24"/>
          <w:szCs w:val="24"/>
        </w:rPr>
        <w:t>and</w:t>
      </w:r>
      <w:r w:rsidR="00DA7A5C" w:rsidRPr="00404E0F">
        <w:rPr>
          <w:rFonts w:ascii="Calibri" w:hAnsi="Calibri" w:cs="Calibri"/>
          <w:sz w:val="24"/>
          <w:szCs w:val="24"/>
        </w:rPr>
        <w:t xml:space="preserve"> </w:t>
      </w:r>
      <w:r w:rsidRPr="00404E0F">
        <w:rPr>
          <w:rFonts w:ascii="Calibri" w:hAnsi="Calibri" w:cs="Calibri"/>
          <w:sz w:val="24"/>
          <w:szCs w:val="24"/>
        </w:rPr>
        <w:t>is for children, young people and families who are looking for services and supports but are not sure where to go. The Gateway provides links to programs and services that can support people to have the best chance to stay on track in their lives.</w:t>
      </w:r>
    </w:p>
    <w:p w:rsidR="00404E0F" w:rsidRDefault="00404E0F" w:rsidP="00404E0F">
      <w:pPr>
        <w:rPr>
          <w:rFonts w:ascii="Calibri" w:hAnsi="Calibri" w:cs="Calibri"/>
          <w:sz w:val="24"/>
          <w:szCs w:val="24"/>
        </w:rPr>
      </w:pPr>
    </w:p>
    <w:p w:rsidR="00404E0F" w:rsidRPr="00404E0F" w:rsidRDefault="00404E0F" w:rsidP="00404E0F">
      <w:pPr>
        <w:rPr>
          <w:rFonts w:ascii="Calibri" w:hAnsi="Calibri" w:cs="Calibri"/>
          <w:sz w:val="24"/>
          <w:szCs w:val="24"/>
        </w:rPr>
      </w:pPr>
      <w:r w:rsidRPr="00404E0F">
        <w:rPr>
          <w:rFonts w:ascii="Calibri" w:hAnsi="Calibri" w:cs="Calibri"/>
          <w:sz w:val="24"/>
          <w:szCs w:val="24"/>
        </w:rPr>
        <w:t xml:space="preserve">In the ACT, the Gungahlin, Tuggeranong and West Belconnen </w:t>
      </w:r>
      <w:r w:rsidR="00533153">
        <w:rPr>
          <w:rFonts w:ascii="Calibri" w:hAnsi="Calibri" w:cs="Calibri"/>
          <w:sz w:val="24"/>
          <w:szCs w:val="24"/>
        </w:rPr>
        <w:t>CFC</w:t>
      </w:r>
      <w:r w:rsidRPr="00404E0F">
        <w:rPr>
          <w:rFonts w:ascii="Calibri" w:hAnsi="Calibri" w:cs="Calibri"/>
          <w:sz w:val="24"/>
          <w:szCs w:val="24"/>
        </w:rPr>
        <w:t>s work with local children and families to determine the services needed and the best way these services can be provided to enable children to reach their potential and to strengthen families. These programs and services focus on working with children in the early years of life</w:t>
      </w:r>
      <w:r w:rsidR="00995435">
        <w:rPr>
          <w:rFonts w:ascii="Calibri" w:hAnsi="Calibri" w:cs="Calibri"/>
          <w:sz w:val="24"/>
          <w:szCs w:val="24"/>
        </w:rPr>
        <w:t>,</w:t>
      </w:r>
      <w:r w:rsidRPr="00404E0F">
        <w:rPr>
          <w:rFonts w:ascii="Calibri" w:hAnsi="Calibri" w:cs="Calibri"/>
          <w:sz w:val="24"/>
          <w:szCs w:val="24"/>
        </w:rPr>
        <w:t xml:space="preserve"> as well as </w:t>
      </w:r>
      <w:r w:rsidR="00DA7A5C">
        <w:rPr>
          <w:rFonts w:ascii="Calibri" w:hAnsi="Calibri" w:cs="Calibri"/>
          <w:sz w:val="24"/>
          <w:szCs w:val="24"/>
        </w:rPr>
        <w:t xml:space="preserve">with </w:t>
      </w:r>
      <w:r w:rsidRPr="00404E0F">
        <w:rPr>
          <w:rFonts w:ascii="Calibri" w:hAnsi="Calibri" w:cs="Calibri"/>
          <w:sz w:val="24"/>
          <w:szCs w:val="24"/>
        </w:rPr>
        <w:t xml:space="preserve">their families and </w:t>
      </w:r>
      <w:r w:rsidR="005E7140" w:rsidRPr="00404E0F">
        <w:rPr>
          <w:rFonts w:ascii="Calibri" w:hAnsi="Calibri" w:cs="Calibri"/>
          <w:sz w:val="24"/>
          <w:szCs w:val="24"/>
        </w:rPr>
        <w:t>communitie</w:t>
      </w:r>
      <w:r w:rsidR="005E7140">
        <w:rPr>
          <w:rFonts w:ascii="Calibri" w:hAnsi="Calibri" w:cs="Calibri"/>
          <w:sz w:val="24"/>
          <w:szCs w:val="24"/>
        </w:rPr>
        <w:t>s</w:t>
      </w:r>
      <w:r w:rsidR="00DA7A5C">
        <w:rPr>
          <w:rFonts w:ascii="Calibri" w:hAnsi="Calibri" w:cs="Calibri"/>
          <w:sz w:val="24"/>
          <w:szCs w:val="24"/>
        </w:rPr>
        <w:t>,</w:t>
      </w:r>
      <w:r w:rsidRPr="00404E0F">
        <w:rPr>
          <w:rFonts w:ascii="Calibri" w:hAnsi="Calibri" w:cs="Calibri"/>
          <w:sz w:val="24"/>
          <w:szCs w:val="24"/>
        </w:rPr>
        <w:t xml:space="preserve"> to promote lifelong growth, development, health and wellbeing. Government and community agencies work in partnership with </w:t>
      </w:r>
      <w:r w:rsidR="00533153">
        <w:rPr>
          <w:rFonts w:ascii="Calibri" w:hAnsi="Calibri" w:cs="Calibri"/>
          <w:sz w:val="24"/>
          <w:szCs w:val="24"/>
        </w:rPr>
        <w:t>CFC</w:t>
      </w:r>
      <w:r w:rsidRPr="00404E0F">
        <w:rPr>
          <w:rFonts w:ascii="Calibri" w:hAnsi="Calibri" w:cs="Calibri"/>
          <w:sz w:val="24"/>
          <w:szCs w:val="24"/>
        </w:rPr>
        <w:t xml:space="preserve"> staff to deliver universal and targeted services to the local community. Services may be delivered in different outreach settings</w:t>
      </w:r>
      <w:r w:rsidR="00DA7A5C">
        <w:rPr>
          <w:rFonts w:ascii="Calibri" w:hAnsi="Calibri" w:cs="Calibri"/>
          <w:sz w:val="24"/>
          <w:szCs w:val="24"/>
        </w:rPr>
        <w:t>,</w:t>
      </w:r>
      <w:r w:rsidRPr="00404E0F">
        <w:rPr>
          <w:rFonts w:ascii="Calibri" w:hAnsi="Calibri" w:cs="Calibri"/>
          <w:sz w:val="24"/>
          <w:szCs w:val="24"/>
        </w:rPr>
        <w:t xml:space="preserve"> such as the family home, the child’s school or a community setting.</w:t>
      </w:r>
    </w:p>
    <w:p w:rsidR="00404E0F" w:rsidRPr="00247650" w:rsidRDefault="00404E0F" w:rsidP="00D700C8">
      <w:pPr>
        <w:rPr>
          <w:rFonts w:ascii="Calibri" w:hAnsi="Calibri" w:cs="Calibri"/>
          <w:sz w:val="24"/>
          <w:szCs w:val="24"/>
        </w:rPr>
      </w:pPr>
    </w:p>
    <w:p w:rsidR="00324D61" w:rsidRPr="004B3C86" w:rsidRDefault="00324D61" w:rsidP="00D700C8">
      <w:pPr>
        <w:rPr>
          <w:rFonts w:ascii="Calibri" w:hAnsi="Calibri" w:cs="Calibri"/>
          <w:sz w:val="24"/>
          <w:szCs w:val="24"/>
        </w:rPr>
      </w:pPr>
      <w:r w:rsidRPr="004B3C86">
        <w:rPr>
          <w:rFonts w:ascii="Calibri" w:hAnsi="Calibri" w:cs="Calibri"/>
          <w:sz w:val="24"/>
          <w:szCs w:val="24"/>
        </w:rPr>
        <w:t>In 2012</w:t>
      </w:r>
      <w:r w:rsidR="004B3C86">
        <w:rPr>
          <w:rFonts w:ascii="Calibri" w:hAnsi="Calibri" w:cs="Calibri"/>
          <w:sz w:val="24"/>
          <w:szCs w:val="24"/>
        </w:rPr>
        <w:t>–</w:t>
      </w:r>
      <w:r w:rsidRPr="004B3C86">
        <w:rPr>
          <w:rFonts w:ascii="Calibri" w:hAnsi="Calibri" w:cs="Calibri"/>
          <w:sz w:val="24"/>
          <w:szCs w:val="24"/>
        </w:rPr>
        <w:t>13, Care and Protection Services case workers and prenatal case workers were based at the CFCs as an initiative to increase outreach activities and engagement with vulnerable families.</w:t>
      </w:r>
    </w:p>
    <w:p w:rsidR="00324D61" w:rsidRPr="00247650" w:rsidRDefault="00324D61" w:rsidP="00D700C8">
      <w:pPr>
        <w:rPr>
          <w:rFonts w:ascii="Calibri" w:hAnsi="Calibri" w:cs="Calibri"/>
          <w:sz w:val="24"/>
          <w:szCs w:val="24"/>
        </w:rPr>
      </w:pPr>
    </w:p>
    <w:p w:rsidR="002C09D5" w:rsidRPr="002C09D5" w:rsidRDefault="002C09D5" w:rsidP="002C09D5">
      <w:pPr>
        <w:spacing w:after="200"/>
        <w:rPr>
          <w:rFonts w:ascii="Calibri" w:eastAsia="Calibri" w:hAnsi="Calibri" w:cs="Akzidenz Grotesk"/>
          <w:color w:val="000000"/>
          <w:sz w:val="24"/>
          <w:szCs w:val="24"/>
          <w:lang w:eastAsia="en-US"/>
        </w:rPr>
      </w:pPr>
      <w:r w:rsidRPr="002C09D5">
        <w:rPr>
          <w:rFonts w:ascii="Calibri" w:eastAsia="Calibri" w:hAnsi="Calibri" w:cs="Akzidenz Grotesk"/>
          <w:color w:val="000000"/>
          <w:sz w:val="24"/>
          <w:szCs w:val="24"/>
          <w:lang w:eastAsia="en-US"/>
        </w:rPr>
        <w:t xml:space="preserve">The Parents as Teachers program (PAT) continued to be delivered across the three </w:t>
      </w:r>
      <w:r w:rsidR="00533153">
        <w:rPr>
          <w:rFonts w:ascii="Calibri" w:eastAsia="Calibri" w:hAnsi="Calibri" w:cs="Akzidenz Grotesk"/>
          <w:color w:val="000000"/>
          <w:sz w:val="24"/>
          <w:szCs w:val="24"/>
          <w:lang w:eastAsia="en-US"/>
        </w:rPr>
        <w:t>CFC</w:t>
      </w:r>
      <w:r w:rsidRPr="002C09D5">
        <w:rPr>
          <w:rFonts w:ascii="Calibri" w:eastAsia="Calibri" w:hAnsi="Calibri" w:cs="Akzidenz Grotesk"/>
          <w:color w:val="000000"/>
          <w:sz w:val="24"/>
          <w:szCs w:val="24"/>
          <w:lang w:eastAsia="en-US"/>
        </w:rPr>
        <w:t xml:space="preserve">s in 2012–13. This program is a key initiative in prevention and early intervention responses for vulnerable children and their families. PAT is a sustained home visiting and group program that can begin in the </w:t>
      </w:r>
      <w:r w:rsidR="00D77D9E">
        <w:rPr>
          <w:rFonts w:ascii="Calibri" w:eastAsia="Calibri" w:hAnsi="Calibri" w:cs="Akzidenz Grotesk"/>
          <w:color w:val="000000"/>
          <w:sz w:val="24"/>
          <w:szCs w:val="24"/>
          <w:lang w:eastAsia="en-US"/>
        </w:rPr>
        <w:t>pre</w:t>
      </w:r>
      <w:r w:rsidRPr="002C09D5">
        <w:rPr>
          <w:rFonts w:ascii="Calibri" w:eastAsia="Calibri" w:hAnsi="Calibri" w:cs="Akzidenz Grotesk"/>
          <w:color w:val="000000"/>
          <w:sz w:val="24"/>
          <w:szCs w:val="24"/>
          <w:lang w:eastAsia="en-US"/>
        </w:rPr>
        <w:t>natal period and continue until the child turns three. The program gives parents the knowledge and skills to handle complex parenting situations</w:t>
      </w:r>
      <w:r w:rsidR="00D77D9E">
        <w:rPr>
          <w:rFonts w:ascii="Calibri" w:eastAsia="Calibri" w:hAnsi="Calibri" w:cs="Akzidenz Grotesk"/>
          <w:color w:val="000000"/>
          <w:sz w:val="24"/>
          <w:szCs w:val="24"/>
          <w:lang w:eastAsia="en-US"/>
        </w:rPr>
        <w:t>,</w:t>
      </w:r>
      <w:r w:rsidRPr="002C09D5">
        <w:rPr>
          <w:rFonts w:ascii="Calibri" w:eastAsia="Calibri" w:hAnsi="Calibri" w:cs="Akzidenz Grotesk"/>
          <w:color w:val="000000"/>
          <w:sz w:val="24"/>
          <w:szCs w:val="24"/>
          <w:lang w:eastAsia="en-US"/>
        </w:rPr>
        <w:t xml:space="preserve"> and the relationship between parent and adviser allows for targeted interventions based on areas of concern. </w:t>
      </w:r>
    </w:p>
    <w:p w:rsidR="002C09D5" w:rsidRPr="002C09D5" w:rsidRDefault="002C09D5" w:rsidP="002C09D5">
      <w:pPr>
        <w:spacing w:after="200"/>
        <w:rPr>
          <w:rFonts w:ascii="Calibri" w:eastAsia="Calibri" w:hAnsi="Calibri" w:cs="Akzidenz Grotesk"/>
          <w:color w:val="000000"/>
          <w:sz w:val="24"/>
          <w:szCs w:val="24"/>
          <w:lang w:eastAsia="en-US"/>
        </w:rPr>
      </w:pPr>
      <w:r w:rsidRPr="002C09D5">
        <w:rPr>
          <w:rFonts w:ascii="Calibri" w:eastAsia="Calibri" w:hAnsi="Calibri" w:cs="Akzidenz Grotesk"/>
          <w:color w:val="000000"/>
          <w:sz w:val="24"/>
          <w:szCs w:val="24"/>
          <w:lang w:eastAsia="en-US"/>
        </w:rPr>
        <w:t>An evaluation of the PAT program was conducted during the year by the University of Canberra. As part of the evaluation, the researchers interviewed families, shadowed staff on family visits and collated information from exit surveys. The evaluation highlighted a range of positive responses</w:t>
      </w:r>
      <w:r w:rsidR="00D77D9E">
        <w:rPr>
          <w:rFonts w:ascii="Calibri" w:eastAsia="Calibri" w:hAnsi="Calibri" w:cs="Akzidenz Grotesk"/>
          <w:color w:val="000000"/>
          <w:sz w:val="24"/>
          <w:szCs w:val="24"/>
          <w:lang w:eastAsia="en-US"/>
        </w:rPr>
        <w:t>,</w:t>
      </w:r>
      <w:r w:rsidRPr="002C09D5">
        <w:rPr>
          <w:rFonts w:ascii="Calibri" w:eastAsia="Calibri" w:hAnsi="Calibri" w:cs="Akzidenz Grotesk"/>
          <w:color w:val="000000"/>
          <w:sz w:val="24"/>
          <w:szCs w:val="24"/>
          <w:lang w:eastAsia="en-US"/>
        </w:rPr>
        <w:t xml:space="preserve"> reflecting the value that families place on the program. </w:t>
      </w:r>
    </w:p>
    <w:p w:rsidR="002C09D5" w:rsidRPr="002C09D5" w:rsidRDefault="002C09D5" w:rsidP="002C09D5">
      <w:pPr>
        <w:spacing w:after="200"/>
        <w:rPr>
          <w:rFonts w:ascii="Calibri" w:eastAsia="Calibri" w:hAnsi="Calibri" w:cs="Akzidenz Grotesk"/>
          <w:color w:val="000000"/>
          <w:sz w:val="24"/>
          <w:szCs w:val="24"/>
          <w:lang w:eastAsia="en-US"/>
        </w:rPr>
      </w:pPr>
      <w:r w:rsidRPr="002C09D5">
        <w:rPr>
          <w:rFonts w:ascii="Calibri" w:eastAsia="Calibri" w:hAnsi="Calibri" w:cs="Akzidenz Grotesk"/>
          <w:color w:val="000000"/>
          <w:sz w:val="24"/>
          <w:szCs w:val="24"/>
          <w:lang w:eastAsia="en-US"/>
        </w:rPr>
        <w:t xml:space="preserve">The Cool Little Kids program is an early intervention program targeted </w:t>
      </w:r>
      <w:r w:rsidR="006C6346">
        <w:rPr>
          <w:rFonts w:ascii="Calibri" w:eastAsia="Calibri" w:hAnsi="Calibri" w:cs="Akzidenz Grotesk"/>
          <w:color w:val="000000"/>
          <w:sz w:val="24"/>
          <w:szCs w:val="24"/>
          <w:lang w:eastAsia="en-US"/>
        </w:rPr>
        <w:t>to</w:t>
      </w:r>
      <w:r w:rsidRPr="002C09D5">
        <w:rPr>
          <w:rFonts w:ascii="Calibri" w:eastAsia="Calibri" w:hAnsi="Calibri" w:cs="Akzidenz Grotesk"/>
          <w:color w:val="000000"/>
          <w:sz w:val="24"/>
          <w:szCs w:val="24"/>
          <w:lang w:eastAsia="en-US"/>
        </w:rPr>
        <w:t xml:space="preserve"> the parents of 3 to 6</w:t>
      </w:r>
      <w:r w:rsidR="00D77D9E">
        <w:rPr>
          <w:rFonts w:ascii="Calibri" w:eastAsia="Calibri" w:hAnsi="Calibri" w:cs="Akzidenz Grotesk"/>
          <w:color w:val="000000"/>
          <w:sz w:val="24"/>
          <w:szCs w:val="24"/>
          <w:lang w:eastAsia="en-US"/>
        </w:rPr>
        <w:t>-</w:t>
      </w:r>
      <w:r w:rsidRPr="002C09D5">
        <w:rPr>
          <w:rFonts w:ascii="Calibri" w:eastAsia="Calibri" w:hAnsi="Calibri" w:cs="Akzidenz Grotesk"/>
          <w:color w:val="000000"/>
          <w:sz w:val="24"/>
          <w:szCs w:val="24"/>
          <w:lang w:eastAsia="en-US"/>
        </w:rPr>
        <w:t>year</w:t>
      </w:r>
      <w:r w:rsidR="00D77D9E">
        <w:rPr>
          <w:rFonts w:ascii="Calibri" w:eastAsia="Calibri" w:hAnsi="Calibri" w:cs="Akzidenz Grotesk"/>
          <w:color w:val="000000"/>
          <w:sz w:val="24"/>
          <w:szCs w:val="24"/>
          <w:lang w:eastAsia="en-US"/>
        </w:rPr>
        <w:t>-</w:t>
      </w:r>
      <w:r w:rsidRPr="002C09D5">
        <w:rPr>
          <w:rFonts w:ascii="Calibri" w:eastAsia="Calibri" w:hAnsi="Calibri" w:cs="Akzidenz Grotesk"/>
          <w:color w:val="000000"/>
          <w:sz w:val="24"/>
          <w:szCs w:val="24"/>
          <w:lang w:eastAsia="en-US"/>
        </w:rPr>
        <w:t xml:space="preserve">old children who are at a high risk of developing anxiety problems in the future. Research has shown that the two biggest risk factors for the development of anxiety </w:t>
      </w:r>
      <w:r w:rsidR="00D77D9E">
        <w:rPr>
          <w:rFonts w:ascii="Calibri" w:eastAsia="Calibri" w:hAnsi="Calibri" w:cs="Akzidenz Grotesk"/>
          <w:color w:val="000000"/>
          <w:sz w:val="24"/>
          <w:szCs w:val="24"/>
          <w:lang w:eastAsia="en-US"/>
        </w:rPr>
        <w:t>are</w:t>
      </w:r>
      <w:r w:rsidRPr="002C09D5">
        <w:rPr>
          <w:rFonts w:ascii="Calibri" w:eastAsia="Calibri" w:hAnsi="Calibri" w:cs="Akzidenz Grotesk"/>
          <w:color w:val="000000"/>
          <w:sz w:val="24"/>
          <w:szCs w:val="24"/>
          <w:lang w:eastAsia="en-US"/>
        </w:rPr>
        <w:t xml:space="preserve"> shyness (or behavioural inhibition) at a young age and having a parent who is anxious or depressed. </w:t>
      </w:r>
      <w:r w:rsidR="00D77D9E">
        <w:rPr>
          <w:rFonts w:ascii="Calibri" w:eastAsia="Calibri" w:hAnsi="Calibri" w:cs="Akzidenz Grotesk"/>
          <w:color w:val="000000"/>
          <w:sz w:val="24"/>
          <w:szCs w:val="24"/>
          <w:lang w:eastAsia="en-US"/>
        </w:rPr>
        <w:t>T</w:t>
      </w:r>
      <w:r w:rsidRPr="002C09D5">
        <w:rPr>
          <w:rFonts w:ascii="Calibri" w:eastAsia="Calibri" w:hAnsi="Calibri" w:cs="Akzidenz Grotesk"/>
          <w:color w:val="000000"/>
          <w:sz w:val="24"/>
          <w:szCs w:val="24"/>
          <w:lang w:eastAsia="en-US"/>
        </w:rPr>
        <w:t>his program aims to educate parents about how best to parent their anxious child. The program includes topics such as the nature of anxiety</w:t>
      </w:r>
      <w:r w:rsidR="006F33FC">
        <w:rPr>
          <w:rFonts w:ascii="Calibri" w:eastAsia="Calibri" w:hAnsi="Calibri" w:cs="Akzidenz Grotesk"/>
          <w:color w:val="000000"/>
          <w:sz w:val="24"/>
          <w:szCs w:val="24"/>
          <w:lang w:eastAsia="en-US"/>
        </w:rPr>
        <w:t>,</w:t>
      </w:r>
      <w:r w:rsidRPr="002C09D5">
        <w:rPr>
          <w:rFonts w:ascii="Calibri" w:eastAsia="Calibri" w:hAnsi="Calibri" w:cs="Akzidenz Grotesk"/>
          <w:color w:val="000000"/>
          <w:sz w:val="24"/>
          <w:szCs w:val="24"/>
          <w:lang w:eastAsia="en-US"/>
        </w:rPr>
        <w:t xml:space="preserve"> principles of managing anxious children, helping a child overcome </w:t>
      </w:r>
      <w:r w:rsidR="00924BB1">
        <w:rPr>
          <w:rFonts w:ascii="Calibri" w:eastAsia="Calibri" w:hAnsi="Calibri" w:cs="Akzidenz Grotesk"/>
          <w:color w:val="000000"/>
          <w:sz w:val="24"/>
          <w:szCs w:val="24"/>
          <w:lang w:eastAsia="en-US"/>
        </w:rPr>
        <w:t>her or his</w:t>
      </w:r>
      <w:r w:rsidRPr="002C09D5">
        <w:rPr>
          <w:rFonts w:ascii="Calibri" w:eastAsia="Calibri" w:hAnsi="Calibri" w:cs="Akzidenz Grotesk"/>
          <w:color w:val="000000"/>
          <w:sz w:val="24"/>
          <w:szCs w:val="24"/>
          <w:lang w:eastAsia="en-US"/>
        </w:rPr>
        <w:t xml:space="preserve"> anxiety and realistic thinking. </w:t>
      </w:r>
    </w:p>
    <w:p w:rsidR="002C09D5" w:rsidRPr="002C09D5" w:rsidRDefault="002C09D5" w:rsidP="002C09D5">
      <w:pPr>
        <w:spacing w:after="200"/>
        <w:rPr>
          <w:rFonts w:ascii="Calibri" w:eastAsia="Calibri" w:hAnsi="Calibri" w:cs="Akzidenz Grotesk"/>
          <w:b/>
          <w:bCs/>
          <w:color w:val="000000"/>
          <w:sz w:val="24"/>
          <w:szCs w:val="24"/>
          <w:lang w:eastAsia="en-US"/>
        </w:rPr>
      </w:pPr>
      <w:r w:rsidRPr="002C09D5">
        <w:rPr>
          <w:rFonts w:ascii="Calibri" w:eastAsia="Calibri" w:hAnsi="Calibri" w:cs="Akzidenz Grotesk"/>
          <w:color w:val="000000"/>
          <w:sz w:val="24"/>
          <w:szCs w:val="24"/>
          <w:lang w:eastAsia="en-US"/>
        </w:rPr>
        <w:t xml:space="preserve">The program is delivered across all three </w:t>
      </w:r>
      <w:r w:rsidR="00533153">
        <w:rPr>
          <w:rFonts w:ascii="Calibri" w:eastAsia="Calibri" w:hAnsi="Calibri" w:cs="Akzidenz Grotesk"/>
          <w:color w:val="000000"/>
          <w:sz w:val="24"/>
          <w:szCs w:val="24"/>
          <w:lang w:eastAsia="en-US"/>
        </w:rPr>
        <w:t>CFC</w:t>
      </w:r>
      <w:r w:rsidRPr="002C09D5">
        <w:rPr>
          <w:rFonts w:ascii="Calibri" w:eastAsia="Calibri" w:hAnsi="Calibri" w:cs="Akzidenz Grotesk"/>
          <w:color w:val="000000"/>
          <w:sz w:val="24"/>
          <w:szCs w:val="24"/>
          <w:lang w:eastAsia="en-US"/>
        </w:rPr>
        <w:t xml:space="preserve">s, often in conjunction with local </w:t>
      </w:r>
      <w:r w:rsidR="00C8305C">
        <w:rPr>
          <w:rFonts w:ascii="Calibri" w:eastAsia="Calibri" w:hAnsi="Calibri" w:cs="Akzidenz Grotesk"/>
          <w:color w:val="000000"/>
          <w:sz w:val="24"/>
          <w:szCs w:val="24"/>
          <w:lang w:eastAsia="en-US"/>
        </w:rPr>
        <w:t>community sector</w:t>
      </w:r>
      <w:r w:rsidRPr="002C09D5">
        <w:rPr>
          <w:rFonts w:ascii="Calibri" w:eastAsia="Calibri" w:hAnsi="Calibri" w:cs="Akzidenz Grotesk"/>
          <w:color w:val="000000"/>
          <w:sz w:val="24"/>
          <w:szCs w:val="24"/>
          <w:lang w:eastAsia="en-US"/>
        </w:rPr>
        <w:t xml:space="preserve"> agencies and schools. Client feedback regarding the program has been overwhelmingly positive. </w:t>
      </w:r>
    </w:p>
    <w:p w:rsidR="002C09D5" w:rsidRPr="002C09D5" w:rsidRDefault="002C09D5" w:rsidP="002C09D5">
      <w:pPr>
        <w:spacing w:after="200"/>
        <w:rPr>
          <w:rFonts w:ascii="Calibri" w:eastAsia="Calibri" w:hAnsi="Calibri" w:cs="Akzidenz Grotesk"/>
          <w:color w:val="000000"/>
          <w:sz w:val="24"/>
          <w:szCs w:val="24"/>
          <w:lang w:eastAsia="en-US"/>
        </w:rPr>
      </w:pPr>
      <w:r w:rsidRPr="002C09D5">
        <w:rPr>
          <w:rFonts w:ascii="Calibri" w:eastAsia="Calibri" w:hAnsi="Calibri" w:cs="Akzidenz Grotesk"/>
          <w:color w:val="000000"/>
          <w:sz w:val="24"/>
          <w:szCs w:val="24"/>
          <w:lang w:eastAsia="en-US"/>
        </w:rPr>
        <w:t xml:space="preserve">The Cool Kids program is delivered by Gungahlin and West Belconnen </w:t>
      </w:r>
      <w:r w:rsidR="00533153">
        <w:rPr>
          <w:rFonts w:ascii="Calibri" w:eastAsia="Calibri" w:hAnsi="Calibri" w:cs="Akzidenz Grotesk"/>
          <w:color w:val="000000"/>
          <w:sz w:val="24"/>
          <w:szCs w:val="24"/>
          <w:lang w:eastAsia="en-US"/>
        </w:rPr>
        <w:t>CFC</w:t>
      </w:r>
      <w:r w:rsidRPr="002C09D5">
        <w:rPr>
          <w:rFonts w:ascii="Calibri" w:eastAsia="Calibri" w:hAnsi="Calibri" w:cs="Akzidenz Grotesk"/>
          <w:color w:val="000000"/>
          <w:sz w:val="24"/>
          <w:szCs w:val="24"/>
          <w:lang w:eastAsia="en-US"/>
        </w:rPr>
        <w:t xml:space="preserve">s and is designed to teach children practical ways to better manage anxiety. The program focuses on learning skills to deal with situations when the child feels anxious and to build resilience. The program is targeted </w:t>
      </w:r>
      <w:r w:rsidR="00D77D9E">
        <w:rPr>
          <w:rFonts w:ascii="Calibri" w:eastAsia="Calibri" w:hAnsi="Calibri" w:cs="Akzidenz Grotesk"/>
          <w:color w:val="000000"/>
          <w:sz w:val="24"/>
          <w:szCs w:val="24"/>
          <w:lang w:eastAsia="en-US"/>
        </w:rPr>
        <w:t>to</w:t>
      </w:r>
      <w:r w:rsidRPr="002C09D5">
        <w:rPr>
          <w:rFonts w:ascii="Calibri" w:eastAsia="Calibri" w:hAnsi="Calibri" w:cs="Akzidenz Grotesk"/>
          <w:color w:val="000000"/>
          <w:sz w:val="24"/>
          <w:szCs w:val="24"/>
          <w:lang w:eastAsia="en-US"/>
        </w:rPr>
        <w:t xml:space="preserve"> children between the ages of 7 and 12 years. </w:t>
      </w:r>
    </w:p>
    <w:p w:rsidR="002C09D5" w:rsidRPr="002C09D5" w:rsidRDefault="002C09D5" w:rsidP="002C09D5">
      <w:pPr>
        <w:spacing w:after="200"/>
        <w:rPr>
          <w:rFonts w:ascii="Calibri" w:eastAsia="Calibri" w:hAnsi="Calibri" w:cs="Akzidenz Grotesk"/>
          <w:color w:val="000000"/>
          <w:sz w:val="24"/>
          <w:szCs w:val="24"/>
          <w:lang w:eastAsia="en-US"/>
        </w:rPr>
      </w:pPr>
      <w:r w:rsidRPr="002C09D5">
        <w:rPr>
          <w:rFonts w:ascii="Calibri" w:eastAsia="Calibri" w:hAnsi="Calibri" w:cs="Akzidenz Grotesk"/>
          <w:color w:val="000000"/>
          <w:sz w:val="24"/>
          <w:szCs w:val="24"/>
          <w:lang w:eastAsia="en-US"/>
        </w:rPr>
        <w:t xml:space="preserve">The Children’s Behaviour and Emotional Wellbeing Clinic is an early intervention initiative that is held at each of the </w:t>
      </w:r>
      <w:r w:rsidR="00533153">
        <w:rPr>
          <w:rFonts w:ascii="Calibri" w:eastAsia="Calibri" w:hAnsi="Calibri" w:cs="Akzidenz Grotesk"/>
          <w:color w:val="000000"/>
          <w:sz w:val="24"/>
          <w:szCs w:val="24"/>
          <w:lang w:eastAsia="en-US"/>
        </w:rPr>
        <w:t>CFC</w:t>
      </w:r>
      <w:r w:rsidRPr="002C09D5">
        <w:rPr>
          <w:rFonts w:ascii="Calibri" w:eastAsia="Calibri" w:hAnsi="Calibri" w:cs="Akzidenz Grotesk"/>
          <w:color w:val="000000"/>
          <w:sz w:val="24"/>
          <w:szCs w:val="24"/>
          <w:lang w:eastAsia="en-US"/>
        </w:rPr>
        <w:t xml:space="preserve">s. The clinic provides parents with access to professional staff to discuss concerns they have about their children. </w:t>
      </w:r>
      <w:proofErr w:type="gramStart"/>
      <w:r w:rsidRPr="002C09D5">
        <w:rPr>
          <w:rFonts w:ascii="Calibri" w:eastAsia="Calibri" w:hAnsi="Calibri" w:cs="Akzidenz Grotesk"/>
          <w:color w:val="000000"/>
          <w:sz w:val="24"/>
          <w:szCs w:val="24"/>
          <w:lang w:eastAsia="en-US"/>
        </w:rPr>
        <w:t>Staff are</w:t>
      </w:r>
      <w:proofErr w:type="gramEnd"/>
      <w:r w:rsidRPr="002C09D5">
        <w:rPr>
          <w:rFonts w:ascii="Calibri" w:eastAsia="Calibri" w:hAnsi="Calibri" w:cs="Akzidenz Grotesk"/>
          <w:color w:val="000000"/>
          <w:sz w:val="24"/>
          <w:szCs w:val="24"/>
          <w:lang w:eastAsia="en-US"/>
        </w:rPr>
        <w:t xml:space="preserve"> able to provide information on child development, behaviour and emotional wellbeing and make referrals to appropriate supports. </w:t>
      </w:r>
    </w:p>
    <w:p w:rsidR="002C09D5" w:rsidRPr="002C09D5" w:rsidRDefault="002C09D5" w:rsidP="002C09D5">
      <w:pPr>
        <w:spacing w:after="200"/>
        <w:rPr>
          <w:rFonts w:ascii="Calibri" w:eastAsia="Calibri" w:hAnsi="Calibri" w:cs="Akzidenz Grotesk"/>
          <w:color w:val="000000"/>
          <w:sz w:val="24"/>
          <w:szCs w:val="24"/>
          <w:lang w:eastAsia="en-US"/>
        </w:rPr>
      </w:pPr>
      <w:r w:rsidRPr="002C09D5">
        <w:rPr>
          <w:rFonts w:ascii="Calibri" w:eastAsia="Calibri" w:hAnsi="Calibri" w:cs="Akzidenz Grotesk"/>
          <w:color w:val="000000"/>
          <w:sz w:val="24"/>
          <w:szCs w:val="24"/>
          <w:lang w:eastAsia="en-US"/>
        </w:rPr>
        <w:t xml:space="preserve">In February 2013, the Parenting Skills for Dads program commenced, co-facilitated by all three </w:t>
      </w:r>
      <w:r w:rsidR="00533153">
        <w:rPr>
          <w:rFonts w:ascii="Calibri" w:eastAsia="Calibri" w:hAnsi="Calibri" w:cs="Akzidenz Grotesk"/>
          <w:color w:val="000000"/>
          <w:sz w:val="24"/>
          <w:szCs w:val="24"/>
          <w:lang w:eastAsia="en-US"/>
        </w:rPr>
        <w:t>CFC</w:t>
      </w:r>
      <w:r w:rsidRPr="002C09D5">
        <w:rPr>
          <w:rFonts w:ascii="Calibri" w:eastAsia="Calibri" w:hAnsi="Calibri" w:cs="Akzidenz Grotesk"/>
          <w:color w:val="000000"/>
          <w:sz w:val="24"/>
          <w:szCs w:val="24"/>
          <w:lang w:eastAsia="en-US"/>
        </w:rPr>
        <w:t xml:space="preserve">s. Delivered in partnership with </w:t>
      </w:r>
      <w:proofErr w:type="spellStart"/>
      <w:r w:rsidRPr="002C09D5">
        <w:rPr>
          <w:rFonts w:ascii="Calibri" w:eastAsia="Calibri" w:hAnsi="Calibri" w:cs="Akzidenz Grotesk"/>
          <w:color w:val="000000"/>
          <w:sz w:val="24"/>
          <w:szCs w:val="24"/>
          <w:lang w:eastAsia="en-US"/>
        </w:rPr>
        <w:t>Marymead</w:t>
      </w:r>
      <w:proofErr w:type="spellEnd"/>
      <w:r w:rsidRPr="002C09D5">
        <w:rPr>
          <w:rFonts w:ascii="Calibri" w:eastAsia="Calibri" w:hAnsi="Calibri" w:cs="Akzidenz Grotesk"/>
          <w:color w:val="000000"/>
          <w:sz w:val="24"/>
          <w:szCs w:val="24"/>
          <w:lang w:eastAsia="en-US"/>
        </w:rPr>
        <w:t xml:space="preserve">, this program aims to support fathers by helping them to build stronger relationships with their children. It also provides fathers </w:t>
      </w:r>
      <w:r w:rsidR="00D77D9E">
        <w:rPr>
          <w:rFonts w:ascii="Calibri" w:eastAsia="Calibri" w:hAnsi="Calibri" w:cs="Akzidenz Grotesk"/>
          <w:color w:val="000000"/>
          <w:sz w:val="24"/>
          <w:szCs w:val="24"/>
          <w:lang w:eastAsia="en-US"/>
        </w:rPr>
        <w:t xml:space="preserve">with </w:t>
      </w:r>
      <w:r w:rsidRPr="002C09D5">
        <w:rPr>
          <w:rFonts w:ascii="Calibri" w:eastAsia="Calibri" w:hAnsi="Calibri" w:cs="Akzidenz Grotesk"/>
          <w:color w:val="000000"/>
          <w:sz w:val="24"/>
          <w:szCs w:val="24"/>
          <w:lang w:eastAsia="en-US"/>
        </w:rPr>
        <w:t>the opportunity to share their experiences.</w:t>
      </w:r>
    </w:p>
    <w:p w:rsidR="002C09D5" w:rsidRPr="002C09D5" w:rsidRDefault="002C09D5" w:rsidP="002C09D5">
      <w:pPr>
        <w:spacing w:after="200"/>
        <w:rPr>
          <w:rFonts w:ascii="Calibri" w:eastAsia="Calibri" w:hAnsi="Calibri" w:cs="Akzidenz Grotesk"/>
          <w:color w:val="000000"/>
          <w:sz w:val="24"/>
          <w:szCs w:val="24"/>
          <w:lang w:eastAsia="en-US"/>
        </w:rPr>
      </w:pPr>
      <w:r w:rsidRPr="002C09D5">
        <w:rPr>
          <w:rFonts w:ascii="Calibri" w:eastAsia="Calibri" w:hAnsi="Calibri" w:cs="Akzidenz Grotesk"/>
          <w:color w:val="000000"/>
          <w:sz w:val="24"/>
          <w:szCs w:val="24"/>
          <w:lang w:eastAsia="en-US"/>
        </w:rPr>
        <w:t xml:space="preserve">The Growing Healthy Families Program is delivered at each of the three </w:t>
      </w:r>
      <w:r w:rsidR="00533153">
        <w:rPr>
          <w:rFonts w:ascii="Calibri" w:eastAsia="Calibri" w:hAnsi="Calibri" w:cs="Akzidenz Grotesk"/>
          <w:color w:val="000000"/>
          <w:sz w:val="24"/>
          <w:szCs w:val="24"/>
          <w:lang w:eastAsia="en-US"/>
        </w:rPr>
        <w:t>CFC</w:t>
      </w:r>
      <w:r w:rsidRPr="002C09D5">
        <w:rPr>
          <w:rFonts w:ascii="Calibri" w:eastAsia="Calibri" w:hAnsi="Calibri" w:cs="Akzidenz Grotesk"/>
          <w:color w:val="000000"/>
          <w:sz w:val="24"/>
          <w:szCs w:val="24"/>
          <w:lang w:eastAsia="en-US"/>
        </w:rPr>
        <w:t>s and uses a community development approach that focuses on parents’ strengths, health, education, parenting and family support. It also offers advocacy, linking families to existing services and community development activities. A number of partnerships are maintained with the Aboriginal and Torres Strait Islander community and service providers</w:t>
      </w:r>
      <w:r w:rsidR="00D77D9E">
        <w:rPr>
          <w:rFonts w:ascii="Calibri" w:eastAsia="Calibri" w:hAnsi="Calibri" w:cs="Akzidenz Grotesk"/>
          <w:color w:val="000000"/>
          <w:sz w:val="24"/>
          <w:szCs w:val="24"/>
          <w:lang w:eastAsia="en-US"/>
        </w:rPr>
        <w:t>,</w:t>
      </w:r>
      <w:r w:rsidRPr="002C09D5">
        <w:rPr>
          <w:rFonts w:ascii="Calibri" w:eastAsia="Calibri" w:hAnsi="Calibri" w:cs="Akzidenz Grotesk"/>
          <w:color w:val="000000"/>
          <w:sz w:val="24"/>
          <w:szCs w:val="24"/>
          <w:lang w:eastAsia="en-US"/>
        </w:rPr>
        <w:t xml:space="preserve"> including the ACT Koori Preschools, </w:t>
      </w:r>
      <w:proofErr w:type="spellStart"/>
      <w:r w:rsidRPr="002C09D5">
        <w:rPr>
          <w:rFonts w:ascii="Calibri" w:eastAsia="Calibri" w:hAnsi="Calibri" w:cs="Akzidenz Grotesk"/>
          <w:color w:val="000000"/>
          <w:sz w:val="24"/>
          <w:szCs w:val="24"/>
          <w:lang w:eastAsia="en-US"/>
        </w:rPr>
        <w:t>Gugan</w:t>
      </w:r>
      <w:proofErr w:type="spellEnd"/>
      <w:r w:rsidRPr="002C09D5">
        <w:rPr>
          <w:rFonts w:ascii="Calibri" w:eastAsia="Calibri" w:hAnsi="Calibri" w:cs="Akzidenz Grotesk"/>
          <w:color w:val="000000"/>
          <w:sz w:val="24"/>
          <w:szCs w:val="24"/>
          <w:lang w:eastAsia="en-US"/>
        </w:rPr>
        <w:t xml:space="preserve"> </w:t>
      </w:r>
      <w:proofErr w:type="spellStart"/>
      <w:r w:rsidRPr="002C09D5">
        <w:rPr>
          <w:rFonts w:ascii="Calibri" w:eastAsia="Calibri" w:hAnsi="Calibri" w:cs="Akzidenz Grotesk"/>
          <w:color w:val="000000"/>
          <w:sz w:val="24"/>
          <w:szCs w:val="24"/>
          <w:lang w:eastAsia="en-US"/>
        </w:rPr>
        <w:t>Gulwan</w:t>
      </w:r>
      <w:proofErr w:type="spellEnd"/>
      <w:r w:rsidRPr="002C09D5">
        <w:rPr>
          <w:rFonts w:ascii="Calibri" w:eastAsia="Calibri" w:hAnsi="Calibri" w:cs="Akzidenz Grotesk"/>
          <w:color w:val="000000"/>
          <w:sz w:val="24"/>
          <w:szCs w:val="24"/>
          <w:lang w:eastAsia="en-US"/>
        </w:rPr>
        <w:t xml:space="preserve"> Youth Aboriginal Corporation, Belconnen Community Services, Relationships Australia, the Australian National University, the University of Canberra, the Lions Club, Uniting Care Kippax and the Education and Training Directorate. </w:t>
      </w:r>
    </w:p>
    <w:p w:rsidR="002C09D5" w:rsidRPr="002C09D5" w:rsidRDefault="002C09D5" w:rsidP="002C09D5">
      <w:pPr>
        <w:spacing w:after="200"/>
        <w:rPr>
          <w:rFonts w:ascii="Calibri" w:eastAsia="Calibri" w:hAnsi="Calibri" w:cs="Akzidenz Grotesk"/>
          <w:color w:val="000000"/>
          <w:sz w:val="24"/>
          <w:szCs w:val="24"/>
          <w:lang w:eastAsia="en-US"/>
        </w:rPr>
      </w:pPr>
      <w:r w:rsidRPr="002C09D5">
        <w:rPr>
          <w:rFonts w:ascii="Calibri" w:eastAsia="Calibri" w:hAnsi="Calibri" w:cs="Akzidenz Grotesk"/>
          <w:color w:val="000000"/>
          <w:sz w:val="24"/>
          <w:szCs w:val="24"/>
          <w:lang w:eastAsia="en-US"/>
        </w:rPr>
        <w:t>In 2012–13, more than 100 Aboriginal and Torres Strait Islander families were assisted and engaged by the Growing Healthy Families Program across the ACT through case management and community development activities and events.</w:t>
      </w:r>
    </w:p>
    <w:p w:rsidR="002C09D5" w:rsidRDefault="002C09D5" w:rsidP="008B1389">
      <w:pPr>
        <w:rPr>
          <w:rFonts w:ascii="Calibri" w:eastAsia="Calibri" w:hAnsi="Calibri" w:cs="Akzidenz Grotesk"/>
          <w:color w:val="000000"/>
          <w:sz w:val="24"/>
          <w:szCs w:val="24"/>
          <w:lang w:eastAsia="en-US"/>
        </w:rPr>
      </w:pPr>
      <w:r w:rsidRPr="002C09D5">
        <w:rPr>
          <w:rFonts w:ascii="Calibri" w:eastAsia="Calibri" w:hAnsi="Calibri" w:cs="Akzidenz Grotesk"/>
          <w:color w:val="000000"/>
          <w:sz w:val="24"/>
          <w:szCs w:val="24"/>
          <w:lang w:eastAsia="en-US"/>
        </w:rPr>
        <w:t>An important aspect of the Growing Healthy Families Program is the delivery of targeted cultural programs. The programs have been delivered to address the specified needs of Aboriginal and Torres Strait Islander women and children, often in partnership with other local agencies and businesses</w:t>
      </w:r>
      <w:r w:rsidR="008B1389">
        <w:rPr>
          <w:rFonts w:ascii="Calibri" w:eastAsia="Calibri" w:hAnsi="Calibri" w:cs="Akzidenz Grotesk"/>
          <w:color w:val="000000"/>
          <w:sz w:val="24"/>
          <w:szCs w:val="24"/>
          <w:lang w:eastAsia="en-US"/>
        </w:rPr>
        <w:t>,</w:t>
      </w:r>
      <w:r w:rsidRPr="002C09D5">
        <w:rPr>
          <w:rFonts w:ascii="Calibri" w:eastAsia="Calibri" w:hAnsi="Calibri" w:cs="Akzidenz Grotesk"/>
          <w:color w:val="000000"/>
          <w:sz w:val="24"/>
          <w:szCs w:val="24"/>
          <w:lang w:eastAsia="en-US"/>
        </w:rPr>
        <w:t xml:space="preserve"> including Uniting Care Kippax, </w:t>
      </w:r>
      <w:proofErr w:type="spellStart"/>
      <w:r w:rsidRPr="002C09D5">
        <w:rPr>
          <w:rFonts w:ascii="Calibri" w:eastAsia="Calibri" w:hAnsi="Calibri" w:cs="Akzidenz Grotesk"/>
          <w:color w:val="000000"/>
          <w:sz w:val="24"/>
          <w:szCs w:val="24"/>
          <w:lang w:eastAsia="en-US"/>
        </w:rPr>
        <w:t>Bandu</w:t>
      </w:r>
      <w:proofErr w:type="spellEnd"/>
      <w:r w:rsidRPr="002C09D5">
        <w:rPr>
          <w:rFonts w:ascii="Calibri" w:eastAsia="Calibri" w:hAnsi="Calibri" w:cs="Akzidenz Grotesk"/>
          <w:color w:val="000000"/>
          <w:sz w:val="24"/>
          <w:szCs w:val="24"/>
          <w:lang w:eastAsia="en-US"/>
        </w:rPr>
        <w:t xml:space="preserve"> Catering, </w:t>
      </w:r>
      <w:proofErr w:type="spellStart"/>
      <w:r w:rsidRPr="002C09D5">
        <w:rPr>
          <w:rFonts w:ascii="Calibri" w:eastAsia="Calibri" w:hAnsi="Calibri" w:cs="Akzidenz Grotesk"/>
          <w:color w:val="000000"/>
          <w:sz w:val="24"/>
          <w:szCs w:val="24"/>
          <w:lang w:eastAsia="en-US"/>
        </w:rPr>
        <w:t>Communities@Work</w:t>
      </w:r>
      <w:proofErr w:type="spellEnd"/>
      <w:r w:rsidRPr="002C09D5">
        <w:rPr>
          <w:rFonts w:ascii="Calibri" w:eastAsia="Calibri" w:hAnsi="Calibri" w:cs="Akzidenz Grotesk"/>
          <w:color w:val="000000"/>
          <w:sz w:val="24"/>
          <w:szCs w:val="24"/>
          <w:lang w:eastAsia="en-US"/>
        </w:rPr>
        <w:t xml:space="preserve">, schools and </w:t>
      </w:r>
      <w:proofErr w:type="spellStart"/>
      <w:r w:rsidRPr="002C09D5">
        <w:rPr>
          <w:rFonts w:ascii="Calibri" w:eastAsia="Calibri" w:hAnsi="Calibri" w:cs="Akzidenz Grotesk"/>
          <w:color w:val="000000"/>
          <w:sz w:val="24"/>
          <w:szCs w:val="24"/>
          <w:lang w:eastAsia="en-US"/>
        </w:rPr>
        <w:t>SmartStart</w:t>
      </w:r>
      <w:proofErr w:type="spellEnd"/>
      <w:r w:rsidRPr="002C09D5">
        <w:rPr>
          <w:rFonts w:ascii="Calibri" w:eastAsia="Calibri" w:hAnsi="Calibri" w:cs="Akzidenz Grotesk"/>
          <w:color w:val="000000"/>
          <w:sz w:val="24"/>
          <w:szCs w:val="24"/>
          <w:lang w:eastAsia="en-US"/>
        </w:rPr>
        <w:t>. Aboriginal and Torres Strait Islander families are also able to take part in cultural excursions.</w:t>
      </w:r>
    </w:p>
    <w:p w:rsidR="00BD5D4E" w:rsidRPr="00821556" w:rsidRDefault="00BD5D4E" w:rsidP="00247650">
      <w:pPr>
        <w:pStyle w:val="Heading3"/>
      </w:pPr>
      <w:bookmarkStart w:id="115" w:name="_Toc400007717"/>
      <w:r w:rsidRPr="00821556">
        <w:t>New South Wales</w:t>
      </w:r>
      <w:bookmarkEnd w:id="115"/>
    </w:p>
    <w:p w:rsidR="00E80EE2" w:rsidRPr="00B71ABA" w:rsidRDefault="00B71ABA" w:rsidP="00AA522D">
      <w:pPr>
        <w:pStyle w:val="Heading4"/>
        <w:rPr>
          <w:lang w:val="en-AU"/>
        </w:rPr>
      </w:pPr>
      <w:r>
        <w:t>Joining Up Service Delivery</w:t>
      </w:r>
    </w:p>
    <w:p w:rsidR="004362CF" w:rsidRPr="004362CF" w:rsidRDefault="004362CF" w:rsidP="004362CF">
      <w:pPr>
        <w:rPr>
          <w:rFonts w:ascii="Calibri" w:hAnsi="Calibri" w:cs="Calibri"/>
          <w:sz w:val="24"/>
          <w:szCs w:val="24"/>
        </w:rPr>
      </w:pPr>
      <w:r w:rsidRPr="004362CF">
        <w:rPr>
          <w:rFonts w:ascii="Calibri" w:hAnsi="Calibri" w:cs="Calibri"/>
          <w:sz w:val="24"/>
          <w:szCs w:val="24"/>
        </w:rPr>
        <w:t>NSW continues to build on family strengths and provide early help to promote safety and improve outcomes for children and young people and their families.</w:t>
      </w:r>
    </w:p>
    <w:p w:rsidR="004362CF" w:rsidRPr="004362CF" w:rsidRDefault="004362CF" w:rsidP="004362CF">
      <w:pPr>
        <w:rPr>
          <w:rFonts w:ascii="Calibri" w:hAnsi="Calibri" w:cs="Calibri"/>
          <w:sz w:val="24"/>
          <w:szCs w:val="24"/>
        </w:rPr>
      </w:pPr>
    </w:p>
    <w:p w:rsidR="004362CF" w:rsidRPr="00995435" w:rsidRDefault="004362CF" w:rsidP="00C636E2">
      <w:r w:rsidRPr="004362CF">
        <w:rPr>
          <w:rFonts w:ascii="Calibri" w:hAnsi="Calibri" w:cs="Calibri"/>
          <w:sz w:val="24"/>
          <w:szCs w:val="24"/>
        </w:rPr>
        <w:t xml:space="preserve">The </w:t>
      </w:r>
      <w:r w:rsidR="00995435">
        <w:rPr>
          <w:rFonts w:ascii="Calibri" w:hAnsi="Calibri" w:cs="Calibri"/>
          <w:sz w:val="24"/>
          <w:szCs w:val="24"/>
        </w:rPr>
        <w:t>FACS</w:t>
      </w:r>
      <w:r w:rsidRPr="004362CF">
        <w:rPr>
          <w:rFonts w:ascii="Calibri" w:hAnsi="Calibri" w:cs="Calibri"/>
          <w:sz w:val="24"/>
          <w:szCs w:val="24"/>
        </w:rPr>
        <w:t xml:space="preserve"> Brighter Futures program has capacity to support more than 3000 families each year and targets vulnerable children and families with complex needs</w:t>
      </w:r>
      <w:r w:rsidR="001E260F">
        <w:rPr>
          <w:rFonts w:ascii="Calibri" w:hAnsi="Calibri" w:cs="Calibri"/>
          <w:sz w:val="24"/>
          <w:szCs w:val="24"/>
        </w:rPr>
        <w:t xml:space="preserve"> and</w:t>
      </w:r>
      <w:r w:rsidRPr="004362CF">
        <w:rPr>
          <w:rFonts w:ascii="Calibri" w:hAnsi="Calibri" w:cs="Calibri"/>
          <w:sz w:val="24"/>
          <w:szCs w:val="24"/>
        </w:rPr>
        <w:t xml:space="preserve"> at high risk of entering the statutory child protection system.</w:t>
      </w:r>
      <w:r w:rsidR="00D26B57">
        <w:rPr>
          <w:rFonts w:ascii="Calibri" w:hAnsi="Calibri" w:cs="Calibri"/>
          <w:sz w:val="24"/>
          <w:szCs w:val="24"/>
        </w:rPr>
        <w:t xml:space="preserve"> </w:t>
      </w:r>
      <w:r w:rsidRPr="004362CF">
        <w:rPr>
          <w:rFonts w:ascii="Calibri" w:hAnsi="Calibri" w:cs="Calibri"/>
          <w:sz w:val="24"/>
          <w:szCs w:val="24"/>
        </w:rPr>
        <w:t xml:space="preserve">The program began to be delivered wholly by 16 community agencies from January 2012. This change signalled a greater role for the </w:t>
      </w:r>
      <w:r w:rsidR="00C8305C">
        <w:rPr>
          <w:rFonts w:ascii="Calibri" w:hAnsi="Calibri" w:cs="Calibri"/>
          <w:sz w:val="24"/>
          <w:szCs w:val="24"/>
        </w:rPr>
        <w:t>community</w:t>
      </w:r>
      <w:r w:rsidRPr="004362CF">
        <w:rPr>
          <w:rFonts w:ascii="Calibri" w:hAnsi="Calibri" w:cs="Calibri"/>
          <w:sz w:val="24"/>
          <w:szCs w:val="24"/>
        </w:rPr>
        <w:t xml:space="preserve"> sector as </w:t>
      </w:r>
      <w:r w:rsidR="00C636E2">
        <w:rPr>
          <w:rFonts w:ascii="Calibri" w:hAnsi="Calibri" w:cs="Calibri"/>
          <w:sz w:val="24"/>
          <w:szCs w:val="24"/>
        </w:rPr>
        <w:t xml:space="preserve">a </w:t>
      </w:r>
      <w:r w:rsidRPr="004362CF">
        <w:rPr>
          <w:rFonts w:ascii="Calibri" w:hAnsi="Calibri" w:cs="Calibri"/>
          <w:sz w:val="24"/>
          <w:szCs w:val="24"/>
        </w:rPr>
        <w:t>key partner in child protection and e</w:t>
      </w:r>
      <w:r w:rsidR="00995435">
        <w:rPr>
          <w:rFonts w:ascii="Calibri" w:hAnsi="Calibri" w:cs="Calibri"/>
          <w:sz w:val="24"/>
          <w:szCs w:val="24"/>
        </w:rPr>
        <w:t>arly intervention.</w:t>
      </w:r>
      <w:r w:rsidR="00D26B57">
        <w:rPr>
          <w:rFonts w:ascii="Calibri" w:hAnsi="Calibri" w:cs="Calibri"/>
          <w:sz w:val="24"/>
          <w:szCs w:val="24"/>
        </w:rPr>
        <w:t xml:space="preserve"> </w:t>
      </w:r>
      <w:r w:rsidR="00995435">
        <w:rPr>
          <w:rFonts w:ascii="Calibri" w:hAnsi="Calibri" w:cs="Calibri"/>
          <w:sz w:val="24"/>
          <w:szCs w:val="24"/>
        </w:rPr>
        <w:t>During 2012</w:t>
      </w:r>
      <w:r w:rsidR="001E260F">
        <w:rPr>
          <w:rFonts w:ascii="Calibri" w:hAnsi="Calibri" w:cs="Calibri"/>
          <w:sz w:val="24"/>
          <w:szCs w:val="24"/>
        </w:rPr>
        <w:t>–</w:t>
      </w:r>
      <w:r w:rsidRPr="004362CF">
        <w:rPr>
          <w:rFonts w:ascii="Calibri" w:hAnsi="Calibri" w:cs="Calibri"/>
          <w:sz w:val="24"/>
          <w:szCs w:val="24"/>
        </w:rPr>
        <w:t>13</w:t>
      </w:r>
      <w:r w:rsidR="00B32812">
        <w:rPr>
          <w:rFonts w:ascii="Calibri" w:hAnsi="Calibri" w:cs="Calibri"/>
          <w:sz w:val="24"/>
          <w:szCs w:val="24"/>
        </w:rPr>
        <w:t xml:space="preserve">, </w:t>
      </w:r>
      <w:proofErr w:type="gramStart"/>
      <w:r w:rsidR="00352B6E">
        <w:rPr>
          <w:rFonts w:ascii="Calibri" w:hAnsi="Calibri"/>
          <w:sz w:val="24"/>
          <w:szCs w:val="24"/>
        </w:rPr>
        <w:t>FACS(</w:t>
      </w:r>
      <w:proofErr w:type="gramEnd"/>
      <w:r w:rsidR="00352B6E">
        <w:rPr>
          <w:rFonts w:ascii="Calibri" w:hAnsi="Calibri"/>
          <w:sz w:val="24"/>
          <w:szCs w:val="24"/>
        </w:rPr>
        <w:t>CS)</w:t>
      </w:r>
      <w:r w:rsidRPr="00C636E2">
        <w:rPr>
          <w:rFonts w:ascii="Calibri" w:hAnsi="Calibri"/>
          <w:sz w:val="24"/>
          <w:szCs w:val="24"/>
        </w:rPr>
        <w:t xml:space="preserve"> provided more than $</w:t>
      </w:r>
      <w:r w:rsidR="00B32812" w:rsidRPr="00C636E2">
        <w:rPr>
          <w:rFonts w:ascii="Calibri" w:hAnsi="Calibri"/>
          <w:sz w:val="24"/>
          <w:szCs w:val="24"/>
        </w:rPr>
        <w:t xml:space="preserve">59 </w:t>
      </w:r>
      <w:r w:rsidRPr="00C636E2">
        <w:rPr>
          <w:rFonts w:ascii="Calibri" w:hAnsi="Calibri"/>
          <w:sz w:val="24"/>
          <w:szCs w:val="24"/>
        </w:rPr>
        <w:t xml:space="preserve">million in funding to 16 </w:t>
      </w:r>
      <w:r w:rsidR="00C8305C">
        <w:rPr>
          <w:rFonts w:ascii="Calibri" w:hAnsi="Calibri"/>
          <w:sz w:val="24"/>
          <w:szCs w:val="24"/>
        </w:rPr>
        <w:t>community sector</w:t>
      </w:r>
      <w:r w:rsidRPr="00C636E2">
        <w:rPr>
          <w:rFonts w:ascii="Calibri" w:hAnsi="Calibri"/>
          <w:sz w:val="24"/>
          <w:szCs w:val="24"/>
        </w:rPr>
        <w:t xml:space="preserve"> Lead Agencies to deliver Brighter Futures. Services include the provision of case management, structured home visits, group parenting programs and quality children’s services.</w:t>
      </w:r>
      <w:r w:rsidRPr="00995435">
        <w:t xml:space="preserve"> </w:t>
      </w:r>
    </w:p>
    <w:p w:rsidR="004362CF" w:rsidRPr="004362CF" w:rsidRDefault="004362CF" w:rsidP="00075E36">
      <w:pPr>
        <w:rPr>
          <w:rFonts w:ascii="Calibri" w:hAnsi="Calibri" w:cs="Calibri"/>
          <w:sz w:val="24"/>
          <w:szCs w:val="24"/>
        </w:rPr>
      </w:pPr>
    </w:p>
    <w:p w:rsidR="004362CF" w:rsidRPr="004362CF" w:rsidRDefault="004362CF" w:rsidP="004362CF">
      <w:pPr>
        <w:rPr>
          <w:rFonts w:ascii="Calibri" w:hAnsi="Calibri" w:cs="Calibri"/>
          <w:sz w:val="24"/>
          <w:szCs w:val="24"/>
        </w:rPr>
      </w:pPr>
      <w:r w:rsidRPr="004362CF">
        <w:rPr>
          <w:rFonts w:ascii="Calibri" w:hAnsi="Calibri" w:cs="Calibri"/>
          <w:sz w:val="24"/>
          <w:szCs w:val="24"/>
        </w:rPr>
        <w:t xml:space="preserve">Strengthening Families is a placement prevention program delivered by </w:t>
      </w:r>
      <w:proofErr w:type="gramStart"/>
      <w:r w:rsidR="0059292D">
        <w:rPr>
          <w:rFonts w:ascii="Calibri" w:hAnsi="Calibri" w:cs="Calibri"/>
          <w:sz w:val="24"/>
          <w:szCs w:val="24"/>
        </w:rPr>
        <w:t>FACS(</w:t>
      </w:r>
      <w:proofErr w:type="gramEnd"/>
      <w:r w:rsidR="0059292D">
        <w:rPr>
          <w:rFonts w:ascii="Calibri" w:hAnsi="Calibri" w:cs="Calibri"/>
          <w:sz w:val="24"/>
          <w:szCs w:val="24"/>
        </w:rPr>
        <w:t>CS)</w:t>
      </w:r>
      <w:r w:rsidRPr="004362CF">
        <w:rPr>
          <w:rFonts w:ascii="Calibri" w:hAnsi="Calibri" w:cs="Calibri"/>
          <w:sz w:val="24"/>
          <w:szCs w:val="24"/>
        </w:rPr>
        <w:t xml:space="preserve">. The program is designed for families with children under </w:t>
      </w:r>
      <w:r w:rsidR="00C7391D">
        <w:rPr>
          <w:rFonts w:ascii="Calibri" w:hAnsi="Calibri" w:cs="Calibri"/>
          <w:sz w:val="24"/>
          <w:szCs w:val="24"/>
        </w:rPr>
        <w:t>9</w:t>
      </w:r>
      <w:r w:rsidR="00C7391D" w:rsidRPr="004362CF">
        <w:rPr>
          <w:rFonts w:ascii="Calibri" w:hAnsi="Calibri" w:cs="Calibri"/>
          <w:sz w:val="24"/>
          <w:szCs w:val="24"/>
        </w:rPr>
        <w:t xml:space="preserve"> </w:t>
      </w:r>
      <w:r w:rsidRPr="004362CF">
        <w:rPr>
          <w:rFonts w:ascii="Calibri" w:hAnsi="Calibri" w:cs="Calibri"/>
          <w:sz w:val="24"/>
          <w:szCs w:val="24"/>
        </w:rPr>
        <w:t>years of age (or unborn) where there is a risk of significant harm involving specific issues relating to parenting capacity</w:t>
      </w:r>
      <w:r w:rsidR="00C7391D">
        <w:rPr>
          <w:rFonts w:ascii="Calibri" w:hAnsi="Calibri" w:cs="Calibri"/>
          <w:sz w:val="24"/>
          <w:szCs w:val="24"/>
        </w:rPr>
        <w:t>,</w:t>
      </w:r>
      <w:r w:rsidRPr="004362CF">
        <w:rPr>
          <w:rFonts w:ascii="Calibri" w:hAnsi="Calibri" w:cs="Calibri"/>
          <w:sz w:val="24"/>
          <w:szCs w:val="24"/>
        </w:rPr>
        <w:t xml:space="preserve"> but it would be safe for the child to remain in the home if those issues were addressed. The program builds on existing family strengths through structured home visiting, parenting programs and casework focused on parent vulnerabilities. This is combined with practical support such as quality child care</w:t>
      </w:r>
      <w:r w:rsidR="0060564A">
        <w:rPr>
          <w:rFonts w:ascii="Calibri" w:hAnsi="Calibri" w:cs="Calibri"/>
          <w:sz w:val="24"/>
          <w:szCs w:val="24"/>
        </w:rPr>
        <w:t>,</w:t>
      </w:r>
      <w:r w:rsidRPr="004362CF">
        <w:rPr>
          <w:rFonts w:ascii="Calibri" w:hAnsi="Calibri" w:cs="Calibri"/>
          <w:sz w:val="24"/>
          <w:szCs w:val="24"/>
        </w:rPr>
        <w:t xml:space="preserve"> to improve the </w:t>
      </w:r>
      <w:r w:rsidR="0060564A" w:rsidRPr="004362CF">
        <w:rPr>
          <w:rFonts w:ascii="Calibri" w:hAnsi="Calibri" w:cs="Calibri"/>
          <w:sz w:val="24"/>
          <w:szCs w:val="24"/>
        </w:rPr>
        <w:t>long</w:t>
      </w:r>
      <w:r w:rsidR="0060564A">
        <w:rPr>
          <w:rFonts w:ascii="Calibri" w:hAnsi="Calibri" w:cs="Calibri"/>
          <w:sz w:val="24"/>
          <w:szCs w:val="24"/>
        </w:rPr>
        <w:t>-</w:t>
      </w:r>
      <w:r w:rsidRPr="004362CF">
        <w:rPr>
          <w:rFonts w:ascii="Calibri" w:hAnsi="Calibri" w:cs="Calibri"/>
          <w:sz w:val="24"/>
          <w:szCs w:val="24"/>
        </w:rPr>
        <w:t>term safety of the ch</w:t>
      </w:r>
      <w:r w:rsidR="00995435">
        <w:rPr>
          <w:rFonts w:ascii="Calibri" w:hAnsi="Calibri" w:cs="Calibri"/>
          <w:sz w:val="24"/>
          <w:szCs w:val="24"/>
        </w:rPr>
        <w:t xml:space="preserve">ild. </w:t>
      </w:r>
      <w:r w:rsidR="003D30B0">
        <w:rPr>
          <w:rFonts w:ascii="Calibri" w:hAnsi="Calibri" w:cs="Calibri"/>
          <w:sz w:val="24"/>
          <w:szCs w:val="24"/>
        </w:rPr>
        <w:t>During 2012</w:t>
      </w:r>
      <w:r w:rsidR="004B3C86">
        <w:rPr>
          <w:rFonts w:ascii="Calibri" w:hAnsi="Calibri" w:cs="Calibri"/>
          <w:sz w:val="24"/>
          <w:szCs w:val="24"/>
        </w:rPr>
        <w:t>–</w:t>
      </w:r>
      <w:r w:rsidR="004004DF" w:rsidRPr="004004DF">
        <w:rPr>
          <w:rFonts w:ascii="Calibri" w:hAnsi="Calibri" w:cs="Calibri"/>
          <w:sz w:val="24"/>
          <w:szCs w:val="24"/>
        </w:rPr>
        <w:t>13</w:t>
      </w:r>
      <w:r w:rsidR="003D30B0">
        <w:rPr>
          <w:rFonts w:ascii="Calibri" w:hAnsi="Calibri" w:cs="Calibri"/>
          <w:sz w:val="24"/>
          <w:szCs w:val="24"/>
        </w:rPr>
        <w:t>, 1</w:t>
      </w:r>
      <w:r w:rsidR="004004DF" w:rsidRPr="004004DF">
        <w:rPr>
          <w:rFonts w:ascii="Calibri" w:hAnsi="Calibri" w:cs="Calibri"/>
          <w:sz w:val="24"/>
          <w:szCs w:val="24"/>
        </w:rPr>
        <w:t>253 families in Strengthening Families received services at any point du</w:t>
      </w:r>
      <w:r w:rsidR="004B3C86">
        <w:rPr>
          <w:rFonts w:ascii="Calibri" w:hAnsi="Calibri" w:cs="Calibri"/>
          <w:sz w:val="24"/>
          <w:szCs w:val="24"/>
        </w:rPr>
        <w:t>r</w:t>
      </w:r>
      <w:r w:rsidR="004004DF" w:rsidRPr="004004DF">
        <w:rPr>
          <w:rFonts w:ascii="Calibri" w:hAnsi="Calibri" w:cs="Calibri"/>
          <w:sz w:val="24"/>
          <w:szCs w:val="24"/>
        </w:rPr>
        <w:t>ing the year.</w:t>
      </w:r>
      <w:r w:rsidR="004004DF">
        <w:rPr>
          <w:rFonts w:ascii="Calibri" w:hAnsi="Calibri" w:cs="Calibri"/>
          <w:sz w:val="24"/>
          <w:szCs w:val="24"/>
        </w:rPr>
        <w:t xml:space="preserve"> </w:t>
      </w:r>
      <w:r w:rsidR="00995435">
        <w:rPr>
          <w:rFonts w:ascii="Calibri" w:hAnsi="Calibri" w:cs="Calibri"/>
          <w:sz w:val="24"/>
          <w:szCs w:val="24"/>
        </w:rPr>
        <w:t>In 2012</w:t>
      </w:r>
      <w:r w:rsidR="0060564A">
        <w:rPr>
          <w:rFonts w:ascii="Calibri" w:hAnsi="Calibri" w:cs="Calibri"/>
          <w:sz w:val="24"/>
          <w:szCs w:val="24"/>
        </w:rPr>
        <w:t>–</w:t>
      </w:r>
      <w:r w:rsidRPr="004362CF">
        <w:rPr>
          <w:rFonts w:ascii="Calibri" w:hAnsi="Calibri" w:cs="Calibri"/>
          <w:sz w:val="24"/>
          <w:szCs w:val="24"/>
        </w:rPr>
        <w:t>13</w:t>
      </w:r>
      <w:r w:rsidR="00995435">
        <w:rPr>
          <w:rFonts w:ascii="Calibri" w:hAnsi="Calibri" w:cs="Calibri"/>
          <w:sz w:val="24"/>
          <w:szCs w:val="24"/>
        </w:rPr>
        <w:t>,</w:t>
      </w:r>
      <w:r w:rsidRPr="004362CF">
        <w:rPr>
          <w:rFonts w:ascii="Calibri" w:hAnsi="Calibri" w:cs="Calibri"/>
          <w:sz w:val="24"/>
          <w:szCs w:val="24"/>
        </w:rPr>
        <w:t xml:space="preserve"> 180 families exited the program after meeting their case plan goals.</w:t>
      </w:r>
    </w:p>
    <w:p w:rsidR="004362CF" w:rsidRPr="004362CF" w:rsidRDefault="004362CF" w:rsidP="004362CF">
      <w:pPr>
        <w:rPr>
          <w:rFonts w:ascii="Calibri" w:hAnsi="Calibri" w:cs="Calibri"/>
          <w:sz w:val="24"/>
          <w:szCs w:val="24"/>
        </w:rPr>
      </w:pPr>
    </w:p>
    <w:p w:rsidR="004362CF" w:rsidRPr="004362CF" w:rsidRDefault="004362CF" w:rsidP="004362CF">
      <w:pPr>
        <w:rPr>
          <w:rFonts w:ascii="Calibri" w:hAnsi="Calibri" w:cs="Calibri"/>
          <w:sz w:val="24"/>
          <w:szCs w:val="24"/>
        </w:rPr>
      </w:pPr>
      <w:r w:rsidRPr="00450A9D">
        <w:rPr>
          <w:rFonts w:ascii="Calibri" w:hAnsi="Calibri" w:cs="Calibri"/>
          <w:sz w:val="24"/>
          <w:szCs w:val="24"/>
        </w:rPr>
        <w:t>IFS</w:t>
      </w:r>
      <w:r w:rsidRPr="004362CF">
        <w:rPr>
          <w:rFonts w:ascii="Calibri" w:hAnsi="Calibri" w:cs="Calibri"/>
          <w:sz w:val="24"/>
          <w:szCs w:val="24"/>
        </w:rPr>
        <w:t xml:space="preserve"> and Intensive Family Preservation (IFP) services target families in crisis whose children and young people (aged 0</w:t>
      </w:r>
      <w:r w:rsidR="00945F81">
        <w:rPr>
          <w:rFonts w:ascii="Calibri" w:hAnsi="Calibri" w:cs="Calibri"/>
          <w:sz w:val="24"/>
          <w:szCs w:val="24"/>
        </w:rPr>
        <w:t xml:space="preserve"> to </w:t>
      </w:r>
      <w:r w:rsidRPr="004362CF">
        <w:rPr>
          <w:rFonts w:ascii="Calibri" w:hAnsi="Calibri" w:cs="Calibri"/>
          <w:sz w:val="24"/>
          <w:szCs w:val="24"/>
        </w:rPr>
        <w:t>15 y</w:t>
      </w:r>
      <w:r w:rsidR="00F415B7">
        <w:rPr>
          <w:rFonts w:ascii="Calibri" w:hAnsi="Calibri" w:cs="Calibri"/>
          <w:sz w:val="24"/>
          <w:szCs w:val="24"/>
        </w:rPr>
        <w:t>ea</w:t>
      </w:r>
      <w:r w:rsidRPr="004362CF">
        <w:rPr>
          <w:rFonts w:ascii="Calibri" w:hAnsi="Calibri" w:cs="Calibri"/>
          <w:sz w:val="24"/>
          <w:szCs w:val="24"/>
        </w:rPr>
        <w:t xml:space="preserve">rs) are at risk of removal and placement in </w:t>
      </w:r>
      <w:r w:rsidR="00995435">
        <w:rPr>
          <w:rFonts w:ascii="Calibri" w:hAnsi="Calibri" w:cs="Calibri"/>
          <w:sz w:val="24"/>
          <w:szCs w:val="24"/>
        </w:rPr>
        <w:t>out-of-home care</w:t>
      </w:r>
      <w:r w:rsidRPr="004362CF">
        <w:rPr>
          <w:rFonts w:ascii="Calibri" w:hAnsi="Calibri" w:cs="Calibri"/>
          <w:sz w:val="24"/>
          <w:szCs w:val="24"/>
        </w:rPr>
        <w:t xml:space="preserve">. Families receive intensive, flexible and individually tailored support to reduce </w:t>
      </w:r>
      <w:r w:rsidR="00C636E2">
        <w:rPr>
          <w:rFonts w:ascii="Calibri" w:hAnsi="Calibri" w:cs="Calibri"/>
          <w:sz w:val="24"/>
          <w:szCs w:val="24"/>
        </w:rPr>
        <w:t xml:space="preserve">the </w:t>
      </w:r>
      <w:r w:rsidRPr="004362CF">
        <w:rPr>
          <w:rFonts w:ascii="Calibri" w:hAnsi="Calibri" w:cs="Calibri"/>
          <w:sz w:val="24"/>
          <w:szCs w:val="24"/>
        </w:rPr>
        <w:t>risk of harm to the child or young pers</w:t>
      </w:r>
      <w:r w:rsidR="00995435">
        <w:rPr>
          <w:rFonts w:ascii="Calibri" w:hAnsi="Calibri" w:cs="Calibri"/>
          <w:sz w:val="24"/>
          <w:szCs w:val="24"/>
        </w:rPr>
        <w:t>on and prevent placement in out-of-home care</w:t>
      </w:r>
      <w:r w:rsidRPr="004362CF">
        <w:rPr>
          <w:rFonts w:ascii="Calibri" w:hAnsi="Calibri" w:cs="Calibri"/>
          <w:sz w:val="24"/>
          <w:szCs w:val="24"/>
        </w:rPr>
        <w:t>. IFS and IFP increase</w:t>
      </w:r>
      <w:r w:rsidR="00995435">
        <w:rPr>
          <w:rFonts w:ascii="Calibri" w:hAnsi="Calibri" w:cs="Calibri"/>
          <w:sz w:val="24"/>
          <w:szCs w:val="24"/>
        </w:rPr>
        <w:t>d</w:t>
      </w:r>
      <w:r w:rsidRPr="004362CF">
        <w:rPr>
          <w:rFonts w:ascii="Calibri" w:hAnsi="Calibri" w:cs="Calibri"/>
          <w:sz w:val="24"/>
          <w:szCs w:val="24"/>
        </w:rPr>
        <w:t xml:space="preserve"> the num</w:t>
      </w:r>
      <w:r w:rsidR="00995435">
        <w:rPr>
          <w:rFonts w:ascii="Calibri" w:hAnsi="Calibri" w:cs="Calibri"/>
          <w:sz w:val="24"/>
          <w:szCs w:val="24"/>
        </w:rPr>
        <w:t xml:space="preserve">ber of services provided by </w:t>
      </w:r>
      <w:r w:rsidR="00C8305C">
        <w:rPr>
          <w:rFonts w:ascii="Calibri" w:hAnsi="Calibri" w:cs="Calibri"/>
          <w:sz w:val="24"/>
          <w:szCs w:val="24"/>
        </w:rPr>
        <w:t>community sector</w:t>
      </w:r>
      <w:r w:rsidRPr="004362CF">
        <w:rPr>
          <w:rFonts w:ascii="Calibri" w:hAnsi="Calibri" w:cs="Calibri"/>
          <w:sz w:val="24"/>
          <w:szCs w:val="24"/>
        </w:rPr>
        <w:t xml:space="preserve"> organisations to vulnerable children, young peo</w:t>
      </w:r>
      <w:r w:rsidR="00995435">
        <w:rPr>
          <w:rFonts w:ascii="Calibri" w:hAnsi="Calibri" w:cs="Calibri"/>
          <w:sz w:val="24"/>
          <w:szCs w:val="24"/>
        </w:rPr>
        <w:t>ple and their families. In 2012</w:t>
      </w:r>
      <w:r w:rsidR="0060564A">
        <w:rPr>
          <w:rFonts w:ascii="Calibri" w:hAnsi="Calibri" w:cs="Calibri"/>
          <w:sz w:val="24"/>
          <w:szCs w:val="24"/>
        </w:rPr>
        <w:t>–</w:t>
      </w:r>
      <w:r w:rsidRPr="004362CF">
        <w:rPr>
          <w:rFonts w:ascii="Calibri" w:hAnsi="Calibri" w:cs="Calibri"/>
          <w:sz w:val="24"/>
          <w:szCs w:val="24"/>
        </w:rPr>
        <w:t>13, a total of 4</w:t>
      </w:r>
      <w:r w:rsidR="004004DF">
        <w:rPr>
          <w:rFonts w:ascii="Calibri" w:hAnsi="Calibri" w:cs="Calibri"/>
          <w:sz w:val="24"/>
          <w:szCs w:val="24"/>
        </w:rPr>
        <w:t>37</w:t>
      </w:r>
      <w:r w:rsidRPr="004362CF">
        <w:rPr>
          <w:rFonts w:ascii="Calibri" w:hAnsi="Calibri" w:cs="Calibri"/>
          <w:sz w:val="24"/>
          <w:szCs w:val="24"/>
        </w:rPr>
        <w:t xml:space="preserve"> families with </w:t>
      </w:r>
      <w:r w:rsidR="004004DF" w:rsidRPr="004362CF">
        <w:rPr>
          <w:rFonts w:ascii="Calibri" w:hAnsi="Calibri" w:cs="Calibri"/>
          <w:sz w:val="24"/>
          <w:szCs w:val="24"/>
        </w:rPr>
        <w:t>1</w:t>
      </w:r>
      <w:r w:rsidR="004004DF">
        <w:rPr>
          <w:rFonts w:ascii="Calibri" w:hAnsi="Calibri" w:cs="Calibri"/>
          <w:sz w:val="24"/>
          <w:szCs w:val="24"/>
        </w:rPr>
        <w:t>267</w:t>
      </w:r>
      <w:r w:rsidR="004004DF" w:rsidRPr="004362CF">
        <w:rPr>
          <w:rFonts w:ascii="Calibri" w:hAnsi="Calibri" w:cs="Calibri"/>
          <w:sz w:val="24"/>
          <w:szCs w:val="24"/>
        </w:rPr>
        <w:t xml:space="preserve"> </w:t>
      </w:r>
      <w:r w:rsidRPr="004362CF">
        <w:rPr>
          <w:rFonts w:ascii="Calibri" w:hAnsi="Calibri" w:cs="Calibri"/>
          <w:sz w:val="24"/>
          <w:szCs w:val="24"/>
        </w:rPr>
        <w:t>children aged 0</w:t>
      </w:r>
      <w:r w:rsidR="00945F81">
        <w:rPr>
          <w:rFonts w:ascii="Calibri" w:hAnsi="Calibri" w:cs="Calibri"/>
          <w:sz w:val="24"/>
          <w:szCs w:val="24"/>
        </w:rPr>
        <w:t xml:space="preserve"> to </w:t>
      </w:r>
      <w:r w:rsidRPr="004362CF">
        <w:rPr>
          <w:rFonts w:ascii="Calibri" w:hAnsi="Calibri" w:cs="Calibri"/>
          <w:sz w:val="24"/>
          <w:szCs w:val="24"/>
        </w:rPr>
        <w:t>15 entered the IFS/IFP programs.</w:t>
      </w:r>
    </w:p>
    <w:p w:rsidR="004362CF" w:rsidRPr="004362CF" w:rsidRDefault="004362CF" w:rsidP="004362CF">
      <w:pPr>
        <w:rPr>
          <w:rFonts w:ascii="Calibri" w:hAnsi="Calibri" w:cs="Calibri"/>
          <w:sz w:val="24"/>
          <w:szCs w:val="24"/>
        </w:rPr>
      </w:pPr>
    </w:p>
    <w:p w:rsidR="004362CF" w:rsidRPr="004362CF" w:rsidRDefault="004362CF" w:rsidP="004362CF">
      <w:pPr>
        <w:rPr>
          <w:rFonts w:ascii="Calibri" w:hAnsi="Calibri" w:cs="Calibri"/>
          <w:sz w:val="24"/>
          <w:szCs w:val="24"/>
        </w:rPr>
      </w:pPr>
      <w:r w:rsidRPr="004362CF">
        <w:rPr>
          <w:rFonts w:ascii="Calibri" w:hAnsi="Calibri" w:cs="Calibri"/>
          <w:sz w:val="24"/>
          <w:szCs w:val="24"/>
        </w:rPr>
        <w:t>FACS contracted the Association of Children’s Welfare Agencies (ACWA)</w:t>
      </w:r>
      <w:r w:rsidR="008764E1">
        <w:rPr>
          <w:rFonts w:ascii="Calibri" w:hAnsi="Calibri" w:cs="Calibri"/>
          <w:sz w:val="24"/>
          <w:szCs w:val="24"/>
        </w:rPr>
        <w:t xml:space="preserve"> – </w:t>
      </w:r>
      <w:r w:rsidRPr="004362CF">
        <w:rPr>
          <w:rFonts w:ascii="Calibri" w:hAnsi="Calibri" w:cs="Calibri"/>
          <w:sz w:val="24"/>
          <w:szCs w:val="24"/>
        </w:rPr>
        <w:t>Centre for Community Welfare Training (CCWT) to develop and hos</w:t>
      </w:r>
      <w:r w:rsidR="00995435">
        <w:rPr>
          <w:rFonts w:ascii="Calibri" w:hAnsi="Calibri" w:cs="Calibri"/>
          <w:sz w:val="24"/>
          <w:szCs w:val="24"/>
        </w:rPr>
        <w:t>t an online learning ‘community’</w:t>
      </w:r>
      <w:r w:rsidRPr="004362CF">
        <w:rPr>
          <w:rFonts w:ascii="Calibri" w:hAnsi="Calibri" w:cs="Calibri"/>
          <w:sz w:val="24"/>
          <w:szCs w:val="24"/>
        </w:rPr>
        <w:t xml:space="preserve"> to share and develop </w:t>
      </w:r>
      <w:r w:rsidR="00F415B7" w:rsidRPr="004362CF">
        <w:rPr>
          <w:rFonts w:ascii="Calibri" w:hAnsi="Calibri" w:cs="Calibri"/>
          <w:sz w:val="24"/>
          <w:szCs w:val="24"/>
        </w:rPr>
        <w:t>child</w:t>
      </w:r>
      <w:r w:rsidR="00F415B7">
        <w:rPr>
          <w:rFonts w:ascii="Calibri" w:hAnsi="Calibri" w:cs="Calibri"/>
          <w:sz w:val="24"/>
          <w:szCs w:val="24"/>
        </w:rPr>
        <w:t>-</w:t>
      </w:r>
      <w:r w:rsidRPr="004362CF">
        <w:rPr>
          <w:rFonts w:ascii="Calibri" w:hAnsi="Calibri" w:cs="Calibri"/>
          <w:sz w:val="24"/>
          <w:szCs w:val="24"/>
        </w:rPr>
        <w:t xml:space="preserve">focused practice for FACS staff as well as </w:t>
      </w:r>
      <w:r w:rsidR="00F415B7">
        <w:rPr>
          <w:rFonts w:ascii="Calibri" w:hAnsi="Calibri" w:cs="Calibri"/>
          <w:sz w:val="24"/>
          <w:szCs w:val="24"/>
        </w:rPr>
        <w:t xml:space="preserve">for </w:t>
      </w:r>
      <w:r w:rsidRPr="004362CF">
        <w:rPr>
          <w:rFonts w:ascii="Calibri" w:hAnsi="Calibri" w:cs="Calibri"/>
          <w:sz w:val="24"/>
          <w:szCs w:val="24"/>
        </w:rPr>
        <w:t xml:space="preserve">relevant government and </w:t>
      </w:r>
      <w:r w:rsidR="005E67E8">
        <w:rPr>
          <w:rFonts w:ascii="Calibri" w:hAnsi="Calibri" w:cs="Calibri"/>
          <w:sz w:val="24"/>
          <w:szCs w:val="24"/>
        </w:rPr>
        <w:t>community sector</w:t>
      </w:r>
      <w:r w:rsidR="005E67E8" w:rsidRPr="004362CF">
        <w:rPr>
          <w:rFonts w:ascii="Calibri" w:hAnsi="Calibri" w:cs="Calibri"/>
          <w:sz w:val="24"/>
          <w:szCs w:val="24"/>
        </w:rPr>
        <w:t xml:space="preserve"> </w:t>
      </w:r>
      <w:r w:rsidRPr="004362CF">
        <w:rPr>
          <w:rFonts w:ascii="Calibri" w:hAnsi="Calibri" w:cs="Calibri"/>
          <w:sz w:val="24"/>
          <w:szCs w:val="24"/>
        </w:rPr>
        <w:t xml:space="preserve">partners. The site will provide </w:t>
      </w:r>
      <w:r w:rsidR="00F415B7" w:rsidRPr="004362CF">
        <w:rPr>
          <w:rFonts w:ascii="Calibri" w:hAnsi="Calibri" w:cs="Calibri"/>
          <w:sz w:val="24"/>
          <w:szCs w:val="24"/>
        </w:rPr>
        <w:t>self-paced</w:t>
      </w:r>
      <w:r w:rsidRPr="004362CF">
        <w:rPr>
          <w:rFonts w:ascii="Calibri" w:hAnsi="Calibri" w:cs="Calibri"/>
          <w:sz w:val="24"/>
          <w:szCs w:val="24"/>
        </w:rPr>
        <w:t xml:space="preserve"> child protection e-lear</w:t>
      </w:r>
      <w:r w:rsidR="00391C55">
        <w:rPr>
          <w:rFonts w:ascii="Calibri" w:hAnsi="Calibri" w:cs="Calibri"/>
          <w:sz w:val="24"/>
          <w:szCs w:val="24"/>
        </w:rPr>
        <w:t>ning modules which will include topic overviews,</w:t>
      </w:r>
      <w:r w:rsidRPr="004362CF">
        <w:rPr>
          <w:rFonts w:ascii="Calibri" w:hAnsi="Calibri" w:cs="Calibri"/>
          <w:sz w:val="24"/>
          <w:szCs w:val="24"/>
        </w:rPr>
        <w:t xml:space="preserve"> guided demonstrations and quizzes to support staff learning.</w:t>
      </w:r>
      <w:r w:rsidR="00D26B57">
        <w:rPr>
          <w:rFonts w:ascii="Calibri" w:hAnsi="Calibri" w:cs="Calibri"/>
          <w:sz w:val="24"/>
          <w:szCs w:val="24"/>
        </w:rPr>
        <w:t xml:space="preserve"> </w:t>
      </w:r>
      <w:r w:rsidRPr="004362CF">
        <w:rPr>
          <w:rFonts w:ascii="Calibri" w:hAnsi="Calibri" w:cs="Calibri"/>
          <w:sz w:val="24"/>
          <w:szCs w:val="24"/>
        </w:rPr>
        <w:t xml:space="preserve">Participants will be encouraged to share knowledge, ask questions and receive feedback on the e-learning materials as well as </w:t>
      </w:r>
      <w:r w:rsidR="00F415B7">
        <w:rPr>
          <w:rFonts w:ascii="Calibri" w:hAnsi="Calibri" w:cs="Calibri"/>
          <w:sz w:val="24"/>
          <w:szCs w:val="24"/>
        </w:rPr>
        <w:t xml:space="preserve">on </w:t>
      </w:r>
      <w:r w:rsidRPr="004362CF">
        <w:rPr>
          <w:rFonts w:ascii="Calibri" w:hAnsi="Calibri" w:cs="Calibri"/>
          <w:sz w:val="24"/>
          <w:szCs w:val="24"/>
        </w:rPr>
        <w:t>best practice in child protection.</w:t>
      </w:r>
    </w:p>
    <w:p w:rsidR="004362CF" w:rsidRPr="004362CF" w:rsidRDefault="004362CF" w:rsidP="004362CF">
      <w:pPr>
        <w:rPr>
          <w:rFonts w:ascii="Calibri" w:hAnsi="Calibri" w:cs="Calibri"/>
          <w:sz w:val="24"/>
          <w:szCs w:val="24"/>
        </w:rPr>
      </w:pPr>
    </w:p>
    <w:p w:rsidR="004362CF" w:rsidRPr="004362CF" w:rsidRDefault="004362CF" w:rsidP="004362CF">
      <w:pPr>
        <w:rPr>
          <w:rFonts w:ascii="Calibri" w:hAnsi="Calibri" w:cs="Calibri"/>
          <w:sz w:val="24"/>
          <w:szCs w:val="24"/>
        </w:rPr>
      </w:pPr>
      <w:r w:rsidRPr="004362CF">
        <w:rPr>
          <w:rFonts w:ascii="Calibri" w:hAnsi="Calibri" w:cs="Calibri"/>
          <w:sz w:val="24"/>
          <w:szCs w:val="24"/>
        </w:rPr>
        <w:t>An interagency educational neglect working group has been established and is developing an online resource</w:t>
      </w:r>
      <w:r w:rsidR="00391C55">
        <w:rPr>
          <w:rFonts w:ascii="Calibri" w:hAnsi="Calibri" w:cs="Calibri"/>
          <w:sz w:val="24"/>
          <w:szCs w:val="24"/>
        </w:rPr>
        <w:t xml:space="preserve"> about educational neglect.</w:t>
      </w:r>
      <w:r w:rsidR="00D26B57">
        <w:rPr>
          <w:rFonts w:ascii="Calibri" w:hAnsi="Calibri" w:cs="Calibri"/>
          <w:sz w:val="24"/>
          <w:szCs w:val="24"/>
        </w:rPr>
        <w:t xml:space="preserve"> </w:t>
      </w:r>
      <w:r w:rsidR="00391C55">
        <w:rPr>
          <w:rFonts w:ascii="Calibri" w:hAnsi="Calibri" w:cs="Calibri"/>
          <w:sz w:val="24"/>
          <w:szCs w:val="24"/>
        </w:rPr>
        <w:t>The purpose of the resource is</w:t>
      </w:r>
      <w:r w:rsidRPr="004362CF">
        <w:rPr>
          <w:rFonts w:ascii="Calibri" w:hAnsi="Calibri" w:cs="Calibri"/>
          <w:sz w:val="24"/>
          <w:szCs w:val="24"/>
        </w:rPr>
        <w:t xml:space="preserve"> to assist workers from all NSW human services (inclu</w:t>
      </w:r>
      <w:r w:rsidR="00391C55">
        <w:rPr>
          <w:rFonts w:ascii="Calibri" w:hAnsi="Calibri" w:cs="Calibri"/>
          <w:sz w:val="24"/>
          <w:szCs w:val="24"/>
        </w:rPr>
        <w:t xml:space="preserve">ding FACS, the </w:t>
      </w:r>
      <w:r w:rsidR="00923274">
        <w:rPr>
          <w:rFonts w:ascii="Calibri" w:hAnsi="Calibri" w:cs="Calibri"/>
          <w:sz w:val="24"/>
          <w:szCs w:val="24"/>
        </w:rPr>
        <w:t xml:space="preserve">education sector </w:t>
      </w:r>
      <w:r w:rsidR="00391C55">
        <w:rPr>
          <w:rFonts w:ascii="Calibri" w:hAnsi="Calibri" w:cs="Calibri"/>
          <w:sz w:val="24"/>
          <w:szCs w:val="24"/>
        </w:rPr>
        <w:t xml:space="preserve">and government and </w:t>
      </w:r>
      <w:r w:rsidR="00C8305C">
        <w:rPr>
          <w:rFonts w:ascii="Calibri" w:hAnsi="Calibri" w:cs="Calibri"/>
          <w:sz w:val="24"/>
          <w:szCs w:val="24"/>
        </w:rPr>
        <w:t>community sector</w:t>
      </w:r>
      <w:r w:rsidRPr="004362CF">
        <w:rPr>
          <w:rFonts w:ascii="Calibri" w:hAnsi="Calibri" w:cs="Calibri"/>
          <w:sz w:val="24"/>
          <w:szCs w:val="24"/>
        </w:rPr>
        <w:t xml:space="preserve"> agencies) to understand more about educational neglect, why it is of concern, what to do if they become aware of a situation of educational neglect and how they may play a role in early intervention or in an interagency response to educational neglect. </w:t>
      </w:r>
    </w:p>
    <w:p w:rsidR="004362CF" w:rsidRPr="004362CF" w:rsidRDefault="004362CF" w:rsidP="004362CF">
      <w:pPr>
        <w:rPr>
          <w:rFonts w:ascii="Calibri" w:hAnsi="Calibri" w:cs="Calibri"/>
          <w:sz w:val="24"/>
          <w:szCs w:val="24"/>
        </w:rPr>
      </w:pPr>
    </w:p>
    <w:p w:rsidR="004362CF" w:rsidRPr="004362CF" w:rsidRDefault="004362CF" w:rsidP="004362CF">
      <w:pPr>
        <w:rPr>
          <w:rFonts w:ascii="Calibri" w:hAnsi="Calibri" w:cs="Calibri"/>
          <w:sz w:val="24"/>
          <w:szCs w:val="24"/>
        </w:rPr>
      </w:pPr>
      <w:proofErr w:type="gramStart"/>
      <w:r w:rsidRPr="004362CF">
        <w:rPr>
          <w:rFonts w:ascii="Calibri" w:hAnsi="Calibri" w:cs="Calibri"/>
          <w:sz w:val="24"/>
          <w:szCs w:val="24"/>
        </w:rPr>
        <w:t>FACS</w:t>
      </w:r>
      <w:r w:rsidR="0059292D">
        <w:rPr>
          <w:rFonts w:ascii="Calibri" w:hAnsi="Calibri" w:cs="Calibri"/>
          <w:sz w:val="24"/>
          <w:szCs w:val="24"/>
        </w:rPr>
        <w:t>(</w:t>
      </w:r>
      <w:proofErr w:type="gramEnd"/>
      <w:r w:rsidR="0059292D">
        <w:rPr>
          <w:rFonts w:ascii="Calibri" w:hAnsi="Calibri" w:cs="Calibri"/>
          <w:sz w:val="24"/>
          <w:szCs w:val="24"/>
        </w:rPr>
        <w:t>CS)</w:t>
      </w:r>
      <w:r w:rsidRPr="004362CF">
        <w:rPr>
          <w:rFonts w:ascii="Calibri" w:hAnsi="Calibri" w:cs="Calibri"/>
          <w:sz w:val="24"/>
          <w:szCs w:val="24"/>
        </w:rPr>
        <w:t xml:space="preserve"> is establishing Child Protection Adolescent Response Teams (CPART) across the whole of NSW. CPART</w:t>
      </w:r>
      <w:r w:rsidR="00F415B7">
        <w:rPr>
          <w:rFonts w:ascii="Calibri" w:hAnsi="Calibri" w:cs="Calibri"/>
          <w:sz w:val="24"/>
          <w:szCs w:val="24"/>
        </w:rPr>
        <w:t>s</w:t>
      </w:r>
      <w:r w:rsidRPr="004362CF">
        <w:rPr>
          <w:rFonts w:ascii="Calibri" w:hAnsi="Calibri" w:cs="Calibri"/>
          <w:sz w:val="24"/>
          <w:szCs w:val="24"/>
        </w:rPr>
        <w:t xml:space="preserve"> involve caseworkers providing child protection case management to adolescents aged 12 to 17 years </w:t>
      </w:r>
      <w:r w:rsidR="0060564A">
        <w:rPr>
          <w:rFonts w:ascii="Calibri" w:hAnsi="Calibri" w:cs="Calibri"/>
          <w:sz w:val="24"/>
          <w:szCs w:val="24"/>
        </w:rPr>
        <w:t>(</w:t>
      </w:r>
      <w:r w:rsidRPr="004362CF">
        <w:rPr>
          <w:rFonts w:ascii="Calibri" w:hAnsi="Calibri" w:cs="Calibri"/>
          <w:sz w:val="24"/>
          <w:szCs w:val="24"/>
        </w:rPr>
        <w:t>and their families</w:t>
      </w:r>
      <w:r w:rsidR="0060564A">
        <w:rPr>
          <w:rFonts w:ascii="Calibri" w:hAnsi="Calibri" w:cs="Calibri"/>
          <w:sz w:val="24"/>
          <w:szCs w:val="24"/>
        </w:rPr>
        <w:t>)</w:t>
      </w:r>
      <w:r w:rsidRPr="004362CF">
        <w:rPr>
          <w:rFonts w:ascii="Calibri" w:hAnsi="Calibri" w:cs="Calibri"/>
          <w:sz w:val="24"/>
          <w:szCs w:val="24"/>
        </w:rPr>
        <w:t xml:space="preserve"> who are not in </w:t>
      </w:r>
      <w:r w:rsidR="00391C55">
        <w:rPr>
          <w:rFonts w:ascii="Calibri" w:hAnsi="Calibri" w:cs="Calibri"/>
          <w:sz w:val="24"/>
          <w:szCs w:val="24"/>
        </w:rPr>
        <w:t>out-of-home care</w:t>
      </w:r>
      <w:r w:rsidRPr="004362CF">
        <w:rPr>
          <w:rFonts w:ascii="Calibri" w:hAnsi="Calibri" w:cs="Calibri"/>
          <w:sz w:val="24"/>
          <w:szCs w:val="24"/>
        </w:rPr>
        <w:t xml:space="preserve"> but are reported </w:t>
      </w:r>
      <w:r w:rsidR="00F415B7">
        <w:rPr>
          <w:rFonts w:ascii="Calibri" w:hAnsi="Calibri" w:cs="Calibri"/>
          <w:sz w:val="24"/>
          <w:szCs w:val="24"/>
        </w:rPr>
        <w:t xml:space="preserve">to be </w:t>
      </w:r>
      <w:r w:rsidRPr="004362CF">
        <w:rPr>
          <w:rFonts w:ascii="Calibri" w:hAnsi="Calibri" w:cs="Calibri"/>
          <w:sz w:val="24"/>
          <w:szCs w:val="24"/>
        </w:rPr>
        <w:t xml:space="preserve">at risk of significant harm or where serious concerns </w:t>
      </w:r>
      <w:r w:rsidR="00F415B7">
        <w:rPr>
          <w:rFonts w:ascii="Calibri" w:hAnsi="Calibri" w:cs="Calibri"/>
          <w:sz w:val="24"/>
          <w:szCs w:val="24"/>
        </w:rPr>
        <w:t xml:space="preserve">exist </w:t>
      </w:r>
      <w:r w:rsidRPr="004362CF">
        <w:rPr>
          <w:rFonts w:ascii="Calibri" w:hAnsi="Calibri" w:cs="Calibri"/>
          <w:sz w:val="24"/>
          <w:szCs w:val="24"/>
        </w:rPr>
        <w:t xml:space="preserve">for their safety. </w:t>
      </w:r>
    </w:p>
    <w:p w:rsidR="004362CF" w:rsidRPr="004362CF" w:rsidRDefault="004362CF" w:rsidP="004362CF">
      <w:pPr>
        <w:rPr>
          <w:rFonts w:ascii="Calibri" w:hAnsi="Calibri" w:cs="Calibri"/>
          <w:sz w:val="24"/>
          <w:szCs w:val="24"/>
        </w:rPr>
      </w:pPr>
    </w:p>
    <w:p w:rsidR="004362CF" w:rsidRPr="004362CF" w:rsidRDefault="004362CF" w:rsidP="004362CF">
      <w:pPr>
        <w:rPr>
          <w:rFonts w:ascii="Calibri" w:hAnsi="Calibri" w:cs="Calibri"/>
          <w:sz w:val="24"/>
          <w:szCs w:val="24"/>
        </w:rPr>
      </w:pPr>
      <w:r w:rsidRPr="004362CF">
        <w:rPr>
          <w:rFonts w:ascii="Calibri" w:hAnsi="Calibri" w:cs="Calibri"/>
          <w:sz w:val="24"/>
          <w:szCs w:val="24"/>
        </w:rPr>
        <w:t xml:space="preserve">Child, Youth and Family Support (CYFS) </w:t>
      </w:r>
      <w:proofErr w:type="gramStart"/>
      <w:r w:rsidRPr="004362CF">
        <w:rPr>
          <w:rFonts w:ascii="Calibri" w:hAnsi="Calibri" w:cs="Calibri"/>
          <w:sz w:val="24"/>
          <w:szCs w:val="24"/>
        </w:rPr>
        <w:t>delivers</w:t>
      </w:r>
      <w:proofErr w:type="gramEnd"/>
      <w:r w:rsidRPr="004362CF">
        <w:rPr>
          <w:rFonts w:ascii="Calibri" w:hAnsi="Calibri" w:cs="Calibri"/>
          <w:sz w:val="24"/>
          <w:szCs w:val="24"/>
        </w:rPr>
        <w:t xml:space="preserve"> targeted short-term services and support to children, young people and families at low to medium risk.</w:t>
      </w:r>
      <w:r w:rsidR="00D26B57">
        <w:rPr>
          <w:rFonts w:ascii="Calibri" w:hAnsi="Calibri" w:cs="Calibri"/>
          <w:sz w:val="24"/>
          <w:szCs w:val="24"/>
        </w:rPr>
        <w:t xml:space="preserve"> </w:t>
      </w:r>
      <w:r w:rsidRPr="004362CF">
        <w:rPr>
          <w:rFonts w:ascii="Calibri" w:hAnsi="Calibri" w:cs="Calibri"/>
          <w:sz w:val="24"/>
          <w:szCs w:val="24"/>
        </w:rPr>
        <w:t xml:space="preserve">The aim is to prevent problems from escalating and </w:t>
      </w:r>
      <w:r w:rsidR="00F415B7">
        <w:rPr>
          <w:rFonts w:ascii="Calibri" w:hAnsi="Calibri" w:cs="Calibri"/>
          <w:sz w:val="24"/>
          <w:szCs w:val="24"/>
        </w:rPr>
        <w:t xml:space="preserve">so </w:t>
      </w:r>
      <w:r w:rsidRPr="004362CF">
        <w:rPr>
          <w:rFonts w:ascii="Calibri" w:hAnsi="Calibri" w:cs="Calibri"/>
          <w:sz w:val="24"/>
          <w:szCs w:val="24"/>
        </w:rPr>
        <w:t xml:space="preserve">reduce demand for more intensive services. There are approximately </w:t>
      </w:r>
      <w:r w:rsidR="004004DF">
        <w:rPr>
          <w:rFonts w:ascii="Calibri" w:hAnsi="Calibri" w:cs="Calibri"/>
          <w:sz w:val="24"/>
          <w:szCs w:val="24"/>
        </w:rPr>
        <w:t>30</w:t>
      </w:r>
      <w:r w:rsidR="004004DF" w:rsidRPr="004362CF">
        <w:rPr>
          <w:rFonts w:ascii="Calibri" w:hAnsi="Calibri" w:cs="Calibri"/>
          <w:sz w:val="24"/>
          <w:szCs w:val="24"/>
        </w:rPr>
        <w:t xml:space="preserve">0 </w:t>
      </w:r>
      <w:r w:rsidRPr="004362CF">
        <w:rPr>
          <w:rFonts w:ascii="Calibri" w:hAnsi="Calibri" w:cs="Calibri"/>
          <w:sz w:val="24"/>
          <w:szCs w:val="24"/>
        </w:rPr>
        <w:t>CYFS services across NSW</w:t>
      </w:r>
      <w:r w:rsidR="00F415B7">
        <w:rPr>
          <w:rFonts w:ascii="Calibri" w:hAnsi="Calibri" w:cs="Calibri"/>
          <w:sz w:val="24"/>
          <w:szCs w:val="24"/>
        </w:rPr>
        <w:t>,</w:t>
      </w:r>
      <w:r w:rsidRPr="004362CF">
        <w:rPr>
          <w:rFonts w:ascii="Calibri" w:hAnsi="Calibri" w:cs="Calibri"/>
          <w:sz w:val="24"/>
          <w:szCs w:val="24"/>
        </w:rPr>
        <w:t xml:space="preserve"> offering a range of services for the target group.</w:t>
      </w:r>
      <w:r w:rsidR="00D26B57">
        <w:rPr>
          <w:rFonts w:ascii="Calibri" w:hAnsi="Calibri" w:cs="Calibri"/>
          <w:sz w:val="24"/>
          <w:szCs w:val="24"/>
        </w:rPr>
        <w:t xml:space="preserve"> </w:t>
      </w:r>
      <w:r w:rsidRPr="004362CF">
        <w:rPr>
          <w:rFonts w:ascii="Calibri" w:hAnsi="Calibri" w:cs="Calibri"/>
          <w:sz w:val="24"/>
          <w:szCs w:val="24"/>
        </w:rPr>
        <w:t>On average, families will receive approximately three</w:t>
      </w:r>
      <w:r w:rsidR="00391C55">
        <w:rPr>
          <w:rFonts w:ascii="Calibri" w:hAnsi="Calibri" w:cs="Calibri"/>
          <w:sz w:val="24"/>
          <w:szCs w:val="24"/>
        </w:rPr>
        <w:t xml:space="preserve"> months of services and support.</w:t>
      </w:r>
      <w:r w:rsidR="00D26B57">
        <w:rPr>
          <w:rFonts w:ascii="Calibri" w:hAnsi="Calibri" w:cs="Calibri"/>
          <w:sz w:val="24"/>
          <w:szCs w:val="24"/>
        </w:rPr>
        <w:t xml:space="preserve"> </w:t>
      </w:r>
      <w:r w:rsidR="00391C55">
        <w:rPr>
          <w:rFonts w:ascii="Calibri" w:hAnsi="Calibri" w:cs="Calibri"/>
          <w:sz w:val="24"/>
          <w:szCs w:val="24"/>
        </w:rPr>
        <w:t>H</w:t>
      </w:r>
      <w:r w:rsidRPr="004362CF">
        <w:rPr>
          <w:rFonts w:ascii="Calibri" w:hAnsi="Calibri" w:cs="Calibri"/>
          <w:sz w:val="24"/>
          <w:szCs w:val="24"/>
        </w:rPr>
        <w:t>owever</w:t>
      </w:r>
      <w:r w:rsidR="00391C55">
        <w:rPr>
          <w:rFonts w:ascii="Calibri" w:hAnsi="Calibri" w:cs="Calibri"/>
          <w:sz w:val="24"/>
          <w:szCs w:val="24"/>
        </w:rPr>
        <w:t>,</w:t>
      </w:r>
      <w:r w:rsidRPr="004362CF">
        <w:rPr>
          <w:rFonts w:ascii="Calibri" w:hAnsi="Calibri" w:cs="Calibri"/>
          <w:sz w:val="24"/>
          <w:szCs w:val="24"/>
        </w:rPr>
        <w:t xml:space="preserve"> service provision can be extended where necessary.</w:t>
      </w:r>
      <w:r w:rsidR="00D26B57">
        <w:rPr>
          <w:rFonts w:ascii="Calibri" w:hAnsi="Calibri" w:cs="Calibri"/>
          <w:sz w:val="24"/>
          <w:szCs w:val="24"/>
        </w:rPr>
        <w:t xml:space="preserve"> </w:t>
      </w:r>
      <w:r w:rsidRPr="004362CF">
        <w:rPr>
          <w:rFonts w:ascii="Calibri" w:hAnsi="Calibri" w:cs="Calibri"/>
          <w:sz w:val="24"/>
          <w:szCs w:val="24"/>
        </w:rPr>
        <w:t>FACS provided approx</w:t>
      </w:r>
      <w:r w:rsidR="00995435">
        <w:rPr>
          <w:rFonts w:ascii="Calibri" w:hAnsi="Calibri" w:cs="Calibri"/>
          <w:sz w:val="24"/>
          <w:szCs w:val="24"/>
        </w:rPr>
        <w:t>imately $</w:t>
      </w:r>
      <w:r w:rsidR="00B32812">
        <w:rPr>
          <w:rFonts w:ascii="Calibri" w:hAnsi="Calibri" w:cs="Calibri"/>
          <w:sz w:val="24"/>
          <w:szCs w:val="24"/>
        </w:rPr>
        <w:t xml:space="preserve">51.5 </w:t>
      </w:r>
      <w:r w:rsidR="00995435">
        <w:rPr>
          <w:rFonts w:ascii="Calibri" w:hAnsi="Calibri" w:cs="Calibri"/>
          <w:sz w:val="24"/>
          <w:szCs w:val="24"/>
        </w:rPr>
        <w:t>million during 2012</w:t>
      </w:r>
      <w:r w:rsidR="00F415B7">
        <w:rPr>
          <w:rFonts w:ascii="Calibri" w:hAnsi="Calibri" w:cs="Calibri"/>
          <w:sz w:val="24"/>
          <w:szCs w:val="24"/>
        </w:rPr>
        <w:t>–</w:t>
      </w:r>
      <w:r w:rsidRPr="004362CF">
        <w:rPr>
          <w:rFonts w:ascii="Calibri" w:hAnsi="Calibri" w:cs="Calibri"/>
          <w:sz w:val="24"/>
          <w:szCs w:val="24"/>
        </w:rPr>
        <w:t>13 for the program</w:t>
      </w:r>
      <w:r w:rsidR="00F415B7">
        <w:rPr>
          <w:rFonts w:ascii="Calibri" w:hAnsi="Calibri" w:cs="Calibri"/>
          <w:sz w:val="24"/>
          <w:szCs w:val="24"/>
        </w:rPr>
        <w:t>,</w:t>
      </w:r>
      <w:r w:rsidRPr="004362CF">
        <w:rPr>
          <w:rFonts w:ascii="Calibri" w:hAnsi="Calibri" w:cs="Calibri"/>
          <w:sz w:val="24"/>
          <w:szCs w:val="24"/>
        </w:rPr>
        <w:t xml:space="preserve"> and an estimated </w:t>
      </w:r>
      <w:r w:rsidR="00B32812">
        <w:rPr>
          <w:rFonts w:ascii="Calibri" w:hAnsi="Calibri" w:cs="Calibri"/>
          <w:sz w:val="24"/>
          <w:szCs w:val="24"/>
        </w:rPr>
        <w:t>5</w:t>
      </w:r>
      <w:r w:rsidR="003D30B0">
        <w:rPr>
          <w:rFonts w:ascii="Calibri" w:hAnsi="Calibri" w:cs="Calibri"/>
          <w:sz w:val="24"/>
          <w:szCs w:val="24"/>
        </w:rPr>
        <w:t xml:space="preserve">5 000 </w:t>
      </w:r>
      <w:r w:rsidRPr="004362CF">
        <w:rPr>
          <w:rFonts w:ascii="Calibri" w:hAnsi="Calibri" w:cs="Calibri"/>
          <w:sz w:val="24"/>
          <w:szCs w:val="24"/>
        </w:rPr>
        <w:t xml:space="preserve">clients </w:t>
      </w:r>
      <w:r w:rsidR="00995435">
        <w:rPr>
          <w:rFonts w:ascii="Calibri" w:hAnsi="Calibri" w:cs="Calibri"/>
          <w:sz w:val="24"/>
          <w:szCs w:val="24"/>
        </w:rPr>
        <w:t>received a CYFS service in 2012</w:t>
      </w:r>
      <w:r w:rsidR="00F415B7">
        <w:rPr>
          <w:rFonts w:ascii="Calibri" w:hAnsi="Calibri" w:cs="Calibri"/>
          <w:sz w:val="24"/>
          <w:szCs w:val="24"/>
        </w:rPr>
        <w:t>–</w:t>
      </w:r>
      <w:r w:rsidRPr="004362CF">
        <w:rPr>
          <w:rFonts w:ascii="Calibri" w:hAnsi="Calibri" w:cs="Calibri"/>
          <w:sz w:val="24"/>
          <w:szCs w:val="24"/>
        </w:rPr>
        <w:t xml:space="preserve">13. </w:t>
      </w:r>
    </w:p>
    <w:p w:rsidR="004362CF" w:rsidRPr="004362CF" w:rsidRDefault="004362CF" w:rsidP="004362CF">
      <w:pPr>
        <w:rPr>
          <w:rFonts w:ascii="Calibri" w:hAnsi="Calibri" w:cs="Calibri"/>
          <w:sz w:val="24"/>
          <w:szCs w:val="24"/>
        </w:rPr>
      </w:pPr>
    </w:p>
    <w:p w:rsidR="004362CF" w:rsidRPr="004362CF" w:rsidRDefault="004362CF" w:rsidP="004362CF">
      <w:pPr>
        <w:rPr>
          <w:rFonts w:ascii="Calibri" w:hAnsi="Calibri" w:cs="Calibri"/>
          <w:sz w:val="24"/>
          <w:szCs w:val="24"/>
        </w:rPr>
      </w:pPr>
      <w:r w:rsidRPr="004362CF">
        <w:rPr>
          <w:rFonts w:ascii="Calibri" w:hAnsi="Calibri" w:cs="Calibri"/>
          <w:sz w:val="24"/>
          <w:szCs w:val="24"/>
        </w:rPr>
        <w:t xml:space="preserve">Getting It Together Program (GIT) is an early intervention program that assists vulnerable young people </w:t>
      </w:r>
      <w:r w:rsidR="00F415B7">
        <w:rPr>
          <w:rFonts w:ascii="Calibri" w:hAnsi="Calibri" w:cs="Calibri"/>
          <w:sz w:val="24"/>
          <w:szCs w:val="24"/>
        </w:rPr>
        <w:t xml:space="preserve">from </w:t>
      </w:r>
      <w:r w:rsidRPr="004362CF">
        <w:rPr>
          <w:rFonts w:ascii="Calibri" w:hAnsi="Calibri" w:cs="Calibri"/>
          <w:sz w:val="24"/>
          <w:szCs w:val="24"/>
        </w:rPr>
        <w:t>12 to 25 years of age with alcohol and/or drug problems.</w:t>
      </w:r>
      <w:r w:rsidR="00D26B57">
        <w:rPr>
          <w:rFonts w:ascii="Calibri" w:hAnsi="Calibri" w:cs="Calibri"/>
          <w:sz w:val="24"/>
          <w:szCs w:val="24"/>
        </w:rPr>
        <w:t xml:space="preserve"> </w:t>
      </w:r>
      <w:r w:rsidRPr="004362CF">
        <w:rPr>
          <w:rFonts w:ascii="Calibri" w:hAnsi="Calibri" w:cs="Calibri"/>
          <w:sz w:val="24"/>
          <w:szCs w:val="24"/>
        </w:rPr>
        <w:t>Vulnerable young people receive services and support to assist their transition to</w:t>
      </w:r>
      <w:r w:rsidR="00391C55">
        <w:rPr>
          <w:rFonts w:ascii="Calibri" w:hAnsi="Calibri" w:cs="Calibri"/>
          <w:sz w:val="24"/>
          <w:szCs w:val="24"/>
        </w:rPr>
        <w:t xml:space="preserve">, </w:t>
      </w:r>
      <w:r w:rsidRPr="004362CF">
        <w:rPr>
          <w:rFonts w:ascii="Calibri" w:hAnsi="Calibri" w:cs="Calibri"/>
          <w:sz w:val="24"/>
          <w:szCs w:val="24"/>
        </w:rPr>
        <w:t xml:space="preserve">or </w:t>
      </w:r>
      <w:r w:rsidR="0060564A" w:rsidRPr="004362CF">
        <w:rPr>
          <w:rFonts w:ascii="Calibri" w:hAnsi="Calibri" w:cs="Calibri"/>
          <w:sz w:val="24"/>
          <w:szCs w:val="24"/>
        </w:rPr>
        <w:t>resum</w:t>
      </w:r>
      <w:r w:rsidR="0060564A">
        <w:rPr>
          <w:rFonts w:ascii="Calibri" w:hAnsi="Calibri" w:cs="Calibri"/>
          <w:sz w:val="24"/>
          <w:szCs w:val="24"/>
        </w:rPr>
        <w:t>ption of</w:t>
      </w:r>
      <w:r w:rsidR="00391C55">
        <w:rPr>
          <w:rFonts w:ascii="Calibri" w:hAnsi="Calibri" w:cs="Calibri"/>
          <w:sz w:val="24"/>
          <w:szCs w:val="24"/>
        </w:rPr>
        <w:t>,</w:t>
      </w:r>
      <w:r w:rsidRPr="004362CF">
        <w:rPr>
          <w:rFonts w:ascii="Calibri" w:hAnsi="Calibri" w:cs="Calibri"/>
          <w:sz w:val="24"/>
          <w:szCs w:val="24"/>
        </w:rPr>
        <w:t xml:space="preserve"> </w:t>
      </w:r>
      <w:r w:rsidR="00F415B7" w:rsidRPr="004362CF">
        <w:rPr>
          <w:rFonts w:ascii="Calibri" w:hAnsi="Calibri" w:cs="Calibri"/>
          <w:sz w:val="24"/>
          <w:szCs w:val="24"/>
        </w:rPr>
        <w:t>self</w:t>
      </w:r>
      <w:r w:rsidR="00F415B7">
        <w:rPr>
          <w:rFonts w:ascii="Calibri" w:hAnsi="Calibri" w:cs="Calibri"/>
          <w:sz w:val="24"/>
          <w:szCs w:val="24"/>
        </w:rPr>
        <w:t>-</w:t>
      </w:r>
      <w:r w:rsidRPr="004362CF">
        <w:rPr>
          <w:rFonts w:ascii="Calibri" w:hAnsi="Calibri" w:cs="Calibri"/>
          <w:sz w:val="24"/>
          <w:szCs w:val="24"/>
        </w:rPr>
        <w:t>sufficient living, free of dependence on alcohol and/or drugs.</w:t>
      </w:r>
      <w:r w:rsidR="00D26B57">
        <w:rPr>
          <w:rFonts w:ascii="Calibri" w:hAnsi="Calibri" w:cs="Calibri"/>
          <w:sz w:val="24"/>
          <w:szCs w:val="24"/>
        </w:rPr>
        <w:t xml:space="preserve"> </w:t>
      </w:r>
      <w:r w:rsidRPr="004362CF">
        <w:rPr>
          <w:rFonts w:ascii="Calibri" w:hAnsi="Calibri" w:cs="Calibri"/>
          <w:sz w:val="24"/>
          <w:szCs w:val="24"/>
        </w:rPr>
        <w:t xml:space="preserve">FACS funds </w:t>
      </w:r>
      <w:r w:rsidR="00C8305C">
        <w:rPr>
          <w:rFonts w:ascii="Calibri" w:hAnsi="Calibri" w:cs="Calibri"/>
          <w:sz w:val="24"/>
          <w:szCs w:val="24"/>
        </w:rPr>
        <w:t>community sector</w:t>
      </w:r>
      <w:r w:rsidRPr="004362CF">
        <w:rPr>
          <w:rFonts w:ascii="Calibri" w:hAnsi="Calibri" w:cs="Calibri"/>
          <w:sz w:val="24"/>
          <w:szCs w:val="24"/>
        </w:rPr>
        <w:t xml:space="preserve"> organisations to provide case management services</w:t>
      </w:r>
      <w:r w:rsidR="0060564A">
        <w:rPr>
          <w:rFonts w:ascii="Calibri" w:hAnsi="Calibri" w:cs="Calibri"/>
          <w:sz w:val="24"/>
          <w:szCs w:val="24"/>
        </w:rPr>
        <w:t xml:space="preserve"> such as</w:t>
      </w:r>
      <w:r w:rsidRPr="004362CF">
        <w:rPr>
          <w:rFonts w:ascii="Calibri" w:hAnsi="Calibri" w:cs="Calibri"/>
          <w:sz w:val="24"/>
          <w:szCs w:val="24"/>
        </w:rPr>
        <w:t xml:space="preserve"> assessment and case planning (including referral), </w:t>
      </w:r>
      <w:r w:rsidR="00F415B7">
        <w:rPr>
          <w:rFonts w:ascii="Calibri" w:hAnsi="Calibri" w:cs="Calibri"/>
          <w:sz w:val="24"/>
          <w:szCs w:val="24"/>
        </w:rPr>
        <w:t>casework</w:t>
      </w:r>
      <w:r w:rsidRPr="004362CF">
        <w:rPr>
          <w:rFonts w:ascii="Calibri" w:hAnsi="Calibri" w:cs="Calibri"/>
          <w:sz w:val="24"/>
          <w:szCs w:val="24"/>
        </w:rPr>
        <w:t xml:space="preserve"> and brokerage to address the income, health, social support, educational, employment, training and accommodation needs of these young people.</w:t>
      </w:r>
      <w:r w:rsidR="00A43557">
        <w:rPr>
          <w:rFonts w:ascii="Calibri" w:hAnsi="Calibri" w:cs="Calibri"/>
          <w:sz w:val="24"/>
          <w:szCs w:val="24"/>
        </w:rPr>
        <w:t xml:space="preserve"> </w:t>
      </w:r>
      <w:r w:rsidRPr="004362CF">
        <w:rPr>
          <w:rFonts w:ascii="Calibri" w:hAnsi="Calibri" w:cs="Calibri"/>
          <w:sz w:val="24"/>
          <w:szCs w:val="24"/>
        </w:rPr>
        <w:t>In 2012</w:t>
      </w:r>
      <w:r w:rsidR="001B6392">
        <w:rPr>
          <w:rFonts w:ascii="Calibri" w:hAnsi="Calibri" w:cs="Calibri"/>
          <w:sz w:val="24"/>
          <w:szCs w:val="24"/>
        </w:rPr>
        <w:t>–</w:t>
      </w:r>
      <w:r w:rsidRPr="004362CF">
        <w:rPr>
          <w:rFonts w:ascii="Calibri" w:hAnsi="Calibri" w:cs="Calibri"/>
          <w:sz w:val="24"/>
          <w:szCs w:val="24"/>
        </w:rPr>
        <w:t>13</w:t>
      </w:r>
      <w:r w:rsidR="001B6392">
        <w:rPr>
          <w:rFonts w:ascii="Calibri" w:hAnsi="Calibri" w:cs="Calibri"/>
          <w:sz w:val="24"/>
          <w:szCs w:val="24"/>
        </w:rPr>
        <w:t>,</w:t>
      </w:r>
      <w:r w:rsidRPr="004362CF">
        <w:rPr>
          <w:rFonts w:ascii="Calibri" w:hAnsi="Calibri" w:cs="Calibri"/>
          <w:sz w:val="24"/>
          <w:szCs w:val="24"/>
        </w:rPr>
        <w:t xml:space="preserve"> FACS provided approximately $</w:t>
      </w:r>
      <w:r w:rsidR="00B32812">
        <w:rPr>
          <w:rFonts w:ascii="Calibri" w:hAnsi="Calibri" w:cs="Calibri"/>
          <w:sz w:val="24"/>
          <w:szCs w:val="24"/>
        </w:rPr>
        <w:t xml:space="preserve">2.1 </w:t>
      </w:r>
      <w:r w:rsidRPr="004362CF">
        <w:rPr>
          <w:rFonts w:ascii="Calibri" w:hAnsi="Calibri" w:cs="Calibri"/>
          <w:sz w:val="24"/>
          <w:szCs w:val="24"/>
        </w:rPr>
        <w:t xml:space="preserve">million for GIT services. Approximately </w:t>
      </w:r>
      <w:r w:rsidR="00B32812">
        <w:rPr>
          <w:rFonts w:ascii="Calibri" w:hAnsi="Calibri" w:cs="Calibri"/>
          <w:sz w:val="24"/>
          <w:szCs w:val="24"/>
        </w:rPr>
        <w:t>1722</w:t>
      </w:r>
      <w:r w:rsidRPr="004362CF">
        <w:rPr>
          <w:rFonts w:ascii="Calibri" w:hAnsi="Calibri" w:cs="Calibri"/>
          <w:sz w:val="24"/>
          <w:szCs w:val="24"/>
        </w:rPr>
        <w:t xml:space="preserve"> individual young persons received a GIT service in 2012</w:t>
      </w:r>
      <w:r w:rsidR="001B6392">
        <w:rPr>
          <w:rFonts w:ascii="Calibri" w:hAnsi="Calibri" w:cs="Calibri"/>
          <w:sz w:val="24"/>
          <w:szCs w:val="24"/>
        </w:rPr>
        <w:t>–</w:t>
      </w:r>
      <w:r w:rsidRPr="004362CF">
        <w:rPr>
          <w:rFonts w:ascii="Calibri" w:hAnsi="Calibri" w:cs="Calibri"/>
          <w:sz w:val="24"/>
          <w:szCs w:val="24"/>
        </w:rPr>
        <w:t>13.</w:t>
      </w:r>
      <w:r w:rsidR="00D26B57">
        <w:rPr>
          <w:rFonts w:ascii="Calibri" w:hAnsi="Calibri" w:cs="Calibri"/>
          <w:sz w:val="24"/>
          <w:szCs w:val="24"/>
        </w:rPr>
        <w:t xml:space="preserve"> </w:t>
      </w:r>
    </w:p>
    <w:p w:rsidR="004362CF" w:rsidRPr="004362CF" w:rsidRDefault="004362CF" w:rsidP="004362CF">
      <w:pPr>
        <w:rPr>
          <w:rFonts w:ascii="Calibri" w:hAnsi="Calibri" w:cs="Calibri"/>
          <w:sz w:val="24"/>
          <w:szCs w:val="24"/>
        </w:rPr>
      </w:pPr>
    </w:p>
    <w:p w:rsidR="004362CF" w:rsidRPr="004362CF" w:rsidRDefault="004362CF" w:rsidP="004362CF">
      <w:pPr>
        <w:rPr>
          <w:rFonts w:ascii="Calibri" w:hAnsi="Calibri" w:cs="Calibri"/>
          <w:sz w:val="24"/>
          <w:szCs w:val="24"/>
        </w:rPr>
      </w:pPr>
      <w:r w:rsidRPr="004362CF">
        <w:rPr>
          <w:rFonts w:ascii="Calibri" w:hAnsi="Calibri" w:cs="Calibri"/>
          <w:sz w:val="24"/>
          <w:szCs w:val="24"/>
        </w:rPr>
        <w:t xml:space="preserve">Getting on Track in Time </w:t>
      </w:r>
      <w:r w:rsidR="001B6392">
        <w:rPr>
          <w:rFonts w:ascii="Calibri" w:hAnsi="Calibri" w:cs="Calibri"/>
          <w:sz w:val="24"/>
          <w:szCs w:val="24"/>
        </w:rPr>
        <w:t>(</w:t>
      </w:r>
      <w:r w:rsidRPr="004362CF">
        <w:rPr>
          <w:rFonts w:ascii="Calibri" w:hAnsi="Calibri" w:cs="Calibri"/>
          <w:sz w:val="24"/>
          <w:szCs w:val="24"/>
        </w:rPr>
        <w:t>Got It!</w:t>
      </w:r>
      <w:r w:rsidR="001B6392">
        <w:rPr>
          <w:rFonts w:ascii="Calibri" w:hAnsi="Calibri" w:cs="Calibri"/>
          <w:sz w:val="24"/>
          <w:szCs w:val="24"/>
        </w:rPr>
        <w:t>)</w:t>
      </w:r>
      <w:r w:rsidRPr="004362CF">
        <w:rPr>
          <w:rFonts w:ascii="Calibri" w:hAnsi="Calibri" w:cs="Calibri"/>
          <w:sz w:val="24"/>
          <w:szCs w:val="24"/>
        </w:rPr>
        <w:t xml:space="preserve"> is a school-based mental health early intervention pilot program, funded under Keep</w:t>
      </w:r>
      <w:r w:rsidR="00391C55">
        <w:rPr>
          <w:rFonts w:ascii="Calibri" w:hAnsi="Calibri" w:cs="Calibri"/>
          <w:sz w:val="24"/>
          <w:szCs w:val="24"/>
        </w:rPr>
        <w:t xml:space="preserve"> Them Safe until June 2014. The program</w:t>
      </w:r>
      <w:r w:rsidRPr="004362CF">
        <w:rPr>
          <w:rFonts w:ascii="Calibri" w:hAnsi="Calibri" w:cs="Calibri"/>
          <w:sz w:val="24"/>
          <w:szCs w:val="24"/>
        </w:rPr>
        <w:t xml:space="preserve"> aims to reduce the frequency and prevent the development of severe behaviour problems, such as conduct disorder in children at selected schools from Kindergarten to Grade 2. It also aims to improve schools</w:t>
      </w:r>
      <w:r w:rsidR="001B6392">
        <w:rPr>
          <w:rFonts w:ascii="Calibri" w:hAnsi="Calibri" w:cs="Calibri"/>
          <w:sz w:val="24"/>
          <w:szCs w:val="24"/>
        </w:rPr>
        <w:t>’</w:t>
      </w:r>
      <w:r w:rsidRPr="004362CF">
        <w:rPr>
          <w:rFonts w:ascii="Calibri" w:hAnsi="Calibri" w:cs="Calibri"/>
          <w:sz w:val="24"/>
          <w:szCs w:val="24"/>
        </w:rPr>
        <w:t xml:space="preserve"> capacity to respond to children with conduct disorders. Three </w:t>
      </w:r>
      <w:proofErr w:type="gramStart"/>
      <w:r w:rsidRPr="004362CF">
        <w:rPr>
          <w:rFonts w:ascii="Calibri" w:hAnsi="Calibri" w:cs="Calibri"/>
          <w:sz w:val="24"/>
          <w:szCs w:val="24"/>
        </w:rPr>
        <w:t>specialist</w:t>
      </w:r>
      <w:proofErr w:type="gramEnd"/>
      <w:r w:rsidRPr="004362CF">
        <w:rPr>
          <w:rFonts w:ascii="Calibri" w:hAnsi="Calibri" w:cs="Calibri"/>
          <w:sz w:val="24"/>
          <w:szCs w:val="24"/>
        </w:rPr>
        <w:t xml:space="preserve"> Got It! teams are operational and working effectively in partnership with local Department of Education and Communities representatives in Dubbo, </w:t>
      </w:r>
      <w:r w:rsidR="00391C55">
        <w:rPr>
          <w:rFonts w:ascii="Calibri" w:hAnsi="Calibri" w:cs="Calibri"/>
          <w:sz w:val="24"/>
          <w:szCs w:val="24"/>
        </w:rPr>
        <w:t>Newcastle and Mt Druitt.</w:t>
      </w:r>
      <w:r w:rsidR="00D26B57">
        <w:rPr>
          <w:rFonts w:ascii="Calibri" w:hAnsi="Calibri" w:cs="Calibri"/>
          <w:sz w:val="24"/>
          <w:szCs w:val="24"/>
        </w:rPr>
        <w:t xml:space="preserve"> </w:t>
      </w:r>
      <w:r w:rsidR="00391C55">
        <w:rPr>
          <w:rFonts w:ascii="Calibri" w:hAnsi="Calibri" w:cs="Calibri"/>
          <w:sz w:val="24"/>
          <w:szCs w:val="24"/>
        </w:rPr>
        <w:t>A two-</w:t>
      </w:r>
      <w:r w:rsidRPr="004362CF">
        <w:rPr>
          <w:rFonts w:ascii="Calibri" w:hAnsi="Calibri" w:cs="Calibri"/>
          <w:sz w:val="24"/>
          <w:szCs w:val="24"/>
        </w:rPr>
        <w:t>year independent evaluation of the program is presently midway.</w:t>
      </w:r>
    </w:p>
    <w:p w:rsidR="004362CF" w:rsidRPr="004362CF" w:rsidRDefault="004362CF" w:rsidP="004362CF">
      <w:pPr>
        <w:rPr>
          <w:rFonts w:ascii="Calibri" w:hAnsi="Calibri" w:cs="Calibri"/>
          <w:sz w:val="24"/>
          <w:szCs w:val="24"/>
        </w:rPr>
      </w:pPr>
    </w:p>
    <w:p w:rsidR="004362CF" w:rsidRPr="004362CF" w:rsidRDefault="004362CF" w:rsidP="004362CF">
      <w:pPr>
        <w:rPr>
          <w:rFonts w:ascii="Calibri" w:hAnsi="Calibri" w:cs="Calibri"/>
          <w:sz w:val="24"/>
          <w:szCs w:val="24"/>
        </w:rPr>
      </w:pPr>
      <w:r w:rsidRPr="004362CF">
        <w:rPr>
          <w:rFonts w:ascii="Calibri" w:hAnsi="Calibri" w:cs="Calibri"/>
          <w:sz w:val="24"/>
          <w:szCs w:val="24"/>
        </w:rPr>
        <w:t>Youth on Track is a model for early intervention support designed to coordinate services to 10</w:t>
      </w:r>
      <w:r w:rsidR="00945F81">
        <w:rPr>
          <w:rFonts w:ascii="Calibri" w:hAnsi="Calibri" w:cs="Calibri"/>
          <w:sz w:val="24"/>
          <w:szCs w:val="24"/>
        </w:rPr>
        <w:t xml:space="preserve"> to </w:t>
      </w:r>
      <w:r w:rsidR="00A47034" w:rsidRPr="004362CF">
        <w:rPr>
          <w:rFonts w:ascii="Calibri" w:hAnsi="Calibri" w:cs="Calibri"/>
          <w:sz w:val="24"/>
          <w:szCs w:val="24"/>
        </w:rPr>
        <w:t>17</w:t>
      </w:r>
      <w:r w:rsidR="00A47034">
        <w:rPr>
          <w:rFonts w:ascii="Calibri" w:hAnsi="Calibri" w:cs="Calibri"/>
          <w:sz w:val="24"/>
          <w:szCs w:val="24"/>
        </w:rPr>
        <w:t>-</w:t>
      </w:r>
      <w:r w:rsidR="00A47034" w:rsidRPr="004362CF">
        <w:rPr>
          <w:rFonts w:ascii="Calibri" w:hAnsi="Calibri" w:cs="Calibri"/>
          <w:sz w:val="24"/>
          <w:szCs w:val="24"/>
        </w:rPr>
        <w:t>year</w:t>
      </w:r>
      <w:r w:rsidR="00A47034">
        <w:rPr>
          <w:rFonts w:ascii="Calibri" w:hAnsi="Calibri" w:cs="Calibri"/>
          <w:sz w:val="24"/>
          <w:szCs w:val="24"/>
        </w:rPr>
        <w:t>-</w:t>
      </w:r>
      <w:r w:rsidRPr="004362CF">
        <w:rPr>
          <w:rFonts w:ascii="Calibri" w:hAnsi="Calibri" w:cs="Calibri"/>
          <w:sz w:val="24"/>
          <w:szCs w:val="24"/>
        </w:rPr>
        <w:t xml:space="preserve">old offenders before they </w:t>
      </w:r>
      <w:r w:rsidR="001B6392" w:rsidRPr="004362CF">
        <w:rPr>
          <w:rFonts w:ascii="Calibri" w:hAnsi="Calibri" w:cs="Calibri"/>
          <w:sz w:val="24"/>
          <w:szCs w:val="24"/>
        </w:rPr>
        <w:t>bec</w:t>
      </w:r>
      <w:r w:rsidR="001B6392">
        <w:rPr>
          <w:rFonts w:ascii="Calibri" w:hAnsi="Calibri" w:cs="Calibri"/>
          <w:sz w:val="24"/>
          <w:szCs w:val="24"/>
        </w:rPr>
        <w:t>o</w:t>
      </w:r>
      <w:r w:rsidR="001B6392" w:rsidRPr="004362CF">
        <w:rPr>
          <w:rFonts w:ascii="Calibri" w:hAnsi="Calibri" w:cs="Calibri"/>
          <w:sz w:val="24"/>
          <w:szCs w:val="24"/>
        </w:rPr>
        <w:t xml:space="preserve">me </w:t>
      </w:r>
      <w:r w:rsidRPr="004362CF">
        <w:rPr>
          <w:rFonts w:ascii="Calibri" w:hAnsi="Calibri" w:cs="Calibri"/>
          <w:sz w:val="24"/>
          <w:szCs w:val="24"/>
        </w:rPr>
        <w:t xml:space="preserve">entrenched in the criminal justice system. Youth on Track provides the </w:t>
      </w:r>
      <w:r w:rsidR="00DA6ECA">
        <w:rPr>
          <w:rFonts w:ascii="Calibri" w:hAnsi="Calibri" w:cs="Calibri"/>
          <w:sz w:val="24"/>
          <w:szCs w:val="24"/>
        </w:rPr>
        <w:t>p</w:t>
      </w:r>
      <w:r w:rsidRPr="004362CF">
        <w:rPr>
          <w:rFonts w:ascii="Calibri" w:hAnsi="Calibri" w:cs="Calibri"/>
          <w:sz w:val="24"/>
          <w:szCs w:val="24"/>
        </w:rPr>
        <w:t>olice and education system with an avenue to refer young people</w:t>
      </w:r>
      <w:r w:rsidR="00391C55">
        <w:rPr>
          <w:rFonts w:ascii="Calibri" w:hAnsi="Calibri" w:cs="Calibri"/>
          <w:sz w:val="24"/>
          <w:szCs w:val="24"/>
        </w:rPr>
        <w:t>,</w:t>
      </w:r>
      <w:r w:rsidRPr="004362CF">
        <w:rPr>
          <w:rFonts w:ascii="Calibri" w:hAnsi="Calibri" w:cs="Calibri"/>
          <w:sz w:val="24"/>
          <w:szCs w:val="24"/>
        </w:rPr>
        <w:t xml:space="preserve"> who are known to be at high risk of offending</w:t>
      </w:r>
      <w:r w:rsidR="00391C55">
        <w:rPr>
          <w:rFonts w:ascii="Calibri" w:hAnsi="Calibri" w:cs="Calibri"/>
          <w:sz w:val="24"/>
          <w:szCs w:val="24"/>
        </w:rPr>
        <w:t>,</w:t>
      </w:r>
      <w:r w:rsidRPr="004362CF">
        <w:rPr>
          <w:rFonts w:ascii="Calibri" w:hAnsi="Calibri" w:cs="Calibri"/>
          <w:sz w:val="24"/>
          <w:szCs w:val="24"/>
        </w:rPr>
        <w:t xml:space="preserve"> to support without requiring a mandate. It is a voluntary program provided by </w:t>
      </w:r>
      <w:proofErr w:type="spellStart"/>
      <w:r w:rsidRPr="004362CF">
        <w:rPr>
          <w:rFonts w:ascii="Calibri" w:hAnsi="Calibri" w:cs="Calibri"/>
          <w:sz w:val="24"/>
          <w:szCs w:val="24"/>
        </w:rPr>
        <w:t>UnitingCare</w:t>
      </w:r>
      <w:proofErr w:type="spellEnd"/>
      <w:r w:rsidRPr="004362CF">
        <w:rPr>
          <w:rFonts w:ascii="Calibri" w:hAnsi="Calibri" w:cs="Calibri"/>
          <w:sz w:val="24"/>
          <w:szCs w:val="24"/>
        </w:rPr>
        <w:t xml:space="preserve"> Burnside. The intervention responds to factors in a young person’s life that influence </w:t>
      </w:r>
      <w:r w:rsidR="001B6392">
        <w:rPr>
          <w:rFonts w:ascii="Calibri" w:hAnsi="Calibri" w:cs="Calibri"/>
          <w:sz w:val="24"/>
          <w:szCs w:val="24"/>
        </w:rPr>
        <w:t>his or her</w:t>
      </w:r>
      <w:r w:rsidR="001B6392" w:rsidRPr="004362CF">
        <w:rPr>
          <w:rFonts w:ascii="Calibri" w:hAnsi="Calibri" w:cs="Calibri"/>
          <w:sz w:val="24"/>
          <w:szCs w:val="24"/>
        </w:rPr>
        <w:t xml:space="preserve"> </w:t>
      </w:r>
      <w:r w:rsidRPr="004362CF">
        <w:rPr>
          <w:rFonts w:ascii="Calibri" w:hAnsi="Calibri" w:cs="Calibri"/>
          <w:sz w:val="24"/>
          <w:szCs w:val="24"/>
        </w:rPr>
        <w:t>risk of offending.</w:t>
      </w:r>
      <w:r w:rsidR="00D26B57">
        <w:rPr>
          <w:rFonts w:ascii="Calibri" w:hAnsi="Calibri" w:cs="Calibri"/>
          <w:sz w:val="24"/>
          <w:szCs w:val="24"/>
        </w:rPr>
        <w:t xml:space="preserve"> </w:t>
      </w:r>
      <w:r w:rsidRPr="004362CF">
        <w:rPr>
          <w:rFonts w:ascii="Calibri" w:hAnsi="Calibri" w:cs="Calibri"/>
          <w:sz w:val="24"/>
          <w:szCs w:val="24"/>
        </w:rPr>
        <w:t xml:space="preserve">As of 1 July 2013, Youth on Track has been implemented in three Police Local Area Commands: Blacktown, Mid North Coast and Newcastle City. Approximately 100 young people will be supported in the first 18 months in each site. </w:t>
      </w:r>
    </w:p>
    <w:p w:rsidR="004362CF" w:rsidRPr="004362CF" w:rsidRDefault="004362CF" w:rsidP="004362CF">
      <w:pPr>
        <w:rPr>
          <w:rFonts w:ascii="Calibri" w:hAnsi="Calibri" w:cs="Calibri"/>
          <w:sz w:val="24"/>
          <w:szCs w:val="24"/>
        </w:rPr>
      </w:pPr>
    </w:p>
    <w:p w:rsidR="004362CF" w:rsidRPr="004362CF" w:rsidRDefault="004362CF" w:rsidP="004362CF">
      <w:pPr>
        <w:rPr>
          <w:rFonts w:ascii="Calibri" w:hAnsi="Calibri" w:cs="Calibri"/>
          <w:sz w:val="24"/>
          <w:szCs w:val="24"/>
        </w:rPr>
      </w:pPr>
      <w:r w:rsidRPr="004362CF">
        <w:rPr>
          <w:rFonts w:ascii="Calibri" w:hAnsi="Calibri" w:cs="Calibri"/>
          <w:sz w:val="24"/>
          <w:szCs w:val="24"/>
        </w:rPr>
        <w:t xml:space="preserve">The Department of Attorney General and Justice </w:t>
      </w:r>
      <w:r w:rsidR="002C3200">
        <w:rPr>
          <w:rFonts w:ascii="Calibri" w:hAnsi="Calibri" w:cs="Calibri"/>
          <w:sz w:val="24"/>
          <w:szCs w:val="24"/>
        </w:rPr>
        <w:t xml:space="preserve">(DAGJ) </w:t>
      </w:r>
      <w:r w:rsidRPr="004362CF">
        <w:rPr>
          <w:rFonts w:ascii="Calibri" w:hAnsi="Calibri" w:cs="Calibri"/>
          <w:sz w:val="24"/>
          <w:szCs w:val="24"/>
        </w:rPr>
        <w:t xml:space="preserve">(Juvenile Justice) provides </w:t>
      </w:r>
      <w:r w:rsidR="00391C55">
        <w:rPr>
          <w:rFonts w:ascii="Calibri" w:hAnsi="Calibri" w:cs="Calibri"/>
          <w:sz w:val="24"/>
          <w:szCs w:val="24"/>
        </w:rPr>
        <w:t xml:space="preserve">the </w:t>
      </w:r>
      <w:r w:rsidRPr="004362CF">
        <w:rPr>
          <w:rFonts w:ascii="Calibri" w:hAnsi="Calibri" w:cs="Calibri"/>
          <w:sz w:val="24"/>
          <w:szCs w:val="24"/>
        </w:rPr>
        <w:t>Intensive Supervision Program (ISP) which supports young people who offend repeatedly and/or have committed serious offences</w:t>
      </w:r>
      <w:r w:rsidR="001B6392">
        <w:rPr>
          <w:rFonts w:ascii="Calibri" w:hAnsi="Calibri" w:cs="Calibri"/>
          <w:sz w:val="24"/>
          <w:szCs w:val="24"/>
        </w:rPr>
        <w:t>,</w:t>
      </w:r>
      <w:r w:rsidRPr="004362CF">
        <w:rPr>
          <w:rFonts w:ascii="Calibri" w:hAnsi="Calibri" w:cs="Calibri"/>
          <w:sz w:val="24"/>
          <w:szCs w:val="24"/>
        </w:rPr>
        <w:t xml:space="preserve"> and their families. ISP aims to improve parenting practices, enhance engagement with schools, reduce substance use, promote positive peer and social activities, increase supportive family relationships and </w:t>
      </w:r>
      <w:proofErr w:type="spellStart"/>
      <w:r w:rsidRPr="004362CF">
        <w:rPr>
          <w:rFonts w:ascii="Calibri" w:hAnsi="Calibri" w:cs="Calibri"/>
          <w:sz w:val="24"/>
          <w:szCs w:val="24"/>
        </w:rPr>
        <w:t>upskill</w:t>
      </w:r>
      <w:proofErr w:type="spellEnd"/>
      <w:r w:rsidRPr="004362CF">
        <w:rPr>
          <w:rFonts w:ascii="Calibri" w:hAnsi="Calibri" w:cs="Calibri"/>
          <w:sz w:val="24"/>
          <w:szCs w:val="24"/>
        </w:rPr>
        <w:t xml:space="preserve"> caregivers to seek community resources that will enhance their child’s positive social behaviour. ISP fosters a </w:t>
      </w:r>
      <w:r w:rsidR="00AA6A4C">
        <w:rPr>
          <w:rFonts w:ascii="Calibri" w:hAnsi="Calibri" w:cs="Calibri"/>
          <w:sz w:val="24"/>
          <w:szCs w:val="24"/>
        </w:rPr>
        <w:t>co</w:t>
      </w:r>
      <w:r w:rsidRPr="004362CF">
        <w:rPr>
          <w:rFonts w:ascii="Calibri" w:hAnsi="Calibri" w:cs="Calibri"/>
          <w:sz w:val="24"/>
          <w:szCs w:val="24"/>
        </w:rPr>
        <w:t xml:space="preserve">ordinated community approach to strengthening families by developing positive </w:t>
      </w:r>
      <w:r w:rsidR="00AA6A4C">
        <w:rPr>
          <w:rFonts w:ascii="Calibri" w:hAnsi="Calibri" w:cs="Calibri"/>
          <w:sz w:val="24"/>
          <w:szCs w:val="24"/>
        </w:rPr>
        <w:t>inter</w:t>
      </w:r>
      <w:r w:rsidRPr="004362CF">
        <w:rPr>
          <w:rFonts w:ascii="Calibri" w:hAnsi="Calibri" w:cs="Calibri"/>
          <w:sz w:val="24"/>
          <w:szCs w:val="24"/>
        </w:rPr>
        <w:t xml:space="preserve">agency links with school </w:t>
      </w:r>
      <w:r w:rsidR="00391C55">
        <w:rPr>
          <w:rFonts w:ascii="Calibri" w:hAnsi="Calibri" w:cs="Calibri"/>
          <w:sz w:val="24"/>
          <w:szCs w:val="24"/>
        </w:rPr>
        <w:t>teachers, principals and NSW Police. In 2012</w:t>
      </w:r>
      <w:r w:rsidR="00AA6A4C">
        <w:rPr>
          <w:rFonts w:ascii="Calibri" w:hAnsi="Calibri" w:cs="Calibri"/>
          <w:sz w:val="24"/>
          <w:szCs w:val="24"/>
        </w:rPr>
        <w:t>–</w:t>
      </w:r>
      <w:r w:rsidRPr="004362CF">
        <w:rPr>
          <w:rFonts w:ascii="Calibri" w:hAnsi="Calibri" w:cs="Calibri"/>
          <w:sz w:val="24"/>
          <w:szCs w:val="24"/>
        </w:rPr>
        <w:t>13, 45 (8</w:t>
      </w:r>
      <w:r w:rsidR="00391C55">
        <w:rPr>
          <w:rFonts w:ascii="Calibri" w:hAnsi="Calibri" w:cs="Calibri"/>
          <w:sz w:val="24"/>
          <w:szCs w:val="24"/>
        </w:rPr>
        <w:t>8</w:t>
      </w:r>
      <w:r w:rsidR="00AA6A4C">
        <w:rPr>
          <w:rFonts w:ascii="Calibri" w:hAnsi="Calibri" w:cs="Calibri"/>
          <w:sz w:val="24"/>
          <w:szCs w:val="24"/>
        </w:rPr>
        <w:t xml:space="preserve"> per cent) </w:t>
      </w:r>
      <w:r w:rsidR="00391C55">
        <w:rPr>
          <w:rFonts w:ascii="Calibri" w:hAnsi="Calibri" w:cs="Calibri"/>
          <w:sz w:val="24"/>
          <w:szCs w:val="24"/>
        </w:rPr>
        <w:t>of the 51 families enrolled</w:t>
      </w:r>
      <w:r w:rsidRPr="004362CF">
        <w:rPr>
          <w:rFonts w:ascii="Calibri" w:hAnsi="Calibri" w:cs="Calibri"/>
          <w:sz w:val="24"/>
          <w:szCs w:val="24"/>
        </w:rPr>
        <w:t xml:space="preserve"> successfully completed the ISP. During the year, 15 (79</w:t>
      </w:r>
      <w:r w:rsidR="00AA6A4C">
        <w:rPr>
          <w:rFonts w:ascii="Calibri" w:hAnsi="Calibri" w:cs="Calibri"/>
          <w:sz w:val="24"/>
          <w:szCs w:val="24"/>
        </w:rPr>
        <w:t xml:space="preserve"> per cent</w:t>
      </w:r>
      <w:r w:rsidR="00AA6A4C" w:rsidRPr="004362CF">
        <w:rPr>
          <w:rFonts w:ascii="Calibri" w:hAnsi="Calibri" w:cs="Calibri"/>
          <w:sz w:val="24"/>
          <w:szCs w:val="24"/>
        </w:rPr>
        <w:t xml:space="preserve">) </w:t>
      </w:r>
      <w:r w:rsidRPr="004362CF">
        <w:rPr>
          <w:rFonts w:ascii="Calibri" w:hAnsi="Calibri" w:cs="Calibri"/>
          <w:sz w:val="24"/>
          <w:szCs w:val="24"/>
        </w:rPr>
        <w:t xml:space="preserve">of the 19 Aboriginal families enrolled completed the program. </w:t>
      </w:r>
    </w:p>
    <w:p w:rsidR="004362CF" w:rsidRPr="004362CF" w:rsidRDefault="004362CF" w:rsidP="004362CF">
      <w:pPr>
        <w:rPr>
          <w:rFonts w:ascii="Calibri" w:hAnsi="Calibri" w:cs="Calibri"/>
          <w:sz w:val="24"/>
          <w:szCs w:val="24"/>
        </w:rPr>
      </w:pPr>
    </w:p>
    <w:p w:rsidR="004362CF" w:rsidRPr="004362CF" w:rsidRDefault="004362CF" w:rsidP="004362CF">
      <w:pPr>
        <w:rPr>
          <w:rFonts w:ascii="Calibri" w:hAnsi="Calibri" w:cs="Calibri"/>
          <w:sz w:val="24"/>
          <w:szCs w:val="24"/>
        </w:rPr>
      </w:pPr>
      <w:r w:rsidRPr="004362CF">
        <w:rPr>
          <w:rFonts w:ascii="Calibri" w:hAnsi="Calibri" w:cs="Calibri"/>
          <w:sz w:val="24"/>
          <w:szCs w:val="24"/>
        </w:rPr>
        <w:t>An internal review of outcomes for the families indicated that 96</w:t>
      </w:r>
      <w:r w:rsidR="00B4597F">
        <w:rPr>
          <w:rFonts w:ascii="Calibri" w:hAnsi="Calibri" w:cs="Calibri"/>
          <w:sz w:val="24"/>
          <w:szCs w:val="24"/>
        </w:rPr>
        <w:t xml:space="preserve"> per cent</w:t>
      </w:r>
      <w:r w:rsidRPr="004362CF">
        <w:rPr>
          <w:rFonts w:ascii="Calibri" w:hAnsi="Calibri" w:cs="Calibri"/>
          <w:sz w:val="24"/>
          <w:szCs w:val="24"/>
        </w:rPr>
        <w:t xml:space="preserve"> of caregivers had </w:t>
      </w:r>
      <w:r w:rsidR="00C636E2">
        <w:rPr>
          <w:rFonts w:ascii="Calibri" w:hAnsi="Calibri" w:cs="Calibri"/>
          <w:sz w:val="24"/>
          <w:szCs w:val="24"/>
        </w:rPr>
        <w:t xml:space="preserve">the </w:t>
      </w:r>
      <w:r w:rsidRPr="004362CF">
        <w:rPr>
          <w:rFonts w:ascii="Calibri" w:hAnsi="Calibri" w:cs="Calibri"/>
          <w:sz w:val="24"/>
          <w:szCs w:val="24"/>
        </w:rPr>
        <w:t>parenting skills necessary to handle future problems, 96</w:t>
      </w:r>
      <w:r w:rsidR="00B860CE">
        <w:rPr>
          <w:rFonts w:ascii="Calibri" w:hAnsi="Calibri" w:cs="Calibri"/>
          <w:sz w:val="24"/>
          <w:szCs w:val="24"/>
        </w:rPr>
        <w:t xml:space="preserve"> </w:t>
      </w:r>
      <w:r w:rsidR="00AA6A4C">
        <w:rPr>
          <w:rFonts w:ascii="Calibri" w:hAnsi="Calibri" w:cs="Calibri"/>
          <w:sz w:val="24"/>
          <w:szCs w:val="24"/>
        </w:rPr>
        <w:t>per cent</w:t>
      </w:r>
      <w:r w:rsidRPr="004362CF">
        <w:rPr>
          <w:rFonts w:ascii="Calibri" w:hAnsi="Calibri" w:cs="Calibri"/>
          <w:sz w:val="24"/>
          <w:szCs w:val="24"/>
        </w:rPr>
        <w:t xml:space="preserve"> had improved family relations and 90</w:t>
      </w:r>
      <w:r w:rsidR="00B4597F">
        <w:rPr>
          <w:rFonts w:ascii="Calibri" w:hAnsi="Calibri" w:cs="Calibri"/>
          <w:sz w:val="24"/>
          <w:szCs w:val="24"/>
        </w:rPr>
        <w:t xml:space="preserve"> per cent</w:t>
      </w:r>
      <w:r w:rsidRPr="004362CF">
        <w:rPr>
          <w:rFonts w:ascii="Calibri" w:hAnsi="Calibri" w:cs="Calibri"/>
          <w:sz w:val="24"/>
          <w:szCs w:val="24"/>
        </w:rPr>
        <w:t xml:space="preserve"> had an improved network of supports.</w:t>
      </w:r>
    </w:p>
    <w:p w:rsidR="00BD5D4E" w:rsidRPr="00FB4292" w:rsidRDefault="00BD5D4E" w:rsidP="00075E36">
      <w:pPr>
        <w:pStyle w:val="Heading3"/>
      </w:pPr>
      <w:bookmarkStart w:id="116" w:name="_Toc400007718"/>
      <w:r w:rsidRPr="00FB4292">
        <w:t>Northern Territory</w:t>
      </w:r>
      <w:bookmarkEnd w:id="116"/>
    </w:p>
    <w:p w:rsidR="00FB4292" w:rsidRDefault="00FB4292" w:rsidP="00AA522D">
      <w:pPr>
        <w:pStyle w:val="Heading4"/>
      </w:pPr>
      <w:r w:rsidRPr="00FB4292">
        <w:t>Joining up Service Delivery</w:t>
      </w:r>
    </w:p>
    <w:p w:rsidR="000D5291" w:rsidRPr="00AF7F0A" w:rsidRDefault="000D5291" w:rsidP="000D5291">
      <w:pPr>
        <w:rPr>
          <w:rFonts w:ascii="Calibri" w:hAnsi="Calibri" w:cs="Calibri"/>
          <w:sz w:val="24"/>
          <w:szCs w:val="24"/>
        </w:rPr>
      </w:pPr>
      <w:r w:rsidRPr="00F86555">
        <w:rPr>
          <w:rFonts w:ascii="Calibri" w:hAnsi="Calibri" w:cs="Calibri"/>
          <w:sz w:val="24"/>
          <w:szCs w:val="24"/>
        </w:rPr>
        <w:t xml:space="preserve">In the Northern Territory, Integrated </w:t>
      </w:r>
      <w:r>
        <w:rPr>
          <w:rFonts w:ascii="Calibri" w:hAnsi="Calibri" w:cs="Calibri"/>
          <w:sz w:val="24"/>
          <w:szCs w:val="24"/>
        </w:rPr>
        <w:t>CFCs</w:t>
      </w:r>
      <w:r w:rsidRPr="00F86555">
        <w:rPr>
          <w:rFonts w:ascii="Calibri" w:hAnsi="Calibri" w:cs="Calibri"/>
          <w:sz w:val="24"/>
          <w:szCs w:val="24"/>
        </w:rPr>
        <w:t>, funded by the Australian Government through the National Partnership Agreement on Indigenous Early Childhood Development, are being established in five sites (four remote, one urban) by the Department of Education.</w:t>
      </w:r>
      <w:r>
        <w:rPr>
          <w:rFonts w:ascii="Calibri" w:hAnsi="Calibri" w:cs="Calibri"/>
          <w:sz w:val="24"/>
          <w:szCs w:val="24"/>
        </w:rPr>
        <w:t xml:space="preserve"> </w:t>
      </w:r>
      <w:r w:rsidRPr="00BD1594">
        <w:rPr>
          <w:rFonts w:ascii="Calibri" w:hAnsi="Calibri" w:cs="Calibri"/>
          <w:sz w:val="24"/>
          <w:szCs w:val="24"/>
        </w:rPr>
        <w:t>The purpose of these centres is to bring together a range of early learning, health, child care</w:t>
      </w:r>
      <w:r>
        <w:rPr>
          <w:rFonts w:ascii="Calibri" w:hAnsi="Calibri" w:cs="Calibri"/>
          <w:sz w:val="24"/>
          <w:szCs w:val="24"/>
        </w:rPr>
        <w:t>,</w:t>
      </w:r>
      <w:r w:rsidRPr="00BD1594">
        <w:rPr>
          <w:rFonts w:ascii="Calibri" w:hAnsi="Calibri" w:cs="Calibri"/>
          <w:sz w:val="24"/>
          <w:szCs w:val="24"/>
        </w:rPr>
        <w:t xml:space="preserve"> and parenting and family support services to improve the overall development and wellbeing of children and provide support for their families.</w:t>
      </w:r>
    </w:p>
    <w:p w:rsidR="000D5291" w:rsidRPr="00771FC3" w:rsidRDefault="000D5291" w:rsidP="00D700C8">
      <w:pPr>
        <w:rPr>
          <w:rFonts w:ascii="Calibri" w:hAnsi="Calibri" w:cs="Calibri"/>
          <w:sz w:val="24"/>
          <w:szCs w:val="24"/>
        </w:rPr>
      </w:pPr>
    </w:p>
    <w:p w:rsidR="00FB4292" w:rsidRDefault="00FB4292" w:rsidP="00D700C8">
      <w:pPr>
        <w:rPr>
          <w:rFonts w:ascii="Calibri" w:hAnsi="Calibri" w:cs="Calibri"/>
          <w:sz w:val="24"/>
          <w:szCs w:val="24"/>
        </w:rPr>
      </w:pPr>
      <w:r w:rsidRPr="00FB4292">
        <w:rPr>
          <w:rFonts w:ascii="Calibri" w:hAnsi="Calibri" w:cs="Calibri"/>
          <w:sz w:val="24"/>
          <w:szCs w:val="24"/>
        </w:rPr>
        <w:t xml:space="preserve">All CCSWT practitioners develop a comprehensive understanding of the service provider networks in their communities and forge productive relationships across government and the </w:t>
      </w:r>
      <w:r w:rsidR="005E67E8">
        <w:rPr>
          <w:rFonts w:ascii="Calibri" w:hAnsi="Calibri" w:cs="Calibri"/>
          <w:sz w:val="24"/>
          <w:szCs w:val="24"/>
        </w:rPr>
        <w:t>community</w:t>
      </w:r>
      <w:r w:rsidR="005E67E8" w:rsidRPr="00FB4292">
        <w:rPr>
          <w:rFonts w:ascii="Calibri" w:hAnsi="Calibri" w:cs="Calibri"/>
          <w:sz w:val="24"/>
          <w:szCs w:val="24"/>
        </w:rPr>
        <w:t xml:space="preserve"> </w:t>
      </w:r>
      <w:r w:rsidRPr="00FB4292">
        <w:rPr>
          <w:rFonts w:ascii="Calibri" w:hAnsi="Calibri" w:cs="Calibri"/>
          <w:sz w:val="24"/>
          <w:szCs w:val="24"/>
        </w:rPr>
        <w:t>sector.</w:t>
      </w:r>
      <w:r w:rsidR="00391C55">
        <w:rPr>
          <w:rFonts w:ascii="Calibri" w:hAnsi="Calibri" w:cs="Calibri"/>
          <w:sz w:val="24"/>
          <w:szCs w:val="24"/>
        </w:rPr>
        <w:t xml:space="preserve"> </w:t>
      </w:r>
      <w:r w:rsidRPr="00FB4292">
        <w:rPr>
          <w:rFonts w:ascii="Calibri" w:hAnsi="Calibri" w:cs="Calibri"/>
          <w:sz w:val="24"/>
          <w:szCs w:val="24"/>
        </w:rPr>
        <w:t>A key component of CCSWT is the convening of local multi-agency forums to deal with the cases of individual children and families of concern, subject to family consent.</w:t>
      </w:r>
      <w:r w:rsidR="00D26B57">
        <w:rPr>
          <w:rFonts w:ascii="Calibri" w:hAnsi="Calibri" w:cs="Calibri"/>
          <w:sz w:val="24"/>
          <w:szCs w:val="24"/>
        </w:rPr>
        <w:t xml:space="preserve"> </w:t>
      </w:r>
      <w:r w:rsidRPr="00FB4292">
        <w:rPr>
          <w:rFonts w:ascii="Calibri" w:hAnsi="Calibri" w:cs="Calibri"/>
          <w:sz w:val="24"/>
          <w:szCs w:val="24"/>
        </w:rPr>
        <w:t xml:space="preserve">The </w:t>
      </w:r>
      <w:r w:rsidR="00B860CE">
        <w:rPr>
          <w:rFonts w:ascii="Calibri" w:hAnsi="Calibri" w:cs="Calibri"/>
          <w:sz w:val="24"/>
          <w:szCs w:val="24"/>
        </w:rPr>
        <w:t>CCSWTs</w:t>
      </w:r>
      <w:r w:rsidRPr="00FB4292">
        <w:rPr>
          <w:rFonts w:ascii="Calibri" w:hAnsi="Calibri" w:cs="Calibri"/>
          <w:sz w:val="24"/>
          <w:szCs w:val="24"/>
        </w:rPr>
        <w:t xml:space="preserve"> provide a </w:t>
      </w:r>
      <w:r w:rsidR="00B860CE" w:rsidRPr="00FB4292">
        <w:rPr>
          <w:rFonts w:ascii="Calibri" w:hAnsi="Calibri" w:cs="Calibri"/>
          <w:sz w:val="24"/>
          <w:szCs w:val="24"/>
        </w:rPr>
        <w:t>community</w:t>
      </w:r>
      <w:r w:rsidR="00B860CE">
        <w:rPr>
          <w:rFonts w:ascii="Calibri" w:hAnsi="Calibri" w:cs="Calibri"/>
          <w:sz w:val="24"/>
          <w:szCs w:val="24"/>
        </w:rPr>
        <w:t>-</w:t>
      </w:r>
      <w:r w:rsidRPr="00FB4292">
        <w:rPr>
          <w:rFonts w:ascii="Calibri" w:hAnsi="Calibri" w:cs="Calibri"/>
          <w:sz w:val="24"/>
          <w:szCs w:val="24"/>
        </w:rPr>
        <w:t>based</w:t>
      </w:r>
      <w:r w:rsidR="00B860CE">
        <w:rPr>
          <w:rFonts w:ascii="Calibri" w:hAnsi="Calibri" w:cs="Calibri"/>
          <w:sz w:val="24"/>
          <w:szCs w:val="24"/>
        </w:rPr>
        <w:t>,</w:t>
      </w:r>
      <w:r w:rsidRPr="00FB4292">
        <w:rPr>
          <w:rFonts w:ascii="Calibri" w:hAnsi="Calibri" w:cs="Calibri"/>
          <w:sz w:val="24"/>
          <w:szCs w:val="24"/>
        </w:rPr>
        <w:t xml:space="preserve"> interagency contact point for the early identification of</w:t>
      </w:r>
      <w:r w:rsidR="00391C55">
        <w:rPr>
          <w:rFonts w:ascii="Calibri" w:hAnsi="Calibri" w:cs="Calibri"/>
          <w:sz w:val="24"/>
          <w:szCs w:val="24"/>
        </w:rPr>
        <w:t>,</w:t>
      </w:r>
      <w:r w:rsidRPr="00FB4292">
        <w:rPr>
          <w:rFonts w:ascii="Calibri" w:hAnsi="Calibri" w:cs="Calibri"/>
          <w:sz w:val="24"/>
          <w:szCs w:val="24"/>
        </w:rPr>
        <w:t xml:space="preserve"> and intervention with</w:t>
      </w:r>
      <w:r w:rsidR="00391C55">
        <w:rPr>
          <w:rFonts w:ascii="Calibri" w:hAnsi="Calibri" w:cs="Calibri"/>
          <w:sz w:val="24"/>
          <w:szCs w:val="24"/>
        </w:rPr>
        <w:t>,</w:t>
      </w:r>
      <w:r w:rsidRPr="00FB4292">
        <w:rPr>
          <w:rFonts w:ascii="Calibri" w:hAnsi="Calibri" w:cs="Calibri"/>
          <w:sz w:val="24"/>
          <w:szCs w:val="24"/>
        </w:rPr>
        <w:t xml:space="preserve"> children at risk where a community capacity response is required to ensure </w:t>
      </w:r>
      <w:r w:rsidR="00283363">
        <w:rPr>
          <w:rFonts w:ascii="Calibri" w:hAnsi="Calibri" w:cs="Calibri"/>
          <w:sz w:val="24"/>
          <w:szCs w:val="24"/>
        </w:rPr>
        <w:t xml:space="preserve">the </w:t>
      </w:r>
      <w:r w:rsidRPr="00FB4292">
        <w:rPr>
          <w:rFonts w:ascii="Calibri" w:hAnsi="Calibri" w:cs="Calibri"/>
          <w:sz w:val="24"/>
          <w:szCs w:val="24"/>
        </w:rPr>
        <w:t xml:space="preserve">safety and </w:t>
      </w:r>
      <w:r w:rsidR="00316329">
        <w:rPr>
          <w:rFonts w:ascii="Calibri" w:hAnsi="Calibri" w:cs="Calibri"/>
          <w:sz w:val="24"/>
          <w:szCs w:val="24"/>
        </w:rPr>
        <w:t>wellbeing</w:t>
      </w:r>
      <w:r w:rsidRPr="00FB4292">
        <w:rPr>
          <w:rFonts w:ascii="Calibri" w:hAnsi="Calibri" w:cs="Calibri"/>
          <w:sz w:val="24"/>
          <w:szCs w:val="24"/>
        </w:rPr>
        <w:t xml:space="preserve"> of children in the community.</w:t>
      </w:r>
    </w:p>
    <w:p w:rsidR="00FB4292" w:rsidRDefault="00FB4292" w:rsidP="00D700C8">
      <w:pPr>
        <w:rPr>
          <w:rFonts w:ascii="Calibri" w:hAnsi="Calibri" w:cs="Calibri"/>
          <w:sz w:val="24"/>
          <w:szCs w:val="24"/>
        </w:rPr>
      </w:pPr>
    </w:p>
    <w:p w:rsidR="00F86555" w:rsidRDefault="00F86555" w:rsidP="00D700C8">
      <w:pPr>
        <w:rPr>
          <w:rFonts w:ascii="Calibri" w:hAnsi="Calibri" w:cs="Calibri"/>
          <w:sz w:val="24"/>
          <w:szCs w:val="24"/>
        </w:rPr>
      </w:pPr>
      <w:r w:rsidRPr="00F86555">
        <w:rPr>
          <w:rFonts w:ascii="Calibri" w:hAnsi="Calibri" w:cs="Calibri"/>
          <w:sz w:val="24"/>
          <w:szCs w:val="24"/>
        </w:rPr>
        <w:t xml:space="preserve">In the Northern Territory, </w:t>
      </w:r>
      <w:r w:rsidR="000341A5">
        <w:rPr>
          <w:rFonts w:ascii="Calibri" w:hAnsi="Calibri" w:cs="Calibri"/>
          <w:sz w:val="24"/>
          <w:szCs w:val="24"/>
        </w:rPr>
        <w:t>DCF</w:t>
      </w:r>
      <w:r w:rsidRPr="00F86555">
        <w:rPr>
          <w:rFonts w:ascii="Calibri" w:hAnsi="Calibri" w:cs="Calibri"/>
          <w:sz w:val="24"/>
          <w:szCs w:val="24"/>
        </w:rPr>
        <w:t xml:space="preserve"> child protection workers are able to refer parents</w:t>
      </w:r>
      <w:r w:rsidR="00391C55">
        <w:rPr>
          <w:rFonts w:ascii="Calibri" w:hAnsi="Calibri" w:cs="Calibri"/>
          <w:sz w:val="24"/>
          <w:szCs w:val="24"/>
        </w:rPr>
        <w:t>,</w:t>
      </w:r>
      <w:r w:rsidRPr="00F86555">
        <w:rPr>
          <w:rFonts w:ascii="Calibri" w:hAnsi="Calibri" w:cs="Calibri"/>
          <w:sz w:val="24"/>
          <w:szCs w:val="24"/>
        </w:rPr>
        <w:t xml:space="preserve"> where cases of neglect have been substantiated, to the </w:t>
      </w:r>
      <w:r w:rsidR="0075698E" w:rsidRPr="00F86555">
        <w:rPr>
          <w:rFonts w:ascii="Calibri" w:hAnsi="Calibri" w:cs="Calibri"/>
          <w:sz w:val="24"/>
          <w:szCs w:val="24"/>
        </w:rPr>
        <w:t>Child Protection Measure of Income Management</w:t>
      </w:r>
      <w:r w:rsidRPr="00F86555">
        <w:rPr>
          <w:rFonts w:ascii="Calibri" w:hAnsi="Calibri" w:cs="Calibri"/>
          <w:sz w:val="24"/>
          <w:szCs w:val="24"/>
        </w:rPr>
        <w:t xml:space="preserve"> (CPMIM).</w:t>
      </w:r>
      <w:r w:rsidR="00391C55">
        <w:rPr>
          <w:rFonts w:ascii="Calibri" w:hAnsi="Calibri" w:cs="Calibri"/>
          <w:sz w:val="24"/>
          <w:szCs w:val="24"/>
        </w:rPr>
        <w:t xml:space="preserve"> </w:t>
      </w:r>
      <w:r w:rsidRPr="00F86555">
        <w:rPr>
          <w:rFonts w:ascii="Calibri" w:hAnsi="Calibri" w:cs="Calibri"/>
          <w:sz w:val="24"/>
          <w:szCs w:val="24"/>
        </w:rPr>
        <w:t xml:space="preserve">Families are then eligible to access the </w:t>
      </w:r>
      <w:r w:rsidR="009B2B97" w:rsidRPr="00450A9D">
        <w:rPr>
          <w:rFonts w:ascii="Calibri" w:hAnsi="Calibri" w:cs="Calibri"/>
          <w:sz w:val="24"/>
          <w:szCs w:val="24"/>
        </w:rPr>
        <w:t>IFS</w:t>
      </w:r>
      <w:r w:rsidRPr="00F86555">
        <w:rPr>
          <w:rFonts w:ascii="Calibri" w:hAnsi="Calibri" w:cs="Calibri"/>
          <w:sz w:val="24"/>
          <w:szCs w:val="24"/>
        </w:rPr>
        <w:t xml:space="preserve"> </w:t>
      </w:r>
      <w:r w:rsidR="003A0617">
        <w:rPr>
          <w:rFonts w:ascii="Calibri" w:hAnsi="Calibri" w:cs="Calibri"/>
          <w:sz w:val="24"/>
          <w:szCs w:val="24"/>
        </w:rPr>
        <w:t>s</w:t>
      </w:r>
      <w:r w:rsidRPr="00F86555">
        <w:rPr>
          <w:rFonts w:ascii="Calibri" w:hAnsi="Calibri" w:cs="Calibri"/>
          <w:sz w:val="24"/>
          <w:szCs w:val="24"/>
        </w:rPr>
        <w:t>ervices funded by the Australian Government.</w:t>
      </w:r>
    </w:p>
    <w:p w:rsidR="00BD5D4E" w:rsidRPr="00821556" w:rsidRDefault="00BD5D4E" w:rsidP="000E0E1E">
      <w:pPr>
        <w:pStyle w:val="Heading3"/>
      </w:pPr>
      <w:bookmarkStart w:id="117" w:name="_Toc400007719"/>
      <w:r w:rsidRPr="00821556">
        <w:t>Queensland</w:t>
      </w:r>
      <w:bookmarkEnd w:id="117"/>
    </w:p>
    <w:p w:rsidR="00CB728E" w:rsidRDefault="00CB728E" w:rsidP="00AA522D">
      <w:pPr>
        <w:pStyle w:val="Heading4"/>
      </w:pPr>
      <w:r w:rsidRPr="00E711C5">
        <w:t xml:space="preserve">Seeing Early Warning Signs </w:t>
      </w:r>
      <w:r>
        <w:t>and Taking Early Action</w:t>
      </w:r>
    </w:p>
    <w:p w:rsidR="00CB728E" w:rsidRDefault="00715C6B" w:rsidP="00D700C8">
      <w:pPr>
        <w:rPr>
          <w:rFonts w:ascii="Calibri" w:hAnsi="Calibri" w:cs="Calibri"/>
          <w:i/>
          <w:sz w:val="24"/>
          <w:szCs w:val="24"/>
        </w:rPr>
      </w:pPr>
      <w:r w:rsidRPr="00715C6B">
        <w:rPr>
          <w:rFonts w:ascii="Calibri" w:hAnsi="Calibri" w:cs="Calibri"/>
          <w:sz w:val="24"/>
          <w:szCs w:val="24"/>
        </w:rPr>
        <w:t xml:space="preserve">The </w:t>
      </w:r>
      <w:r w:rsidR="00283363">
        <w:rPr>
          <w:rFonts w:ascii="Calibri" w:hAnsi="Calibri" w:cs="Calibri"/>
          <w:sz w:val="24"/>
          <w:szCs w:val="24"/>
        </w:rPr>
        <w:t xml:space="preserve">Australian Government </w:t>
      </w:r>
      <w:r w:rsidRPr="00715C6B">
        <w:rPr>
          <w:rFonts w:ascii="Calibri" w:hAnsi="Calibri" w:cs="Calibri"/>
          <w:sz w:val="24"/>
          <w:szCs w:val="24"/>
        </w:rPr>
        <w:t xml:space="preserve">Department of Social Services (DSS—formerly FaHCSIA) has funded </w:t>
      </w:r>
      <w:r w:rsidR="00CC16F4">
        <w:rPr>
          <w:rFonts w:ascii="Calibri" w:hAnsi="Calibri" w:cs="Calibri"/>
          <w:sz w:val="24"/>
          <w:szCs w:val="24"/>
        </w:rPr>
        <w:t>TBS</w:t>
      </w:r>
      <w:r w:rsidRPr="00715C6B">
        <w:rPr>
          <w:rFonts w:ascii="Calibri" w:hAnsi="Calibri" w:cs="Calibri"/>
          <w:sz w:val="24"/>
          <w:szCs w:val="24"/>
        </w:rPr>
        <w:t xml:space="preserve"> to deliver FMHSS through their mental health services based at the EYC.</w:t>
      </w:r>
      <w:r w:rsidR="00A43557">
        <w:rPr>
          <w:rFonts w:ascii="Calibri" w:hAnsi="Calibri" w:cs="Calibri"/>
          <w:sz w:val="24"/>
          <w:szCs w:val="24"/>
        </w:rPr>
        <w:t xml:space="preserve"> </w:t>
      </w:r>
      <w:r w:rsidRPr="00715C6B">
        <w:rPr>
          <w:rFonts w:ascii="Calibri" w:hAnsi="Calibri" w:cs="Calibri"/>
          <w:sz w:val="24"/>
          <w:szCs w:val="24"/>
        </w:rPr>
        <w:t>FMHSS provide</w:t>
      </w:r>
      <w:r w:rsidR="0054408E">
        <w:rPr>
          <w:rFonts w:ascii="Calibri" w:hAnsi="Calibri" w:cs="Calibri"/>
          <w:sz w:val="24"/>
          <w:szCs w:val="24"/>
        </w:rPr>
        <w:t>s</w:t>
      </w:r>
      <w:r w:rsidRPr="00715C6B">
        <w:rPr>
          <w:rFonts w:ascii="Calibri" w:hAnsi="Calibri" w:cs="Calibri"/>
          <w:sz w:val="24"/>
          <w:szCs w:val="24"/>
        </w:rPr>
        <w:t xml:space="preserve"> early intervention support services to assist vulnerable children and young people, and their families, who are at risk of</w:t>
      </w:r>
      <w:r w:rsidR="0054408E">
        <w:rPr>
          <w:rFonts w:ascii="Calibri" w:hAnsi="Calibri" w:cs="Calibri"/>
          <w:sz w:val="24"/>
          <w:szCs w:val="24"/>
        </w:rPr>
        <w:t>,</w:t>
      </w:r>
      <w:r w:rsidRPr="00715C6B">
        <w:rPr>
          <w:rFonts w:ascii="Calibri" w:hAnsi="Calibri" w:cs="Calibri"/>
          <w:sz w:val="24"/>
          <w:szCs w:val="24"/>
        </w:rPr>
        <w:t xml:space="preserve"> or affected by, mental illness.</w:t>
      </w:r>
      <w:r w:rsidR="00A43557">
        <w:rPr>
          <w:rFonts w:ascii="Calibri" w:hAnsi="Calibri" w:cs="Calibri"/>
          <w:sz w:val="24"/>
          <w:szCs w:val="24"/>
        </w:rPr>
        <w:t xml:space="preserve"> </w:t>
      </w:r>
      <w:r w:rsidRPr="00715C6B">
        <w:rPr>
          <w:rFonts w:ascii="Calibri" w:hAnsi="Calibri" w:cs="Calibri"/>
          <w:sz w:val="24"/>
          <w:szCs w:val="24"/>
        </w:rPr>
        <w:t>The focus of these services is on early interventions specifically for children and young people; information and referral for families requiring short-term assistance; and community outreach, mental health promotion and community development activities.</w:t>
      </w:r>
    </w:p>
    <w:p w:rsidR="00B62EF7" w:rsidRPr="00AA522D" w:rsidRDefault="00EC216D" w:rsidP="00AA522D">
      <w:pPr>
        <w:pStyle w:val="Heading4"/>
        <w:rPr>
          <w:lang w:val="en-AU"/>
        </w:rPr>
      </w:pPr>
      <w:r w:rsidRPr="00EA7C35">
        <w:t>Joining up Service Delivery</w:t>
      </w:r>
    </w:p>
    <w:p w:rsidR="00EC216D" w:rsidRDefault="00EC216D" w:rsidP="00EC216D">
      <w:pPr>
        <w:rPr>
          <w:rFonts w:ascii="Calibri" w:hAnsi="Calibri" w:cs="Calibri"/>
          <w:iCs/>
          <w:sz w:val="24"/>
          <w:szCs w:val="24"/>
        </w:rPr>
      </w:pPr>
      <w:r w:rsidRPr="00391C55">
        <w:rPr>
          <w:rFonts w:ascii="Calibri" w:hAnsi="Calibri" w:cs="Calibri"/>
          <w:iCs/>
          <w:sz w:val="24"/>
          <w:szCs w:val="24"/>
        </w:rPr>
        <w:t>The Queensland Government</w:t>
      </w:r>
      <w:r w:rsidR="00E86B3D">
        <w:rPr>
          <w:rFonts w:ascii="Calibri" w:hAnsi="Calibri" w:cs="Calibri"/>
          <w:iCs/>
          <w:sz w:val="24"/>
          <w:szCs w:val="24"/>
        </w:rPr>
        <w:t>,</w:t>
      </w:r>
      <w:r w:rsidRPr="00391C55">
        <w:rPr>
          <w:rFonts w:ascii="Calibri" w:hAnsi="Calibri" w:cs="Calibri"/>
          <w:iCs/>
          <w:sz w:val="24"/>
          <w:szCs w:val="24"/>
        </w:rPr>
        <w:t xml:space="preserve"> through </w:t>
      </w:r>
      <w:r w:rsidR="00E86B3D" w:rsidRPr="00856FA8">
        <w:rPr>
          <w:rFonts w:ascii="Calibri" w:hAnsi="Calibri"/>
          <w:sz w:val="24"/>
        </w:rPr>
        <w:t>DCCSDS</w:t>
      </w:r>
      <w:r w:rsidR="00391C55">
        <w:rPr>
          <w:rFonts w:ascii="Calibri" w:hAnsi="Calibri" w:cs="Calibri"/>
          <w:iCs/>
          <w:sz w:val="24"/>
          <w:szCs w:val="24"/>
        </w:rPr>
        <w:t xml:space="preserve">, </w:t>
      </w:r>
      <w:r w:rsidRPr="00EC216D">
        <w:rPr>
          <w:rFonts w:ascii="Calibri" w:hAnsi="Calibri" w:cs="Calibri"/>
          <w:iCs/>
          <w:sz w:val="24"/>
          <w:szCs w:val="24"/>
        </w:rPr>
        <w:t>continues to implement</w:t>
      </w:r>
      <w:r w:rsidRPr="00EC216D">
        <w:rPr>
          <w:rFonts w:ascii="Calibri" w:hAnsi="Calibri" w:cs="Calibri"/>
          <w:b/>
          <w:iCs/>
          <w:sz w:val="24"/>
          <w:szCs w:val="24"/>
        </w:rPr>
        <w:t xml:space="preserve"> </w:t>
      </w:r>
      <w:r w:rsidRPr="00EC216D">
        <w:rPr>
          <w:rFonts w:ascii="Calibri" w:hAnsi="Calibri" w:cs="Calibri"/>
          <w:iCs/>
          <w:sz w:val="24"/>
          <w:szCs w:val="24"/>
        </w:rPr>
        <w:t xml:space="preserve">the Helping </w:t>
      </w:r>
      <w:proofErr w:type="gramStart"/>
      <w:r w:rsidRPr="00EC216D">
        <w:rPr>
          <w:rFonts w:ascii="Calibri" w:hAnsi="Calibri" w:cs="Calibri"/>
          <w:iCs/>
          <w:sz w:val="24"/>
          <w:szCs w:val="24"/>
        </w:rPr>
        <w:t>Out</w:t>
      </w:r>
      <w:proofErr w:type="gramEnd"/>
      <w:r w:rsidRPr="00EC216D">
        <w:rPr>
          <w:rFonts w:ascii="Calibri" w:hAnsi="Calibri" w:cs="Calibri"/>
          <w:iCs/>
          <w:sz w:val="24"/>
          <w:szCs w:val="24"/>
        </w:rPr>
        <w:t xml:space="preserve"> Families (HOF) initiative in three pilot sites in South East Queensland: Logan, Beenleigh and the Gold Coast. HOF provides intensive support to families with complex needs who are at risk of entering into the child safety statutory system in Queensland. The HOF initiative is being evaluated in four phases over 2010</w:t>
      </w:r>
      <w:r w:rsidR="00E86B3D">
        <w:rPr>
          <w:rFonts w:ascii="Calibri" w:hAnsi="Calibri" w:cs="Calibri"/>
          <w:iCs/>
          <w:sz w:val="24"/>
          <w:szCs w:val="24"/>
        </w:rPr>
        <w:t>–</w:t>
      </w:r>
      <w:r w:rsidRPr="00EC216D">
        <w:rPr>
          <w:rFonts w:ascii="Calibri" w:hAnsi="Calibri" w:cs="Calibri"/>
          <w:iCs/>
          <w:sz w:val="24"/>
          <w:szCs w:val="24"/>
        </w:rPr>
        <w:t xml:space="preserve">2013: </w:t>
      </w:r>
    </w:p>
    <w:p w:rsidR="00EC216D" w:rsidRPr="00EC216D" w:rsidRDefault="00EC216D" w:rsidP="00E86B3D">
      <w:pPr>
        <w:pStyle w:val="ListBullet"/>
      </w:pPr>
      <w:r w:rsidRPr="00EC216D">
        <w:t xml:space="preserve">Phase 1 (2010) established baseline data to capture the volume of Child Safety intakes and functioning of the service system in the pilot sites before HOF commenced. </w:t>
      </w:r>
    </w:p>
    <w:p w:rsidR="00EC216D" w:rsidRPr="00EC216D" w:rsidRDefault="00EC216D" w:rsidP="00E86B3D">
      <w:pPr>
        <w:pStyle w:val="ListBullet"/>
      </w:pPr>
      <w:r w:rsidRPr="00EC216D">
        <w:t>Phases 2 and 3 (2011</w:t>
      </w:r>
      <w:r w:rsidR="00E86B3D">
        <w:t>–</w:t>
      </w:r>
      <w:r w:rsidRPr="00EC216D">
        <w:t xml:space="preserve">2012) focused on the initial establishment and implementation of the HOF initiative and outcomes for families at a </w:t>
      </w:r>
      <w:r w:rsidR="00F12AE5">
        <w:t>midway</w:t>
      </w:r>
      <w:r w:rsidRPr="00EC216D">
        <w:t xml:space="preserve"> stage of pilot implementation. </w:t>
      </w:r>
    </w:p>
    <w:p w:rsidR="00EC216D" w:rsidRPr="00EC216D" w:rsidRDefault="00EC216D" w:rsidP="00E86B3D">
      <w:pPr>
        <w:pStyle w:val="ListBullet"/>
      </w:pPr>
      <w:r w:rsidRPr="00EC216D">
        <w:t xml:space="preserve">Phase 4 (2013) of the HOF Final Outcomes Evaluation Report will incorporate key findings on: </w:t>
      </w:r>
      <w:r w:rsidR="00C636E2">
        <w:t xml:space="preserve">a </w:t>
      </w:r>
      <w:r w:rsidRPr="00EC216D">
        <w:t>longitudinal reporting study of families engaged with HOF; service system integration; client satisfaction and family outcomes; reductions in entry to the statutory system</w:t>
      </w:r>
      <w:r w:rsidR="00F12AE5">
        <w:t>;</w:t>
      </w:r>
      <w:r w:rsidRPr="00EC216D">
        <w:t xml:space="preserve"> and </w:t>
      </w:r>
      <w:r w:rsidR="00F12AE5" w:rsidRPr="00EC216D">
        <w:t>cost</w:t>
      </w:r>
      <w:r w:rsidR="00F12AE5">
        <w:t>-</w:t>
      </w:r>
      <w:r w:rsidRPr="00EC216D">
        <w:t xml:space="preserve">effectiveness of the HOF initiative. </w:t>
      </w:r>
    </w:p>
    <w:p w:rsidR="00EC216D" w:rsidRPr="00EC216D" w:rsidRDefault="00EC216D" w:rsidP="006B5910">
      <w:pPr>
        <w:rPr>
          <w:rFonts w:ascii="Calibri" w:hAnsi="Calibri" w:cs="Calibri"/>
          <w:sz w:val="24"/>
          <w:szCs w:val="24"/>
        </w:rPr>
      </w:pPr>
    </w:p>
    <w:p w:rsidR="00EC216D" w:rsidRDefault="00EC216D" w:rsidP="00F9477D">
      <w:pPr>
        <w:rPr>
          <w:rFonts w:ascii="Calibri" w:hAnsi="Calibri" w:cs="Calibri"/>
          <w:iCs/>
          <w:sz w:val="24"/>
          <w:szCs w:val="24"/>
        </w:rPr>
      </w:pPr>
      <w:r w:rsidRPr="00EC216D">
        <w:rPr>
          <w:rFonts w:ascii="Calibri" w:hAnsi="Calibri" w:cs="Calibri"/>
          <w:iCs/>
          <w:sz w:val="24"/>
          <w:szCs w:val="24"/>
        </w:rPr>
        <w:t xml:space="preserve">A preliminary </w:t>
      </w:r>
      <w:r w:rsidR="00F12AE5" w:rsidRPr="00EC216D">
        <w:rPr>
          <w:rFonts w:ascii="Calibri" w:hAnsi="Calibri" w:cs="Calibri"/>
          <w:iCs/>
          <w:sz w:val="24"/>
          <w:szCs w:val="24"/>
        </w:rPr>
        <w:t>cost</w:t>
      </w:r>
      <w:r w:rsidR="00F12AE5">
        <w:rPr>
          <w:rFonts w:ascii="Calibri" w:hAnsi="Calibri" w:cs="Calibri"/>
          <w:iCs/>
          <w:sz w:val="24"/>
          <w:szCs w:val="24"/>
        </w:rPr>
        <w:t>-</w:t>
      </w:r>
      <w:r w:rsidRPr="00EC216D">
        <w:rPr>
          <w:rFonts w:ascii="Calibri" w:hAnsi="Calibri" w:cs="Calibri"/>
          <w:iCs/>
          <w:sz w:val="24"/>
          <w:szCs w:val="24"/>
        </w:rPr>
        <w:t>effectiveness analysis of the HOF initiative</w:t>
      </w:r>
      <w:r w:rsidR="00596F70">
        <w:rPr>
          <w:rFonts w:ascii="Calibri" w:hAnsi="Calibri" w:cs="Calibri"/>
          <w:iCs/>
          <w:sz w:val="24"/>
          <w:szCs w:val="24"/>
        </w:rPr>
        <w:t>,</w:t>
      </w:r>
      <w:r w:rsidRPr="00EC216D">
        <w:rPr>
          <w:rFonts w:ascii="Calibri" w:hAnsi="Calibri" w:cs="Calibri"/>
          <w:iCs/>
          <w:sz w:val="24"/>
          <w:szCs w:val="24"/>
        </w:rPr>
        <w:t xml:space="preserve"> commissioned by the Queensland Child Protection Commission of Inquiry</w:t>
      </w:r>
      <w:r w:rsidR="00596F70">
        <w:rPr>
          <w:rFonts w:ascii="Calibri" w:hAnsi="Calibri" w:cs="Calibri"/>
          <w:iCs/>
          <w:sz w:val="24"/>
          <w:szCs w:val="24"/>
        </w:rPr>
        <w:t>,</w:t>
      </w:r>
      <w:r w:rsidRPr="00EC216D">
        <w:rPr>
          <w:rFonts w:ascii="Calibri" w:hAnsi="Calibri" w:cs="Calibri"/>
          <w:iCs/>
          <w:sz w:val="24"/>
          <w:szCs w:val="24"/>
        </w:rPr>
        <w:t xml:space="preserve"> concluded that the initiative would deliver better outcomes </w:t>
      </w:r>
      <w:r w:rsidR="00596F70">
        <w:rPr>
          <w:rFonts w:ascii="Calibri" w:hAnsi="Calibri" w:cs="Calibri"/>
          <w:iCs/>
          <w:sz w:val="24"/>
          <w:szCs w:val="24"/>
        </w:rPr>
        <w:t>and result in lower costs</w:t>
      </w:r>
      <w:r w:rsidR="00075861">
        <w:rPr>
          <w:rFonts w:ascii="Calibri" w:hAnsi="Calibri" w:cs="Calibri"/>
          <w:iCs/>
          <w:sz w:val="24"/>
          <w:szCs w:val="24"/>
        </w:rPr>
        <w:t>,</w:t>
      </w:r>
      <w:r w:rsidR="00A123F3" w:rsidRPr="00A123F3">
        <w:t xml:space="preserve"> </w:t>
      </w:r>
      <w:r w:rsidR="00A123F3" w:rsidRPr="00A123F3">
        <w:rPr>
          <w:rFonts w:ascii="Calibri" w:hAnsi="Calibri" w:cs="Calibri"/>
          <w:iCs/>
          <w:sz w:val="24"/>
          <w:szCs w:val="24"/>
        </w:rPr>
        <w:t xml:space="preserve">as </w:t>
      </w:r>
      <w:r w:rsidR="00075861">
        <w:rPr>
          <w:rFonts w:ascii="Calibri" w:hAnsi="Calibri" w:cs="Calibri"/>
          <w:iCs/>
          <w:sz w:val="24"/>
          <w:szCs w:val="24"/>
        </w:rPr>
        <w:t xml:space="preserve">assisting </w:t>
      </w:r>
      <w:r w:rsidR="00A123F3" w:rsidRPr="00A123F3">
        <w:rPr>
          <w:rFonts w:ascii="Calibri" w:hAnsi="Calibri" w:cs="Calibri"/>
          <w:iCs/>
          <w:sz w:val="24"/>
          <w:szCs w:val="24"/>
        </w:rPr>
        <w:t xml:space="preserve">families </w:t>
      </w:r>
      <w:r w:rsidR="00075861">
        <w:rPr>
          <w:rFonts w:ascii="Calibri" w:hAnsi="Calibri" w:cs="Calibri"/>
          <w:iCs/>
          <w:sz w:val="24"/>
          <w:szCs w:val="24"/>
        </w:rPr>
        <w:t>earlier</w:t>
      </w:r>
      <w:r w:rsidR="00A123F3" w:rsidRPr="00A123F3">
        <w:rPr>
          <w:rFonts w:ascii="Calibri" w:hAnsi="Calibri" w:cs="Calibri"/>
          <w:iCs/>
          <w:sz w:val="24"/>
          <w:szCs w:val="24"/>
        </w:rPr>
        <w:t xml:space="preserve"> avoid</w:t>
      </w:r>
      <w:r w:rsidR="00075861">
        <w:rPr>
          <w:rFonts w:ascii="Calibri" w:hAnsi="Calibri" w:cs="Calibri"/>
          <w:iCs/>
          <w:sz w:val="24"/>
          <w:szCs w:val="24"/>
        </w:rPr>
        <w:t>s</w:t>
      </w:r>
      <w:r w:rsidR="00A123F3" w:rsidRPr="00A123F3">
        <w:rPr>
          <w:rFonts w:ascii="Calibri" w:hAnsi="Calibri" w:cs="Calibri"/>
          <w:iCs/>
          <w:sz w:val="24"/>
          <w:szCs w:val="24"/>
        </w:rPr>
        <w:t xml:space="preserve"> more costly interventions for child abuse and neglect</w:t>
      </w:r>
      <w:r w:rsidR="00596F70">
        <w:rPr>
          <w:rFonts w:ascii="Calibri" w:hAnsi="Calibri" w:cs="Calibri"/>
          <w:iCs/>
          <w:sz w:val="24"/>
          <w:szCs w:val="24"/>
        </w:rPr>
        <w:t xml:space="preserve">. </w:t>
      </w:r>
      <w:r w:rsidR="00C5468A">
        <w:rPr>
          <w:rFonts w:ascii="Calibri" w:hAnsi="Calibri" w:cs="Calibri"/>
          <w:iCs/>
          <w:sz w:val="24"/>
          <w:szCs w:val="24"/>
        </w:rPr>
        <w:t xml:space="preserve">The Queensland Government has accepted this in principle. </w:t>
      </w:r>
      <w:r w:rsidR="00596F70">
        <w:rPr>
          <w:rFonts w:ascii="Calibri" w:hAnsi="Calibri" w:cs="Calibri"/>
          <w:iCs/>
          <w:sz w:val="24"/>
          <w:szCs w:val="24"/>
        </w:rPr>
        <w:t>The f</w:t>
      </w:r>
      <w:r w:rsidRPr="00EC216D">
        <w:rPr>
          <w:rFonts w:ascii="Calibri" w:hAnsi="Calibri" w:cs="Calibri"/>
          <w:iCs/>
          <w:sz w:val="24"/>
          <w:szCs w:val="24"/>
        </w:rPr>
        <w:t>inal HOF Cross-Phase Evaluation Report will summarise key findings on the implementation and outcomes of the HOF pilot from 2010 to 2013.</w:t>
      </w:r>
      <w:r w:rsidR="00F9477D">
        <w:rPr>
          <w:rFonts w:ascii="Calibri" w:hAnsi="Calibri" w:cs="Calibri"/>
          <w:iCs/>
          <w:sz w:val="24"/>
          <w:szCs w:val="24"/>
        </w:rPr>
        <w:t xml:space="preserve"> </w:t>
      </w:r>
      <w:r w:rsidR="00F9477D" w:rsidRPr="00F9477D">
        <w:rPr>
          <w:rFonts w:ascii="Calibri" w:hAnsi="Calibri" w:cs="Calibri"/>
          <w:iCs/>
          <w:sz w:val="24"/>
          <w:szCs w:val="24"/>
        </w:rPr>
        <w:t xml:space="preserve">Lessons learnt from the </w:t>
      </w:r>
      <w:r w:rsidR="00F9477D">
        <w:rPr>
          <w:rFonts w:ascii="Calibri" w:hAnsi="Calibri" w:cs="Calibri"/>
          <w:iCs/>
          <w:sz w:val="24"/>
          <w:szCs w:val="24"/>
        </w:rPr>
        <w:t>HOF</w:t>
      </w:r>
      <w:r w:rsidR="00F9477D" w:rsidRPr="00F9477D">
        <w:rPr>
          <w:rFonts w:ascii="Calibri" w:hAnsi="Calibri" w:cs="Calibri"/>
          <w:iCs/>
          <w:sz w:val="24"/>
          <w:szCs w:val="24"/>
        </w:rPr>
        <w:t xml:space="preserve"> initiative will inform a plan for expanding</w:t>
      </w:r>
      <w:r w:rsidR="00F9477D">
        <w:rPr>
          <w:rFonts w:ascii="Calibri" w:hAnsi="Calibri" w:cs="Calibri"/>
          <w:iCs/>
          <w:sz w:val="24"/>
          <w:szCs w:val="24"/>
        </w:rPr>
        <w:t xml:space="preserve"> </w:t>
      </w:r>
      <w:r w:rsidR="00F9477D" w:rsidRPr="00F9477D">
        <w:rPr>
          <w:rFonts w:ascii="Calibri" w:hAnsi="Calibri" w:cs="Calibri"/>
          <w:iCs/>
          <w:sz w:val="24"/>
          <w:szCs w:val="24"/>
        </w:rPr>
        <w:t>and improving family and parenting support,</w:t>
      </w:r>
      <w:r w:rsidR="00F9477D">
        <w:rPr>
          <w:rFonts w:ascii="Calibri" w:hAnsi="Calibri" w:cs="Calibri"/>
          <w:iCs/>
          <w:sz w:val="24"/>
          <w:szCs w:val="24"/>
        </w:rPr>
        <w:t xml:space="preserve"> </w:t>
      </w:r>
      <w:r w:rsidR="00F9477D" w:rsidRPr="00F9477D">
        <w:rPr>
          <w:rFonts w:ascii="Calibri" w:hAnsi="Calibri" w:cs="Calibri"/>
          <w:iCs/>
          <w:sz w:val="24"/>
          <w:szCs w:val="24"/>
        </w:rPr>
        <w:t>including integrated and intensive family intervention</w:t>
      </w:r>
      <w:r w:rsidR="00F9477D">
        <w:rPr>
          <w:rFonts w:ascii="Calibri" w:hAnsi="Calibri" w:cs="Calibri"/>
          <w:iCs/>
          <w:sz w:val="24"/>
          <w:szCs w:val="24"/>
        </w:rPr>
        <w:t xml:space="preserve"> </w:t>
      </w:r>
      <w:r w:rsidR="00F9477D" w:rsidRPr="00F9477D">
        <w:rPr>
          <w:rFonts w:ascii="Calibri" w:hAnsi="Calibri" w:cs="Calibri"/>
          <w:iCs/>
          <w:sz w:val="24"/>
          <w:szCs w:val="24"/>
        </w:rPr>
        <w:t>services, across Queensland.</w:t>
      </w:r>
    </w:p>
    <w:p w:rsidR="00EC216D" w:rsidRDefault="00EC216D" w:rsidP="00EC216D">
      <w:pPr>
        <w:rPr>
          <w:rFonts w:ascii="Calibri" w:hAnsi="Calibri" w:cs="Calibri"/>
          <w:iCs/>
          <w:sz w:val="24"/>
          <w:szCs w:val="24"/>
        </w:rPr>
      </w:pPr>
    </w:p>
    <w:p w:rsidR="00EC216D" w:rsidRPr="00EC216D" w:rsidRDefault="00A123F3" w:rsidP="00EC216D">
      <w:pPr>
        <w:rPr>
          <w:rFonts w:ascii="Calibri" w:hAnsi="Calibri" w:cs="Calibri"/>
          <w:iCs/>
          <w:sz w:val="24"/>
          <w:szCs w:val="24"/>
        </w:rPr>
      </w:pPr>
      <w:r>
        <w:rPr>
          <w:rFonts w:ascii="Calibri" w:hAnsi="Calibri" w:cs="Calibri"/>
          <w:iCs/>
          <w:sz w:val="24"/>
          <w:szCs w:val="24"/>
        </w:rPr>
        <w:t>QCPW</w:t>
      </w:r>
      <w:r w:rsidR="00EC216D" w:rsidRPr="00EC216D">
        <w:rPr>
          <w:rFonts w:ascii="Calibri" w:hAnsi="Calibri" w:cs="Calibri"/>
          <w:iCs/>
          <w:sz w:val="24"/>
          <w:szCs w:val="24"/>
        </w:rPr>
        <w:t xml:space="preserve"> is </w:t>
      </w:r>
      <w:r w:rsidR="00596F70">
        <w:rPr>
          <w:rFonts w:ascii="Calibri" w:hAnsi="Calibri" w:cs="Calibri"/>
          <w:iCs/>
          <w:sz w:val="24"/>
          <w:szCs w:val="24"/>
        </w:rPr>
        <w:t>held</w:t>
      </w:r>
      <w:r w:rsidR="00EC216D" w:rsidRPr="00EC216D">
        <w:rPr>
          <w:rFonts w:ascii="Calibri" w:hAnsi="Calibri" w:cs="Calibri"/>
          <w:iCs/>
          <w:sz w:val="24"/>
          <w:szCs w:val="24"/>
        </w:rPr>
        <w:t xml:space="preserve"> annually from the first Sunday in September to raise the profile of all issues connected with child protection, including child abuse prevention, treatment, research, education, service provision and support for children, young people and families. The recurring theme for</w:t>
      </w:r>
      <w:r>
        <w:rPr>
          <w:rFonts w:ascii="Calibri" w:hAnsi="Calibri" w:cs="Calibri"/>
          <w:iCs/>
          <w:sz w:val="24"/>
          <w:szCs w:val="24"/>
        </w:rPr>
        <w:t xml:space="preserve"> QCPW</w:t>
      </w:r>
      <w:r w:rsidR="00EC216D" w:rsidRPr="00EC216D">
        <w:rPr>
          <w:rFonts w:ascii="Calibri" w:hAnsi="Calibri" w:cs="Calibri"/>
          <w:iCs/>
          <w:sz w:val="24"/>
          <w:szCs w:val="24"/>
        </w:rPr>
        <w:t xml:space="preserve"> is ‘Protecting children is everybody’s business</w:t>
      </w:r>
      <w:r w:rsidR="00C636E2">
        <w:rPr>
          <w:rFonts w:ascii="Calibri" w:hAnsi="Calibri" w:cs="Calibri"/>
          <w:iCs/>
          <w:sz w:val="24"/>
          <w:szCs w:val="24"/>
        </w:rPr>
        <w:t>—</w:t>
      </w:r>
      <w:r w:rsidR="00EC216D" w:rsidRPr="00EC216D">
        <w:rPr>
          <w:rFonts w:ascii="Calibri" w:hAnsi="Calibri" w:cs="Calibri"/>
          <w:iCs/>
          <w:sz w:val="24"/>
          <w:szCs w:val="24"/>
        </w:rPr>
        <w:t xml:space="preserve">play your part’. </w:t>
      </w:r>
    </w:p>
    <w:p w:rsidR="00EC216D" w:rsidRDefault="00EC216D" w:rsidP="00EC216D">
      <w:pPr>
        <w:rPr>
          <w:rFonts w:ascii="Calibri" w:hAnsi="Calibri" w:cs="Calibri"/>
          <w:iCs/>
          <w:sz w:val="24"/>
          <w:szCs w:val="24"/>
        </w:rPr>
      </w:pPr>
    </w:p>
    <w:p w:rsidR="00EC216D" w:rsidRPr="00EC216D" w:rsidRDefault="00A123F3" w:rsidP="00EC216D">
      <w:pPr>
        <w:rPr>
          <w:rFonts w:ascii="Calibri" w:hAnsi="Calibri" w:cs="Calibri"/>
          <w:iCs/>
          <w:sz w:val="24"/>
          <w:szCs w:val="24"/>
        </w:rPr>
      </w:pPr>
      <w:r>
        <w:rPr>
          <w:rFonts w:ascii="Calibri" w:hAnsi="Calibri" w:cs="Calibri"/>
          <w:iCs/>
          <w:sz w:val="24"/>
          <w:szCs w:val="24"/>
        </w:rPr>
        <w:t>QCPW</w:t>
      </w:r>
      <w:r w:rsidR="00EC216D" w:rsidRPr="00EC216D">
        <w:rPr>
          <w:rFonts w:ascii="Calibri" w:hAnsi="Calibri" w:cs="Calibri"/>
          <w:iCs/>
          <w:sz w:val="24"/>
          <w:szCs w:val="24"/>
        </w:rPr>
        <w:t xml:space="preserve"> is coordinated by the Child Protection Committee under the auspice of A</w:t>
      </w:r>
      <w:r w:rsidR="008F766C">
        <w:rPr>
          <w:rFonts w:ascii="Calibri" w:hAnsi="Calibri" w:cs="Calibri"/>
          <w:iCs/>
          <w:sz w:val="24"/>
          <w:szCs w:val="24"/>
        </w:rPr>
        <w:t>ct</w:t>
      </w:r>
      <w:r w:rsidR="00EC216D" w:rsidRPr="00EC216D">
        <w:rPr>
          <w:rFonts w:ascii="Calibri" w:hAnsi="Calibri" w:cs="Calibri"/>
          <w:iCs/>
          <w:sz w:val="24"/>
          <w:szCs w:val="24"/>
        </w:rPr>
        <w:t xml:space="preserve"> for Kids. The </w:t>
      </w:r>
      <w:r w:rsidR="00F6059B">
        <w:rPr>
          <w:rFonts w:ascii="Calibri" w:hAnsi="Calibri" w:cs="Calibri"/>
          <w:iCs/>
          <w:sz w:val="24"/>
          <w:szCs w:val="24"/>
        </w:rPr>
        <w:t xml:space="preserve">Child Protection </w:t>
      </w:r>
      <w:r>
        <w:rPr>
          <w:rFonts w:ascii="Calibri" w:hAnsi="Calibri" w:cs="Calibri"/>
          <w:iCs/>
          <w:sz w:val="24"/>
          <w:szCs w:val="24"/>
        </w:rPr>
        <w:t>C</w:t>
      </w:r>
      <w:r w:rsidR="00EC216D" w:rsidRPr="00EC216D">
        <w:rPr>
          <w:rFonts w:ascii="Calibri" w:hAnsi="Calibri" w:cs="Calibri"/>
          <w:iCs/>
          <w:sz w:val="24"/>
          <w:szCs w:val="24"/>
        </w:rPr>
        <w:t xml:space="preserve">ommittee comprises representatives from a range of government and </w:t>
      </w:r>
      <w:r w:rsidR="00C8305C">
        <w:rPr>
          <w:rFonts w:ascii="Calibri" w:hAnsi="Calibri" w:cs="Calibri"/>
          <w:iCs/>
          <w:sz w:val="24"/>
          <w:szCs w:val="24"/>
        </w:rPr>
        <w:t>community sector</w:t>
      </w:r>
      <w:r w:rsidR="00EC216D" w:rsidRPr="00EC216D">
        <w:rPr>
          <w:rFonts w:ascii="Calibri" w:hAnsi="Calibri" w:cs="Calibri"/>
          <w:iCs/>
          <w:sz w:val="24"/>
          <w:szCs w:val="24"/>
        </w:rPr>
        <w:t xml:space="preserve"> organisations concerned with child protection issues. </w:t>
      </w:r>
      <w:r>
        <w:rPr>
          <w:rFonts w:ascii="Calibri" w:hAnsi="Calibri" w:cs="Calibri"/>
          <w:iCs/>
          <w:sz w:val="24"/>
          <w:szCs w:val="24"/>
        </w:rPr>
        <w:t>QCPW</w:t>
      </w:r>
      <w:r w:rsidR="00EC216D" w:rsidRPr="00EC216D">
        <w:rPr>
          <w:rFonts w:ascii="Calibri" w:hAnsi="Calibri" w:cs="Calibri"/>
          <w:iCs/>
          <w:sz w:val="24"/>
          <w:szCs w:val="24"/>
        </w:rPr>
        <w:t xml:space="preserve"> also receives corporate sponsorship from KFC, Channel 7 and </w:t>
      </w:r>
      <w:r w:rsidR="00F12AE5">
        <w:rPr>
          <w:rFonts w:ascii="Calibri" w:hAnsi="Calibri" w:cs="Calibri"/>
          <w:iCs/>
          <w:sz w:val="24"/>
          <w:szCs w:val="24"/>
        </w:rPr>
        <w:t xml:space="preserve">the </w:t>
      </w:r>
      <w:r w:rsidR="00EC216D" w:rsidRPr="00AE7DB5">
        <w:rPr>
          <w:rFonts w:ascii="Calibri" w:hAnsi="Calibri" w:cs="Calibri"/>
          <w:i/>
          <w:iCs/>
          <w:sz w:val="24"/>
          <w:szCs w:val="24"/>
        </w:rPr>
        <w:t>Courier Mail</w:t>
      </w:r>
      <w:r w:rsidR="00EC216D" w:rsidRPr="00EC216D">
        <w:rPr>
          <w:rFonts w:ascii="Calibri" w:hAnsi="Calibri" w:cs="Calibri"/>
          <w:iCs/>
          <w:sz w:val="24"/>
          <w:szCs w:val="24"/>
        </w:rPr>
        <w:t>. In 2012</w:t>
      </w:r>
      <w:r w:rsidR="00F12AE5">
        <w:rPr>
          <w:rFonts w:ascii="Calibri" w:hAnsi="Calibri" w:cs="Calibri"/>
          <w:iCs/>
          <w:sz w:val="24"/>
          <w:szCs w:val="24"/>
        </w:rPr>
        <w:t>–</w:t>
      </w:r>
      <w:r w:rsidR="00EC216D" w:rsidRPr="00EC216D">
        <w:rPr>
          <w:rFonts w:ascii="Calibri" w:hAnsi="Calibri" w:cs="Calibri"/>
          <w:iCs/>
          <w:sz w:val="24"/>
          <w:szCs w:val="24"/>
        </w:rPr>
        <w:t xml:space="preserve">2013, </w:t>
      </w:r>
      <w:r w:rsidR="00EC216D" w:rsidRPr="00596F70">
        <w:rPr>
          <w:rFonts w:ascii="Calibri" w:hAnsi="Calibri" w:cs="Calibri"/>
          <w:iCs/>
          <w:sz w:val="24"/>
          <w:szCs w:val="24"/>
        </w:rPr>
        <w:t>the Queensland Government</w:t>
      </w:r>
      <w:r w:rsidR="00F12AE5">
        <w:rPr>
          <w:rFonts w:ascii="Calibri" w:hAnsi="Calibri" w:cs="Calibri"/>
          <w:iCs/>
          <w:sz w:val="24"/>
          <w:szCs w:val="24"/>
        </w:rPr>
        <w:t>,</w:t>
      </w:r>
      <w:r w:rsidR="00EC216D" w:rsidRPr="00596F70">
        <w:rPr>
          <w:rFonts w:ascii="Calibri" w:hAnsi="Calibri" w:cs="Calibri"/>
          <w:iCs/>
          <w:sz w:val="24"/>
          <w:szCs w:val="24"/>
        </w:rPr>
        <w:t xml:space="preserve"> through DCCSDS</w:t>
      </w:r>
      <w:r w:rsidR="00F12AE5">
        <w:rPr>
          <w:rFonts w:ascii="Calibri" w:hAnsi="Calibri" w:cs="Calibri"/>
          <w:iCs/>
          <w:sz w:val="24"/>
          <w:szCs w:val="24"/>
        </w:rPr>
        <w:t>,</w:t>
      </w:r>
      <w:r w:rsidR="00EC216D" w:rsidRPr="00EC216D">
        <w:rPr>
          <w:rFonts w:ascii="Calibri" w:hAnsi="Calibri" w:cs="Calibri"/>
          <w:b/>
          <w:iCs/>
          <w:sz w:val="24"/>
          <w:szCs w:val="24"/>
        </w:rPr>
        <w:t xml:space="preserve"> </w:t>
      </w:r>
      <w:r w:rsidR="00EC216D" w:rsidRPr="00EC216D">
        <w:rPr>
          <w:rFonts w:ascii="Calibri" w:hAnsi="Calibri" w:cs="Calibri"/>
          <w:iCs/>
          <w:sz w:val="24"/>
          <w:szCs w:val="24"/>
        </w:rPr>
        <w:t>allocated funding of $106</w:t>
      </w:r>
      <w:r w:rsidR="00F12AE5">
        <w:rPr>
          <w:rFonts w:ascii="Calibri" w:hAnsi="Calibri" w:cs="Calibri"/>
          <w:iCs/>
          <w:sz w:val="24"/>
          <w:szCs w:val="24"/>
        </w:rPr>
        <w:t> </w:t>
      </w:r>
      <w:r w:rsidR="00EC216D" w:rsidRPr="00EC216D">
        <w:rPr>
          <w:rFonts w:ascii="Calibri" w:hAnsi="Calibri" w:cs="Calibri"/>
          <w:iCs/>
          <w:sz w:val="24"/>
          <w:szCs w:val="24"/>
        </w:rPr>
        <w:t>972 per annum over three years to A</w:t>
      </w:r>
      <w:r w:rsidR="008F766C">
        <w:rPr>
          <w:rFonts w:ascii="Calibri" w:hAnsi="Calibri" w:cs="Calibri"/>
          <w:iCs/>
          <w:sz w:val="24"/>
          <w:szCs w:val="24"/>
        </w:rPr>
        <w:t>ct</w:t>
      </w:r>
      <w:r w:rsidR="00EC216D" w:rsidRPr="00EC216D">
        <w:rPr>
          <w:rFonts w:ascii="Calibri" w:hAnsi="Calibri" w:cs="Calibri"/>
          <w:iCs/>
          <w:sz w:val="24"/>
          <w:szCs w:val="24"/>
        </w:rPr>
        <w:t xml:space="preserve"> for Kids </w:t>
      </w:r>
      <w:r w:rsidR="00596F70">
        <w:rPr>
          <w:rFonts w:ascii="Calibri" w:hAnsi="Calibri" w:cs="Calibri"/>
          <w:iCs/>
          <w:sz w:val="24"/>
          <w:szCs w:val="24"/>
        </w:rPr>
        <w:t>for Child Protection Week</w:t>
      </w:r>
      <w:r w:rsidR="00EC216D" w:rsidRPr="00EC216D">
        <w:rPr>
          <w:rFonts w:ascii="Calibri" w:hAnsi="Calibri" w:cs="Calibri"/>
          <w:iCs/>
          <w:sz w:val="24"/>
          <w:szCs w:val="24"/>
        </w:rPr>
        <w:t xml:space="preserve"> and the delivery of events and activities to promote child protection in Queensland.</w:t>
      </w:r>
      <w:r w:rsidR="00D26B57">
        <w:rPr>
          <w:rFonts w:ascii="Calibri" w:hAnsi="Calibri" w:cs="Calibri"/>
          <w:iCs/>
          <w:sz w:val="24"/>
          <w:szCs w:val="24"/>
        </w:rPr>
        <w:t xml:space="preserve"> </w:t>
      </w:r>
    </w:p>
    <w:p w:rsidR="00EC216D" w:rsidRPr="00EC216D" w:rsidRDefault="00EC216D" w:rsidP="00EC216D">
      <w:pPr>
        <w:rPr>
          <w:rFonts w:ascii="Calibri" w:hAnsi="Calibri" w:cs="Calibri"/>
          <w:iCs/>
          <w:sz w:val="24"/>
          <w:szCs w:val="24"/>
        </w:rPr>
      </w:pPr>
    </w:p>
    <w:p w:rsidR="00EC216D" w:rsidRDefault="00EC216D" w:rsidP="00EC216D">
      <w:pPr>
        <w:rPr>
          <w:rFonts w:ascii="Calibri" w:hAnsi="Calibri" w:cs="Calibri"/>
          <w:iCs/>
          <w:sz w:val="24"/>
          <w:szCs w:val="24"/>
        </w:rPr>
      </w:pPr>
      <w:r w:rsidRPr="00EC216D">
        <w:rPr>
          <w:rFonts w:ascii="Calibri" w:hAnsi="Calibri" w:cs="Calibri"/>
          <w:iCs/>
          <w:sz w:val="24"/>
          <w:szCs w:val="24"/>
        </w:rPr>
        <w:t>In 2012</w:t>
      </w:r>
      <w:r w:rsidR="00A2317A">
        <w:rPr>
          <w:rFonts w:ascii="Calibri" w:hAnsi="Calibri" w:cs="Calibri"/>
          <w:iCs/>
          <w:sz w:val="24"/>
          <w:szCs w:val="24"/>
        </w:rPr>
        <w:t>–</w:t>
      </w:r>
      <w:r w:rsidRPr="00EC216D">
        <w:rPr>
          <w:rFonts w:ascii="Calibri" w:hAnsi="Calibri" w:cs="Calibri"/>
          <w:iCs/>
          <w:sz w:val="24"/>
          <w:szCs w:val="24"/>
        </w:rPr>
        <w:t>2013</w:t>
      </w:r>
      <w:r w:rsidR="00A2317A">
        <w:rPr>
          <w:rFonts w:ascii="Calibri" w:hAnsi="Calibri" w:cs="Calibri"/>
          <w:iCs/>
          <w:sz w:val="24"/>
          <w:szCs w:val="24"/>
        </w:rPr>
        <w:t>,</w:t>
      </w:r>
      <w:r w:rsidRPr="00EC216D">
        <w:rPr>
          <w:rFonts w:ascii="Calibri" w:hAnsi="Calibri" w:cs="Calibri"/>
          <w:iCs/>
          <w:sz w:val="24"/>
          <w:szCs w:val="24"/>
        </w:rPr>
        <w:t xml:space="preserve"> activities funded for </w:t>
      </w:r>
      <w:r w:rsidR="00A123F3">
        <w:rPr>
          <w:rFonts w:ascii="Calibri" w:hAnsi="Calibri" w:cs="Calibri"/>
          <w:iCs/>
          <w:sz w:val="24"/>
          <w:szCs w:val="24"/>
        </w:rPr>
        <w:t>QCPW</w:t>
      </w:r>
      <w:r w:rsidRPr="00EC216D">
        <w:rPr>
          <w:rFonts w:ascii="Calibri" w:hAnsi="Calibri" w:cs="Calibri"/>
          <w:iCs/>
          <w:sz w:val="24"/>
          <w:szCs w:val="24"/>
        </w:rPr>
        <w:t xml:space="preserve"> include</w:t>
      </w:r>
      <w:r w:rsidR="00283363">
        <w:rPr>
          <w:rFonts w:ascii="Calibri" w:hAnsi="Calibri" w:cs="Calibri"/>
          <w:iCs/>
          <w:sz w:val="24"/>
          <w:szCs w:val="24"/>
        </w:rPr>
        <w:t>d</w:t>
      </w:r>
      <w:r w:rsidRPr="00EC216D">
        <w:rPr>
          <w:rFonts w:ascii="Calibri" w:hAnsi="Calibri" w:cs="Calibri"/>
          <w:iCs/>
          <w:sz w:val="24"/>
          <w:szCs w:val="24"/>
        </w:rPr>
        <w:t>:</w:t>
      </w:r>
    </w:p>
    <w:p w:rsidR="00EC216D" w:rsidRPr="00EC216D" w:rsidRDefault="00A2317A" w:rsidP="00A2317A">
      <w:pPr>
        <w:pStyle w:val="ListBullet"/>
      </w:pPr>
      <w:r>
        <w:t xml:space="preserve">a </w:t>
      </w:r>
      <w:r w:rsidR="00EC216D" w:rsidRPr="00EC216D">
        <w:t>centralised launch and awards ceremony to celebrate the achievements of individuals and agencies involved in child protection</w:t>
      </w:r>
    </w:p>
    <w:p w:rsidR="00EC216D" w:rsidRPr="00EC216D" w:rsidRDefault="00A2317A" w:rsidP="00A2317A">
      <w:pPr>
        <w:pStyle w:val="ListBullet"/>
      </w:pPr>
      <w:r>
        <w:t xml:space="preserve">a </w:t>
      </w:r>
      <w:r w:rsidR="00EC216D" w:rsidRPr="00EC216D">
        <w:t>recognition and remembrance ceremony to acknowledge people who have experienced abuse in institutions, foster care and detention</w:t>
      </w:r>
    </w:p>
    <w:p w:rsidR="00EC216D" w:rsidRDefault="00A2317A" w:rsidP="00A2317A">
      <w:pPr>
        <w:pStyle w:val="ListBullet"/>
      </w:pPr>
      <w:r>
        <w:t xml:space="preserve">an </w:t>
      </w:r>
      <w:r w:rsidR="00EC216D" w:rsidRPr="00EC216D">
        <w:t>event for children and young people to acknowledge a significant adult in their life</w:t>
      </w:r>
    </w:p>
    <w:p w:rsidR="00EC216D" w:rsidRPr="006D5DC7" w:rsidRDefault="00EC216D" w:rsidP="00A2317A">
      <w:pPr>
        <w:pStyle w:val="ListBullet"/>
      </w:pPr>
      <w:proofErr w:type="gramStart"/>
      <w:r w:rsidRPr="006D5DC7">
        <w:t>regional</w:t>
      </w:r>
      <w:proofErr w:type="gramEnd"/>
      <w:r w:rsidRPr="006D5DC7">
        <w:t xml:space="preserve"> and activity grants to support organisations to host events across the state </w:t>
      </w:r>
      <w:r w:rsidR="00A123F3">
        <w:t>to</w:t>
      </w:r>
      <w:r w:rsidR="00A123F3" w:rsidRPr="006D5DC7">
        <w:t xml:space="preserve"> </w:t>
      </w:r>
      <w:r w:rsidRPr="006D5DC7">
        <w:t xml:space="preserve">raise awareness of child abuse and child abuse prevention and </w:t>
      </w:r>
      <w:r w:rsidR="00775FF8">
        <w:t xml:space="preserve">to </w:t>
      </w:r>
      <w:r w:rsidRPr="006D5DC7">
        <w:t xml:space="preserve">promote the theme of </w:t>
      </w:r>
      <w:r w:rsidR="00A123F3">
        <w:t>QCPW</w:t>
      </w:r>
      <w:r w:rsidRPr="006D5DC7">
        <w:t>.</w:t>
      </w:r>
    </w:p>
    <w:p w:rsidR="00EC216D" w:rsidRPr="0064116B" w:rsidRDefault="00EC216D" w:rsidP="006B5910">
      <w:pPr>
        <w:pStyle w:val="ListBullet"/>
        <w:numPr>
          <w:ilvl w:val="0"/>
          <w:numId w:val="0"/>
        </w:numPr>
        <w:rPr>
          <w:rFonts w:cs="Calibri"/>
          <w:szCs w:val="24"/>
        </w:rPr>
      </w:pPr>
    </w:p>
    <w:p w:rsidR="00E711C5" w:rsidRPr="00E711C5" w:rsidRDefault="00E711C5" w:rsidP="00E711C5">
      <w:pPr>
        <w:rPr>
          <w:rFonts w:ascii="Calibri" w:hAnsi="Calibri" w:cs="Calibri"/>
          <w:sz w:val="24"/>
          <w:szCs w:val="24"/>
        </w:rPr>
      </w:pPr>
      <w:r w:rsidRPr="00596F70">
        <w:rPr>
          <w:rFonts w:ascii="Calibri" w:hAnsi="Calibri" w:cs="Calibri"/>
          <w:sz w:val="24"/>
          <w:szCs w:val="24"/>
        </w:rPr>
        <w:t>DCCSDS</w:t>
      </w:r>
      <w:r w:rsidRPr="00E711C5">
        <w:rPr>
          <w:rFonts w:ascii="Calibri" w:hAnsi="Calibri" w:cs="Calibri"/>
          <w:sz w:val="24"/>
          <w:szCs w:val="24"/>
        </w:rPr>
        <w:t xml:space="preserve"> funds a number of Domestic and Family Violence Resource Services across Queensland that work closely with a broad range of other service providers to deliver informed, </w:t>
      </w:r>
      <w:r w:rsidR="00A2317A" w:rsidRPr="00E711C5">
        <w:rPr>
          <w:rFonts w:ascii="Calibri" w:hAnsi="Calibri" w:cs="Calibri"/>
          <w:sz w:val="24"/>
          <w:szCs w:val="24"/>
        </w:rPr>
        <w:t>joined</w:t>
      </w:r>
      <w:r w:rsidR="00A2317A">
        <w:rPr>
          <w:rFonts w:ascii="Calibri" w:hAnsi="Calibri" w:cs="Calibri"/>
          <w:sz w:val="24"/>
          <w:szCs w:val="24"/>
        </w:rPr>
        <w:t>-</w:t>
      </w:r>
      <w:r w:rsidRPr="00E711C5">
        <w:rPr>
          <w:rFonts w:ascii="Calibri" w:hAnsi="Calibri" w:cs="Calibri"/>
          <w:sz w:val="24"/>
          <w:szCs w:val="24"/>
        </w:rPr>
        <w:t>up and holistic responses to domestic and family violence at a local level. This may include mental health and drug and alcohol services.</w:t>
      </w:r>
    </w:p>
    <w:p w:rsidR="00E711C5" w:rsidRDefault="00E711C5" w:rsidP="00EC216D">
      <w:pPr>
        <w:rPr>
          <w:rFonts w:ascii="Calibri" w:hAnsi="Calibri" w:cs="Calibri"/>
          <w:sz w:val="24"/>
          <w:szCs w:val="24"/>
        </w:rPr>
      </w:pPr>
    </w:p>
    <w:p w:rsidR="00E711C5" w:rsidRDefault="00E711C5" w:rsidP="00EC216D">
      <w:pPr>
        <w:rPr>
          <w:rFonts w:ascii="Calibri" w:hAnsi="Calibri" w:cs="Calibri"/>
          <w:sz w:val="24"/>
          <w:szCs w:val="24"/>
        </w:rPr>
      </w:pPr>
      <w:r w:rsidRPr="00E711C5">
        <w:rPr>
          <w:rFonts w:ascii="Calibri" w:hAnsi="Calibri" w:cs="Calibri"/>
          <w:sz w:val="24"/>
          <w:szCs w:val="24"/>
        </w:rPr>
        <w:t xml:space="preserve">A number of </w:t>
      </w:r>
      <w:r w:rsidRPr="00596F70">
        <w:rPr>
          <w:rFonts w:ascii="Calibri" w:hAnsi="Calibri" w:cs="Calibri"/>
          <w:sz w:val="24"/>
          <w:szCs w:val="24"/>
        </w:rPr>
        <w:t>Queensland mental health services</w:t>
      </w:r>
      <w:r w:rsidRPr="00E711C5">
        <w:rPr>
          <w:rFonts w:ascii="Calibri" w:hAnsi="Calibri" w:cs="Calibri"/>
          <w:sz w:val="24"/>
          <w:szCs w:val="24"/>
        </w:rPr>
        <w:t xml:space="preserve"> have been working collaboratively with the National Children of Parents with a Mental Illness (COPMI) initiative to develop and promote COPMI resources and evidence-based</w:t>
      </w:r>
      <w:r w:rsidR="00A2317A">
        <w:rPr>
          <w:rFonts w:ascii="Calibri" w:hAnsi="Calibri" w:cs="Calibri"/>
          <w:sz w:val="24"/>
          <w:szCs w:val="24"/>
        </w:rPr>
        <w:t>,</w:t>
      </w:r>
      <w:r w:rsidRPr="00E711C5">
        <w:rPr>
          <w:rFonts w:ascii="Calibri" w:hAnsi="Calibri" w:cs="Calibri"/>
          <w:sz w:val="24"/>
          <w:szCs w:val="24"/>
        </w:rPr>
        <w:t xml:space="preserve"> family-focused brief interventions to families and service providers.</w:t>
      </w:r>
      <w:r w:rsidR="00D26B57">
        <w:rPr>
          <w:rFonts w:ascii="Calibri" w:hAnsi="Calibri" w:cs="Calibri"/>
          <w:sz w:val="24"/>
          <w:szCs w:val="24"/>
        </w:rPr>
        <w:t xml:space="preserve"> </w:t>
      </w:r>
      <w:r w:rsidRPr="00E711C5">
        <w:rPr>
          <w:rFonts w:ascii="Calibri" w:hAnsi="Calibri" w:cs="Calibri"/>
          <w:sz w:val="24"/>
          <w:szCs w:val="24"/>
        </w:rPr>
        <w:t>Initiatives include the Family Focus Intervention DVD, complementary clinical intervention program (an e-learning resource) and the Let’s Talk intervention. International research and assessment by local clinicians involved in the implementation have demonstrated that these initiatives are effective in: reducing symptom relapse in the parent; improving compliance with treatment; reducing or eliminating substance abuse; increasing pro</w:t>
      </w:r>
      <w:r w:rsidR="006B5910">
        <w:rPr>
          <w:rFonts w:ascii="Calibri" w:hAnsi="Calibri" w:cs="Calibri"/>
          <w:sz w:val="24"/>
          <w:szCs w:val="24"/>
        </w:rPr>
        <w:noBreakHyphen/>
      </w:r>
      <w:r w:rsidRPr="00E711C5">
        <w:rPr>
          <w:rFonts w:ascii="Calibri" w:hAnsi="Calibri" w:cs="Calibri"/>
          <w:sz w:val="24"/>
          <w:szCs w:val="24"/>
        </w:rPr>
        <w:t xml:space="preserve">social behaviour in children; enhancing interagency collaboration; and </w:t>
      </w:r>
      <w:r w:rsidR="00A2317A">
        <w:rPr>
          <w:rFonts w:ascii="Calibri" w:hAnsi="Calibri" w:cs="Calibri"/>
          <w:sz w:val="24"/>
          <w:szCs w:val="24"/>
        </w:rPr>
        <w:t xml:space="preserve">improving </w:t>
      </w:r>
      <w:r w:rsidRPr="00E711C5">
        <w:rPr>
          <w:rFonts w:ascii="Calibri" w:hAnsi="Calibri" w:cs="Calibri"/>
          <w:sz w:val="24"/>
          <w:szCs w:val="24"/>
        </w:rPr>
        <w:t>family access to support services.</w:t>
      </w:r>
    </w:p>
    <w:p w:rsidR="00E711C5" w:rsidRDefault="00E711C5" w:rsidP="00EC216D">
      <w:pPr>
        <w:rPr>
          <w:rFonts w:ascii="Calibri" w:hAnsi="Calibri" w:cs="Calibri"/>
          <w:sz w:val="24"/>
          <w:szCs w:val="24"/>
        </w:rPr>
      </w:pPr>
    </w:p>
    <w:p w:rsidR="00E711C5" w:rsidRDefault="00E711C5" w:rsidP="00EC216D">
      <w:pPr>
        <w:rPr>
          <w:rFonts w:ascii="Calibri" w:hAnsi="Calibri" w:cs="Calibri"/>
          <w:sz w:val="24"/>
          <w:szCs w:val="24"/>
        </w:rPr>
      </w:pPr>
      <w:r w:rsidRPr="00E711C5">
        <w:rPr>
          <w:rFonts w:ascii="Calibri" w:hAnsi="Calibri" w:cs="Calibri"/>
          <w:sz w:val="24"/>
          <w:szCs w:val="24"/>
        </w:rPr>
        <w:t xml:space="preserve">The Queensland Government is </w:t>
      </w:r>
      <w:r w:rsidR="00A2317A">
        <w:rPr>
          <w:rFonts w:ascii="Calibri" w:hAnsi="Calibri" w:cs="Calibri"/>
          <w:sz w:val="24"/>
          <w:szCs w:val="24"/>
        </w:rPr>
        <w:t xml:space="preserve">a </w:t>
      </w:r>
      <w:r w:rsidRPr="00E711C5">
        <w:rPr>
          <w:rFonts w:ascii="Calibri" w:hAnsi="Calibri" w:cs="Calibri"/>
          <w:sz w:val="24"/>
          <w:szCs w:val="24"/>
        </w:rPr>
        <w:t xml:space="preserve">signatory to the Information Sharing Protocol between the </w:t>
      </w:r>
      <w:r w:rsidR="00CC4FA8">
        <w:rPr>
          <w:rFonts w:ascii="Calibri" w:hAnsi="Calibri" w:cs="Calibri"/>
          <w:sz w:val="24"/>
          <w:szCs w:val="24"/>
        </w:rPr>
        <w:t>Australian Government</w:t>
      </w:r>
      <w:r w:rsidRPr="00E711C5">
        <w:rPr>
          <w:rFonts w:ascii="Calibri" w:hAnsi="Calibri" w:cs="Calibri"/>
          <w:sz w:val="24"/>
          <w:szCs w:val="24"/>
        </w:rPr>
        <w:t xml:space="preserve"> and </w:t>
      </w:r>
      <w:r w:rsidR="008D421A" w:rsidRPr="00E711C5">
        <w:rPr>
          <w:rFonts w:ascii="Calibri" w:hAnsi="Calibri" w:cs="Calibri"/>
          <w:sz w:val="24"/>
          <w:szCs w:val="24"/>
        </w:rPr>
        <w:t>child protection agencies</w:t>
      </w:r>
      <w:r w:rsidRPr="00E711C5">
        <w:rPr>
          <w:rFonts w:ascii="Calibri" w:hAnsi="Calibri" w:cs="Calibri"/>
          <w:sz w:val="24"/>
          <w:szCs w:val="24"/>
        </w:rPr>
        <w:t xml:space="preserve">. </w:t>
      </w:r>
    </w:p>
    <w:p w:rsidR="00BD5D4E" w:rsidRDefault="00BD5D4E" w:rsidP="006B5910">
      <w:pPr>
        <w:pStyle w:val="Heading3"/>
      </w:pPr>
      <w:bookmarkStart w:id="118" w:name="_Toc400007720"/>
      <w:r w:rsidRPr="00821556">
        <w:t>South Australia</w:t>
      </w:r>
      <w:bookmarkEnd w:id="118"/>
    </w:p>
    <w:p w:rsidR="00CB728E" w:rsidRPr="00AA522D" w:rsidRDefault="00AA522D" w:rsidP="00AA522D">
      <w:pPr>
        <w:pStyle w:val="Heading4"/>
        <w:rPr>
          <w:lang w:val="en-AU"/>
        </w:rPr>
      </w:pPr>
      <w:r>
        <w:t>Sharing Information</w:t>
      </w:r>
    </w:p>
    <w:p w:rsidR="00CB728E" w:rsidRPr="001B38EA" w:rsidRDefault="00CB728E" w:rsidP="00CB728E">
      <w:pPr>
        <w:rPr>
          <w:rFonts w:ascii="Calibri" w:hAnsi="Calibri" w:cs="Calibri"/>
          <w:sz w:val="24"/>
          <w:szCs w:val="24"/>
        </w:rPr>
      </w:pPr>
      <w:r w:rsidRPr="00596F70">
        <w:rPr>
          <w:rFonts w:ascii="Calibri" w:hAnsi="Calibri" w:cs="Calibri"/>
          <w:sz w:val="24"/>
          <w:szCs w:val="24"/>
        </w:rPr>
        <w:t>South Australia’s</w:t>
      </w:r>
      <w:r w:rsidR="00D26B57">
        <w:rPr>
          <w:rFonts w:ascii="Calibri" w:hAnsi="Calibri" w:cs="Calibri"/>
          <w:sz w:val="24"/>
          <w:szCs w:val="24"/>
        </w:rPr>
        <w:t xml:space="preserve"> </w:t>
      </w:r>
      <w:r w:rsidRPr="00AE7DB5">
        <w:rPr>
          <w:rFonts w:ascii="Calibri" w:hAnsi="Calibri" w:cs="Calibri"/>
          <w:i/>
          <w:sz w:val="24"/>
          <w:szCs w:val="24"/>
        </w:rPr>
        <w:t xml:space="preserve">Information Sharing Guidelines </w:t>
      </w:r>
      <w:r w:rsidR="00304E96" w:rsidRPr="00304E96">
        <w:rPr>
          <w:rFonts w:ascii="Calibri" w:hAnsi="Calibri" w:cs="Calibri"/>
          <w:sz w:val="24"/>
          <w:szCs w:val="24"/>
        </w:rPr>
        <w:t xml:space="preserve">(ISG) </w:t>
      </w:r>
      <w:r w:rsidRPr="00AE7DB5">
        <w:rPr>
          <w:rFonts w:ascii="Calibri" w:hAnsi="Calibri" w:cs="Calibri"/>
          <w:i/>
          <w:sz w:val="24"/>
          <w:szCs w:val="24"/>
        </w:rPr>
        <w:t>for Promoting the Safety and Wellbeing of Children, Young People and their Families</w:t>
      </w:r>
      <w:r w:rsidRPr="001B38EA">
        <w:rPr>
          <w:rFonts w:ascii="Calibri" w:hAnsi="Calibri" w:cs="Calibri"/>
          <w:sz w:val="24"/>
          <w:szCs w:val="24"/>
        </w:rPr>
        <w:t xml:space="preserve"> </w:t>
      </w:r>
      <w:r w:rsidR="00596F70">
        <w:rPr>
          <w:rFonts w:ascii="Calibri" w:hAnsi="Calibri" w:cs="Calibri"/>
          <w:sz w:val="24"/>
          <w:szCs w:val="24"/>
        </w:rPr>
        <w:t xml:space="preserve">enable the sharing of information across all levels of government. </w:t>
      </w:r>
      <w:r w:rsidR="00016266" w:rsidRPr="00016266">
        <w:rPr>
          <w:rFonts w:ascii="Calibri" w:hAnsi="Calibri" w:cs="Calibri"/>
          <w:sz w:val="24"/>
          <w:szCs w:val="24"/>
        </w:rPr>
        <w:t>In March 2013, Cabinet approved the expansion of the scope of the Guidelines to encompass all government and relevant non-</w:t>
      </w:r>
      <w:r w:rsidR="00775FF8" w:rsidRPr="00016266">
        <w:rPr>
          <w:rFonts w:ascii="Calibri" w:hAnsi="Calibri" w:cs="Calibri"/>
          <w:sz w:val="24"/>
          <w:szCs w:val="24"/>
        </w:rPr>
        <w:t>government</w:t>
      </w:r>
      <w:r w:rsidR="00016266" w:rsidRPr="00016266">
        <w:rPr>
          <w:rFonts w:ascii="Calibri" w:hAnsi="Calibri" w:cs="Calibri"/>
          <w:sz w:val="24"/>
          <w:szCs w:val="24"/>
        </w:rPr>
        <w:t xml:space="preserve"> organisations working with all vulnerable population groups. This enables the Guidelines to be used as a mechanism to provide more integrated support for children, young peo</w:t>
      </w:r>
      <w:r w:rsidR="00775FF8">
        <w:rPr>
          <w:rFonts w:ascii="Calibri" w:hAnsi="Calibri" w:cs="Calibri"/>
          <w:sz w:val="24"/>
          <w:szCs w:val="24"/>
        </w:rPr>
        <w:t>p</w:t>
      </w:r>
      <w:r w:rsidR="00016266" w:rsidRPr="00016266">
        <w:rPr>
          <w:rFonts w:ascii="Calibri" w:hAnsi="Calibri" w:cs="Calibri"/>
          <w:sz w:val="24"/>
          <w:szCs w:val="24"/>
        </w:rPr>
        <w:t>le and vulnerable adults who are at risk of harm.</w:t>
      </w:r>
      <w:r w:rsidR="00A973E8">
        <w:rPr>
          <w:rFonts w:ascii="Calibri" w:hAnsi="Calibri" w:cs="Calibri"/>
          <w:sz w:val="24"/>
          <w:szCs w:val="24"/>
        </w:rPr>
        <w:t xml:space="preserve"> </w:t>
      </w:r>
      <w:r w:rsidR="00016266" w:rsidRPr="00016266">
        <w:rPr>
          <w:rFonts w:ascii="Calibri" w:hAnsi="Calibri" w:cs="Calibri"/>
          <w:sz w:val="24"/>
          <w:szCs w:val="24"/>
        </w:rPr>
        <w:t xml:space="preserve">The administration of the Guidelines has shifted from the Office of the Guardian of Children and Young People to </w:t>
      </w:r>
      <w:r w:rsidR="00331A79" w:rsidRPr="00016266">
        <w:rPr>
          <w:rFonts w:ascii="Calibri" w:hAnsi="Calibri" w:cs="Calibri"/>
          <w:sz w:val="24"/>
          <w:szCs w:val="24"/>
        </w:rPr>
        <w:t>Ombudsman</w:t>
      </w:r>
      <w:r w:rsidR="00016266" w:rsidRPr="00016266">
        <w:rPr>
          <w:rFonts w:ascii="Calibri" w:hAnsi="Calibri" w:cs="Calibri"/>
          <w:sz w:val="24"/>
          <w:szCs w:val="24"/>
        </w:rPr>
        <w:t xml:space="preserve"> SA.</w:t>
      </w:r>
      <w:r w:rsidR="00A973E8">
        <w:rPr>
          <w:rFonts w:ascii="Calibri" w:hAnsi="Calibri" w:cs="Calibri"/>
          <w:sz w:val="24"/>
          <w:szCs w:val="24"/>
        </w:rPr>
        <w:t xml:space="preserve"> </w:t>
      </w:r>
      <w:r w:rsidR="00016266" w:rsidRPr="00016266">
        <w:rPr>
          <w:rFonts w:ascii="Calibri" w:hAnsi="Calibri" w:cs="Calibri"/>
          <w:sz w:val="24"/>
          <w:szCs w:val="24"/>
        </w:rPr>
        <w:t xml:space="preserve">Government agencies have provided training for staff in the use of the Guidelines. </w:t>
      </w:r>
    </w:p>
    <w:p w:rsidR="00FE4838" w:rsidRPr="00AA522D" w:rsidRDefault="00AA522D" w:rsidP="00AA522D">
      <w:pPr>
        <w:pStyle w:val="Heading4"/>
        <w:rPr>
          <w:lang w:val="en-AU"/>
        </w:rPr>
      </w:pPr>
      <w:r>
        <w:t>Joining up Service Delivery</w:t>
      </w:r>
    </w:p>
    <w:p w:rsidR="003A75BA" w:rsidRDefault="00596F70" w:rsidP="003A75BA">
      <w:pPr>
        <w:rPr>
          <w:rFonts w:ascii="Calibri" w:hAnsi="Calibri" w:cs="Calibri"/>
          <w:sz w:val="24"/>
          <w:szCs w:val="24"/>
        </w:rPr>
      </w:pPr>
      <w:r>
        <w:rPr>
          <w:rFonts w:ascii="Calibri" w:hAnsi="Calibri" w:cs="Calibri"/>
          <w:sz w:val="24"/>
          <w:szCs w:val="24"/>
        </w:rPr>
        <w:t>The</w:t>
      </w:r>
      <w:r w:rsidR="003A75BA" w:rsidRPr="003A75BA">
        <w:rPr>
          <w:rFonts w:ascii="Calibri" w:hAnsi="Calibri" w:cs="Calibri"/>
          <w:sz w:val="24"/>
          <w:szCs w:val="24"/>
        </w:rPr>
        <w:t xml:space="preserve"> </w:t>
      </w:r>
      <w:r w:rsidRPr="00596F70">
        <w:rPr>
          <w:rFonts w:ascii="Calibri" w:hAnsi="Calibri" w:cs="Calibri"/>
          <w:sz w:val="24"/>
          <w:szCs w:val="24"/>
        </w:rPr>
        <w:t xml:space="preserve">Aboriginal Vulnerable Infants Support Service (VISS) </w:t>
      </w:r>
      <w:r w:rsidR="003A75BA" w:rsidRPr="003A75BA">
        <w:rPr>
          <w:rFonts w:ascii="Calibri" w:hAnsi="Calibri" w:cs="Calibri"/>
          <w:sz w:val="24"/>
          <w:szCs w:val="24"/>
        </w:rPr>
        <w:t>provides a culturally appropriate, comprehensive model of service delivery</w:t>
      </w:r>
      <w:r w:rsidR="00016266">
        <w:rPr>
          <w:rFonts w:ascii="Calibri" w:hAnsi="Calibri" w:cs="Calibri"/>
          <w:sz w:val="24"/>
          <w:szCs w:val="24"/>
        </w:rPr>
        <w:t>. It provides</w:t>
      </w:r>
      <w:r w:rsidR="003A75BA" w:rsidRPr="003A75BA">
        <w:rPr>
          <w:rFonts w:ascii="Calibri" w:hAnsi="Calibri" w:cs="Calibri"/>
          <w:sz w:val="24"/>
          <w:szCs w:val="24"/>
        </w:rPr>
        <w:t xml:space="preserve"> additional services for highly vulnerable infants and parents of Aboriginal and Torres Strait Islander descent </w:t>
      </w:r>
      <w:r w:rsidR="00016266">
        <w:rPr>
          <w:rFonts w:ascii="Calibri" w:hAnsi="Calibri" w:cs="Calibri"/>
          <w:sz w:val="24"/>
          <w:szCs w:val="24"/>
        </w:rPr>
        <w:t>who a</w:t>
      </w:r>
      <w:r w:rsidR="00081ED1">
        <w:rPr>
          <w:rFonts w:ascii="Calibri" w:hAnsi="Calibri" w:cs="Calibri"/>
          <w:sz w:val="24"/>
          <w:szCs w:val="24"/>
        </w:rPr>
        <w:t>r</w:t>
      </w:r>
      <w:r w:rsidR="00016266">
        <w:rPr>
          <w:rFonts w:ascii="Calibri" w:hAnsi="Calibri" w:cs="Calibri"/>
          <w:sz w:val="24"/>
          <w:szCs w:val="24"/>
        </w:rPr>
        <w:t xml:space="preserve">e </w:t>
      </w:r>
      <w:r w:rsidR="003A75BA" w:rsidRPr="003A75BA">
        <w:rPr>
          <w:rFonts w:ascii="Calibri" w:hAnsi="Calibri" w:cs="Calibri"/>
          <w:sz w:val="24"/>
          <w:szCs w:val="24"/>
        </w:rPr>
        <w:t xml:space="preserve">experiencing adversity. The program </w:t>
      </w:r>
      <w:r w:rsidR="00016266">
        <w:rPr>
          <w:rFonts w:ascii="Calibri" w:hAnsi="Calibri" w:cs="Calibri"/>
          <w:sz w:val="24"/>
          <w:szCs w:val="24"/>
        </w:rPr>
        <w:t>aims</w:t>
      </w:r>
      <w:r w:rsidR="00016266" w:rsidRPr="003A75BA">
        <w:rPr>
          <w:rFonts w:ascii="Calibri" w:hAnsi="Calibri" w:cs="Calibri"/>
          <w:sz w:val="24"/>
          <w:szCs w:val="24"/>
        </w:rPr>
        <w:t xml:space="preserve"> </w:t>
      </w:r>
      <w:r w:rsidR="003A75BA" w:rsidRPr="003A75BA">
        <w:rPr>
          <w:rFonts w:ascii="Calibri" w:hAnsi="Calibri" w:cs="Calibri"/>
          <w:sz w:val="24"/>
          <w:szCs w:val="24"/>
        </w:rPr>
        <w:t xml:space="preserve">to improve health outcomes by intervening early where childhood developmental, health or safety issues are identified. </w:t>
      </w:r>
      <w:r w:rsidR="00016266">
        <w:rPr>
          <w:rFonts w:ascii="Calibri" w:hAnsi="Calibri" w:cs="Calibri"/>
          <w:sz w:val="24"/>
          <w:szCs w:val="24"/>
        </w:rPr>
        <w:t>The service</w:t>
      </w:r>
      <w:r>
        <w:rPr>
          <w:rFonts w:ascii="Calibri" w:hAnsi="Calibri" w:cs="Calibri"/>
          <w:sz w:val="24"/>
          <w:szCs w:val="24"/>
        </w:rPr>
        <w:t xml:space="preserve"> is delivered from three</w:t>
      </w:r>
      <w:r w:rsidR="003A75BA" w:rsidRPr="003A75BA">
        <w:rPr>
          <w:rFonts w:ascii="Calibri" w:hAnsi="Calibri" w:cs="Calibri"/>
          <w:sz w:val="24"/>
          <w:szCs w:val="24"/>
        </w:rPr>
        <w:t xml:space="preserve"> metropolitan regions and supports families for up to two years</w:t>
      </w:r>
      <w:r w:rsidR="00C636E2">
        <w:rPr>
          <w:rFonts w:ascii="Calibri" w:hAnsi="Calibri" w:cs="Calibri"/>
          <w:sz w:val="24"/>
          <w:szCs w:val="24"/>
        </w:rPr>
        <w:t>,</w:t>
      </w:r>
      <w:r w:rsidR="003A75BA" w:rsidRPr="003A75BA">
        <w:rPr>
          <w:rFonts w:ascii="Calibri" w:hAnsi="Calibri" w:cs="Calibri"/>
          <w:sz w:val="24"/>
          <w:szCs w:val="24"/>
        </w:rPr>
        <w:t xml:space="preserve"> using an early intervention </w:t>
      </w:r>
      <w:r w:rsidR="00A2317A">
        <w:rPr>
          <w:rFonts w:ascii="Calibri" w:hAnsi="Calibri" w:cs="Calibri"/>
          <w:sz w:val="24"/>
          <w:szCs w:val="24"/>
        </w:rPr>
        <w:t>wraparound</w:t>
      </w:r>
      <w:r w:rsidR="003A75BA" w:rsidRPr="003A75BA">
        <w:rPr>
          <w:rFonts w:ascii="Calibri" w:hAnsi="Calibri" w:cs="Calibri"/>
          <w:sz w:val="24"/>
          <w:szCs w:val="24"/>
        </w:rPr>
        <w:t xml:space="preserve"> service. A multidisciplinary team </w:t>
      </w:r>
      <w:r w:rsidR="00EA1BB1">
        <w:rPr>
          <w:rFonts w:ascii="Calibri" w:hAnsi="Calibri" w:cs="Calibri"/>
          <w:sz w:val="24"/>
          <w:szCs w:val="24"/>
        </w:rPr>
        <w:t>provides</w:t>
      </w:r>
      <w:r w:rsidR="00EA1BB1" w:rsidRPr="003A75BA">
        <w:rPr>
          <w:rFonts w:ascii="Calibri" w:hAnsi="Calibri" w:cs="Calibri"/>
          <w:sz w:val="24"/>
          <w:szCs w:val="24"/>
        </w:rPr>
        <w:t xml:space="preserve"> </w:t>
      </w:r>
      <w:r w:rsidR="003A75BA" w:rsidRPr="003A75BA">
        <w:rPr>
          <w:rFonts w:ascii="Calibri" w:hAnsi="Calibri" w:cs="Calibri"/>
          <w:sz w:val="24"/>
          <w:szCs w:val="24"/>
        </w:rPr>
        <w:t xml:space="preserve">infant health checks, support services, child development support, </w:t>
      </w:r>
      <w:proofErr w:type="gramStart"/>
      <w:r w:rsidR="003A75BA" w:rsidRPr="003A75BA">
        <w:rPr>
          <w:rFonts w:ascii="Calibri" w:hAnsi="Calibri" w:cs="Calibri"/>
          <w:sz w:val="24"/>
          <w:szCs w:val="24"/>
        </w:rPr>
        <w:t>social</w:t>
      </w:r>
      <w:proofErr w:type="gramEnd"/>
      <w:r w:rsidR="003A75BA" w:rsidRPr="003A75BA">
        <w:rPr>
          <w:rFonts w:ascii="Calibri" w:hAnsi="Calibri" w:cs="Calibri"/>
          <w:sz w:val="24"/>
          <w:szCs w:val="24"/>
        </w:rPr>
        <w:t xml:space="preserve"> work and therapy services.</w:t>
      </w:r>
      <w:r w:rsidR="00D26B57">
        <w:rPr>
          <w:rFonts w:ascii="Calibri" w:hAnsi="Calibri" w:cs="Calibri"/>
          <w:sz w:val="24"/>
          <w:szCs w:val="24"/>
        </w:rPr>
        <w:t xml:space="preserve"> </w:t>
      </w:r>
      <w:r w:rsidR="003A75BA" w:rsidRPr="003A75BA">
        <w:rPr>
          <w:rFonts w:ascii="Calibri" w:hAnsi="Calibri" w:cs="Calibri"/>
          <w:sz w:val="24"/>
          <w:szCs w:val="24"/>
        </w:rPr>
        <w:t>In February 2013, a new progra</w:t>
      </w:r>
      <w:r>
        <w:rPr>
          <w:rFonts w:ascii="Calibri" w:hAnsi="Calibri" w:cs="Calibri"/>
          <w:sz w:val="24"/>
          <w:szCs w:val="24"/>
        </w:rPr>
        <w:t>m</w:t>
      </w:r>
      <w:r w:rsidR="00016266">
        <w:rPr>
          <w:rFonts w:ascii="Calibri" w:hAnsi="Calibri" w:cs="Calibri"/>
          <w:sz w:val="24"/>
          <w:szCs w:val="24"/>
        </w:rPr>
        <w:t xml:space="preserve"> (Strong Start)</w:t>
      </w:r>
      <w:r>
        <w:rPr>
          <w:rFonts w:ascii="Calibri" w:hAnsi="Calibri" w:cs="Calibri"/>
          <w:sz w:val="24"/>
          <w:szCs w:val="24"/>
        </w:rPr>
        <w:t xml:space="preserve"> was added to the Northern region</w:t>
      </w:r>
      <w:r w:rsidR="00631B6C">
        <w:rPr>
          <w:rFonts w:ascii="Calibri" w:hAnsi="Calibri" w:cs="Calibri"/>
          <w:sz w:val="24"/>
          <w:szCs w:val="24"/>
        </w:rPr>
        <w:t>,</w:t>
      </w:r>
      <w:r w:rsidR="003A75BA" w:rsidRPr="003A75BA">
        <w:rPr>
          <w:rFonts w:ascii="Calibri" w:hAnsi="Calibri" w:cs="Calibri"/>
          <w:sz w:val="24"/>
          <w:szCs w:val="24"/>
        </w:rPr>
        <w:t xml:space="preserve"> provid</w:t>
      </w:r>
      <w:r w:rsidR="003F130D">
        <w:rPr>
          <w:rFonts w:ascii="Calibri" w:hAnsi="Calibri" w:cs="Calibri"/>
          <w:sz w:val="24"/>
          <w:szCs w:val="24"/>
        </w:rPr>
        <w:t>ing</w:t>
      </w:r>
      <w:r w:rsidR="003A75BA" w:rsidRPr="003A75BA">
        <w:rPr>
          <w:rFonts w:ascii="Calibri" w:hAnsi="Calibri" w:cs="Calibri"/>
          <w:sz w:val="24"/>
          <w:szCs w:val="24"/>
        </w:rPr>
        <w:t xml:space="preserve"> an additional Abor</w:t>
      </w:r>
      <w:r>
        <w:rPr>
          <w:rFonts w:ascii="Calibri" w:hAnsi="Calibri" w:cs="Calibri"/>
          <w:sz w:val="24"/>
          <w:szCs w:val="24"/>
        </w:rPr>
        <w:t xml:space="preserve">iginal worker </w:t>
      </w:r>
      <w:r w:rsidR="00016266">
        <w:rPr>
          <w:rFonts w:ascii="Calibri" w:hAnsi="Calibri" w:cs="Calibri"/>
          <w:sz w:val="24"/>
          <w:szCs w:val="24"/>
        </w:rPr>
        <w:t xml:space="preserve">to </w:t>
      </w:r>
      <w:r>
        <w:rPr>
          <w:rFonts w:ascii="Calibri" w:hAnsi="Calibri" w:cs="Calibri"/>
          <w:sz w:val="24"/>
          <w:szCs w:val="24"/>
        </w:rPr>
        <w:t xml:space="preserve">support </w:t>
      </w:r>
      <w:r w:rsidR="00631B6C">
        <w:rPr>
          <w:rFonts w:ascii="Calibri" w:hAnsi="Calibri" w:cs="Calibri"/>
          <w:sz w:val="24"/>
          <w:szCs w:val="24"/>
        </w:rPr>
        <w:t>ante</w:t>
      </w:r>
      <w:r w:rsidR="003A75BA" w:rsidRPr="003A75BA">
        <w:rPr>
          <w:rFonts w:ascii="Calibri" w:hAnsi="Calibri" w:cs="Calibri"/>
          <w:sz w:val="24"/>
          <w:szCs w:val="24"/>
        </w:rPr>
        <w:t>natal first</w:t>
      </w:r>
      <w:r w:rsidR="003F130D">
        <w:rPr>
          <w:rFonts w:ascii="Calibri" w:hAnsi="Calibri" w:cs="Calibri"/>
          <w:sz w:val="24"/>
          <w:szCs w:val="24"/>
        </w:rPr>
        <w:t>-</w:t>
      </w:r>
      <w:r w:rsidR="003A75BA" w:rsidRPr="003A75BA">
        <w:rPr>
          <w:rFonts w:ascii="Calibri" w:hAnsi="Calibri" w:cs="Calibri"/>
          <w:sz w:val="24"/>
          <w:szCs w:val="24"/>
        </w:rPr>
        <w:t>time mothers.</w:t>
      </w:r>
      <w:r w:rsidR="00D26B57">
        <w:rPr>
          <w:rFonts w:ascii="Calibri" w:hAnsi="Calibri" w:cs="Calibri"/>
          <w:sz w:val="24"/>
          <w:szCs w:val="24"/>
        </w:rPr>
        <w:t xml:space="preserve"> </w:t>
      </w:r>
      <w:r w:rsidR="0063421A" w:rsidRPr="0063421A">
        <w:rPr>
          <w:rFonts w:ascii="Calibri" w:hAnsi="Calibri" w:cs="Calibri"/>
          <w:sz w:val="24"/>
          <w:szCs w:val="24"/>
        </w:rPr>
        <w:t>Evaluation of the model is indicating that</w:t>
      </w:r>
      <w:r w:rsidR="00EA1BB1">
        <w:rPr>
          <w:rFonts w:ascii="Calibri" w:hAnsi="Calibri" w:cs="Calibri"/>
          <w:sz w:val="24"/>
          <w:szCs w:val="24"/>
        </w:rPr>
        <w:t>:</w:t>
      </w:r>
      <w:r w:rsidR="0063421A" w:rsidRPr="0063421A">
        <w:rPr>
          <w:rFonts w:ascii="Calibri" w:hAnsi="Calibri" w:cs="Calibri"/>
          <w:sz w:val="24"/>
          <w:szCs w:val="24"/>
        </w:rPr>
        <w:t xml:space="preserve"> more culturally supportive services are being provided for Aboriginal families; health checks are being undertaken for infants; and clients are feeling well supported, with a heightened </w:t>
      </w:r>
      <w:r w:rsidR="0063421A">
        <w:rPr>
          <w:rFonts w:ascii="Calibri" w:hAnsi="Calibri" w:cs="Calibri"/>
          <w:sz w:val="24"/>
          <w:szCs w:val="24"/>
        </w:rPr>
        <w:t>ability to know</w:t>
      </w:r>
      <w:r w:rsidR="0063421A" w:rsidRPr="0063421A">
        <w:rPr>
          <w:rFonts w:ascii="Calibri" w:hAnsi="Calibri" w:cs="Calibri"/>
          <w:sz w:val="24"/>
          <w:szCs w:val="24"/>
        </w:rPr>
        <w:t xml:space="preserve"> how to access other support services.</w:t>
      </w:r>
      <w:r w:rsidR="0063421A">
        <w:rPr>
          <w:rFonts w:ascii="Calibri" w:hAnsi="Calibri" w:cs="Calibri"/>
          <w:sz w:val="24"/>
          <w:szCs w:val="24"/>
        </w:rPr>
        <w:t xml:space="preserve"> </w:t>
      </w:r>
      <w:r w:rsidR="0063421A" w:rsidRPr="0063421A">
        <w:rPr>
          <w:rFonts w:ascii="Calibri" w:hAnsi="Calibri" w:cs="Calibri"/>
          <w:sz w:val="24"/>
          <w:szCs w:val="24"/>
        </w:rPr>
        <w:t>Over 120 infants and their families have been supported through this service across the metropolitan area.</w:t>
      </w:r>
      <w:r w:rsidR="003A75BA" w:rsidRPr="003A75BA">
        <w:rPr>
          <w:rFonts w:ascii="Calibri" w:hAnsi="Calibri" w:cs="Calibri"/>
          <w:sz w:val="24"/>
          <w:szCs w:val="24"/>
        </w:rPr>
        <w:t xml:space="preserve"> </w:t>
      </w:r>
      <w:r w:rsidR="0063421A" w:rsidRPr="0063421A">
        <w:rPr>
          <w:rFonts w:ascii="Calibri" w:hAnsi="Calibri" w:cs="Calibri"/>
          <w:sz w:val="24"/>
          <w:szCs w:val="24"/>
        </w:rPr>
        <w:t>The Drug and Alcohol Services SA (DASSA) Standard Assessment Form has been revised to identify those clients who have parenting responsibilities and who have had contact with family support agencies and services. This has been extended to include clients involved with non-pharmaceutical treatment. DASSA plans to include this data in its client information systems.</w:t>
      </w:r>
    </w:p>
    <w:p w:rsidR="0063421A" w:rsidRDefault="0063421A" w:rsidP="003A75BA">
      <w:pPr>
        <w:rPr>
          <w:rFonts w:ascii="Calibri" w:hAnsi="Calibri" w:cs="Calibri"/>
          <w:sz w:val="24"/>
          <w:szCs w:val="24"/>
        </w:rPr>
      </w:pPr>
    </w:p>
    <w:p w:rsidR="0063421A" w:rsidRDefault="00280510" w:rsidP="0063421A">
      <w:pPr>
        <w:rPr>
          <w:rFonts w:ascii="Calibri" w:hAnsi="Calibri" w:cs="Calibri"/>
          <w:sz w:val="24"/>
          <w:szCs w:val="24"/>
        </w:rPr>
      </w:pPr>
      <w:r>
        <w:rPr>
          <w:rFonts w:ascii="Calibri" w:hAnsi="Calibri" w:cs="Calibri"/>
          <w:sz w:val="24"/>
          <w:szCs w:val="24"/>
        </w:rPr>
        <w:t xml:space="preserve">The </w:t>
      </w:r>
      <w:r w:rsidRPr="00280510">
        <w:rPr>
          <w:rFonts w:ascii="Calibri" w:hAnsi="Calibri" w:cs="Calibri"/>
          <w:sz w:val="24"/>
          <w:szCs w:val="24"/>
        </w:rPr>
        <w:t>Department for Communities and Social Inclusion</w:t>
      </w:r>
      <w:r>
        <w:rPr>
          <w:rFonts w:ascii="Calibri" w:hAnsi="Calibri" w:cs="Calibri"/>
          <w:sz w:val="24"/>
          <w:szCs w:val="24"/>
        </w:rPr>
        <w:t xml:space="preserve"> (</w:t>
      </w:r>
      <w:r w:rsidR="000341A5">
        <w:rPr>
          <w:rFonts w:ascii="Calibri" w:hAnsi="Calibri" w:cs="Calibri"/>
          <w:sz w:val="24"/>
          <w:szCs w:val="24"/>
        </w:rPr>
        <w:t>DCSI</w:t>
      </w:r>
      <w:r>
        <w:rPr>
          <w:rFonts w:ascii="Calibri" w:hAnsi="Calibri" w:cs="Calibri"/>
          <w:sz w:val="24"/>
          <w:szCs w:val="24"/>
        </w:rPr>
        <w:t>)</w:t>
      </w:r>
      <w:r w:rsidR="001B38EA" w:rsidRPr="001B38EA">
        <w:rPr>
          <w:rFonts w:ascii="Calibri" w:hAnsi="Calibri" w:cs="Calibri"/>
          <w:sz w:val="24"/>
          <w:szCs w:val="24"/>
        </w:rPr>
        <w:t xml:space="preserve"> Housing SA has implemented a </w:t>
      </w:r>
      <w:r w:rsidR="0063421A">
        <w:rPr>
          <w:rFonts w:ascii="Calibri" w:hAnsi="Calibri" w:cs="Calibri"/>
          <w:sz w:val="24"/>
          <w:szCs w:val="24"/>
        </w:rPr>
        <w:t xml:space="preserve">new </w:t>
      </w:r>
      <w:r w:rsidR="001B38EA" w:rsidRPr="001B38EA">
        <w:rPr>
          <w:rFonts w:ascii="Calibri" w:hAnsi="Calibri" w:cs="Calibri"/>
          <w:sz w:val="24"/>
          <w:szCs w:val="24"/>
        </w:rPr>
        <w:t xml:space="preserve">regionalised Specialist Homelessness Services </w:t>
      </w:r>
      <w:r w:rsidR="0075472C">
        <w:rPr>
          <w:rFonts w:ascii="Calibri" w:hAnsi="Calibri" w:cs="Calibri"/>
          <w:sz w:val="24"/>
          <w:szCs w:val="24"/>
        </w:rPr>
        <w:t xml:space="preserve">(SHS) </w:t>
      </w:r>
      <w:r w:rsidR="001B38EA" w:rsidRPr="001B38EA">
        <w:rPr>
          <w:rFonts w:ascii="Calibri" w:hAnsi="Calibri" w:cs="Calibri"/>
          <w:sz w:val="24"/>
          <w:szCs w:val="24"/>
        </w:rPr>
        <w:t>and Domestic and Aboriginal Family Violence se</w:t>
      </w:r>
      <w:r w:rsidR="0064542F">
        <w:rPr>
          <w:rFonts w:ascii="Calibri" w:hAnsi="Calibri" w:cs="Calibri"/>
          <w:sz w:val="24"/>
          <w:szCs w:val="24"/>
        </w:rPr>
        <w:t>rvice system</w:t>
      </w:r>
      <w:r w:rsidR="00241D60">
        <w:rPr>
          <w:rFonts w:ascii="Calibri" w:hAnsi="Calibri" w:cs="Calibri"/>
          <w:sz w:val="24"/>
          <w:szCs w:val="24"/>
        </w:rPr>
        <w:t xml:space="preserve"> </w:t>
      </w:r>
      <w:r w:rsidR="0063421A" w:rsidRPr="0063421A">
        <w:rPr>
          <w:rFonts w:ascii="Calibri" w:hAnsi="Calibri" w:cs="Calibri"/>
          <w:sz w:val="24"/>
          <w:szCs w:val="24"/>
        </w:rPr>
        <w:t xml:space="preserve">which aims to improve: </w:t>
      </w:r>
    </w:p>
    <w:p w:rsidR="0063421A" w:rsidRPr="0063421A" w:rsidRDefault="0063421A" w:rsidP="003F130D">
      <w:pPr>
        <w:pStyle w:val="ListBullet"/>
      </w:pPr>
      <w:r w:rsidRPr="0063421A">
        <w:t xml:space="preserve">consistency in the spread and quality of Homelessness Services across </w:t>
      </w:r>
      <w:r w:rsidR="003F130D" w:rsidRPr="0063421A">
        <w:t>geographical</w:t>
      </w:r>
      <w:r w:rsidRPr="0063421A">
        <w:t xml:space="preserve"> regions</w:t>
      </w:r>
    </w:p>
    <w:p w:rsidR="0063421A" w:rsidRPr="0063421A" w:rsidRDefault="0063421A" w:rsidP="003F130D">
      <w:pPr>
        <w:pStyle w:val="ListBullet"/>
      </w:pPr>
      <w:r w:rsidRPr="0063421A">
        <w:t>equity of access to services for high</w:t>
      </w:r>
      <w:r w:rsidR="003F130D">
        <w:t>-</w:t>
      </w:r>
      <w:r w:rsidRPr="0063421A">
        <w:t>risk population groups in many regional areas</w:t>
      </w:r>
    </w:p>
    <w:p w:rsidR="003F130D" w:rsidRDefault="0063421A" w:rsidP="003F130D">
      <w:pPr>
        <w:pStyle w:val="ListBullet"/>
      </w:pPr>
      <w:proofErr w:type="gramStart"/>
      <w:r w:rsidRPr="0063421A">
        <w:t>integration</w:t>
      </w:r>
      <w:proofErr w:type="gramEnd"/>
      <w:r w:rsidRPr="0063421A">
        <w:t xml:space="preserve"> among Homelessness </w:t>
      </w:r>
      <w:r w:rsidR="003F130D" w:rsidRPr="0063421A">
        <w:t>Services</w:t>
      </w:r>
      <w:r w:rsidRPr="0063421A">
        <w:t xml:space="preserve"> and mainstream services</w:t>
      </w:r>
      <w:r>
        <w:t>.</w:t>
      </w:r>
    </w:p>
    <w:p w:rsidR="00247D7D" w:rsidRDefault="00247D7D" w:rsidP="003A75BA">
      <w:pPr>
        <w:rPr>
          <w:rFonts w:ascii="Calibri" w:hAnsi="Calibri" w:cs="Calibri"/>
          <w:sz w:val="24"/>
          <w:szCs w:val="24"/>
        </w:rPr>
      </w:pPr>
    </w:p>
    <w:p w:rsidR="001B38EA" w:rsidRDefault="00247D7D" w:rsidP="003A75BA">
      <w:pPr>
        <w:rPr>
          <w:rFonts w:ascii="Calibri" w:hAnsi="Calibri" w:cs="Calibri"/>
          <w:sz w:val="24"/>
          <w:szCs w:val="24"/>
        </w:rPr>
      </w:pPr>
      <w:r w:rsidRPr="00247D7D">
        <w:rPr>
          <w:rFonts w:ascii="Calibri" w:hAnsi="Calibri" w:cs="Calibri"/>
          <w:sz w:val="24"/>
          <w:szCs w:val="24"/>
        </w:rPr>
        <w:t>Resource allocation has been linked to the available service and demographic evidence base, and a network of regional services has been developed to provide a consistent, core set of service elements. These include</w:t>
      </w:r>
      <w:r w:rsidR="003F130D">
        <w:rPr>
          <w:rFonts w:ascii="Calibri" w:hAnsi="Calibri" w:cs="Calibri"/>
          <w:sz w:val="24"/>
          <w:szCs w:val="24"/>
        </w:rPr>
        <w:t>:</w:t>
      </w:r>
      <w:r w:rsidRPr="00247D7D">
        <w:rPr>
          <w:rFonts w:ascii="Calibri" w:hAnsi="Calibri" w:cs="Calibri"/>
          <w:sz w:val="24"/>
          <w:szCs w:val="24"/>
        </w:rPr>
        <w:t xml:space="preserve"> intake and assessment; early intervention and waitlist support; in-centre and outreach support; supported accommodation; post-crisis support; homeless children’s support; brokerage funds</w:t>
      </w:r>
      <w:r w:rsidR="003F130D">
        <w:rPr>
          <w:rFonts w:ascii="Calibri" w:hAnsi="Calibri" w:cs="Calibri"/>
          <w:sz w:val="24"/>
          <w:szCs w:val="24"/>
        </w:rPr>
        <w:t>;</w:t>
      </w:r>
      <w:r w:rsidRPr="00247D7D">
        <w:rPr>
          <w:rFonts w:ascii="Calibri" w:hAnsi="Calibri" w:cs="Calibri"/>
          <w:sz w:val="24"/>
          <w:szCs w:val="24"/>
        </w:rPr>
        <w:t xml:space="preserve"> and supportive housing packages.</w:t>
      </w:r>
      <w:r w:rsidR="00A973E8">
        <w:rPr>
          <w:rFonts w:ascii="Calibri" w:hAnsi="Calibri" w:cs="Calibri"/>
          <w:sz w:val="24"/>
          <w:szCs w:val="24"/>
        </w:rPr>
        <w:t xml:space="preserve"> </w:t>
      </w:r>
      <w:r w:rsidRPr="00247D7D">
        <w:rPr>
          <w:rFonts w:ascii="Calibri" w:hAnsi="Calibri" w:cs="Calibri"/>
          <w:sz w:val="24"/>
          <w:szCs w:val="24"/>
        </w:rPr>
        <w:t>There are S</w:t>
      </w:r>
      <w:r w:rsidR="00CC16F4">
        <w:rPr>
          <w:rFonts w:ascii="Calibri" w:hAnsi="Calibri" w:cs="Calibri"/>
          <w:sz w:val="24"/>
          <w:szCs w:val="24"/>
        </w:rPr>
        <w:t>HSs</w:t>
      </w:r>
      <w:r w:rsidRPr="00247D7D">
        <w:rPr>
          <w:rFonts w:ascii="Calibri" w:hAnsi="Calibri" w:cs="Calibri"/>
          <w:sz w:val="24"/>
          <w:szCs w:val="24"/>
        </w:rPr>
        <w:t xml:space="preserve"> for adults, families and children, young people and women experiencing domestic violence as well as a Domestic Violence and Aboriginal Family Violence, Youth and Generic ‘gateways’</w:t>
      </w:r>
      <w:r w:rsidR="003F130D">
        <w:rPr>
          <w:rFonts w:ascii="Calibri" w:hAnsi="Calibri" w:cs="Calibri"/>
          <w:sz w:val="24"/>
          <w:szCs w:val="24"/>
        </w:rPr>
        <w:t>,</w:t>
      </w:r>
      <w:r w:rsidRPr="00247D7D">
        <w:rPr>
          <w:rFonts w:ascii="Calibri" w:hAnsi="Calibri" w:cs="Calibri"/>
          <w:sz w:val="24"/>
          <w:szCs w:val="24"/>
        </w:rPr>
        <w:t xml:space="preserve"> and Aboriginal-specific services. </w:t>
      </w:r>
    </w:p>
    <w:p w:rsidR="00247D7D" w:rsidRDefault="00247D7D" w:rsidP="003A75BA">
      <w:pPr>
        <w:rPr>
          <w:rFonts w:ascii="Calibri" w:hAnsi="Calibri" w:cs="Calibri"/>
          <w:sz w:val="24"/>
          <w:szCs w:val="24"/>
        </w:rPr>
      </w:pPr>
    </w:p>
    <w:p w:rsidR="001B38EA" w:rsidRPr="001B38EA" w:rsidRDefault="00247D7D" w:rsidP="001B38EA">
      <w:pPr>
        <w:rPr>
          <w:rFonts w:ascii="Calibri" w:hAnsi="Calibri" w:cs="Calibri"/>
          <w:sz w:val="24"/>
          <w:szCs w:val="24"/>
        </w:rPr>
      </w:pPr>
      <w:r>
        <w:rPr>
          <w:rFonts w:ascii="Calibri" w:hAnsi="Calibri" w:cs="Calibri"/>
          <w:sz w:val="24"/>
          <w:szCs w:val="24"/>
        </w:rPr>
        <w:t>Families SA is trialling a</w:t>
      </w:r>
      <w:r w:rsidR="001B38EA" w:rsidRPr="001B38EA">
        <w:rPr>
          <w:rFonts w:ascii="Calibri" w:hAnsi="Calibri" w:cs="Calibri"/>
          <w:sz w:val="24"/>
          <w:szCs w:val="24"/>
        </w:rPr>
        <w:t xml:space="preserve"> multidisciplinary approach to chi</w:t>
      </w:r>
      <w:r w:rsidR="0064542F">
        <w:rPr>
          <w:rFonts w:ascii="Calibri" w:hAnsi="Calibri" w:cs="Calibri"/>
          <w:sz w:val="24"/>
          <w:szCs w:val="24"/>
        </w:rPr>
        <w:t>l</w:t>
      </w:r>
      <w:r w:rsidR="001B38EA" w:rsidRPr="001B38EA">
        <w:rPr>
          <w:rFonts w:ascii="Calibri" w:hAnsi="Calibri" w:cs="Calibri"/>
          <w:sz w:val="24"/>
          <w:szCs w:val="24"/>
        </w:rPr>
        <w:t xml:space="preserve">d protection </w:t>
      </w:r>
      <w:r w:rsidR="00EA1BB1">
        <w:rPr>
          <w:rFonts w:ascii="Calibri" w:hAnsi="Calibri" w:cs="Calibri"/>
          <w:sz w:val="24"/>
          <w:szCs w:val="24"/>
        </w:rPr>
        <w:t xml:space="preserve">in four </w:t>
      </w:r>
      <w:r w:rsidR="001B38EA" w:rsidRPr="001B38EA">
        <w:rPr>
          <w:rFonts w:ascii="Calibri" w:hAnsi="Calibri" w:cs="Calibri"/>
          <w:sz w:val="24"/>
          <w:szCs w:val="24"/>
        </w:rPr>
        <w:t>offices. It is working to improve the skills of child protection workers regarding responses to cases involving drug and alcohol issues</w:t>
      </w:r>
      <w:r w:rsidR="00EA1BB1">
        <w:rPr>
          <w:rFonts w:ascii="Calibri" w:hAnsi="Calibri" w:cs="Calibri"/>
          <w:sz w:val="24"/>
          <w:szCs w:val="24"/>
        </w:rPr>
        <w:t xml:space="preserve"> in families</w:t>
      </w:r>
      <w:r w:rsidR="001B38EA" w:rsidRPr="001B38EA">
        <w:rPr>
          <w:rFonts w:ascii="Calibri" w:hAnsi="Calibri" w:cs="Calibri"/>
          <w:sz w:val="24"/>
          <w:szCs w:val="24"/>
        </w:rPr>
        <w:t xml:space="preserve">, while at the same time improving client access to specialised drug and alcohol services. </w:t>
      </w:r>
      <w:r>
        <w:rPr>
          <w:rFonts w:ascii="Calibri" w:hAnsi="Calibri" w:cs="Calibri"/>
          <w:sz w:val="24"/>
          <w:szCs w:val="24"/>
        </w:rPr>
        <w:t>The approach</w:t>
      </w:r>
      <w:r w:rsidR="001B38EA" w:rsidRPr="001B38EA">
        <w:rPr>
          <w:rFonts w:ascii="Calibri" w:hAnsi="Calibri" w:cs="Calibri"/>
          <w:sz w:val="24"/>
          <w:szCs w:val="24"/>
        </w:rPr>
        <w:t xml:space="preserve"> </w:t>
      </w:r>
      <w:r w:rsidRPr="001B38EA">
        <w:rPr>
          <w:rFonts w:ascii="Calibri" w:hAnsi="Calibri" w:cs="Calibri"/>
          <w:sz w:val="24"/>
          <w:szCs w:val="24"/>
        </w:rPr>
        <w:t>utilis</w:t>
      </w:r>
      <w:r>
        <w:rPr>
          <w:rFonts w:ascii="Calibri" w:hAnsi="Calibri" w:cs="Calibri"/>
          <w:sz w:val="24"/>
          <w:szCs w:val="24"/>
        </w:rPr>
        <w:t>es</w:t>
      </w:r>
      <w:r w:rsidRPr="001B38EA">
        <w:rPr>
          <w:rFonts w:ascii="Calibri" w:hAnsi="Calibri" w:cs="Calibri"/>
          <w:sz w:val="24"/>
          <w:szCs w:val="24"/>
        </w:rPr>
        <w:t xml:space="preserve"> </w:t>
      </w:r>
      <w:r w:rsidR="001B38EA" w:rsidRPr="001B38EA">
        <w:rPr>
          <w:rFonts w:ascii="Calibri" w:hAnsi="Calibri" w:cs="Calibri"/>
          <w:sz w:val="24"/>
          <w:szCs w:val="24"/>
        </w:rPr>
        <w:t>team configurations that re-focus work more specifically on family preservation and reunification efforts. It includes the secondment and co-location of three drug and alcohol clinicians from DASSA and the provision of training for Families SA in the Alcohol, Smoking and Substance Involvement Screening Test (ASSIST) and the associated brief intervention. Drug and alcohol clinicians are undertaking</w:t>
      </w:r>
      <w:r w:rsidR="0064542F">
        <w:rPr>
          <w:rFonts w:ascii="Calibri" w:hAnsi="Calibri" w:cs="Calibri"/>
          <w:sz w:val="24"/>
          <w:szCs w:val="24"/>
        </w:rPr>
        <w:t xml:space="preserve"> a vital educative role,</w:t>
      </w:r>
      <w:r w:rsidR="001B38EA" w:rsidRPr="001B38EA">
        <w:rPr>
          <w:rFonts w:ascii="Calibri" w:hAnsi="Calibri" w:cs="Calibri"/>
          <w:sz w:val="24"/>
          <w:szCs w:val="24"/>
        </w:rPr>
        <w:t xml:space="preserve"> providing formal </w:t>
      </w:r>
      <w:r w:rsidR="00CB3596">
        <w:rPr>
          <w:rFonts w:ascii="Calibri" w:hAnsi="Calibri" w:cs="Calibri"/>
          <w:sz w:val="24"/>
          <w:szCs w:val="24"/>
        </w:rPr>
        <w:t>work</w:t>
      </w:r>
      <w:r w:rsidR="001B38EA" w:rsidRPr="001B38EA">
        <w:rPr>
          <w:rFonts w:ascii="Calibri" w:hAnsi="Calibri" w:cs="Calibri"/>
          <w:sz w:val="24"/>
          <w:szCs w:val="24"/>
        </w:rPr>
        <w:t xml:space="preserve">place learning to </w:t>
      </w:r>
      <w:r>
        <w:rPr>
          <w:rFonts w:ascii="Calibri" w:hAnsi="Calibri" w:cs="Calibri"/>
          <w:sz w:val="24"/>
          <w:szCs w:val="24"/>
        </w:rPr>
        <w:t xml:space="preserve">child protection </w:t>
      </w:r>
      <w:r w:rsidR="001B38EA" w:rsidRPr="001B38EA">
        <w:rPr>
          <w:rFonts w:ascii="Calibri" w:hAnsi="Calibri" w:cs="Calibri"/>
          <w:sz w:val="24"/>
          <w:szCs w:val="24"/>
        </w:rPr>
        <w:t xml:space="preserve">teams and </w:t>
      </w:r>
      <w:r w:rsidR="00CB3596">
        <w:rPr>
          <w:rFonts w:ascii="Calibri" w:hAnsi="Calibri" w:cs="Calibri"/>
          <w:sz w:val="24"/>
          <w:szCs w:val="24"/>
        </w:rPr>
        <w:t>on-the-job</w:t>
      </w:r>
      <w:r w:rsidR="001B38EA" w:rsidRPr="001B38EA">
        <w:rPr>
          <w:rFonts w:ascii="Calibri" w:hAnsi="Calibri" w:cs="Calibri"/>
          <w:sz w:val="24"/>
          <w:szCs w:val="24"/>
        </w:rPr>
        <w:t xml:space="preserve"> education through consultation and co-working.</w:t>
      </w:r>
      <w:r w:rsidR="00D26B57">
        <w:rPr>
          <w:rFonts w:ascii="Calibri" w:hAnsi="Calibri" w:cs="Calibri"/>
          <w:sz w:val="24"/>
          <w:szCs w:val="24"/>
        </w:rPr>
        <w:t xml:space="preserve"> </w:t>
      </w:r>
      <w:r w:rsidR="001B38EA" w:rsidRPr="001B38EA">
        <w:rPr>
          <w:rFonts w:ascii="Calibri" w:hAnsi="Calibri" w:cs="Calibri"/>
          <w:sz w:val="24"/>
          <w:szCs w:val="24"/>
        </w:rPr>
        <w:t>An important outcome has been a decrease in reliance on the use of drug screening as an indicator of parental compliance.</w:t>
      </w:r>
      <w:r w:rsidR="00D26B57">
        <w:rPr>
          <w:rFonts w:ascii="Calibri" w:hAnsi="Calibri" w:cs="Calibri"/>
          <w:sz w:val="24"/>
          <w:szCs w:val="24"/>
        </w:rPr>
        <w:t xml:space="preserve"> </w:t>
      </w:r>
      <w:r w:rsidR="001B38EA" w:rsidRPr="001B38EA">
        <w:rPr>
          <w:rFonts w:ascii="Calibri" w:hAnsi="Calibri" w:cs="Calibri"/>
          <w:sz w:val="24"/>
          <w:szCs w:val="24"/>
        </w:rPr>
        <w:t xml:space="preserve">Access to </w:t>
      </w:r>
      <w:r w:rsidR="00F12571">
        <w:rPr>
          <w:rFonts w:ascii="Calibri" w:hAnsi="Calibri" w:cs="Calibri"/>
          <w:sz w:val="24"/>
          <w:szCs w:val="24"/>
        </w:rPr>
        <w:t xml:space="preserve">the </w:t>
      </w:r>
      <w:r w:rsidR="001B38EA" w:rsidRPr="001B38EA">
        <w:rPr>
          <w:rFonts w:ascii="Calibri" w:hAnsi="Calibri" w:cs="Calibri"/>
          <w:sz w:val="24"/>
          <w:szCs w:val="24"/>
        </w:rPr>
        <w:t>administrative data and records systems</w:t>
      </w:r>
      <w:r w:rsidR="00F12571">
        <w:rPr>
          <w:rFonts w:ascii="Calibri" w:hAnsi="Calibri" w:cs="Calibri"/>
          <w:sz w:val="24"/>
          <w:szCs w:val="24"/>
        </w:rPr>
        <w:t xml:space="preserve">, known as </w:t>
      </w:r>
      <w:r w:rsidR="001B38EA" w:rsidRPr="001B38EA">
        <w:rPr>
          <w:rFonts w:ascii="Calibri" w:hAnsi="Calibri" w:cs="Calibri"/>
          <w:sz w:val="24"/>
          <w:szCs w:val="24"/>
        </w:rPr>
        <w:t>CME</w:t>
      </w:r>
      <w:r w:rsidR="00F12571">
        <w:rPr>
          <w:rFonts w:ascii="Calibri" w:hAnsi="Calibri" w:cs="Calibri"/>
          <w:sz w:val="24"/>
          <w:szCs w:val="24"/>
        </w:rPr>
        <w:t>,</w:t>
      </w:r>
      <w:r w:rsidR="001B38EA" w:rsidRPr="001B38EA">
        <w:rPr>
          <w:rFonts w:ascii="Calibri" w:hAnsi="Calibri" w:cs="Calibri"/>
          <w:sz w:val="24"/>
          <w:szCs w:val="24"/>
        </w:rPr>
        <w:t xml:space="preserve"> enables clinicians to clarify current and historical information, reducing misinformation and misinterpretation and thereby enhancing the strength of child protection assessments of parental capacity. Drug and alcohol clinicians are </w:t>
      </w:r>
      <w:r>
        <w:rPr>
          <w:rFonts w:ascii="Calibri" w:hAnsi="Calibri" w:cs="Calibri"/>
          <w:sz w:val="24"/>
          <w:szCs w:val="24"/>
        </w:rPr>
        <w:t xml:space="preserve">also </w:t>
      </w:r>
      <w:r w:rsidR="001B38EA" w:rsidRPr="001B38EA">
        <w:rPr>
          <w:rFonts w:ascii="Calibri" w:hAnsi="Calibri" w:cs="Calibri"/>
          <w:sz w:val="24"/>
          <w:szCs w:val="24"/>
        </w:rPr>
        <w:t>being effectively utilised to divert parents from the child protection system</w:t>
      </w:r>
      <w:r w:rsidR="007D4A49">
        <w:rPr>
          <w:rFonts w:ascii="Calibri" w:hAnsi="Calibri" w:cs="Calibri"/>
          <w:sz w:val="24"/>
          <w:szCs w:val="24"/>
        </w:rPr>
        <w:t>.</w:t>
      </w:r>
      <w:r w:rsidR="00C636E2">
        <w:rPr>
          <w:rFonts w:ascii="Calibri" w:hAnsi="Calibri" w:cs="Calibri"/>
          <w:sz w:val="24"/>
          <w:szCs w:val="24"/>
        </w:rPr>
        <w:t xml:space="preserve"> </w:t>
      </w:r>
      <w:r w:rsidR="007D4A49">
        <w:rPr>
          <w:rFonts w:ascii="Calibri" w:hAnsi="Calibri" w:cs="Calibri"/>
          <w:sz w:val="24"/>
          <w:szCs w:val="24"/>
        </w:rPr>
        <w:t>F</w:t>
      </w:r>
      <w:r w:rsidR="001B38EA" w:rsidRPr="001B38EA">
        <w:rPr>
          <w:rFonts w:ascii="Calibri" w:hAnsi="Calibri" w:cs="Calibri"/>
          <w:sz w:val="24"/>
          <w:szCs w:val="24"/>
        </w:rPr>
        <w:t>or example, they are linking with families who are the subject of an unborn child protection notification</w:t>
      </w:r>
      <w:r w:rsidR="0064542F">
        <w:rPr>
          <w:rFonts w:ascii="Calibri" w:hAnsi="Calibri" w:cs="Calibri"/>
          <w:sz w:val="24"/>
          <w:szCs w:val="24"/>
        </w:rPr>
        <w:t>, enabling</w:t>
      </w:r>
      <w:r w:rsidR="001B38EA" w:rsidRPr="001B38EA">
        <w:rPr>
          <w:rFonts w:ascii="Calibri" w:hAnsi="Calibri" w:cs="Calibri"/>
          <w:sz w:val="24"/>
          <w:szCs w:val="24"/>
        </w:rPr>
        <w:t xml:space="preserve"> early identification of drug and alcohol issues and early planning to address </w:t>
      </w:r>
      <w:r>
        <w:rPr>
          <w:rFonts w:ascii="Calibri" w:hAnsi="Calibri" w:cs="Calibri"/>
          <w:sz w:val="24"/>
          <w:szCs w:val="24"/>
        </w:rPr>
        <w:t>concerns</w:t>
      </w:r>
      <w:r w:rsidR="001B38EA" w:rsidRPr="001B38EA">
        <w:rPr>
          <w:rFonts w:ascii="Calibri" w:hAnsi="Calibri" w:cs="Calibri"/>
          <w:sz w:val="24"/>
          <w:szCs w:val="24"/>
        </w:rPr>
        <w:t>.</w:t>
      </w:r>
      <w:r w:rsidR="00D26B57">
        <w:rPr>
          <w:rFonts w:ascii="Calibri" w:hAnsi="Calibri" w:cs="Calibri"/>
          <w:sz w:val="24"/>
          <w:szCs w:val="24"/>
        </w:rPr>
        <w:t xml:space="preserve"> </w:t>
      </w:r>
    </w:p>
    <w:p w:rsidR="009C123D" w:rsidRDefault="009C123D" w:rsidP="001B38EA">
      <w:pPr>
        <w:rPr>
          <w:rFonts w:ascii="Calibri" w:hAnsi="Calibri" w:cs="Calibri"/>
          <w:b/>
          <w:sz w:val="24"/>
          <w:szCs w:val="24"/>
        </w:rPr>
      </w:pPr>
    </w:p>
    <w:p w:rsidR="001B38EA" w:rsidRDefault="0064542F" w:rsidP="001B38EA">
      <w:pPr>
        <w:rPr>
          <w:rFonts w:ascii="Calibri" w:hAnsi="Calibri" w:cs="Calibri"/>
          <w:sz w:val="24"/>
          <w:szCs w:val="24"/>
        </w:rPr>
      </w:pPr>
      <w:r>
        <w:rPr>
          <w:rFonts w:ascii="Calibri" w:hAnsi="Calibri" w:cs="Calibri"/>
          <w:sz w:val="24"/>
          <w:szCs w:val="24"/>
        </w:rPr>
        <w:t xml:space="preserve">The </w:t>
      </w:r>
      <w:r w:rsidR="001B38EA" w:rsidRPr="001B38EA">
        <w:rPr>
          <w:rFonts w:ascii="Calibri" w:hAnsi="Calibri" w:cs="Calibri"/>
          <w:sz w:val="24"/>
          <w:szCs w:val="24"/>
        </w:rPr>
        <w:t>Northern Intervention Project (NIP) is part of a partnership between child protection and domestic violence services</w:t>
      </w:r>
      <w:r w:rsidR="00247D7D">
        <w:rPr>
          <w:rFonts w:ascii="Calibri" w:hAnsi="Calibri" w:cs="Calibri"/>
          <w:sz w:val="24"/>
          <w:szCs w:val="24"/>
        </w:rPr>
        <w:t>.</w:t>
      </w:r>
      <w:r w:rsidR="001B38EA" w:rsidRPr="001B38EA">
        <w:rPr>
          <w:rFonts w:ascii="Calibri" w:hAnsi="Calibri" w:cs="Calibri"/>
          <w:sz w:val="24"/>
          <w:szCs w:val="24"/>
        </w:rPr>
        <w:t xml:space="preserve"> Its purpose is to</w:t>
      </w:r>
      <w:r>
        <w:rPr>
          <w:rFonts w:ascii="Calibri" w:hAnsi="Calibri" w:cs="Calibri"/>
          <w:sz w:val="24"/>
          <w:szCs w:val="24"/>
        </w:rPr>
        <w:t xml:space="preserve"> </w:t>
      </w:r>
      <w:r w:rsidR="00247D7D">
        <w:rPr>
          <w:rFonts w:ascii="Calibri" w:hAnsi="Calibri" w:cs="Calibri"/>
          <w:sz w:val="24"/>
          <w:szCs w:val="24"/>
        </w:rPr>
        <w:t xml:space="preserve">strengthen </w:t>
      </w:r>
      <w:r>
        <w:rPr>
          <w:rFonts w:ascii="Calibri" w:hAnsi="Calibri" w:cs="Calibri"/>
          <w:sz w:val="24"/>
          <w:szCs w:val="24"/>
        </w:rPr>
        <w:t>service responses</w:t>
      </w:r>
      <w:r w:rsidR="001B38EA" w:rsidRPr="001B38EA">
        <w:rPr>
          <w:rFonts w:ascii="Calibri" w:hAnsi="Calibri" w:cs="Calibri"/>
          <w:sz w:val="24"/>
          <w:szCs w:val="24"/>
        </w:rPr>
        <w:t xml:space="preserve"> to women and children to enhance their safety and wellbeing. This involves stimulating and supporting integrated practic</w:t>
      </w:r>
      <w:r>
        <w:rPr>
          <w:rFonts w:ascii="Calibri" w:hAnsi="Calibri" w:cs="Calibri"/>
          <w:sz w:val="24"/>
          <w:szCs w:val="24"/>
        </w:rPr>
        <w:t>e to support women and children</w:t>
      </w:r>
      <w:r w:rsidR="001B38EA" w:rsidRPr="001B38EA">
        <w:rPr>
          <w:rFonts w:ascii="Calibri" w:hAnsi="Calibri" w:cs="Calibri"/>
          <w:sz w:val="24"/>
          <w:szCs w:val="24"/>
        </w:rPr>
        <w:t xml:space="preserve"> and ensure perpetrator accountability. The project uses a collaborative action learning approach, involving staff and managers from both services, utilising an external facilitator. The project has enabled the trialling of new ways of working together, the participation in c</w:t>
      </w:r>
      <w:r>
        <w:rPr>
          <w:rFonts w:ascii="Calibri" w:hAnsi="Calibri" w:cs="Calibri"/>
          <w:sz w:val="24"/>
          <w:szCs w:val="24"/>
        </w:rPr>
        <w:t>ross</w:t>
      </w:r>
      <w:r w:rsidR="00C636E2">
        <w:rPr>
          <w:rFonts w:ascii="Calibri" w:hAnsi="Calibri" w:cs="Calibri"/>
          <w:sz w:val="24"/>
          <w:szCs w:val="24"/>
        </w:rPr>
        <w:t>-</w:t>
      </w:r>
      <w:r>
        <w:rPr>
          <w:rFonts w:ascii="Calibri" w:hAnsi="Calibri" w:cs="Calibri"/>
          <w:sz w:val="24"/>
          <w:szCs w:val="24"/>
        </w:rPr>
        <w:t>agency critical reflection</w:t>
      </w:r>
      <w:r w:rsidR="001B38EA" w:rsidRPr="001B38EA">
        <w:rPr>
          <w:rFonts w:ascii="Calibri" w:hAnsi="Calibri" w:cs="Calibri"/>
          <w:sz w:val="24"/>
          <w:szCs w:val="24"/>
        </w:rPr>
        <w:t xml:space="preserve"> and the reviewing </w:t>
      </w:r>
      <w:r w:rsidR="00247D7D">
        <w:rPr>
          <w:rFonts w:ascii="Calibri" w:hAnsi="Calibri" w:cs="Calibri"/>
          <w:sz w:val="24"/>
          <w:szCs w:val="24"/>
        </w:rPr>
        <w:t xml:space="preserve">of </w:t>
      </w:r>
      <w:r w:rsidR="001B38EA" w:rsidRPr="001B38EA">
        <w:rPr>
          <w:rFonts w:ascii="Calibri" w:hAnsi="Calibri" w:cs="Calibri"/>
          <w:sz w:val="24"/>
          <w:szCs w:val="24"/>
        </w:rPr>
        <w:t>procedures to support this work.</w:t>
      </w:r>
    </w:p>
    <w:p w:rsidR="00BD5D4E" w:rsidRPr="00821556" w:rsidRDefault="00BD5D4E" w:rsidP="006D4C6A">
      <w:pPr>
        <w:pStyle w:val="Heading3"/>
      </w:pPr>
      <w:bookmarkStart w:id="119" w:name="_Toc400007721"/>
      <w:r w:rsidRPr="00821556">
        <w:t>Tasmania</w:t>
      </w:r>
      <w:bookmarkEnd w:id="119"/>
    </w:p>
    <w:p w:rsidR="00CB728E" w:rsidRPr="00AA522D" w:rsidRDefault="00AA522D" w:rsidP="00AA522D">
      <w:pPr>
        <w:pStyle w:val="Heading4"/>
        <w:rPr>
          <w:lang w:val="en-AU"/>
        </w:rPr>
      </w:pPr>
      <w:r>
        <w:t>Sharing Information</w:t>
      </w:r>
    </w:p>
    <w:p w:rsidR="00CB728E" w:rsidRPr="00D03EBA" w:rsidRDefault="00CB3596" w:rsidP="00CB728E">
      <w:pPr>
        <w:rPr>
          <w:rFonts w:ascii="Calibri" w:hAnsi="Calibri" w:cs="Calibri"/>
          <w:sz w:val="24"/>
          <w:szCs w:val="24"/>
        </w:rPr>
      </w:pPr>
      <w:r w:rsidRPr="00D03EBA">
        <w:rPr>
          <w:rFonts w:ascii="Calibri" w:hAnsi="Calibri" w:cs="Calibri"/>
          <w:sz w:val="24"/>
          <w:szCs w:val="24"/>
        </w:rPr>
        <w:t>Improv</w:t>
      </w:r>
      <w:r>
        <w:rPr>
          <w:rFonts w:ascii="Calibri" w:hAnsi="Calibri" w:cs="Calibri"/>
          <w:sz w:val="24"/>
          <w:szCs w:val="24"/>
        </w:rPr>
        <w:t>ing</w:t>
      </w:r>
      <w:r w:rsidRPr="00D03EBA">
        <w:rPr>
          <w:rFonts w:ascii="Calibri" w:hAnsi="Calibri" w:cs="Calibri"/>
          <w:sz w:val="24"/>
          <w:szCs w:val="24"/>
        </w:rPr>
        <w:t xml:space="preserve"> </w:t>
      </w:r>
      <w:r w:rsidR="00CB728E" w:rsidRPr="00D03EBA">
        <w:rPr>
          <w:rFonts w:ascii="Calibri" w:hAnsi="Calibri" w:cs="Calibri"/>
          <w:sz w:val="24"/>
          <w:szCs w:val="24"/>
        </w:rPr>
        <w:t>mechanisms for sharing information remains a key priority for the Tasmanian Government.</w:t>
      </w:r>
      <w:r w:rsidR="00D26B57">
        <w:rPr>
          <w:rFonts w:ascii="Calibri" w:hAnsi="Calibri" w:cs="Calibri"/>
          <w:sz w:val="24"/>
          <w:szCs w:val="24"/>
        </w:rPr>
        <w:t xml:space="preserve"> </w:t>
      </w:r>
      <w:r w:rsidR="00CB728E" w:rsidRPr="00D03EBA">
        <w:rPr>
          <w:rFonts w:ascii="Calibri" w:hAnsi="Calibri" w:cs="Calibri"/>
          <w:sz w:val="24"/>
          <w:szCs w:val="24"/>
        </w:rPr>
        <w:t>Work is continuing to improve data linkage between agencies by developing a whole-of-government business intelligence data warehouse for children and young people.</w:t>
      </w:r>
      <w:r w:rsidR="00D26B57">
        <w:rPr>
          <w:rFonts w:ascii="Calibri" w:hAnsi="Calibri" w:cs="Calibri"/>
          <w:sz w:val="24"/>
          <w:szCs w:val="24"/>
        </w:rPr>
        <w:t xml:space="preserve"> </w:t>
      </w:r>
      <w:r w:rsidR="00CB728E" w:rsidRPr="00D03EBA">
        <w:rPr>
          <w:rFonts w:ascii="Calibri" w:hAnsi="Calibri" w:cs="Calibri"/>
          <w:sz w:val="24"/>
          <w:szCs w:val="24"/>
        </w:rPr>
        <w:t>This initiative will involve the development of whole-of-government business intelligence from a data warehouse drawing on information from multiple data systems.</w:t>
      </w:r>
      <w:r w:rsidR="00D26B57">
        <w:rPr>
          <w:rFonts w:ascii="Calibri" w:hAnsi="Calibri" w:cs="Calibri"/>
          <w:sz w:val="24"/>
          <w:szCs w:val="24"/>
        </w:rPr>
        <w:t xml:space="preserve"> </w:t>
      </w:r>
    </w:p>
    <w:p w:rsidR="00CB728E" w:rsidRDefault="00CB728E" w:rsidP="00CB728E">
      <w:pPr>
        <w:rPr>
          <w:rFonts w:ascii="Calibri" w:hAnsi="Calibri" w:cs="Calibri"/>
          <w:sz w:val="24"/>
          <w:szCs w:val="24"/>
        </w:rPr>
      </w:pPr>
    </w:p>
    <w:p w:rsidR="00CB728E" w:rsidRPr="00D03EBA" w:rsidRDefault="00CB728E" w:rsidP="00CB728E">
      <w:pPr>
        <w:rPr>
          <w:rFonts w:ascii="Calibri" w:hAnsi="Calibri" w:cs="Calibri"/>
          <w:sz w:val="24"/>
          <w:szCs w:val="24"/>
        </w:rPr>
      </w:pPr>
      <w:r w:rsidRPr="00D03EBA">
        <w:rPr>
          <w:rFonts w:ascii="Calibri" w:hAnsi="Calibri" w:cs="Calibri"/>
          <w:sz w:val="24"/>
          <w:szCs w:val="24"/>
        </w:rPr>
        <w:t xml:space="preserve">In addition, there will be </w:t>
      </w:r>
      <w:r w:rsidR="00256A05">
        <w:rPr>
          <w:rFonts w:ascii="Calibri" w:hAnsi="Calibri" w:cs="Calibri"/>
          <w:sz w:val="24"/>
          <w:szCs w:val="24"/>
        </w:rPr>
        <w:t xml:space="preserve">a </w:t>
      </w:r>
      <w:r w:rsidRPr="00D03EBA">
        <w:rPr>
          <w:rFonts w:ascii="Calibri" w:hAnsi="Calibri" w:cs="Calibri"/>
          <w:sz w:val="24"/>
          <w:szCs w:val="24"/>
        </w:rPr>
        <w:t xml:space="preserve">focus on improved access to, and management of, data about children and young people and </w:t>
      </w:r>
      <w:r w:rsidR="00256A05">
        <w:rPr>
          <w:rFonts w:ascii="Calibri" w:hAnsi="Calibri" w:cs="Calibri"/>
          <w:sz w:val="24"/>
          <w:szCs w:val="24"/>
        </w:rPr>
        <w:t>ways</w:t>
      </w:r>
      <w:r w:rsidR="00256A05" w:rsidRPr="00D03EBA">
        <w:rPr>
          <w:rFonts w:ascii="Calibri" w:hAnsi="Calibri" w:cs="Calibri"/>
          <w:sz w:val="24"/>
          <w:szCs w:val="24"/>
        </w:rPr>
        <w:t xml:space="preserve"> </w:t>
      </w:r>
      <w:r w:rsidRPr="00D03EBA">
        <w:rPr>
          <w:rFonts w:ascii="Calibri" w:hAnsi="Calibri" w:cs="Calibri"/>
          <w:sz w:val="24"/>
          <w:szCs w:val="24"/>
        </w:rPr>
        <w:t>organisations use and respond to the data.</w:t>
      </w:r>
    </w:p>
    <w:p w:rsidR="00CB728E" w:rsidRDefault="00CB728E" w:rsidP="00CB728E">
      <w:pPr>
        <w:rPr>
          <w:rFonts w:ascii="Calibri" w:hAnsi="Calibri" w:cs="Calibri"/>
          <w:sz w:val="24"/>
          <w:szCs w:val="24"/>
        </w:rPr>
      </w:pPr>
    </w:p>
    <w:p w:rsidR="00CB728E" w:rsidRPr="00D03EBA" w:rsidRDefault="00CB728E" w:rsidP="00CB728E">
      <w:pPr>
        <w:rPr>
          <w:rFonts w:ascii="Calibri" w:hAnsi="Calibri" w:cs="Calibri"/>
          <w:sz w:val="24"/>
          <w:szCs w:val="24"/>
        </w:rPr>
      </w:pPr>
      <w:r w:rsidRPr="00D03EBA">
        <w:rPr>
          <w:rFonts w:ascii="Calibri" w:hAnsi="Calibri" w:cs="Calibri"/>
          <w:sz w:val="24"/>
          <w:szCs w:val="24"/>
        </w:rPr>
        <w:t>The Facilitating the Sharing of Informat</w:t>
      </w:r>
      <w:r w:rsidR="0064542F">
        <w:rPr>
          <w:rFonts w:ascii="Calibri" w:hAnsi="Calibri" w:cs="Calibri"/>
          <w:sz w:val="24"/>
          <w:szCs w:val="24"/>
        </w:rPr>
        <w:t>ion for Common Clients Project is</w:t>
      </w:r>
      <w:r w:rsidR="00D61D57">
        <w:rPr>
          <w:rFonts w:ascii="Calibri" w:hAnsi="Calibri" w:cs="Calibri"/>
          <w:sz w:val="24"/>
          <w:szCs w:val="24"/>
        </w:rPr>
        <w:t xml:space="preserve"> </w:t>
      </w:r>
      <w:r w:rsidRPr="00D03EBA">
        <w:rPr>
          <w:rFonts w:ascii="Calibri" w:hAnsi="Calibri" w:cs="Calibri"/>
          <w:sz w:val="24"/>
          <w:szCs w:val="24"/>
        </w:rPr>
        <w:t xml:space="preserve">overseen by the Interdepartmental Committee on Children, </w:t>
      </w:r>
      <w:r w:rsidR="0064542F">
        <w:rPr>
          <w:rFonts w:ascii="Calibri" w:hAnsi="Calibri" w:cs="Calibri"/>
          <w:sz w:val="24"/>
          <w:szCs w:val="24"/>
        </w:rPr>
        <w:t>Young People and Their Families. This project</w:t>
      </w:r>
      <w:r w:rsidRPr="00D03EBA">
        <w:rPr>
          <w:rFonts w:ascii="Calibri" w:hAnsi="Calibri" w:cs="Calibri"/>
          <w:sz w:val="24"/>
          <w:szCs w:val="24"/>
        </w:rPr>
        <w:t xml:space="preserve"> seeks to explore the practicalities of working within the current legislative framework for the purposes of case management and/or service coordination and possible legislative solutions to better facilitate the sharing of information about common clients with relevant providers (government and </w:t>
      </w:r>
      <w:r w:rsidR="00C8305C">
        <w:rPr>
          <w:rFonts w:ascii="Calibri" w:hAnsi="Calibri" w:cs="Calibri"/>
          <w:sz w:val="24"/>
          <w:szCs w:val="24"/>
        </w:rPr>
        <w:t>community sector</w:t>
      </w:r>
      <w:r w:rsidRPr="00D03EBA">
        <w:rPr>
          <w:rFonts w:ascii="Calibri" w:hAnsi="Calibri" w:cs="Calibri"/>
          <w:sz w:val="24"/>
          <w:szCs w:val="24"/>
        </w:rPr>
        <w:t>).</w:t>
      </w:r>
      <w:r w:rsidR="00D26B57">
        <w:rPr>
          <w:rFonts w:ascii="Calibri" w:hAnsi="Calibri" w:cs="Calibri"/>
          <w:sz w:val="24"/>
          <w:szCs w:val="24"/>
        </w:rPr>
        <w:t xml:space="preserve"> </w:t>
      </w:r>
    </w:p>
    <w:p w:rsidR="00CB728E" w:rsidRDefault="00CB728E" w:rsidP="00CB728E">
      <w:pPr>
        <w:rPr>
          <w:rFonts w:ascii="Calibri" w:hAnsi="Calibri" w:cs="Calibri"/>
          <w:sz w:val="24"/>
          <w:szCs w:val="24"/>
        </w:rPr>
      </w:pPr>
    </w:p>
    <w:p w:rsidR="00CB728E" w:rsidRDefault="0064542F" w:rsidP="00CB728E">
      <w:pPr>
        <w:rPr>
          <w:rFonts w:ascii="Calibri" w:hAnsi="Calibri" w:cs="Calibri"/>
          <w:sz w:val="24"/>
          <w:szCs w:val="24"/>
        </w:rPr>
      </w:pPr>
      <w:r>
        <w:rPr>
          <w:rFonts w:ascii="Calibri" w:hAnsi="Calibri" w:cs="Calibri"/>
          <w:sz w:val="24"/>
          <w:szCs w:val="24"/>
        </w:rPr>
        <w:t>This</w:t>
      </w:r>
      <w:r w:rsidR="00CB728E" w:rsidRPr="00D03EBA">
        <w:rPr>
          <w:rFonts w:ascii="Calibri" w:hAnsi="Calibri" w:cs="Calibri"/>
          <w:sz w:val="24"/>
          <w:szCs w:val="24"/>
        </w:rPr>
        <w:t xml:space="preserve"> project is in the planning stages. An Information Sharing Issues Identification Reference Group has been brought together with members from the Departments of Education, Health and Human Services, Police and Emergency Management, and Premier and Cabinet.</w:t>
      </w:r>
      <w:r w:rsidR="00D26B57">
        <w:rPr>
          <w:rFonts w:ascii="Calibri" w:hAnsi="Calibri" w:cs="Calibri"/>
          <w:sz w:val="24"/>
          <w:szCs w:val="24"/>
        </w:rPr>
        <w:t xml:space="preserve"> </w:t>
      </w:r>
      <w:r w:rsidR="00CB728E" w:rsidRPr="00D03EBA">
        <w:rPr>
          <w:rFonts w:ascii="Calibri" w:hAnsi="Calibri" w:cs="Calibri"/>
          <w:sz w:val="24"/>
          <w:szCs w:val="24"/>
        </w:rPr>
        <w:t>The Reference Group is developing a survey of agencies to ascertain current information sharing practices and protocols.</w:t>
      </w:r>
      <w:r w:rsidR="00D26B57">
        <w:rPr>
          <w:rFonts w:ascii="Calibri" w:hAnsi="Calibri" w:cs="Calibri"/>
          <w:sz w:val="24"/>
          <w:szCs w:val="24"/>
        </w:rPr>
        <w:t xml:space="preserve"> </w:t>
      </w:r>
    </w:p>
    <w:p w:rsidR="004F1BA8" w:rsidRPr="00AA522D" w:rsidRDefault="00AA522D" w:rsidP="00AA522D">
      <w:pPr>
        <w:pStyle w:val="Heading4"/>
        <w:rPr>
          <w:lang w:val="en-AU"/>
        </w:rPr>
      </w:pPr>
      <w:r>
        <w:t>Joining Up Service Delivery</w:t>
      </w:r>
    </w:p>
    <w:p w:rsidR="00D542E9" w:rsidRDefault="00D542E9" w:rsidP="00D542E9">
      <w:pPr>
        <w:rPr>
          <w:rFonts w:ascii="Calibri" w:hAnsi="Calibri" w:cs="Calibri"/>
          <w:sz w:val="24"/>
          <w:szCs w:val="24"/>
        </w:rPr>
      </w:pPr>
      <w:r w:rsidRPr="00D542E9">
        <w:rPr>
          <w:rFonts w:ascii="Calibri" w:hAnsi="Calibri" w:cs="Calibri"/>
          <w:sz w:val="24"/>
          <w:szCs w:val="24"/>
        </w:rPr>
        <w:t xml:space="preserve">The new </w:t>
      </w:r>
      <w:r w:rsidR="00685B89" w:rsidRPr="00685B89">
        <w:rPr>
          <w:rFonts w:ascii="Calibri" w:hAnsi="Calibri" w:cs="Calibri"/>
          <w:sz w:val="24"/>
          <w:szCs w:val="24"/>
        </w:rPr>
        <w:t>Model</w:t>
      </w:r>
      <w:r w:rsidRPr="00D542E9">
        <w:rPr>
          <w:rFonts w:ascii="Calibri" w:hAnsi="Calibri" w:cs="Calibri"/>
          <w:sz w:val="24"/>
          <w:szCs w:val="24"/>
        </w:rPr>
        <w:t xml:space="preserve"> of </w:t>
      </w:r>
      <w:r w:rsidR="00685B89" w:rsidRPr="00D542E9">
        <w:rPr>
          <w:rFonts w:ascii="Calibri" w:hAnsi="Calibri" w:cs="Calibri"/>
          <w:sz w:val="24"/>
          <w:szCs w:val="24"/>
        </w:rPr>
        <w:t>Care within</w:t>
      </w:r>
      <w:r w:rsidRPr="00D542E9">
        <w:rPr>
          <w:rFonts w:ascii="Calibri" w:hAnsi="Calibri" w:cs="Calibri"/>
          <w:sz w:val="24"/>
          <w:szCs w:val="24"/>
        </w:rPr>
        <w:t xml:space="preserve"> </w:t>
      </w:r>
      <w:proofErr w:type="spellStart"/>
      <w:r w:rsidRPr="00685B89">
        <w:rPr>
          <w:rFonts w:ascii="Calibri" w:hAnsi="Calibri" w:cs="Calibri"/>
          <w:sz w:val="24"/>
          <w:szCs w:val="24"/>
        </w:rPr>
        <w:t>CHaPS</w:t>
      </w:r>
      <w:proofErr w:type="spellEnd"/>
      <w:r w:rsidRPr="0064542F">
        <w:rPr>
          <w:rFonts w:ascii="Calibri" w:hAnsi="Calibri" w:cs="Calibri"/>
          <w:sz w:val="24"/>
          <w:szCs w:val="24"/>
        </w:rPr>
        <w:t xml:space="preserve"> </w:t>
      </w:r>
      <w:r w:rsidRPr="00D542E9">
        <w:rPr>
          <w:rFonts w:ascii="Calibri" w:hAnsi="Calibri" w:cs="Calibri"/>
          <w:sz w:val="24"/>
          <w:szCs w:val="24"/>
        </w:rPr>
        <w:t>was implemented in March 2013 and offers an enhanced child health service for vulnerable families who may experience barriers in accessing health care.</w:t>
      </w:r>
      <w:r w:rsidR="00D26B57">
        <w:rPr>
          <w:rFonts w:ascii="Calibri" w:hAnsi="Calibri" w:cs="Calibri"/>
          <w:sz w:val="24"/>
          <w:szCs w:val="24"/>
        </w:rPr>
        <w:t xml:space="preserve"> </w:t>
      </w:r>
      <w:r w:rsidRPr="00D542E9">
        <w:rPr>
          <w:rFonts w:ascii="Calibri" w:hAnsi="Calibri" w:cs="Calibri"/>
          <w:sz w:val="24"/>
          <w:szCs w:val="24"/>
        </w:rPr>
        <w:t>This service offers short-term intensive individual and group care for families who req</w:t>
      </w:r>
      <w:r w:rsidR="0064542F">
        <w:rPr>
          <w:rFonts w:ascii="Calibri" w:hAnsi="Calibri" w:cs="Calibri"/>
          <w:sz w:val="24"/>
          <w:szCs w:val="24"/>
        </w:rPr>
        <w:t>uire more support.</w:t>
      </w:r>
      <w:r w:rsidR="00D26B57">
        <w:rPr>
          <w:rFonts w:ascii="Calibri" w:hAnsi="Calibri" w:cs="Calibri"/>
          <w:sz w:val="24"/>
          <w:szCs w:val="24"/>
        </w:rPr>
        <w:t xml:space="preserve"> </w:t>
      </w:r>
      <w:r w:rsidR="0064542F">
        <w:rPr>
          <w:rFonts w:ascii="Calibri" w:hAnsi="Calibri" w:cs="Calibri"/>
          <w:sz w:val="24"/>
          <w:szCs w:val="24"/>
        </w:rPr>
        <w:t xml:space="preserve">In addition, </w:t>
      </w:r>
      <w:r w:rsidRPr="00D542E9">
        <w:rPr>
          <w:rFonts w:ascii="Calibri" w:hAnsi="Calibri" w:cs="Calibri"/>
          <w:sz w:val="24"/>
          <w:szCs w:val="24"/>
        </w:rPr>
        <w:t xml:space="preserve">services such as </w:t>
      </w:r>
      <w:proofErr w:type="spellStart"/>
      <w:r w:rsidRPr="00D542E9">
        <w:rPr>
          <w:rFonts w:ascii="Calibri" w:hAnsi="Calibri" w:cs="Calibri"/>
          <w:sz w:val="24"/>
          <w:szCs w:val="24"/>
        </w:rPr>
        <w:t>cu@home</w:t>
      </w:r>
      <w:proofErr w:type="spellEnd"/>
      <w:r w:rsidR="0064542F">
        <w:rPr>
          <w:rFonts w:ascii="Calibri" w:hAnsi="Calibri" w:cs="Calibri"/>
          <w:sz w:val="24"/>
          <w:szCs w:val="24"/>
        </w:rPr>
        <w:t xml:space="preserve"> (which is </w:t>
      </w:r>
      <w:r w:rsidRPr="00D542E9">
        <w:rPr>
          <w:rFonts w:ascii="Calibri" w:hAnsi="Calibri" w:cs="Calibri"/>
          <w:sz w:val="24"/>
          <w:szCs w:val="24"/>
        </w:rPr>
        <w:t>a home visiting program for teenage parents</w:t>
      </w:r>
      <w:r w:rsidR="0064542F">
        <w:rPr>
          <w:rFonts w:ascii="Calibri" w:hAnsi="Calibri" w:cs="Calibri"/>
          <w:sz w:val="24"/>
          <w:szCs w:val="24"/>
        </w:rPr>
        <w:t>) are</w:t>
      </w:r>
      <w:r w:rsidRPr="00D542E9">
        <w:rPr>
          <w:rFonts w:ascii="Calibri" w:hAnsi="Calibri" w:cs="Calibri"/>
          <w:sz w:val="24"/>
          <w:szCs w:val="24"/>
        </w:rPr>
        <w:t xml:space="preserve"> able to offer prolonged support for vulnerable teenage parents from the antenatal period through to their child’s second birthday.</w:t>
      </w:r>
    </w:p>
    <w:p w:rsidR="00D542E9" w:rsidRPr="00D542E9" w:rsidRDefault="00D542E9" w:rsidP="00D542E9">
      <w:pPr>
        <w:rPr>
          <w:rFonts w:ascii="Calibri" w:hAnsi="Calibri" w:cs="Calibri"/>
          <w:sz w:val="24"/>
          <w:szCs w:val="24"/>
        </w:rPr>
      </w:pPr>
    </w:p>
    <w:p w:rsidR="00D542E9" w:rsidRDefault="003F5789" w:rsidP="00D542E9">
      <w:pPr>
        <w:rPr>
          <w:rFonts w:ascii="Calibri" w:hAnsi="Calibri" w:cs="Calibri"/>
          <w:sz w:val="24"/>
          <w:szCs w:val="24"/>
        </w:rPr>
      </w:pPr>
      <w:r w:rsidRPr="003F5789">
        <w:rPr>
          <w:rFonts w:ascii="Calibri" w:hAnsi="Calibri" w:cs="Calibri"/>
          <w:sz w:val="24"/>
          <w:szCs w:val="24"/>
        </w:rPr>
        <w:t xml:space="preserve">The </w:t>
      </w:r>
      <w:r>
        <w:rPr>
          <w:rFonts w:ascii="Calibri" w:hAnsi="Calibri" w:cs="Calibri"/>
          <w:sz w:val="24"/>
          <w:szCs w:val="24"/>
        </w:rPr>
        <w:t>CFC</w:t>
      </w:r>
      <w:r w:rsidRPr="003F5789">
        <w:rPr>
          <w:rFonts w:ascii="Calibri" w:hAnsi="Calibri" w:cs="Calibri"/>
          <w:sz w:val="24"/>
          <w:szCs w:val="24"/>
        </w:rPr>
        <w:t xml:space="preserve"> project is an interagency collaboration.</w:t>
      </w:r>
      <w:r>
        <w:rPr>
          <w:rFonts w:ascii="Calibri" w:hAnsi="Calibri" w:cs="Calibri"/>
          <w:sz w:val="24"/>
          <w:szCs w:val="24"/>
        </w:rPr>
        <w:t xml:space="preserve"> </w:t>
      </w:r>
      <w:r w:rsidR="00D542E9" w:rsidRPr="00D542E9">
        <w:rPr>
          <w:rFonts w:ascii="Calibri" w:hAnsi="Calibri" w:cs="Calibri"/>
          <w:sz w:val="24"/>
          <w:szCs w:val="24"/>
        </w:rPr>
        <w:t xml:space="preserve">The model of service delivery for Tasmania’s CFCs is intended to be an integrated service model. This means a service focus that brings together a range of services, usually under one roof, where practitioners work collaboratively to deliver services and </w:t>
      </w:r>
      <w:r w:rsidR="00C7596B">
        <w:rPr>
          <w:rFonts w:ascii="Calibri" w:hAnsi="Calibri" w:cs="Calibri"/>
          <w:sz w:val="24"/>
          <w:szCs w:val="24"/>
        </w:rPr>
        <w:t xml:space="preserve">to </w:t>
      </w:r>
      <w:r w:rsidR="00D542E9" w:rsidRPr="00D542E9">
        <w:rPr>
          <w:rFonts w:ascii="Calibri" w:hAnsi="Calibri" w:cs="Calibri"/>
          <w:sz w:val="24"/>
          <w:szCs w:val="24"/>
        </w:rPr>
        <w:t>support children, families and communities.</w:t>
      </w:r>
    </w:p>
    <w:p w:rsidR="008B54D9" w:rsidRDefault="008B54D9" w:rsidP="00D542E9">
      <w:pPr>
        <w:rPr>
          <w:rFonts w:ascii="Calibri" w:hAnsi="Calibri" w:cs="Calibri"/>
          <w:sz w:val="24"/>
          <w:szCs w:val="24"/>
        </w:rPr>
      </w:pPr>
    </w:p>
    <w:p w:rsidR="008B54D9" w:rsidRDefault="008B54D9" w:rsidP="008B54D9">
      <w:pPr>
        <w:rPr>
          <w:rFonts w:ascii="Calibri" w:hAnsi="Calibri" w:cs="Calibri"/>
          <w:sz w:val="24"/>
          <w:szCs w:val="24"/>
        </w:rPr>
      </w:pPr>
      <w:r w:rsidRPr="008B54D9">
        <w:rPr>
          <w:rFonts w:ascii="Calibri" w:hAnsi="Calibri" w:cs="Calibri"/>
          <w:sz w:val="24"/>
          <w:szCs w:val="24"/>
        </w:rPr>
        <w:t xml:space="preserve">The guiding principles for community engagement </w:t>
      </w:r>
      <w:r w:rsidR="0039740E">
        <w:rPr>
          <w:rFonts w:ascii="Calibri" w:hAnsi="Calibri" w:cs="Calibri"/>
          <w:sz w:val="24"/>
          <w:szCs w:val="24"/>
        </w:rPr>
        <w:t>with Tasmania’s CFCs</w:t>
      </w:r>
      <w:r w:rsidRPr="008B54D9">
        <w:rPr>
          <w:rFonts w:ascii="Calibri" w:hAnsi="Calibri" w:cs="Calibri"/>
          <w:sz w:val="24"/>
          <w:szCs w:val="24"/>
        </w:rPr>
        <w:t xml:space="preserve"> are as follows: </w:t>
      </w:r>
    </w:p>
    <w:p w:rsidR="008B54D9" w:rsidRPr="008B54D9" w:rsidRDefault="008B54D9" w:rsidP="00771F72">
      <w:pPr>
        <w:pStyle w:val="ListBullet"/>
      </w:pPr>
      <w:r w:rsidRPr="008B54D9">
        <w:t xml:space="preserve">Connecting with those hardest to reach—inclusiveness </w:t>
      </w:r>
    </w:p>
    <w:p w:rsidR="008B54D9" w:rsidRPr="008B54D9" w:rsidRDefault="008B54D9" w:rsidP="00771F72">
      <w:pPr>
        <w:pStyle w:val="ListBullet"/>
      </w:pPr>
      <w:r w:rsidRPr="008B54D9">
        <w:t xml:space="preserve">Changing the ways government and the community work together—reaching out </w:t>
      </w:r>
    </w:p>
    <w:p w:rsidR="008B54D9" w:rsidRPr="008B54D9" w:rsidRDefault="008B54D9" w:rsidP="00771F72">
      <w:pPr>
        <w:pStyle w:val="ListBullet"/>
      </w:pPr>
      <w:r w:rsidRPr="008B54D9">
        <w:t>Listening, understanding and acting on experiences different from our own—mutual respect</w:t>
      </w:r>
    </w:p>
    <w:p w:rsidR="008B54D9" w:rsidRPr="008B54D9" w:rsidRDefault="008B54D9" w:rsidP="00771F72">
      <w:pPr>
        <w:pStyle w:val="ListBullet"/>
      </w:pPr>
      <w:r w:rsidRPr="008B54D9">
        <w:t xml:space="preserve">Open and accountable practices and processes—integrity </w:t>
      </w:r>
    </w:p>
    <w:p w:rsidR="008B54D9" w:rsidRPr="008B54D9" w:rsidRDefault="008B54D9" w:rsidP="00771F72">
      <w:pPr>
        <w:pStyle w:val="ListBullet"/>
      </w:pPr>
      <w:r w:rsidRPr="008B54D9">
        <w:t xml:space="preserve">Incorporating diverse values and interests—affirming diversity </w:t>
      </w:r>
    </w:p>
    <w:p w:rsidR="008B54D9" w:rsidRDefault="008B54D9" w:rsidP="00771F72">
      <w:pPr>
        <w:pStyle w:val="ListBullet"/>
      </w:pPr>
      <w:r w:rsidRPr="008B54D9">
        <w:t>Working together to add value—adding value.</w:t>
      </w:r>
    </w:p>
    <w:p w:rsidR="00D542E9" w:rsidRDefault="00D542E9" w:rsidP="00D542E9">
      <w:pPr>
        <w:rPr>
          <w:rFonts w:ascii="Calibri" w:hAnsi="Calibri" w:cs="Calibri"/>
          <w:sz w:val="24"/>
          <w:szCs w:val="24"/>
        </w:rPr>
      </w:pPr>
    </w:p>
    <w:p w:rsidR="008B54D9" w:rsidRDefault="008B54D9" w:rsidP="00D542E9">
      <w:pPr>
        <w:rPr>
          <w:rFonts w:ascii="Calibri" w:hAnsi="Calibri" w:cs="Calibri"/>
          <w:sz w:val="24"/>
          <w:szCs w:val="24"/>
        </w:rPr>
      </w:pPr>
      <w:r w:rsidRPr="008B54D9">
        <w:rPr>
          <w:rFonts w:ascii="Calibri" w:hAnsi="Calibri" w:cs="Calibri"/>
          <w:sz w:val="24"/>
          <w:szCs w:val="24"/>
        </w:rPr>
        <w:t xml:space="preserve">These guiding principles have been reflected throughout the process of establishing </w:t>
      </w:r>
      <w:r w:rsidR="0039740E">
        <w:rPr>
          <w:rFonts w:ascii="Calibri" w:hAnsi="Calibri" w:cs="Calibri"/>
          <w:sz w:val="24"/>
          <w:szCs w:val="24"/>
        </w:rPr>
        <w:t>CFCs</w:t>
      </w:r>
      <w:r w:rsidRPr="008B54D9">
        <w:rPr>
          <w:rFonts w:ascii="Calibri" w:hAnsi="Calibri" w:cs="Calibri"/>
          <w:sz w:val="24"/>
          <w:szCs w:val="24"/>
        </w:rPr>
        <w:t xml:space="preserve"> in 12</w:t>
      </w:r>
      <w:r w:rsidR="000A7B7A">
        <w:rPr>
          <w:rFonts w:ascii="Calibri" w:hAnsi="Calibri" w:cs="Calibri"/>
          <w:sz w:val="24"/>
          <w:szCs w:val="24"/>
        </w:rPr>
        <w:t> </w:t>
      </w:r>
      <w:r w:rsidRPr="008B54D9">
        <w:rPr>
          <w:rFonts w:ascii="Calibri" w:hAnsi="Calibri" w:cs="Calibri"/>
          <w:sz w:val="24"/>
          <w:szCs w:val="24"/>
        </w:rPr>
        <w:t>communities in Tasmania, from the early community forums and initial setting up of Local Enabling Groups in each CFC community. An important first step was the appointment in each community of a Community Inclusion Worker.</w:t>
      </w:r>
    </w:p>
    <w:p w:rsidR="008B54D9" w:rsidRPr="00D542E9" w:rsidRDefault="008B54D9" w:rsidP="00D542E9">
      <w:pPr>
        <w:rPr>
          <w:rFonts w:ascii="Calibri" w:hAnsi="Calibri" w:cs="Calibri"/>
          <w:sz w:val="24"/>
          <w:szCs w:val="24"/>
        </w:rPr>
      </w:pPr>
    </w:p>
    <w:p w:rsidR="00DD4408" w:rsidRDefault="00D542E9" w:rsidP="00D542E9">
      <w:pPr>
        <w:rPr>
          <w:rFonts w:ascii="Calibri" w:hAnsi="Calibri" w:cs="Calibri"/>
          <w:sz w:val="24"/>
          <w:szCs w:val="24"/>
        </w:rPr>
      </w:pPr>
      <w:r w:rsidRPr="00D542E9">
        <w:rPr>
          <w:rFonts w:ascii="Calibri" w:hAnsi="Calibri" w:cs="Calibri"/>
          <w:sz w:val="24"/>
          <w:szCs w:val="24"/>
        </w:rPr>
        <w:t xml:space="preserve">The focus of the services provided at CFCs </w:t>
      </w:r>
      <w:r w:rsidR="0064542F">
        <w:rPr>
          <w:rFonts w:ascii="Calibri" w:hAnsi="Calibri" w:cs="Calibri"/>
          <w:sz w:val="24"/>
          <w:szCs w:val="24"/>
        </w:rPr>
        <w:t xml:space="preserve">is principally on birth to age </w:t>
      </w:r>
      <w:r w:rsidR="00C7596B">
        <w:rPr>
          <w:rFonts w:ascii="Calibri" w:hAnsi="Calibri" w:cs="Calibri"/>
          <w:sz w:val="24"/>
          <w:szCs w:val="24"/>
        </w:rPr>
        <w:t>5</w:t>
      </w:r>
      <w:r w:rsidRPr="00D542E9">
        <w:rPr>
          <w:rFonts w:ascii="Calibri" w:hAnsi="Calibri" w:cs="Calibri"/>
          <w:sz w:val="24"/>
          <w:szCs w:val="24"/>
        </w:rPr>
        <w:t>. Overall, the service mix of a CFC is based on local needs as identified by the community</w:t>
      </w:r>
      <w:r w:rsidR="00C7596B">
        <w:rPr>
          <w:rFonts w:ascii="Calibri" w:hAnsi="Calibri" w:cs="Calibri"/>
          <w:sz w:val="24"/>
          <w:szCs w:val="24"/>
        </w:rPr>
        <w:t>,</w:t>
      </w:r>
      <w:r w:rsidRPr="00D542E9">
        <w:rPr>
          <w:rFonts w:ascii="Calibri" w:hAnsi="Calibri" w:cs="Calibri"/>
          <w:sz w:val="24"/>
          <w:szCs w:val="24"/>
        </w:rPr>
        <w:t xml:space="preserve"> and these will differ according to each community. Services are provided in partnership between government and </w:t>
      </w:r>
      <w:r w:rsidR="00C8305C">
        <w:rPr>
          <w:rFonts w:ascii="Calibri" w:hAnsi="Calibri" w:cs="Calibri"/>
          <w:sz w:val="24"/>
          <w:szCs w:val="24"/>
        </w:rPr>
        <w:t>community sector</w:t>
      </w:r>
      <w:r w:rsidRPr="00D542E9">
        <w:rPr>
          <w:rFonts w:ascii="Calibri" w:hAnsi="Calibri" w:cs="Calibri"/>
          <w:sz w:val="24"/>
          <w:szCs w:val="24"/>
        </w:rPr>
        <w:t xml:space="preserve"> organisations.</w:t>
      </w:r>
    </w:p>
    <w:p w:rsidR="003F5789" w:rsidRPr="003F130D" w:rsidRDefault="003F5789" w:rsidP="00AA522D">
      <w:pPr>
        <w:pStyle w:val="Heading4"/>
      </w:pPr>
      <w:r w:rsidRPr="003F130D">
        <w:t>Other Supporting Actions</w:t>
      </w:r>
    </w:p>
    <w:p w:rsidR="00D542E9" w:rsidRDefault="00D542E9" w:rsidP="00D542E9">
      <w:pPr>
        <w:rPr>
          <w:rFonts w:ascii="Calibri" w:hAnsi="Calibri" w:cs="Calibri"/>
          <w:sz w:val="24"/>
          <w:szCs w:val="24"/>
        </w:rPr>
      </w:pPr>
      <w:r w:rsidRPr="00D542E9">
        <w:rPr>
          <w:rFonts w:ascii="Calibri" w:hAnsi="Calibri" w:cs="Calibri"/>
          <w:sz w:val="24"/>
          <w:szCs w:val="24"/>
        </w:rPr>
        <w:t>During 2013</w:t>
      </w:r>
      <w:r w:rsidR="0064542F">
        <w:rPr>
          <w:rFonts w:ascii="Calibri" w:hAnsi="Calibri" w:cs="Calibri"/>
          <w:sz w:val="24"/>
          <w:szCs w:val="24"/>
        </w:rPr>
        <w:t>,</w:t>
      </w:r>
      <w:r w:rsidRPr="00D542E9">
        <w:rPr>
          <w:rFonts w:ascii="Calibri" w:hAnsi="Calibri" w:cs="Calibri"/>
          <w:sz w:val="24"/>
          <w:szCs w:val="24"/>
        </w:rPr>
        <w:t xml:space="preserve"> the Quality Improvement and Workforce Development (QIWD) Unit </w:t>
      </w:r>
      <w:r w:rsidR="000A7B7A">
        <w:rPr>
          <w:rFonts w:ascii="Calibri" w:hAnsi="Calibri" w:cs="Calibri"/>
          <w:sz w:val="24"/>
          <w:szCs w:val="24"/>
        </w:rPr>
        <w:t>has</w:t>
      </w:r>
      <w:r w:rsidRPr="00D542E9">
        <w:rPr>
          <w:rFonts w:ascii="Calibri" w:hAnsi="Calibri" w:cs="Calibri"/>
          <w:sz w:val="24"/>
          <w:szCs w:val="24"/>
        </w:rPr>
        <w:t xml:space="preserve"> brokered the services of an external facilitator to deliver two training packages to </w:t>
      </w:r>
      <w:r w:rsidR="00B41AA1">
        <w:rPr>
          <w:rFonts w:ascii="Calibri" w:hAnsi="Calibri" w:cs="Calibri"/>
          <w:sz w:val="24"/>
          <w:szCs w:val="24"/>
        </w:rPr>
        <w:t>CYS</w:t>
      </w:r>
      <w:r w:rsidRPr="00D542E9">
        <w:rPr>
          <w:rFonts w:ascii="Calibri" w:hAnsi="Calibri" w:cs="Calibri"/>
          <w:sz w:val="24"/>
          <w:szCs w:val="24"/>
        </w:rPr>
        <w:t xml:space="preserve"> staff across Tasmania.</w:t>
      </w:r>
      <w:r w:rsidR="00D26B57">
        <w:rPr>
          <w:rFonts w:ascii="Calibri" w:hAnsi="Calibri" w:cs="Calibri"/>
          <w:sz w:val="24"/>
          <w:szCs w:val="24"/>
        </w:rPr>
        <w:t xml:space="preserve"> </w:t>
      </w:r>
      <w:r w:rsidRPr="00D542E9">
        <w:rPr>
          <w:rFonts w:ascii="Calibri" w:hAnsi="Calibri" w:cs="Calibri"/>
          <w:sz w:val="24"/>
          <w:szCs w:val="24"/>
        </w:rPr>
        <w:t>The first package focused on the challenges of assessing risk</w:t>
      </w:r>
      <w:r w:rsidR="00C7596B">
        <w:rPr>
          <w:rFonts w:ascii="Calibri" w:hAnsi="Calibri" w:cs="Calibri"/>
          <w:sz w:val="24"/>
          <w:szCs w:val="24"/>
        </w:rPr>
        <w:t>,</w:t>
      </w:r>
      <w:r w:rsidRPr="00D542E9">
        <w:rPr>
          <w:rFonts w:ascii="Calibri" w:hAnsi="Calibri" w:cs="Calibri"/>
          <w:sz w:val="24"/>
          <w:szCs w:val="24"/>
        </w:rPr>
        <w:t xml:space="preserve"> with a component delivered to the program managers and Team Leaders who have supervisory responsibilities for </w:t>
      </w:r>
      <w:r w:rsidR="00EF1F3F">
        <w:rPr>
          <w:rFonts w:ascii="Calibri" w:hAnsi="Calibri" w:cs="Calibri"/>
          <w:sz w:val="24"/>
          <w:szCs w:val="24"/>
        </w:rPr>
        <w:t>front</w:t>
      </w:r>
      <w:r w:rsidRPr="00D542E9">
        <w:rPr>
          <w:rFonts w:ascii="Calibri" w:hAnsi="Calibri" w:cs="Calibri"/>
          <w:sz w:val="24"/>
          <w:szCs w:val="24"/>
        </w:rPr>
        <w:t xml:space="preserve">line staff. The goal of this training was to increase the skills and knowledge of staff to </w:t>
      </w:r>
      <w:r w:rsidR="00C7596B">
        <w:rPr>
          <w:rFonts w:ascii="Calibri" w:hAnsi="Calibri" w:cs="Calibri"/>
          <w:sz w:val="24"/>
          <w:szCs w:val="24"/>
        </w:rPr>
        <w:t xml:space="preserve">enable them to </w:t>
      </w:r>
      <w:r w:rsidRPr="00D542E9">
        <w:rPr>
          <w:rFonts w:ascii="Calibri" w:hAnsi="Calibri" w:cs="Calibri"/>
          <w:sz w:val="24"/>
          <w:szCs w:val="24"/>
        </w:rPr>
        <w:t>more accurately assess and address the presence of risk for children where there are child protection concerns, with particular attention focusin</w:t>
      </w:r>
      <w:r w:rsidR="0064542F">
        <w:rPr>
          <w:rFonts w:ascii="Calibri" w:hAnsi="Calibri" w:cs="Calibri"/>
          <w:sz w:val="24"/>
          <w:szCs w:val="24"/>
        </w:rPr>
        <w:t xml:space="preserve">g on children </w:t>
      </w:r>
      <w:r w:rsidR="00C7596B">
        <w:rPr>
          <w:rFonts w:ascii="Calibri" w:hAnsi="Calibri" w:cs="Calibri"/>
          <w:sz w:val="24"/>
          <w:szCs w:val="24"/>
        </w:rPr>
        <w:t>5</w:t>
      </w:r>
      <w:r w:rsidR="00C7596B" w:rsidRPr="00D542E9">
        <w:rPr>
          <w:rFonts w:ascii="Calibri" w:hAnsi="Calibri" w:cs="Calibri"/>
          <w:sz w:val="24"/>
          <w:szCs w:val="24"/>
        </w:rPr>
        <w:t xml:space="preserve"> </w:t>
      </w:r>
      <w:r w:rsidRPr="00D542E9">
        <w:rPr>
          <w:rFonts w:ascii="Calibri" w:hAnsi="Calibri" w:cs="Calibri"/>
          <w:sz w:val="24"/>
          <w:szCs w:val="24"/>
        </w:rPr>
        <w:t xml:space="preserve">years and younger. </w:t>
      </w:r>
    </w:p>
    <w:p w:rsidR="00CB728E" w:rsidRPr="00D542E9" w:rsidRDefault="00CB728E" w:rsidP="00D542E9">
      <w:pPr>
        <w:rPr>
          <w:rFonts w:ascii="Calibri" w:hAnsi="Calibri" w:cs="Calibri"/>
          <w:sz w:val="24"/>
          <w:szCs w:val="24"/>
        </w:rPr>
      </w:pPr>
    </w:p>
    <w:p w:rsidR="00D542E9" w:rsidRPr="00D542E9" w:rsidRDefault="00D542E9" w:rsidP="00D542E9">
      <w:pPr>
        <w:rPr>
          <w:rFonts w:ascii="Calibri" w:hAnsi="Calibri" w:cs="Calibri"/>
          <w:sz w:val="24"/>
          <w:szCs w:val="24"/>
        </w:rPr>
      </w:pPr>
      <w:r w:rsidRPr="00D542E9">
        <w:rPr>
          <w:rFonts w:ascii="Calibri" w:hAnsi="Calibri" w:cs="Calibri"/>
          <w:sz w:val="24"/>
          <w:szCs w:val="24"/>
        </w:rPr>
        <w:t>The second package focused on complex trauma and attachment theory and the connection to assessing levels of risk for children.</w:t>
      </w:r>
      <w:r w:rsidR="00D26B57">
        <w:rPr>
          <w:rFonts w:ascii="Calibri" w:hAnsi="Calibri" w:cs="Calibri"/>
          <w:sz w:val="24"/>
          <w:szCs w:val="24"/>
        </w:rPr>
        <w:t xml:space="preserve"> </w:t>
      </w:r>
      <w:r w:rsidRPr="00D542E9">
        <w:rPr>
          <w:rFonts w:ascii="Calibri" w:hAnsi="Calibri" w:cs="Calibri"/>
          <w:sz w:val="24"/>
          <w:szCs w:val="24"/>
        </w:rPr>
        <w:t>Material covered during this second forum included exploring the definitions, origins and understandings of complex trauma and exploring specific developmental impacts of complex trauma on children.</w:t>
      </w:r>
      <w:r w:rsidR="00D26B57">
        <w:rPr>
          <w:rFonts w:ascii="Calibri" w:hAnsi="Calibri" w:cs="Calibri"/>
          <w:sz w:val="24"/>
          <w:szCs w:val="24"/>
        </w:rPr>
        <w:t xml:space="preserve"> </w:t>
      </w:r>
      <w:r w:rsidRPr="00D542E9">
        <w:rPr>
          <w:rFonts w:ascii="Calibri" w:hAnsi="Calibri" w:cs="Calibri"/>
          <w:sz w:val="24"/>
          <w:szCs w:val="24"/>
        </w:rPr>
        <w:t>Both secure and insecure attachment styles were reviewed</w:t>
      </w:r>
      <w:r w:rsidR="00C7596B">
        <w:rPr>
          <w:rFonts w:ascii="Calibri" w:hAnsi="Calibri" w:cs="Calibri"/>
          <w:sz w:val="24"/>
          <w:szCs w:val="24"/>
        </w:rPr>
        <w:t>,</w:t>
      </w:r>
      <w:r w:rsidRPr="00D542E9">
        <w:rPr>
          <w:rFonts w:ascii="Calibri" w:hAnsi="Calibri" w:cs="Calibri"/>
          <w:sz w:val="24"/>
          <w:szCs w:val="24"/>
        </w:rPr>
        <w:t xml:space="preserve"> to assist staff to accurately assess attachment processes between children and parents/caregivers</w:t>
      </w:r>
      <w:r w:rsidR="00C7596B">
        <w:rPr>
          <w:rFonts w:ascii="Calibri" w:hAnsi="Calibri" w:cs="Calibri"/>
          <w:sz w:val="24"/>
          <w:szCs w:val="24"/>
        </w:rPr>
        <w:t>,</w:t>
      </w:r>
      <w:r w:rsidRPr="00D542E9">
        <w:rPr>
          <w:rFonts w:ascii="Calibri" w:hAnsi="Calibri" w:cs="Calibri"/>
          <w:sz w:val="24"/>
          <w:szCs w:val="24"/>
        </w:rPr>
        <w:t xml:space="preserve"> focusing on the impact on children of disrupted attachment processes.</w:t>
      </w:r>
      <w:r w:rsidR="00D26B57">
        <w:rPr>
          <w:rFonts w:ascii="Calibri" w:hAnsi="Calibri" w:cs="Calibri"/>
          <w:sz w:val="24"/>
          <w:szCs w:val="24"/>
        </w:rPr>
        <w:t xml:space="preserve"> </w:t>
      </w:r>
      <w:r w:rsidRPr="00D542E9">
        <w:rPr>
          <w:rFonts w:ascii="Calibri" w:hAnsi="Calibri" w:cs="Calibri"/>
          <w:sz w:val="24"/>
          <w:szCs w:val="24"/>
        </w:rPr>
        <w:t xml:space="preserve">Connections to assessing risk, </w:t>
      </w:r>
      <w:r w:rsidR="0064542F">
        <w:rPr>
          <w:rFonts w:ascii="Calibri" w:hAnsi="Calibri" w:cs="Calibri"/>
          <w:sz w:val="24"/>
          <w:szCs w:val="24"/>
        </w:rPr>
        <w:t>particularly</w:t>
      </w:r>
      <w:r w:rsidRPr="00D542E9">
        <w:rPr>
          <w:rFonts w:ascii="Calibri" w:hAnsi="Calibri" w:cs="Calibri"/>
          <w:sz w:val="24"/>
          <w:szCs w:val="24"/>
        </w:rPr>
        <w:t xml:space="preserve"> cumulative harm</w:t>
      </w:r>
      <w:r w:rsidR="0064542F">
        <w:rPr>
          <w:rFonts w:ascii="Calibri" w:hAnsi="Calibri" w:cs="Calibri"/>
          <w:sz w:val="24"/>
          <w:szCs w:val="24"/>
        </w:rPr>
        <w:t>,</w:t>
      </w:r>
      <w:r w:rsidRPr="00D542E9">
        <w:rPr>
          <w:rFonts w:ascii="Calibri" w:hAnsi="Calibri" w:cs="Calibri"/>
          <w:sz w:val="24"/>
          <w:szCs w:val="24"/>
        </w:rPr>
        <w:t xml:space="preserve"> were also a focus of the package. </w:t>
      </w:r>
    </w:p>
    <w:p w:rsidR="00D542E9" w:rsidRPr="00D542E9" w:rsidRDefault="00D542E9" w:rsidP="00D542E9">
      <w:pPr>
        <w:rPr>
          <w:rFonts w:ascii="Calibri" w:hAnsi="Calibri" w:cs="Calibri"/>
          <w:sz w:val="24"/>
          <w:szCs w:val="24"/>
        </w:rPr>
      </w:pPr>
    </w:p>
    <w:p w:rsidR="00D542E9" w:rsidRDefault="0087199E" w:rsidP="00D542E9">
      <w:pPr>
        <w:rPr>
          <w:rFonts w:ascii="Calibri" w:hAnsi="Calibri"/>
          <w:sz w:val="24"/>
          <w:szCs w:val="24"/>
        </w:rPr>
      </w:pPr>
      <w:r w:rsidRPr="00663B14">
        <w:rPr>
          <w:rFonts w:ascii="Calibri" w:hAnsi="Calibri"/>
          <w:sz w:val="24"/>
          <w:szCs w:val="24"/>
        </w:rPr>
        <w:t xml:space="preserve">A mandatory reporting package of training (half day delivery) was developed by the QIWD team for use across </w:t>
      </w:r>
      <w:r w:rsidR="00555B86">
        <w:rPr>
          <w:rFonts w:ascii="Calibri" w:hAnsi="Calibri"/>
          <w:sz w:val="24"/>
          <w:szCs w:val="24"/>
        </w:rPr>
        <w:t xml:space="preserve">operational </w:t>
      </w:r>
      <w:r w:rsidRPr="00663B14">
        <w:rPr>
          <w:rFonts w:ascii="Calibri" w:hAnsi="Calibri"/>
          <w:sz w:val="24"/>
          <w:szCs w:val="24"/>
        </w:rPr>
        <w:t xml:space="preserve">areas and agencies (government and </w:t>
      </w:r>
      <w:r w:rsidR="00C8305C">
        <w:rPr>
          <w:rFonts w:ascii="Calibri" w:hAnsi="Calibri"/>
          <w:sz w:val="24"/>
          <w:szCs w:val="24"/>
        </w:rPr>
        <w:t>community sector</w:t>
      </w:r>
      <w:r w:rsidRPr="00663B14">
        <w:rPr>
          <w:rFonts w:ascii="Calibri" w:hAnsi="Calibri"/>
          <w:sz w:val="24"/>
          <w:szCs w:val="24"/>
        </w:rPr>
        <w:t>).</w:t>
      </w:r>
      <w:r w:rsidR="00A43557">
        <w:rPr>
          <w:rFonts w:ascii="Calibri" w:hAnsi="Calibri"/>
          <w:sz w:val="24"/>
          <w:szCs w:val="24"/>
        </w:rPr>
        <w:t xml:space="preserve"> </w:t>
      </w:r>
      <w:r w:rsidRPr="00663B14">
        <w:rPr>
          <w:rFonts w:ascii="Calibri" w:hAnsi="Calibri"/>
          <w:sz w:val="24"/>
          <w:szCs w:val="24"/>
        </w:rPr>
        <w:t xml:space="preserve">The package has been disseminated across the three </w:t>
      </w:r>
      <w:r w:rsidR="00555B86">
        <w:rPr>
          <w:rFonts w:ascii="Calibri" w:hAnsi="Calibri"/>
          <w:sz w:val="24"/>
          <w:szCs w:val="24"/>
        </w:rPr>
        <w:t>o</w:t>
      </w:r>
      <w:r w:rsidR="00555B86" w:rsidRPr="00663B14">
        <w:rPr>
          <w:rFonts w:ascii="Calibri" w:hAnsi="Calibri"/>
          <w:sz w:val="24"/>
          <w:szCs w:val="24"/>
        </w:rPr>
        <w:t xml:space="preserve">perational </w:t>
      </w:r>
      <w:r w:rsidR="00555B86">
        <w:rPr>
          <w:rFonts w:ascii="Calibri" w:hAnsi="Calibri"/>
          <w:sz w:val="24"/>
          <w:szCs w:val="24"/>
        </w:rPr>
        <w:t>a</w:t>
      </w:r>
      <w:r w:rsidR="00555B86" w:rsidRPr="00663B14">
        <w:rPr>
          <w:rFonts w:ascii="Calibri" w:hAnsi="Calibri"/>
          <w:sz w:val="24"/>
          <w:szCs w:val="24"/>
        </w:rPr>
        <w:t xml:space="preserve">reas </w:t>
      </w:r>
      <w:r w:rsidRPr="00663B14">
        <w:rPr>
          <w:rFonts w:ascii="Calibri" w:hAnsi="Calibri"/>
          <w:sz w:val="24"/>
          <w:szCs w:val="24"/>
        </w:rPr>
        <w:t xml:space="preserve">in Tasmania (the North, North-West and South) with the </w:t>
      </w:r>
      <w:r>
        <w:rPr>
          <w:rFonts w:ascii="Calibri" w:hAnsi="Calibri"/>
          <w:sz w:val="24"/>
          <w:szCs w:val="24"/>
        </w:rPr>
        <w:t>intention</w:t>
      </w:r>
      <w:r w:rsidRPr="00663B14">
        <w:rPr>
          <w:rFonts w:ascii="Calibri" w:hAnsi="Calibri"/>
          <w:sz w:val="24"/>
          <w:szCs w:val="24"/>
        </w:rPr>
        <w:t xml:space="preserve"> that senior staff members, such as Team Leaders</w:t>
      </w:r>
      <w:r w:rsidR="00445A90">
        <w:rPr>
          <w:rFonts w:ascii="Calibri" w:hAnsi="Calibri"/>
          <w:sz w:val="24"/>
          <w:szCs w:val="24"/>
        </w:rPr>
        <w:t xml:space="preserve"> and</w:t>
      </w:r>
      <w:r w:rsidRPr="00663B14">
        <w:rPr>
          <w:rFonts w:ascii="Calibri" w:hAnsi="Calibri"/>
          <w:sz w:val="24"/>
          <w:szCs w:val="24"/>
        </w:rPr>
        <w:t xml:space="preserve"> Senior Child Protection Workers, </w:t>
      </w:r>
      <w:r>
        <w:rPr>
          <w:rFonts w:ascii="Calibri" w:hAnsi="Calibri"/>
          <w:sz w:val="24"/>
          <w:szCs w:val="24"/>
        </w:rPr>
        <w:t xml:space="preserve">will </w:t>
      </w:r>
      <w:r w:rsidRPr="00663B14">
        <w:rPr>
          <w:rFonts w:ascii="Calibri" w:hAnsi="Calibri"/>
          <w:sz w:val="24"/>
          <w:szCs w:val="24"/>
        </w:rPr>
        <w:t>have a role in delivery over the long term.</w:t>
      </w:r>
    </w:p>
    <w:p w:rsidR="0087199E" w:rsidRPr="00D542E9" w:rsidRDefault="0087199E" w:rsidP="00D542E9">
      <w:pPr>
        <w:rPr>
          <w:rFonts w:ascii="Calibri" w:hAnsi="Calibri" w:cs="Calibri"/>
          <w:sz w:val="24"/>
          <w:szCs w:val="24"/>
        </w:rPr>
      </w:pPr>
    </w:p>
    <w:p w:rsidR="00D542E9" w:rsidRPr="00D542E9" w:rsidRDefault="00D542E9" w:rsidP="00D542E9">
      <w:pPr>
        <w:rPr>
          <w:rFonts w:ascii="Calibri" w:hAnsi="Calibri" w:cs="Calibri"/>
          <w:sz w:val="24"/>
          <w:szCs w:val="24"/>
        </w:rPr>
      </w:pPr>
      <w:r w:rsidRPr="00D542E9">
        <w:rPr>
          <w:rFonts w:ascii="Calibri" w:hAnsi="Calibri" w:cs="Calibri"/>
          <w:sz w:val="24"/>
          <w:szCs w:val="24"/>
        </w:rPr>
        <w:t xml:space="preserve">The QIWD team submitted key changes to Child Protection and Community Youth Justice </w:t>
      </w:r>
      <w:proofErr w:type="gramStart"/>
      <w:r w:rsidRPr="00D542E9">
        <w:rPr>
          <w:rFonts w:ascii="Calibri" w:hAnsi="Calibri" w:cs="Calibri"/>
          <w:sz w:val="24"/>
          <w:szCs w:val="24"/>
        </w:rPr>
        <w:t>recruitment</w:t>
      </w:r>
      <w:proofErr w:type="gramEnd"/>
      <w:r w:rsidRPr="00D542E9">
        <w:rPr>
          <w:rFonts w:ascii="Calibri" w:hAnsi="Calibri" w:cs="Calibri"/>
          <w:sz w:val="24"/>
          <w:szCs w:val="24"/>
        </w:rPr>
        <w:t xml:space="preserve">, induction and </w:t>
      </w:r>
      <w:r w:rsidR="00C7596B">
        <w:rPr>
          <w:rFonts w:ascii="Calibri" w:hAnsi="Calibri" w:cs="Calibri"/>
          <w:sz w:val="24"/>
          <w:szCs w:val="24"/>
        </w:rPr>
        <w:t>‘</w:t>
      </w:r>
      <w:r w:rsidRPr="00D542E9">
        <w:rPr>
          <w:rFonts w:ascii="Calibri" w:hAnsi="Calibri" w:cs="Calibri"/>
          <w:sz w:val="24"/>
          <w:szCs w:val="24"/>
        </w:rPr>
        <w:t>on boarding</w:t>
      </w:r>
      <w:r w:rsidR="00C7596B">
        <w:rPr>
          <w:rFonts w:ascii="Calibri" w:hAnsi="Calibri" w:cs="Calibri"/>
          <w:sz w:val="24"/>
          <w:szCs w:val="24"/>
        </w:rPr>
        <w:t>’</w:t>
      </w:r>
      <w:r w:rsidRPr="00D542E9">
        <w:rPr>
          <w:rFonts w:ascii="Calibri" w:hAnsi="Calibri" w:cs="Calibri"/>
          <w:sz w:val="24"/>
          <w:szCs w:val="24"/>
        </w:rPr>
        <w:t xml:space="preserve"> processes</w:t>
      </w:r>
      <w:r w:rsidR="00704E9E">
        <w:rPr>
          <w:rFonts w:ascii="Calibri" w:hAnsi="Calibri" w:cs="Calibri"/>
          <w:sz w:val="24"/>
          <w:szCs w:val="24"/>
        </w:rPr>
        <w:t>,</w:t>
      </w:r>
      <w:r w:rsidRPr="00D542E9">
        <w:rPr>
          <w:rFonts w:ascii="Calibri" w:hAnsi="Calibri" w:cs="Calibri"/>
          <w:sz w:val="24"/>
          <w:szCs w:val="24"/>
        </w:rPr>
        <w:t xml:space="preserve"> which were endorsed by the CYS Senior Management Group in late 2011.</w:t>
      </w:r>
      <w:r w:rsidR="00D26B57">
        <w:rPr>
          <w:rFonts w:ascii="Calibri" w:hAnsi="Calibri" w:cs="Calibri"/>
          <w:sz w:val="24"/>
          <w:szCs w:val="24"/>
        </w:rPr>
        <w:t xml:space="preserve"> </w:t>
      </w:r>
      <w:r w:rsidRPr="00D542E9">
        <w:rPr>
          <w:rFonts w:ascii="Calibri" w:hAnsi="Calibri" w:cs="Calibri"/>
          <w:sz w:val="24"/>
          <w:szCs w:val="24"/>
        </w:rPr>
        <w:t>The following improved changes were progressively implemented in 2012</w:t>
      </w:r>
      <w:r w:rsidR="000D7E3A">
        <w:rPr>
          <w:rFonts w:ascii="Calibri" w:hAnsi="Calibri" w:cs="Calibri"/>
          <w:sz w:val="24"/>
          <w:szCs w:val="24"/>
        </w:rPr>
        <w:t>–</w:t>
      </w:r>
      <w:r w:rsidRPr="00D542E9">
        <w:rPr>
          <w:rFonts w:ascii="Calibri" w:hAnsi="Calibri" w:cs="Calibri"/>
          <w:sz w:val="24"/>
          <w:szCs w:val="24"/>
        </w:rPr>
        <w:t>13:</w:t>
      </w:r>
    </w:p>
    <w:p w:rsidR="00D542E9" w:rsidRPr="00D542E9" w:rsidRDefault="00D542E9" w:rsidP="007D1DE5">
      <w:pPr>
        <w:pStyle w:val="ListBullet"/>
      </w:pPr>
      <w:r w:rsidRPr="00D542E9">
        <w:t>Recruitment now focuses on personal attributes rather than knowledge of workplace activity/governance.</w:t>
      </w:r>
    </w:p>
    <w:p w:rsidR="00D542E9" w:rsidRPr="00D542E9" w:rsidRDefault="00D542E9" w:rsidP="007D1DE5">
      <w:pPr>
        <w:pStyle w:val="ListBullet"/>
      </w:pPr>
      <w:r w:rsidRPr="00D542E9">
        <w:t>The induction process is a shared responsibility with the QIWD unit and senior/experienced child protection/youth justice workers.</w:t>
      </w:r>
    </w:p>
    <w:p w:rsidR="00D542E9" w:rsidRPr="00D542E9" w:rsidRDefault="00D542E9" w:rsidP="007D1DE5">
      <w:pPr>
        <w:pStyle w:val="ListBullet"/>
      </w:pPr>
      <w:r w:rsidRPr="00D542E9">
        <w:t>Induction is delivered face to face/one on one</w:t>
      </w:r>
      <w:r w:rsidR="00AE16DC">
        <w:t>,</w:t>
      </w:r>
      <w:r w:rsidR="00AE16DC" w:rsidRPr="00D542E9">
        <w:t xml:space="preserve"> </w:t>
      </w:r>
      <w:r w:rsidRPr="00D542E9">
        <w:t xml:space="preserve">with all efforts of the Beginning Practice program to begin in the same week the recruit takes up </w:t>
      </w:r>
      <w:r w:rsidR="00445A90">
        <w:t>his or her</w:t>
      </w:r>
      <w:r w:rsidR="000D7E3A" w:rsidRPr="00D542E9">
        <w:t xml:space="preserve"> </w:t>
      </w:r>
      <w:r w:rsidRPr="00D542E9">
        <w:t>appointment.</w:t>
      </w:r>
    </w:p>
    <w:p w:rsidR="00D542E9" w:rsidRPr="00D542E9" w:rsidRDefault="00D542E9" w:rsidP="007D1DE5">
      <w:pPr>
        <w:pStyle w:val="ListBullet"/>
      </w:pPr>
      <w:r w:rsidRPr="00D542E9">
        <w:t>The Beginning Practice progra</w:t>
      </w:r>
      <w:r w:rsidR="00704E9E">
        <w:t>m is delivered by the QIWD unit</w:t>
      </w:r>
      <w:r w:rsidRPr="00D542E9">
        <w:t xml:space="preserve"> over a </w:t>
      </w:r>
      <w:r w:rsidR="000D7E3A" w:rsidRPr="00D542E9">
        <w:t>four</w:t>
      </w:r>
      <w:r w:rsidR="000D7E3A">
        <w:t>-</w:t>
      </w:r>
      <w:r w:rsidRPr="00D542E9">
        <w:t xml:space="preserve">week period </w:t>
      </w:r>
      <w:r w:rsidR="00704E9E">
        <w:t>and includes five</w:t>
      </w:r>
      <w:r w:rsidRPr="00D542E9">
        <w:t xml:space="preserve"> full days of training.</w:t>
      </w:r>
      <w:r w:rsidR="00D26B57">
        <w:t xml:space="preserve"> </w:t>
      </w:r>
    </w:p>
    <w:p w:rsidR="00D542E9" w:rsidRPr="00D542E9" w:rsidRDefault="00D542E9" w:rsidP="007D1DE5">
      <w:pPr>
        <w:pStyle w:val="ListBullet"/>
      </w:pPr>
      <w:r w:rsidRPr="00D542E9">
        <w:t xml:space="preserve">The recruited employee does not carry a case load for the first four weeks unless it is agreed that </w:t>
      </w:r>
      <w:r w:rsidR="00F0493A">
        <w:t>s</w:t>
      </w:r>
      <w:r w:rsidR="00C636E2">
        <w:t>he or he</w:t>
      </w:r>
      <w:r w:rsidR="000D7E3A">
        <w:t xml:space="preserve"> has</w:t>
      </w:r>
      <w:r w:rsidRPr="00D542E9">
        <w:t xml:space="preserve"> suitable and relevant knowledge and experience.</w:t>
      </w:r>
    </w:p>
    <w:p w:rsidR="00D542E9" w:rsidRPr="00D542E9" w:rsidRDefault="00D542E9" w:rsidP="007D1DE5">
      <w:pPr>
        <w:pStyle w:val="ListBullet"/>
      </w:pPr>
      <w:r w:rsidRPr="00D542E9">
        <w:t>Induction training is aligned with Probation Reporting.</w:t>
      </w:r>
    </w:p>
    <w:p w:rsidR="00D542E9" w:rsidRPr="00D542E9" w:rsidRDefault="00D542E9" w:rsidP="007D1DE5">
      <w:pPr>
        <w:pStyle w:val="ListBullet"/>
      </w:pPr>
      <w:r w:rsidRPr="00D542E9">
        <w:t>Post</w:t>
      </w:r>
      <w:r w:rsidR="000D7E3A">
        <w:t>-</w:t>
      </w:r>
      <w:r w:rsidRPr="00D542E9">
        <w:t xml:space="preserve">probation, new Child Protection/Youth Justice workers will be required to complete approximately </w:t>
      </w:r>
      <w:r w:rsidR="00923274">
        <w:t>15</w:t>
      </w:r>
      <w:r w:rsidR="00923274" w:rsidRPr="00D542E9">
        <w:t xml:space="preserve"> </w:t>
      </w:r>
      <w:r w:rsidRPr="00D542E9">
        <w:t xml:space="preserve">training opportunities over a period of 36 months, reviewing and renewing their </w:t>
      </w:r>
      <w:r w:rsidR="005571A0" w:rsidRPr="00663B14">
        <w:rPr>
          <w:szCs w:val="24"/>
        </w:rPr>
        <w:t>Personal Development Agreements</w:t>
      </w:r>
      <w:r w:rsidR="005571A0" w:rsidRPr="00D542E9">
        <w:t xml:space="preserve"> </w:t>
      </w:r>
      <w:r w:rsidR="005571A0">
        <w:t>(</w:t>
      </w:r>
      <w:r w:rsidRPr="00D542E9">
        <w:t>PDA</w:t>
      </w:r>
      <w:r w:rsidR="005571A0">
        <w:t>)</w:t>
      </w:r>
      <w:r w:rsidRPr="00D542E9">
        <w:t xml:space="preserve"> with their supervisor to specify training requirements for each PDA period.</w:t>
      </w:r>
      <w:r w:rsidR="00D26B57">
        <w:t xml:space="preserve"> </w:t>
      </w:r>
      <w:r w:rsidRPr="00D542E9">
        <w:t xml:space="preserve">This training is seen as important to the core work undertaken by staff and necessary areas for knowledge and skills to </w:t>
      </w:r>
      <w:r w:rsidR="000D7E3A">
        <w:t>’</w:t>
      </w:r>
      <w:r w:rsidRPr="00D542E9">
        <w:t>grow</w:t>
      </w:r>
      <w:r w:rsidR="000D7E3A">
        <w:t>’</w:t>
      </w:r>
      <w:r w:rsidR="000D7E3A" w:rsidRPr="00D542E9">
        <w:t>.</w:t>
      </w:r>
    </w:p>
    <w:p w:rsidR="00D542E9" w:rsidRPr="00D542E9" w:rsidRDefault="00D542E9" w:rsidP="007D1DE5">
      <w:pPr>
        <w:pStyle w:val="ListBullet"/>
      </w:pPr>
      <w:r w:rsidRPr="00D542E9">
        <w:t xml:space="preserve">New Child Protection/Youth Justice Workers are encouraged to contact QIWD members for support </w:t>
      </w:r>
      <w:r w:rsidR="000D7E3A" w:rsidRPr="00D542E9">
        <w:t>and</w:t>
      </w:r>
      <w:r w:rsidR="000D7E3A">
        <w:t>/</w:t>
      </w:r>
      <w:r w:rsidRPr="00D542E9">
        <w:t xml:space="preserve">or assistance through the induction and </w:t>
      </w:r>
      <w:r w:rsidR="000D7E3A">
        <w:t>‘</w:t>
      </w:r>
      <w:r w:rsidRPr="00D542E9">
        <w:t>on boarding</w:t>
      </w:r>
      <w:r w:rsidR="000D7E3A">
        <w:t>’</w:t>
      </w:r>
      <w:r w:rsidRPr="00D542E9">
        <w:t xml:space="preserve"> process.</w:t>
      </w:r>
    </w:p>
    <w:p w:rsidR="00CB728E" w:rsidRPr="00F70CDC" w:rsidRDefault="00CB728E" w:rsidP="00D542E9">
      <w:pPr>
        <w:rPr>
          <w:rFonts w:ascii="Calibri" w:hAnsi="Calibri" w:cs="Calibri"/>
          <w:sz w:val="24"/>
          <w:szCs w:val="24"/>
        </w:rPr>
      </w:pPr>
    </w:p>
    <w:p w:rsidR="00D542E9" w:rsidRPr="00D542E9" w:rsidRDefault="00D542E9" w:rsidP="00D542E9">
      <w:pPr>
        <w:rPr>
          <w:rFonts w:ascii="Calibri" w:hAnsi="Calibri" w:cs="Calibri"/>
          <w:sz w:val="24"/>
          <w:szCs w:val="24"/>
        </w:rPr>
      </w:pPr>
      <w:r w:rsidRPr="00D542E9">
        <w:rPr>
          <w:rFonts w:ascii="Calibri" w:hAnsi="Calibri" w:cs="Calibri"/>
          <w:sz w:val="24"/>
          <w:szCs w:val="24"/>
        </w:rPr>
        <w:t xml:space="preserve">Comprehensive training in the Family Partnership Model for </w:t>
      </w:r>
      <w:proofErr w:type="spellStart"/>
      <w:r w:rsidRPr="00D542E9">
        <w:rPr>
          <w:rFonts w:ascii="Calibri" w:hAnsi="Calibri" w:cs="Calibri"/>
          <w:sz w:val="24"/>
          <w:szCs w:val="24"/>
        </w:rPr>
        <w:t>CHaPS</w:t>
      </w:r>
      <w:proofErr w:type="spellEnd"/>
      <w:r w:rsidRPr="00D542E9">
        <w:rPr>
          <w:rFonts w:ascii="Calibri" w:hAnsi="Calibri" w:cs="Calibri"/>
          <w:sz w:val="24"/>
          <w:szCs w:val="24"/>
        </w:rPr>
        <w:t xml:space="preserve"> staff and other CYS staff from within Child Protection, Youth Justice and Family Violence has commenced. This is being delivered in conjunction with the Department of Education and </w:t>
      </w:r>
      <w:r w:rsidR="000D7E3A">
        <w:rPr>
          <w:rFonts w:ascii="Calibri" w:hAnsi="Calibri" w:cs="Calibri"/>
          <w:sz w:val="24"/>
          <w:szCs w:val="24"/>
        </w:rPr>
        <w:t>CFC</w:t>
      </w:r>
      <w:r w:rsidRPr="00D542E9">
        <w:rPr>
          <w:rFonts w:ascii="Calibri" w:hAnsi="Calibri" w:cs="Calibri"/>
          <w:sz w:val="24"/>
          <w:szCs w:val="24"/>
        </w:rPr>
        <w:t>s.</w:t>
      </w:r>
      <w:r w:rsidR="00D26B57">
        <w:rPr>
          <w:rFonts w:ascii="Calibri" w:hAnsi="Calibri" w:cs="Calibri"/>
          <w:sz w:val="24"/>
          <w:szCs w:val="24"/>
        </w:rPr>
        <w:t xml:space="preserve"> </w:t>
      </w:r>
      <w:r w:rsidRPr="00D542E9">
        <w:rPr>
          <w:rFonts w:ascii="Calibri" w:hAnsi="Calibri" w:cs="Calibri"/>
          <w:sz w:val="24"/>
          <w:szCs w:val="24"/>
        </w:rPr>
        <w:t>The Family Partnership Model is focused on family-centred practice</w:t>
      </w:r>
      <w:r w:rsidR="00704E9E">
        <w:rPr>
          <w:rFonts w:ascii="Calibri" w:hAnsi="Calibri" w:cs="Calibri"/>
          <w:sz w:val="24"/>
          <w:szCs w:val="24"/>
        </w:rPr>
        <w:t>,</w:t>
      </w:r>
      <w:r w:rsidRPr="00D542E9">
        <w:rPr>
          <w:rFonts w:ascii="Calibri" w:hAnsi="Calibri" w:cs="Calibri"/>
          <w:sz w:val="24"/>
          <w:szCs w:val="24"/>
        </w:rPr>
        <w:t xml:space="preserve"> which helps to develop the core skills required to establish and facilitate relationships with parents</w:t>
      </w:r>
      <w:r w:rsidR="00814E41">
        <w:rPr>
          <w:rFonts w:ascii="Calibri" w:hAnsi="Calibri" w:cs="Calibri"/>
          <w:sz w:val="24"/>
          <w:szCs w:val="24"/>
        </w:rPr>
        <w:t>,</w:t>
      </w:r>
      <w:r w:rsidRPr="00D542E9">
        <w:rPr>
          <w:rFonts w:ascii="Calibri" w:hAnsi="Calibri" w:cs="Calibri"/>
          <w:sz w:val="24"/>
          <w:szCs w:val="24"/>
        </w:rPr>
        <w:t xml:space="preserve"> to help them deal with the problems facing them and identify their strengths.</w:t>
      </w:r>
      <w:r w:rsidR="00A43557">
        <w:rPr>
          <w:rFonts w:ascii="Calibri" w:hAnsi="Calibri" w:cs="Calibri"/>
          <w:sz w:val="24"/>
          <w:szCs w:val="24"/>
        </w:rPr>
        <w:t xml:space="preserve"> </w:t>
      </w:r>
    </w:p>
    <w:p w:rsidR="00D542E9" w:rsidRDefault="00D542E9" w:rsidP="00D542E9">
      <w:pPr>
        <w:rPr>
          <w:rFonts w:ascii="Calibri" w:hAnsi="Calibri" w:cs="Calibri"/>
          <w:sz w:val="24"/>
          <w:szCs w:val="24"/>
        </w:rPr>
      </w:pPr>
    </w:p>
    <w:p w:rsidR="00D542E9" w:rsidRPr="00D542E9" w:rsidRDefault="00D542E9" w:rsidP="00D542E9">
      <w:pPr>
        <w:rPr>
          <w:rFonts w:ascii="Calibri" w:hAnsi="Calibri" w:cs="Calibri"/>
          <w:sz w:val="24"/>
          <w:szCs w:val="24"/>
        </w:rPr>
      </w:pPr>
      <w:r w:rsidRPr="00D542E9">
        <w:rPr>
          <w:rFonts w:ascii="Calibri" w:hAnsi="Calibri" w:cs="Calibri"/>
          <w:sz w:val="24"/>
          <w:szCs w:val="24"/>
        </w:rPr>
        <w:t xml:space="preserve">CAMHS </w:t>
      </w:r>
      <w:r w:rsidR="000D7E3A">
        <w:rPr>
          <w:rFonts w:ascii="Calibri" w:hAnsi="Calibri" w:cs="Calibri"/>
          <w:sz w:val="24"/>
          <w:szCs w:val="24"/>
        </w:rPr>
        <w:t>is</w:t>
      </w:r>
      <w:r w:rsidR="000D7E3A" w:rsidRPr="00D542E9">
        <w:rPr>
          <w:rFonts w:ascii="Calibri" w:hAnsi="Calibri" w:cs="Calibri"/>
          <w:sz w:val="24"/>
          <w:szCs w:val="24"/>
        </w:rPr>
        <w:t xml:space="preserve"> </w:t>
      </w:r>
      <w:r w:rsidRPr="00D542E9">
        <w:rPr>
          <w:rFonts w:ascii="Calibri" w:hAnsi="Calibri" w:cs="Calibri"/>
          <w:sz w:val="24"/>
          <w:szCs w:val="24"/>
        </w:rPr>
        <w:t xml:space="preserve">developing training packages for </w:t>
      </w:r>
      <w:r w:rsidRPr="008B1389">
        <w:rPr>
          <w:rFonts w:ascii="Calibri" w:hAnsi="Calibri" w:cs="Calibri"/>
          <w:sz w:val="24"/>
          <w:szCs w:val="24"/>
        </w:rPr>
        <w:t>CYS</w:t>
      </w:r>
      <w:r w:rsidR="00704E9E">
        <w:rPr>
          <w:rFonts w:ascii="Calibri" w:hAnsi="Calibri" w:cs="Calibri"/>
          <w:sz w:val="24"/>
          <w:szCs w:val="24"/>
        </w:rPr>
        <w:t>,</w:t>
      </w:r>
      <w:r w:rsidRPr="00D542E9">
        <w:rPr>
          <w:rFonts w:ascii="Calibri" w:hAnsi="Calibri" w:cs="Calibri"/>
          <w:sz w:val="24"/>
          <w:szCs w:val="24"/>
        </w:rPr>
        <w:t xml:space="preserve"> specifically in the area of infant mental health and perinatal maternal mental health</w:t>
      </w:r>
      <w:r w:rsidR="000D7E3A">
        <w:rPr>
          <w:rFonts w:ascii="Calibri" w:hAnsi="Calibri" w:cs="Calibri"/>
          <w:sz w:val="24"/>
          <w:szCs w:val="24"/>
        </w:rPr>
        <w:t>,</w:t>
      </w:r>
      <w:r w:rsidRPr="00D542E9">
        <w:rPr>
          <w:rFonts w:ascii="Calibri" w:hAnsi="Calibri" w:cs="Calibri"/>
          <w:sz w:val="24"/>
          <w:szCs w:val="24"/>
        </w:rPr>
        <w:t xml:space="preserve"> which will be available to staff durin</w:t>
      </w:r>
      <w:r w:rsidR="00704E9E">
        <w:rPr>
          <w:rFonts w:ascii="Calibri" w:hAnsi="Calibri" w:cs="Calibri"/>
          <w:sz w:val="24"/>
          <w:szCs w:val="24"/>
        </w:rPr>
        <w:t>g late August and mid-September</w:t>
      </w:r>
      <w:r w:rsidRPr="00D542E9">
        <w:rPr>
          <w:rFonts w:ascii="Calibri" w:hAnsi="Calibri" w:cs="Calibri"/>
          <w:sz w:val="24"/>
          <w:szCs w:val="24"/>
        </w:rPr>
        <w:t xml:space="preserve"> 2013.</w:t>
      </w:r>
      <w:r w:rsidR="00704E9E">
        <w:rPr>
          <w:rFonts w:ascii="Calibri" w:hAnsi="Calibri" w:cs="Calibri"/>
          <w:sz w:val="24"/>
          <w:szCs w:val="24"/>
        </w:rPr>
        <w:t xml:space="preserve"> </w:t>
      </w:r>
      <w:r w:rsidRPr="00D542E9">
        <w:rPr>
          <w:rFonts w:ascii="Calibri" w:hAnsi="Calibri" w:cs="Calibri"/>
          <w:sz w:val="24"/>
          <w:szCs w:val="24"/>
        </w:rPr>
        <w:t xml:space="preserve">Circle of Security training is </w:t>
      </w:r>
      <w:r w:rsidR="00704E9E">
        <w:rPr>
          <w:rFonts w:ascii="Calibri" w:hAnsi="Calibri" w:cs="Calibri"/>
          <w:sz w:val="24"/>
          <w:szCs w:val="24"/>
        </w:rPr>
        <w:t xml:space="preserve">also </w:t>
      </w:r>
      <w:r w:rsidRPr="00D542E9">
        <w:rPr>
          <w:rFonts w:ascii="Calibri" w:hAnsi="Calibri" w:cs="Calibri"/>
          <w:sz w:val="24"/>
          <w:szCs w:val="24"/>
        </w:rPr>
        <w:t>being provided to support staff to work with parents to understand the concepts and application of attachment theory to parenting.</w:t>
      </w:r>
      <w:r w:rsidR="00D26B57">
        <w:rPr>
          <w:rFonts w:ascii="Calibri" w:hAnsi="Calibri" w:cs="Calibri"/>
          <w:sz w:val="24"/>
          <w:szCs w:val="24"/>
        </w:rPr>
        <w:t xml:space="preserve"> </w:t>
      </w:r>
      <w:r w:rsidRPr="00D542E9">
        <w:rPr>
          <w:rFonts w:ascii="Calibri" w:hAnsi="Calibri" w:cs="Calibri"/>
          <w:sz w:val="24"/>
          <w:szCs w:val="24"/>
        </w:rPr>
        <w:t>CYS staff from across all service areas will be offered the opportunity to attend this training.</w:t>
      </w:r>
    </w:p>
    <w:p w:rsidR="00D542E9" w:rsidRDefault="00D542E9" w:rsidP="00D542E9">
      <w:pPr>
        <w:rPr>
          <w:rFonts w:ascii="Calibri" w:hAnsi="Calibri" w:cs="Calibri"/>
          <w:sz w:val="24"/>
          <w:szCs w:val="24"/>
        </w:rPr>
      </w:pPr>
    </w:p>
    <w:p w:rsidR="00D542E9" w:rsidRPr="00D542E9" w:rsidRDefault="00D542E9" w:rsidP="00D542E9">
      <w:pPr>
        <w:rPr>
          <w:rFonts w:ascii="Calibri" w:hAnsi="Calibri" w:cs="Calibri"/>
          <w:sz w:val="24"/>
          <w:szCs w:val="24"/>
        </w:rPr>
      </w:pPr>
      <w:r w:rsidRPr="00D542E9">
        <w:rPr>
          <w:rFonts w:ascii="Calibri" w:hAnsi="Calibri" w:cs="Calibri"/>
          <w:sz w:val="24"/>
          <w:szCs w:val="24"/>
        </w:rPr>
        <w:t xml:space="preserve">Bridges </w:t>
      </w:r>
      <w:proofErr w:type="gramStart"/>
      <w:r w:rsidRPr="00D542E9">
        <w:rPr>
          <w:rFonts w:ascii="Calibri" w:hAnsi="Calibri" w:cs="Calibri"/>
          <w:sz w:val="24"/>
          <w:szCs w:val="24"/>
        </w:rPr>
        <w:t>Out</w:t>
      </w:r>
      <w:proofErr w:type="gramEnd"/>
      <w:r w:rsidRPr="00D542E9">
        <w:rPr>
          <w:rFonts w:ascii="Calibri" w:hAnsi="Calibri" w:cs="Calibri"/>
          <w:sz w:val="24"/>
          <w:szCs w:val="24"/>
        </w:rPr>
        <w:t xml:space="preserve"> of Poverty training is being provided to all </w:t>
      </w:r>
      <w:proofErr w:type="spellStart"/>
      <w:r w:rsidRPr="00D542E9">
        <w:rPr>
          <w:rFonts w:ascii="Calibri" w:hAnsi="Calibri" w:cs="Calibri"/>
          <w:sz w:val="24"/>
          <w:szCs w:val="24"/>
        </w:rPr>
        <w:t>CHaPS</w:t>
      </w:r>
      <w:proofErr w:type="spellEnd"/>
      <w:r w:rsidRPr="00D542E9">
        <w:rPr>
          <w:rFonts w:ascii="Calibri" w:hAnsi="Calibri" w:cs="Calibri"/>
          <w:sz w:val="24"/>
          <w:szCs w:val="24"/>
        </w:rPr>
        <w:t xml:space="preserve"> staff and stakeholders to assist in the enhanced model of practice around children in the primary and secondary level of intervention. Bridges </w:t>
      </w:r>
      <w:proofErr w:type="gramStart"/>
      <w:r w:rsidRPr="00D542E9">
        <w:rPr>
          <w:rFonts w:ascii="Calibri" w:hAnsi="Calibri" w:cs="Calibri"/>
          <w:sz w:val="24"/>
          <w:szCs w:val="24"/>
        </w:rPr>
        <w:t>Out</w:t>
      </w:r>
      <w:proofErr w:type="gramEnd"/>
      <w:r w:rsidRPr="00D542E9">
        <w:rPr>
          <w:rFonts w:ascii="Calibri" w:hAnsi="Calibri" w:cs="Calibri"/>
          <w:sz w:val="24"/>
          <w:szCs w:val="24"/>
        </w:rPr>
        <w:t xml:space="preserve"> of Poverty creates accurate mental models of poverty, middle class and wealth.</w:t>
      </w:r>
      <w:r w:rsidR="00D26B57">
        <w:rPr>
          <w:rFonts w:ascii="Calibri" w:hAnsi="Calibri" w:cs="Calibri"/>
          <w:sz w:val="24"/>
          <w:szCs w:val="24"/>
        </w:rPr>
        <w:t xml:space="preserve"> </w:t>
      </w:r>
      <w:r w:rsidRPr="00D542E9">
        <w:rPr>
          <w:rFonts w:ascii="Calibri" w:hAnsi="Calibri" w:cs="Calibri"/>
          <w:sz w:val="24"/>
          <w:szCs w:val="24"/>
        </w:rPr>
        <w:t>It is a new lens through which workers can view themselves, their clients and the community.</w:t>
      </w:r>
      <w:r w:rsidR="00D26B57">
        <w:rPr>
          <w:rFonts w:ascii="Calibri" w:hAnsi="Calibri" w:cs="Calibri"/>
          <w:sz w:val="24"/>
          <w:szCs w:val="24"/>
        </w:rPr>
        <w:t xml:space="preserve"> </w:t>
      </w:r>
      <w:r w:rsidRPr="00D542E9">
        <w:rPr>
          <w:rFonts w:ascii="Calibri" w:hAnsi="Calibri" w:cs="Calibri"/>
          <w:sz w:val="24"/>
          <w:szCs w:val="24"/>
        </w:rPr>
        <w:t xml:space="preserve">It promotes </w:t>
      </w:r>
      <w:r w:rsidR="000D7E3A">
        <w:rPr>
          <w:rFonts w:ascii="Calibri" w:hAnsi="Calibri" w:cs="Calibri"/>
          <w:sz w:val="24"/>
          <w:szCs w:val="24"/>
        </w:rPr>
        <w:t>front</w:t>
      </w:r>
      <w:r w:rsidRPr="00D542E9">
        <w:rPr>
          <w:rFonts w:ascii="Calibri" w:hAnsi="Calibri" w:cs="Calibri"/>
          <w:sz w:val="24"/>
          <w:szCs w:val="24"/>
        </w:rPr>
        <w:t>line staff skills in order to improve relationships and outcomes.</w:t>
      </w:r>
      <w:r w:rsidR="00D26B57">
        <w:rPr>
          <w:rFonts w:ascii="Calibri" w:hAnsi="Calibri" w:cs="Calibri"/>
          <w:sz w:val="24"/>
          <w:szCs w:val="24"/>
        </w:rPr>
        <w:t xml:space="preserve"> </w:t>
      </w:r>
      <w:r w:rsidRPr="00D542E9">
        <w:rPr>
          <w:rFonts w:ascii="Calibri" w:hAnsi="Calibri" w:cs="Calibri"/>
          <w:sz w:val="24"/>
          <w:szCs w:val="24"/>
        </w:rPr>
        <w:t xml:space="preserve">It creates a better understanding of how poverty is </w:t>
      </w:r>
      <w:r w:rsidR="000D7E3A">
        <w:rPr>
          <w:rFonts w:ascii="Calibri" w:hAnsi="Calibri" w:cs="Calibri"/>
          <w:sz w:val="24"/>
          <w:szCs w:val="24"/>
        </w:rPr>
        <w:t>relevant</w:t>
      </w:r>
      <w:r w:rsidR="000D7E3A" w:rsidRPr="00D542E9">
        <w:rPr>
          <w:rFonts w:ascii="Calibri" w:hAnsi="Calibri" w:cs="Calibri"/>
          <w:sz w:val="24"/>
          <w:szCs w:val="24"/>
        </w:rPr>
        <w:t xml:space="preserve"> </w:t>
      </w:r>
      <w:r w:rsidRPr="00D542E9">
        <w:rPr>
          <w:rFonts w:ascii="Calibri" w:hAnsi="Calibri" w:cs="Calibri"/>
          <w:sz w:val="24"/>
          <w:szCs w:val="24"/>
        </w:rPr>
        <w:t xml:space="preserve">as a complicating factor where </w:t>
      </w:r>
      <w:r w:rsidR="00AE16DC">
        <w:rPr>
          <w:rFonts w:ascii="Calibri" w:hAnsi="Calibri" w:cs="Calibri"/>
          <w:sz w:val="24"/>
          <w:szCs w:val="24"/>
        </w:rPr>
        <w:t>care</w:t>
      </w:r>
      <w:r w:rsidRPr="00D542E9">
        <w:rPr>
          <w:rFonts w:ascii="Calibri" w:hAnsi="Calibri" w:cs="Calibri"/>
          <w:sz w:val="24"/>
          <w:szCs w:val="24"/>
        </w:rPr>
        <w:t>givers abuse children.</w:t>
      </w:r>
    </w:p>
    <w:p w:rsidR="00D542E9" w:rsidRDefault="00D542E9" w:rsidP="00D542E9">
      <w:pPr>
        <w:rPr>
          <w:rFonts w:ascii="Calibri" w:hAnsi="Calibri" w:cs="Calibri"/>
          <w:sz w:val="24"/>
          <w:szCs w:val="24"/>
        </w:rPr>
      </w:pPr>
    </w:p>
    <w:p w:rsidR="00D542E9" w:rsidRDefault="00D542E9" w:rsidP="00D542E9">
      <w:pPr>
        <w:rPr>
          <w:rFonts w:ascii="Calibri" w:hAnsi="Calibri" w:cs="Calibri"/>
          <w:sz w:val="24"/>
          <w:szCs w:val="24"/>
        </w:rPr>
      </w:pPr>
      <w:r w:rsidRPr="00D542E9">
        <w:rPr>
          <w:rFonts w:ascii="Calibri" w:hAnsi="Calibri" w:cs="Calibri"/>
          <w:sz w:val="24"/>
          <w:szCs w:val="24"/>
        </w:rPr>
        <w:t>In partnership with the QIWD</w:t>
      </w:r>
      <w:r w:rsidR="00704E9E">
        <w:rPr>
          <w:rFonts w:ascii="Calibri" w:hAnsi="Calibri" w:cs="Calibri"/>
          <w:sz w:val="24"/>
          <w:szCs w:val="24"/>
        </w:rPr>
        <w:t>,</w:t>
      </w:r>
      <w:r w:rsidRPr="00D542E9">
        <w:rPr>
          <w:rFonts w:ascii="Calibri" w:hAnsi="Calibri" w:cs="Calibri"/>
          <w:sz w:val="24"/>
          <w:szCs w:val="24"/>
        </w:rPr>
        <w:t xml:space="preserve"> the Family Violence Counselling and Support Service (FVCSS) </w:t>
      </w:r>
      <w:r w:rsidR="000D7E3A">
        <w:rPr>
          <w:rFonts w:ascii="Calibri" w:hAnsi="Calibri" w:cs="Calibri"/>
          <w:sz w:val="24"/>
          <w:szCs w:val="24"/>
        </w:rPr>
        <w:t>has</w:t>
      </w:r>
      <w:r w:rsidR="000D7E3A" w:rsidRPr="00D542E9">
        <w:rPr>
          <w:rFonts w:ascii="Calibri" w:hAnsi="Calibri" w:cs="Calibri"/>
          <w:sz w:val="24"/>
          <w:szCs w:val="24"/>
        </w:rPr>
        <w:t xml:space="preserve"> </w:t>
      </w:r>
      <w:r w:rsidRPr="00D542E9">
        <w:rPr>
          <w:rFonts w:ascii="Calibri" w:hAnsi="Calibri" w:cs="Calibri"/>
          <w:sz w:val="24"/>
          <w:szCs w:val="24"/>
        </w:rPr>
        <w:t xml:space="preserve">developed a draft Specialist Assessment Guide (SAG) for Child Protection practitioners working with the non-offending </w:t>
      </w:r>
      <w:r w:rsidR="000D7E3A">
        <w:rPr>
          <w:rFonts w:ascii="Calibri" w:hAnsi="Calibri" w:cs="Calibri"/>
          <w:sz w:val="24"/>
          <w:szCs w:val="24"/>
        </w:rPr>
        <w:t>care</w:t>
      </w:r>
      <w:r w:rsidRPr="00D542E9">
        <w:rPr>
          <w:rFonts w:ascii="Calibri" w:hAnsi="Calibri" w:cs="Calibri"/>
          <w:sz w:val="24"/>
          <w:szCs w:val="24"/>
        </w:rPr>
        <w:t xml:space="preserve">giver and </w:t>
      </w:r>
      <w:r w:rsidR="00445A90">
        <w:rPr>
          <w:rFonts w:ascii="Calibri" w:hAnsi="Calibri" w:cs="Calibri"/>
          <w:sz w:val="24"/>
          <w:szCs w:val="24"/>
        </w:rPr>
        <w:t xml:space="preserve">her or his </w:t>
      </w:r>
      <w:r w:rsidR="00704E9E">
        <w:rPr>
          <w:rFonts w:ascii="Calibri" w:hAnsi="Calibri" w:cs="Calibri"/>
          <w:sz w:val="24"/>
          <w:szCs w:val="24"/>
        </w:rPr>
        <w:t>children within a family v</w:t>
      </w:r>
      <w:r w:rsidRPr="00D542E9">
        <w:rPr>
          <w:rFonts w:ascii="Calibri" w:hAnsi="Calibri" w:cs="Calibri"/>
          <w:sz w:val="24"/>
          <w:szCs w:val="24"/>
        </w:rPr>
        <w:t>iolence context.</w:t>
      </w:r>
      <w:r w:rsidR="000D7E3A">
        <w:rPr>
          <w:rFonts w:ascii="Calibri" w:hAnsi="Calibri" w:cs="Calibri"/>
          <w:sz w:val="24"/>
          <w:szCs w:val="24"/>
        </w:rPr>
        <w:t xml:space="preserve"> </w:t>
      </w:r>
      <w:r w:rsidR="00704E9E">
        <w:rPr>
          <w:rFonts w:ascii="Calibri" w:hAnsi="Calibri" w:cs="Calibri"/>
          <w:sz w:val="24"/>
          <w:szCs w:val="24"/>
        </w:rPr>
        <w:t>Family v</w:t>
      </w:r>
      <w:r w:rsidRPr="00D542E9">
        <w:rPr>
          <w:rFonts w:ascii="Calibri" w:hAnsi="Calibri" w:cs="Calibri"/>
          <w:sz w:val="24"/>
          <w:szCs w:val="24"/>
        </w:rPr>
        <w:t>iolence is re</w:t>
      </w:r>
      <w:r w:rsidR="00704E9E">
        <w:rPr>
          <w:rFonts w:ascii="Calibri" w:hAnsi="Calibri" w:cs="Calibri"/>
          <w:sz w:val="24"/>
          <w:szCs w:val="24"/>
        </w:rPr>
        <w:t>cognised as a form of child maltreatment within Tasmania</w:t>
      </w:r>
      <w:r w:rsidR="000D7E3A">
        <w:rPr>
          <w:rFonts w:ascii="Calibri" w:hAnsi="Calibri" w:cs="Calibri"/>
          <w:sz w:val="24"/>
          <w:szCs w:val="24"/>
        </w:rPr>
        <w:t>,</w:t>
      </w:r>
      <w:r w:rsidRPr="00D542E9">
        <w:rPr>
          <w:rFonts w:ascii="Calibri" w:hAnsi="Calibri" w:cs="Calibri"/>
          <w:sz w:val="24"/>
          <w:szCs w:val="24"/>
        </w:rPr>
        <w:t xml:space="preserve"> and the development of the SAG provides Child Protection Workers </w:t>
      </w:r>
      <w:r w:rsidR="000D7E3A">
        <w:rPr>
          <w:rFonts w:ascii="Calibri" w:hAnsi="Calibri" w:cs="Calibri"/>
          <w:sz w:val="24"/>
          <w:szCs w:val="24"/>
        </w:rPr>
        <w:t xml:space="preserve">with </w:t>
      </w:r>
      <w:r w:rsidRPr="00D542E9">
        <w:rPr>
          <w:rFonts w:ascii="Calibri" w:hAnsi="Calibri" w:cs="Calibri"/>
          <w:sz w:val="24"/>
          <w:szCs w:val="24"/>
        </w:rPr>
        <w:t xml:space="preserve">a tool </w:t>
      </w:r>
      <w:r w:rsidR="00814E41">
        <w:rPr>
          <w:rFonts w:ascii="Calibri" w:hAnsi="Calibri" w:cs="Calibri"/>
          <w:sz w:val="24"/>
          <w:szCs w:val="24"/>
        </w:rPr>
        <w:t>for</w:t>
      </w:r>
      <w:r w:rsidRPr="00D542E9">
        <w:rPr>
          <w:rFonts w:ascii="Calibri" w:hAnsi="Calibri" w:cs="Calibri"/>
          <w:sz w:val="24"/>
          <w:szCs w:val="24"/>
        </w:rPr>
        <w:t xml:space="preserve"> developing insightful and evidence-based practices in engaging offenders and the non-offending </w:t>
      </w:r>
      <w:r w:rsidR="000D7E3A">
        <w:rPr>
          <w:rFonts w:ascii="Calibri" w:hAnsi="Calibri" w:cs="Calibri"/>
          <w:sz w:val="24"/>
          <w:szCs w:val="24"/>
        </w:rPr>
        <w:t>care</w:t>
      </w:r>
      <w:r w:rsidRPr="00D542E9">
        <w:rPr>
          <w:rFonts w:ascii="Calibri" w:hAnsi="Calibri" w:cs="Calibri"/>
          <w:sz w:val="24"/>
          <w:szCs w:val="24"/>
        </w:rPr>
        <w:t>giver in child protection matters.</w:t>
      </w:r>
    </w:p>
    <w:p w:rsidR="00D03EBA" w:rsidRDefault="00D03EBA" w:rsidP="00D542E9">
      <w:pPr>
        <w:rPr>
          <w:rFonts w:ascii="Calibri" w:hAnsi="Calibri" w:cs="Calibri"/>
          <w:sz w:val="24"/>
          <w:szCs w:val="24"/>
        </w:rPr>
      </w:pPr>
    </w:p>
    <w:p w:rsidR="00C94CE3" w:rsidRPr="00C94CE3" w:rsidRDefault="00C94CE3" w:rsidP="00C94CE3">
      <w:pPr>
        <w:rPr>
          <w:rFonts w:ascii="Calibri" w:hAnsi="Calibri" w:cs="Calibri"/>
          <w:sz w:val="24"/>
          <w:szCs w:val="24"/>
        </w:rPr>
      </w:pPr>
      <w:r w:rsidRPr="00C94CE3">
        <w:rPr>
          <w:rFonts w:ascii="Calibri" w:hAnsi="Calibri" w:cs="Calibri"/>
          <w:sz w:val="24"/>
          <w:szCs w:val="24"/>
        </w:rPr>
        <w:t>A Memorandum of Understanding</w:t>
      </w:r>
      <w:r w:rsidR="00704E9E">
        <w:rPr>
          <w:rFonts w:ascii="Calibri" w:hAnsi="Calibri" w:cs="Calibri"/>
          <w:sz w:val="24"/>
          <w:szCs w:val="24"/>
        </w:rPr>
        <w:t xml:space="preserve"> (MOU)</w:t>
      </w:r>
      <w:r w:rsidRPr="00C94CE3">
        <w:rPr>
          <w:rFonts w:ascii="Calibri" w:hAnsi="Calibri" w:cs="Calibri"/>
          <w:sz w:val="24"/>
          <w:szCs w:val="24"/>
        </w:rPr>
        <w:t xml:space="preserve"> has been established between CYS and Alcohol and Drug Services (ADS) </w:t>
      </w:r>
      <w:r w:rsidRPr="00704E9E">
        <w:rPr>
          <w:rFonts w:ascii="Calibri" w:hAnsi="Calibri" w:cs="Calibri"/>
          <w:sz w:val="24"/>
          <w:szCs w:val="24"/>
        </w:rPr>
        <w:t xml:space="preserve">to develop approaches and support responses </w:t>
      </w:r>
      <w:r w:rsidR="00704E9E" w:rsidRPr="00704E9E">
        <w:rPr>
          <w:rFonts w:ascii="Calibri" w:hAnsi="Calibri" w:cs="Calibri"/>
          <w:sz w:val="24"/>
          <w:szCs w:val="24"/>
        </w:rPr>
        <w:t xml:space="preserve">to </w:t>
      </w:r>
      <w:r w:rsidRPr="00704E9E">
        <w:rPr>
          <w:rFonts w:ascii="Calibri" w:hAnsi="Calibri" w:cs="Calibri"/>
          <w:sz w:val="24"/>
          <w:szCs w:val="24"/>
        </w:rPr>
        <w:t>alcohol and drug issues</w:t>
      </w:r>
      <w:r w:rsidR="00704E9E" w:rsidRPr="00704E9E">
        <w:rPr>
          <w:rFonts w:ascii="Calibri" w:hAnsi="Calibri" w:cs="Calibri"/>
          <w:sz w:val="24"/>
          <w:szCs w:val="24"/>
        </w:rPr>
        <w:t>. This MOU</w:t>
      </w:r>
      <w:r w:rsidRPr="00C94CE3">
        <w:rPr>
          <w:rFonts w:ascii="Calibri" w:hAnsi="Calibri" w:cs="Calibri"/>
          <w:sz w:val="24"/>
          <w:szCs w:val="24"/>
        </w:rPr>
        <w:t xml:space="preserve"> will be reaffirmed across both areas in the near future. </w:t>
      </w:r>
    </w:p>
    <w:p w:rsidR="00C94CE3" w:rsidRDefault="00C94CE3" w:rsidP="00C94CE3">
      <w:pPr>
        <w:rPr>
          <w:rFonts w:ascii="Calibri" w:hAnsi="Calibri" w:cs="Calibri"/>
          <w:sz w:val="24"/>
          <w:szCs w:val="24"/>
        </w:rPr>
      </w:pPr>
    </w:p>
    <w:p w:rsidR="00C94CE3" w:rsidRDefault="00C94CE3" w:rsidP="00C94CE3">
      <w:pPr>
        <w:rPr>
          <w:rFonts w:ascii="Calibri" w:hAnsi="Calibri" w:cs="Calibri"/>
          <w:sz w:val="24"/>
          <w:szCs w:val="24"/>
        </w:rPr>
      </w:pPr>
      <w:r w:rsidRPr="00C94CE3">
        <w:rPr>
          <w:rFonts w:ascii="Calibri" w:hAnsi="Calibri" w:cs="Calibri"/>
          <w:sz w:val="24"/>
          <w:szCs w:val="24"/>
        </w:rPr>
        <w:t>ADS has funded a community sector organisation to provid</w:t>
      </w:r>
      <w:r w:rsidR="00704E9E">
        <w:rPr>
          <w:rFonts w:ascii="Calibri" w:hAnsi="Calibri" w:cs="Calibri"/>
          <w:sz w:val="24"/>
          <w:szCs w:val="24"/>
        </w:rPr>
        <w:t>e a new Family Support Service in the North and North West Regions</w:t>
      </w:r>
      <w:r w:rsidRPr="00C94CE3">
        <w:rPr>
          <w:rFonts w:ascii="Calibri" w:hAnsi="Calibri" w:cs="Calibri"/>
          <w:sz w:val="24"/>
          <w:szCs w:val="24"/>
        </w:rPr>
        <w:t xml:space="preserve"> for families dealing with alcohol and drug issues a</w:t>
      </w:r>
      <w:r w:rsidR="00704E9E">
        <w:rPr>
          <w:rFonts w:ascii="Calibri" w:hAnsi="Calibri" w:cs="Calibri"/>
          <w:sz w:val="24"/>
          <w:szCs w:val="24"/>
        </w:rPr>
        <w:t>long with other complex issues, including family violence</w:t>
      </w:r>
      <w:r w:rsidRPr="00C94CE3">
        <w:rPr>
          <w:rFonts w:ascii="Calibri" w:hAnsi="Calibri" w:cs="Calibri"/>
          <w:sz w:val="24"/>
          <w:szCs w:val="24"/>
        </w:rPr>
        <w:t>.</w:t>
      </w:r>
    </w:p>
    <w:p w:rsidR="00BD5D4E" w:rsidRPr="0082307C" w:rsidRDefault="00BD5D4E" w:rsidP="00F70CDC">
      <w:pPr>
        <w:pStyle w:val="Heading3"/>
      </w:pPr>
      <w:bookmarkStart w:id="120" w:name="_Toc400007722"/>
      <w:r w:rsidRPr="0082307C">
        <w:t>Victoria</w:t>
      </w:r>
      <w:bookmarkEnd w:id="120"/>
    </w:p>
    <w:p w:rsidR="0082307C" w:rsidRPr="0082307C" w:rsidRDefault="0082307C" w:rsidP="00AA522D">
      <w:pPr>
        <w:pStyle w:val="Heading4"/>
      </w:pPr>
      <w:r w:rsidRPr="0082307C">
        <w:t>Joining Up Service Delivery</w:t>
      </w:r>
    </w:p>
    <w:p w:rsidR="0082307C" w:rsidRPr="0082307C" w:rsidRDefault="0082307C" w:rsidP="0082307C">
      <w:pPr>
        <w:rPr>
          <w:rFonts w:ascii="Calibri" w:hAnsi="Calibri" w:cs="Calibri"/>
          <w:sz w:val="24"/>
          <w:szCs w:val="24"/>
        </w:rPr>
      </w:pPr>
      <w:r w:rsidRPr="0082307C">
        <w:rPr>
          <w:rFonts w:ascii="Calibri" w:hAnsi="Calibri" w:cs="Calibri"/>
          <w:sz w:val="24"/>
          <w:szCs w:val="24"/>
        </w:rPr>
        <w:t>The Victoria’s Vulnerable Children Strategy is designed to drive the broad-based change required across government</w:t>
      </w:r>
      <w:r w:rsidR="00814E41">
        <w:rPr>
          <w:rFonts w:ascii="Calibri" w:hAnsi="Calibri" w:cs="Calibri"/>
          <w:sz w:val="24"/>
          <w:szCs w:val="24"/>
        </w:rPr>
        <w:t>/s</w:t>
      </w:r>
      <w:r w:rsidRPr="0082307C">
        <w:rPr>
          <w:rFonts w:ascii="Calibri" w:hAnsi="Calibri" w:cs="Calibri"/>
          <w:sz w:val="24"/>
          <w:szCs w:val="24"/>
        </w:rPr>
        <w:t xml:space="preserve"> and in the community generally over the next decade. This strategy emphasises that the circumstances of vulnerable </w:t>
      </w:r>
      <w:r w:rsidR="008B544F" w:rsidRPr="0082307C">
        <w:rPr>
          <w:rFonts w:ascii="Calibri" w:hAnsi="Calibri" w:cs="Calibri"/>
          <w:sz w:val="24"/>
          <w:szCs w:val="24"/>
        </w:rPr>
        <w:t>chil</w:t>
      </w:r>
      <w:r w:rsidR="008B544F">
        <w:rPr>
          <w:rFonts w:ascii="Calibri" w:hAnsi="Calibri" w:cs="Calibri"/>
          <w:sz w:val="24"/>
          <w:szCs w:val="24"/>
        </w:rPr>
        <w:t>dren are</w:t>
      </w:r>
      <w:r w:rsidR="00704E9E">
        <w:rPr>
          <w:rFonts w:ascii="Calibri" w:hAnsi="Calibri" w:cs="Calibri"/>
          <w:sz w:val="24"/>
          <w:szCs w:val="24"/>
        </w:rPr>
        <w:t xml:space="preserve"> a shared responsibility</w:t>
      </w:r>
      <w:r w:rsidR="008B544F">
        <w:rPr>
          <w:rFonts w:ascii="Calibri" w:hAnsi="Calibri" w:cs="Calibri"/>
          <w:sz w:val="24"/>
          <w:szCs w:val="24"/>
        </w:rPr>
        <w:t>.</w:t>
      </w:r>
      <w:r w:rsidRPr="0082307C">
        <w:rPr>
          <w:rFonts w:ascii="Calibri" w:hAnsi="Calibri" w:cs="Calibri"/>
          <w:sz w:val="24"/>
          <w:szCs w:val="24"/>
        </w:rPr>
        <w:t xml:space="preserve"> </w:t>
      </w:r>
      <w:r w:rsidR="008B544F">
        <w:rPr>
          <w:rFonts w:ascii="Calibri" w:hAnsi="Calibri" w:cs="Calibri"/>
          <w:sz w:val="24"/>
          <w:szCs w:val="24"/>
        </w:rPr>
        <w:t>It</w:t>
      </w:r>
      <w:r w:rsidR="008B544F" w:rsidRPr="0082307C">
        <w:rPr>
          <w:rFonts w:ascii="Calibri" w:hAnsi="Calibri" w:cs="Calibri"/>
          <w:sz w:val="24"/>
          <w:szCs w:val="24"/>
        </w:rPr>
        <w:t xml:space="preserve"> </w:t>
      </w:r>
      <w:r w:rsidRPr="0082307C">
        <w:rPr>
          <w:rFonts w:ascii="Calibri" w:hAnsi="Calibri" w:cs="Calibri"/>
          <w:sz w:val="24"/>
          <w:szCs w:val="24"/>
        </w:rPr>
        <w:t xml:space="preserve">represents a shared commitment across Victorian Government departments, including the </w:t>
      </w:r>
      <w:r w:rsidR="001C4241">
        <w:rPr>
          <w:rFonts w:ascii="Calibri" w:hAnsi="Calibri" w:cs="Calibri"/>
          <w:sz w:val="24"/>
          <w:szCs w:val="24"/>
        </w:rPr>
        <w:t>DHS</w:t>
      </w:r>
      <w:r w:rsidRPr="0082307C">
        <w:rPr>
          <w:rFonts w:ascii="Calibri" w:hAnsi="Calibri" w:cs="Calibri"/>
          <w:sz w:val="24"/>
          <w:szCs w:val="24"/>
        </w:rPr>
        <w:t>, Education and Early Childhood Development, Health Justice, Premier and Cabinet and Victoria Police.</w:t>
      </w:r>
      <w:r w:rsidR="00D26B57">
        <w:rPr>
          <w:rFonts w:ascii="Calibri" w:hAnsi="Calibri" w:cs="Calibri"/>
          <w:sz w:val="24"/>
          <w:szCs w:val="24"/>
        </w:rPr>
        <w:t xml:space="preserve"> </w:t>
      </w:r>
      <w:r w:rsidRPr="0082307C">
        <w:rPr>
          <w:rFonts w:ascii="Calibri" w:hAnsi="Calibri" w:cs="Calibri"/>
          <w:sz w:val="24"/>
          <w:szCs w:val="24"/>
        </w:rPr>
        <w:t>Implementation of the strategy is overseen by the Children’s Services Coordination Board.</w:t>
      </w:r>
    </w:p>
    <w:p w:rsidR="0082307C" w:rsidRPr="0082307C" w:rsidRDefault="0082307C" w:rsidP="0082307C">
      <w:pPr>
        <w:rPr>
          <w:rFonts w:ascii="Calibri" w:hAnsi="Calibri" w:cs="Calibri"/>
          <w:sz w:val="24"/>
          <w:szCs w:val="24"/>
        </w:rPr>
      </w:pPr>
    </w:p>
    <w:p w:rsidR="0082307C" w:rsidRDefault="0082307C" w:rsidP="0082307C">
      <w:pPr>
        <w:rPr>
          <w:rFonts w:ascii="Calibri" w:hAnsi="Calibri" w:cs="Calibri"/>
          <w:sz w:val="24"/>
          <w:szCs w:val="24"/>
        </w:rPr>
      </w:pPr>
      <w:r w:rsidRPr="0082307C">
        <w:rPr>
          <w:rFonts w:ascii="Calibri" w:hAnsi="Calibri" w:cs="Calibri"/>
          <w:sz w:val="24"/>
          <w:szCs w:val="24"/>
        </w:rPr>
        <w:t>The strategic goals are:</w:t>
      </w:r>
    </w:p>
    <w:p w:rsidR="0082307C" w:rsidRPr="0082307C" w:rsidRDefault="0082307C" w:rsidP="008B544F">
      <w:pPr>
        <w:pStyle w:val="ListBullet"/>
      </w:pPr>
      <w:r w:rsidRPr="0082307C">
        <w:t>Prevent abuse and neglect</w:t>
      </w:r>
    </w:p>
    <w:p w:rsidR="0082307C" w:rsidRPr="0082307C" w:rsidRDefault="0082307C" w:rsidP="008B544F">
      <w:pPr>
        <w:pStyle w:val="ListBullet"/>
      </w:pPr>
      <w:r w:rsidRPr="0082307C">
        <w:t>Act earlier when children are vulnerable</w:t>
      </w:r>
    </w:p>
    <w:p w:rsidR="0082307C" w:rsidRPr="0082307C" w:rsidRDefault="0082307C" w:rsidP="008B544F">
      <w:pPr>
        <w:pStyle w:val="ListBullet"/>
      </w:pPr>
      <w:r w:rsidRPr="0082307C">
        <w:t>Improve outcomes for children in statutory care.</w:t>
      </w:r>
    </w:p>
    <w:p w:rsidR="0082307C" w:rsidRPr="0082307C" w:rsidRDefault="0082307C" w:rsidP="00AC7484">
      <w:pPr>
        <w:rPr>
          <w:rFonts w:ascii="Calibri" w:hAnsi="Calibri" w:cs="Calibri"/>
          <w:sz w:val="24"/>
          <w:szCs w:val="24"/>
        </w:rPr>
      </w:pPr>
    </w:p>
    <w:p w:rsidR="0082307C" w:rsidRPr="0082307C" w:rsidRDefault="0082307C" w:rsidP="0082307C">
      <w:pPr>
        <w:rPr>
          <w:rFonts w:ascii="Calibri" w:hAnsi="Calibri" w:cs="Calibri"/>
          <w:sz w:val="24"/>
          <w:szCs w:val="24"/>
        </w:rPr>
      </w:pPr>
      <w:r w:rsidRPr="0082307C">
        <w:rPr>
          <w:rFonts w:ascii="Calibri" w:hAnsi="Calibri" w:cs="Calibri"/>
          <w:sz w:val="24"/>
          <w:szCs w:val="24"/>
        </w:rPr>
        <w:t>The Victorian Government will work to ensure that universal, secondary and tertiary services are more inclusive, respond early, work more effectively together and intervene in a way that will make a difference to children.</w:t>
      </w:r>
    </w:p>
    <w:p w:rsidR="0082307C" w:rsidRPr="0082307C" w:rsidRDefault="0082307C" w:rsidP="0082307C">
      <w:pPr>
        <w:rPr>
          <w:rFonts w:ascii="Calibri" w:hAnsi="Calibri" w:cs="Calibri"/>
          <w:sz w:val="24"/>
          <w:szCs w:val="24"/>
        </w:rPr>
      </w:pPr>
    </w:p>
    <w:p w:rsidR="0082307C" w:rsidRDefault="0082307C" w:rsidP="0082307C">
      <w:pPr>
        <w:rPr>
          <w:rFonts w:ascii="Calibri" w:hAnsi="Calibri" w:cs="Calibri"/>
          <w:sz w:val="24"/>
          <w:szCs w:val="24"/>
        </w:rPr>
      </w:pPr>
      <w:r w:rsidRPr="0082307C">
        <w:rPr>
          <w:rFonts w:ascii="Calibri" w:hAnsi="Calibri" w:cs="Calibri"/>
          <w:sz w:val="24"/>
          <w:szCs w:val="24"/>
        </w:rPr>
        <w:t>Additionally, the service areas in scope for improved ‘family sensitive practice’ include mental health, alcohol and drug services, disability, family violence, homelessness and health.</w:t>
      </w:r>
      <w:r w:rsidR="00D26B57">
        <w:rPr>
          <w:rFonts w:ascii="Calibri" w:hAnsi="Calibri" w:cs="Calibri"/>
          <w:sz w:val="24"/>
          <w:szCs w:val="24"/>
        </w:rPr>
        <w:t xml:space="preserve"> </w:t>
      </w:r>
      <w:r w:rsidRPr="0082307C">
        <w:rPr>
          <w:rFonts w:ascii="Calibri" w:hAnsi="Calibri" w:cs="Calibri"/>
          <w:sz w:val="24"/>
          <w:szCs w:val="24"/>
        </w:rPr>
        <w:t xml:space="preserve">Earlier engagement of vulnerable parents, attention to both risk and protective factors, and improved practice by adult service providers will impact </w:t>
      </w:r>
      <w:r w:rsidR="0093445F" w:rsidRPr="0082307C">
        <w:rPr>
          <w:rFonts w:ascii="Calibri" w:hAnsi="Calibri" w:cs="Calibri"/>
          <w:sz w:val="24"/>
          <w:szCs w:val="24"/>
        </w:rPr>
        <w:t xml:space="preserve">positively </w:t>
      </w:r>
      <w:r w:rsidRPr="0082307C">
        <w:rPr>
          <w:rFonts w:ascii="Calibri" w:hAnsi="Calibri" w:cs="Calibri"/>
          <w:sz w:val="24"/>
          <w:szCs w:val="24"/>
        </w:rPr>
        <w:t>upon notification and substantiation rates and ultimately upon the admission rate to out-of-home</w:t>
      </w:r>
      <w:r w:rsidR="005324EE">
        <w:rPr>
          <w:rFonts w:ascii="Calibri" w:hAnsi="Calibri" w:cs="Calibri"/>
          <w:sz w:val="24"/>
          <w:szCs w:val="24"/>
        </w:rPr>
        <w:t xml:space="preserve"> </w:t>
      </w:r>
      <w:r w:rsidRPr="0082307C">
        <w:rPr>
          <w:rFonts w:ascii="Calibri" w:hAnsi="Calibri" w:cs="Calibri"/>
          <w:sz w:val="24"/>
          <w:szCs w:val="24"/>
        </w:rPr>
        <w:t>care.</w:t>
      </w:r>
    </w:p>
    <w:p w:rsidR="00304E96" w:rsidRDefault="00304E96" w:rsidP="0082307C">
      <w:pPr>
        <w:rPr>
          <w:rFonts w:ascii="Calibri" w:hAnsi="Calibri" w:cs="Calibri"/>
          <w:sz w:val="24"/>
          <w:szCs w:val="24"/>
        </w:rPr>
      </w:pPr>
    </w:p>
    <w:p w:rsidR="00304E96" w:rsidRPr="0082307C" w:rsidRDefault="00304E96" w:rsidP="00304E96">
      <w:pPr>
        <w:rPr>
          <w:rFonts w:ascii="Calibri" w:hAnsi="Calibri" w:cs="Calibri"/>
          <w:sz w:val="24"/>
          <w:szCs w:val="24"/>
        </w:rPr>
      </w:pPr>
      <w:r w:rsidRPr="0082307C">
        <w:rPr>
          <w:rFonts w:ascii="Calibri" w:hAnsi="Calibri" w:cs="Calibri"/>
          <w:sz w:val="24"/>
          <w:szCs w:val="24"/>
        </w:rPr>
        <w:t xml:space="preserve">The Child FIRST catchment plans include ongoing actions that support better collaboration across services such as Mental Health, Family Violence and Drug and Alcohol. </w:t>
      </w:r>
    </w:p>
    <w:p w:rsidR="00304E96" w:rsidRPr="0082307C" w:rsidRDefault="00304E96" w:rsidP="00304E96">
      <w:pPr>
        <w:rPr>
          <w:rFonts w:ascii="Calibri" w:hAnsi="Calibri" w:cs="Calibri"/>
          <w:sz w:val="24"/>
          <w:szCs w:val="24"/>
        </w:rPr>
      </w:pPr>
    </w:p>
    <w:p w:rsidR="00304E96" w:rsidRPr="0082307C" w:rsidRDefault="00304E96" w:rsidP="00304E96">
      <w:pPr>
        <w:rPr>
          <w:rFonts w:ascii="Calibri" w:hAnsi="Calibri" w:cs="Calibri"/>
          <w:sz w:val="24"/>
          <w:szCs w:val="24"/>
        </w:rPr>
      </w:pPr>
      <w:r w:rsidRPr="0082307C">
        <w:rPr>
          <w:rFonts w:ascii="Calibri" w:hAnsi="Calibri" w:cs="Calibri"/>
          <w:sz w:val="24"/>
          <w:szCs w:val="24"/>
        </w:rPr>
        <w:t>Joint service responses are supported through initiatives such as the development of training that supports the implementation of a new practice guide to assist family violence and family services practitioners to assess the safety and needs of children and young people affected by family violence.</w:t>
      </w:r>
    </w:p>
    <w:p w:rsidR="00304E96" w:rsidRPr="0082307C" w:rsidRDefault="00304E96" w:rsidP="00304E96">
      <w:pPr>
        <w:rPr>
          <w:rFonts w:ascii="Calibri" w:hAnsi="Calibri" w:cs="Calibri"/>
          <w:sz w:val="24"/>
          <w:szCs w:val="24"/>
        </w:rPr>
      </w:pPr>
    </w:p>
    <w:p w:rsidR="00304E96" w:rsidRDefault="00304E96" w:rsidP="00304E96">
      <w:pPr>
        <w:rPr>
          <w:rFonts w:ascii="Calibri" w:hAnsi="Calibri" w:cs="Calibri"/>
          <w:sz w:val="24"/>
          <w:szCs w:val="24"/>
        </w:rPr>
      </w:pPr>
      <w:r w:rsidRPr="0082307C">
        <w:rPr>
          <w:rFonts w:ascii="Calibri" w:hAnsi="Calibri" w:cs="Calibri"/>
          <w:sz w:val="24"/>
          <w:szCs w:val="24"/>
        </w:rPr>
        <w:t xml:space="preserve">Families </w:t>
      </w:r>
      <w:r>
        <w:rPr>
          <w:rFonts w:ascii="Calibri" w:hAnsi="Calibri" w:cs="Calibri"/>
          <w:sz w:val="24"/>
          <w:szCs w:val="24"/>
        </w:rPr>
        <w:t>w</w:t>
      </w:r>
      <w:r w:rsidRPr="0082307C">
        <w:rPr>
          <w:rFonts w:ascii="Calibri" w:hAnsi="Calibri" w:cs="Calibri"/>
          <w:sz w:val="24"/>
          <w:szCs w:val="24"/>
        </w:rPr>
        <w:t>here a Parent has a Mental Illness (</w:t>
      </w:r>
      <w:proofErr w:type="spellStart"/>
      <w:r w:rsidRPr="0082307C">
        <w:rPr>
          <w:rFonts w:ascii="Calibri" w:hAnsi="Calibri" w:cs="Calibri"/>
          <w:sz w:val="24"/>
          <w:szCs w:val="24"/>
        </w:rPr>
        <w:t>FaPMI</w:t>
      </w:r>
      <w:proofErr w:type="spellEnd"/>
      <w:r w:rsidRPr="0082307C">
        <w:rPr>
          <w:rFonts w:ascii="Calibri" w:hAnsi="Calibri" w:cs="Calibri"/>
          <w:sz w:val="24"/>
          <w:szCs w:val="24"/>
        </w:rPr>
        <w:t>) is a service development strategy that encourages family</w:t>
      </w:r>
      <w:r>
        <w:rPr>
          <w:rFonts w:ascii="Calibri" w:hAnsi="Calibri" w:cs="Calibri"/>
          <w:sz w:val="24"/>
          <w:szCs w:val="24"/>
        </w:rPr>
        <w:t>-</w:t>
      </w:r>
      <w:r w:rsidRPr="0082307C">
        <w:rPr>
          <w:rFonts w:ascii="Calibri" w:hAnsi="Calibri" w:cs="Calibri"/>
          <w:sz w:val="24"/>
          <w:szCs w:val="24"/>
        </w:rPr>
        <w:t>focused practice through workforce training and networking</w:t>
      </w:r>
      <w:r>
        <w:rPr>
          <w:rFonts w:ascii="Calibri" w:hAnsi="Calibri" w:cs="Calibri"/>
          <w:sz w:val="24"/>
          <w:szCs w:val="24"/>
        </w:rPr>
        <w:t>,</w:t>
      </w:r>
      <w:r w:rsidRPr="0082307C">
        <w:rPr>
          <w:rFonts w:ascii="Calibri" w:hAnsi="Calibri" w:cs="Calibri"/>
          <w:sz w:val="24"/>
          <w:szCs w:val="24"/>
        </w:rPr>
        <w:t xml:space="preserve"> to ensure timely identification and appropriat</w:t>
      </w:r>
      <w:r>
        <w:rPr>
          <w:rFonts w:ascii="Calibri" w:hAnsi="Calibri" w:cs="Calibri"/>
          <w:sz w:val="24"/>
          <w:szCs w:val="24"/>
        </w:rPr>
        <w:t>e referrals to support services</w:t>
      </w:r>
      <w:r w:rsidRPr="0082307C">
        <w:rPr>
          <w:rFonts w:ascii="Calibri" w:hAnsi="Calibri" w:cs="Calibri"/>
          <w:sz w:val="24"/>
          <w:szCs w:val="24"/>
        </w:rPr>
        <w:t xml:space="preserve"> in order to reduce possible negative impacts of parental mental illness and alcohol and drug use on the family.</w:t>
      </w:r>
    </w:p>
    <w:p w:rsidR="0082307C" w:rsidRDefault="0082307C" w:rsidP="00AA522D">
      <w:pPr>
        <w:pStyle w:val="Heading4"/>
      </w:pPr>
      <w:r w:rsidRPr="0082307C">
        <w:t>Other Supporting Activities</w:t>
      </w:r>
    </w:p>
    <w:p w:rsidR="0082307C" w:rsidRPr="0082307C" w:rsidRDefault="0082307C" w:rsidP="0082307C">
      <w:pPr>
        <w:rPr>
          <w:rFonts w:ascii="Calibri" w:hAnsi="Calibri" w:cs="Calibri"/>
          <w:sz w:val="24"/>
          <w:szCs w:val="24"/>
        </w:rPr>
      </w:pPr>
      <w:r w:rsidRPr="0082307C">
        <w:rPr>
          <w:rFonts w:ascii="Calibri" w:hAnsi="Calibri" w:cs="Calibri"/>
          <w:sz w:val="24"/>
          <w:szCs w:val="24"/>
        </w:rPr>
        <w:t>Since early 2012, Victoria has been developing and testing a new, integrated model for human services</w:t>
      </w:r>
      <w:r w:rsidR="005324EE">
        <w:rPr>
          <w:rFonts w:ascii="Calibri" w:hAnsi="Calibri" w:cs="Calibri"/>
          <w:sz w:val="24"/>
          <w:szCs w:val="24"/>
        </w:rPr>
        <w:t>,</w:t>
      </w:r>
      <w:r w:rsidRPr="0082307C">
        <w:rPr>
          <w:rFonts w:ascii="Calibri" w:hAnsi="Calibri" w:cs="Calibri"/>
          <w:sz w:val="24"/>
          <w:szCs w:val="24"/>
        </w:rPr>
        <w:t xml:space="preserve"> known as Services Connect. The aim of the Services Connect reforms is to break down the siloed, program-focused structure of the current human services system and instead build services around the particular needs of individuals and families who require support. The model introduces one key worker to help people navigate the services they need, one plan instead </w:t>
      </w:r>
      <w:r w:rsidR="00704E9E">
        <w:rPr>
          <w:rFonts w:ascii="Calibri" w:hAnsi="Calibri" w:cs="Calibri"/>
          <w:sz w:val="24"/>
          <w:szCs w:val="24"/>
        </w:rPr>
        <w:t>of multiple, disconnected plans</w:t>
      </w:r>
      <w:r w:rsidRPr="0082307C">
        <w:rPr>
          <w:rFonts w:ascii="Calibri" w:hAnsi="Calibri" w:cs="Calibri"/>
          <w:sz w:val="24"/>
          <w:szCs w:val="24"/>
        </w:rPr>
        <w:t xml:space="preserve"> and one consolidated record for each individual or family.</w:t>
      </w:r>
    </w:p>
    <w:p w:rsidR="0082307C" w:rsidRPr="0082307C" w:rsidRDefault="0082307C" w:rsidP="0082307C">
      <w:pPr>
        <w:rPr>
          <w:rFonts w:ascii="Calibri" w:hAnsi="Calibri" w:cs="Calibri"/>
          <w:sz w:val="24"/>
          <w:szCs w:val="24"/>
        </w:rPr>
      </w:pPr>
    </w:p>
    <w:p w:rsidR="0082307C" w:rsidRPr="0082307C" w:rsidRDefault="0082307C" w:rsidP="0082307C">
      <w:pPr>
        <w:rPr>
          <w:rFonts w:ascii="Calibri" w:hAnsi="Calibri" w:cs="Calibri"/>
          <w:sz w:val="24"/>
          <w:szCs w:val="24"/>
        </w:rPr>
      </w:pPr>
      <w:r w:rsidRPr="0082307C">
        <w:rPr>
          <w:rFonts w:ascii="Calibri" w:hAnsi="Calibri" w:cs="Calibri"/>
          <w:sz w:val="24"/>
          <w:szCs w:val="24"/>
        </w:rPr>
        <w:t>Services Connect will assist vulnerable children and families by taking a holistic view of their needs, identifying and addressing issues as they emerge and before they reach crisis point, and working with families to develop solutions that are focused on durable outcomes.</w:t>
      </w:r>
      <w:r w:rsidR="00D26B57">
        <w:rPr>
          <w:rFonts w:ascii="Calibri" w:hAnsi="Calibri" w:cs="Calibri"/>
          <w:sz w:val="24"/>
          <w:szCs w:val="24"/>
        </w:rPr>
        <w:t xml:space="preserve"> </w:t>
      </w:r>
    </w:p>
    <w:p w:rsidR="0082307C" w:rsidRPr="0082307C" w:rsidRDefault="0082307C" w:rsidP="0082307C">
      <w:pPr>
        <w:rPr>
          <w:rFonts w:ascii="Calibri" w:hAnsi="Calibri" w:cs="Calibri"/>
          <w:sz w:val="24"/>
          <w:szCs w:val="24"/>
        </w:rPr>
      </w:pPr>
    </w:p>
    <w:p w:rsidR="0082307C" w:rsidRDefault="0082307C" w:rsidP="0082307C">
      <w:pPr>
        <w:rPr>
          <w:rFonts w:ascii="Calibri" w:hAnsi="Calibri" w:cs="Calibri"/>
          <w:sz w:val="24"/>
          <w:szCs w:val="24"/>
        </w:rPr>
      </w:pPr>
      <w:r w:rsidRPr="0082307C">
        <w:rPr>
          <w:rFonts w:ascii="Calibri" w:hAnsi="Calibri" w:cs="Calibri"/>
          <w:sz w:val="24"/>
          <w:szCs w:val="24"/>
        </w:rPr>
        <w:t xml:space="preserve">The model is currently being trialled within </w:t>
      </w:r>
      <w:r w:rsidR="003F7128">
        <w:rPr>
          <w:rFonts w:ascii="Calibri" w:hAnsi="Calibri" w:cs="Calibri"/>
          <w:sz w:val="24"/>
          <w:szCs w:val="24"/>
        </w:rPr>
        <w:t xml:space="preserve">the </w:t>
      </w:r>
      <w:r w:rsidRPr="00230A4F">
        <w:rPr>
          <w:rFonts w:ascii="Calibri" w:hAnsi="Calibri" w:cs="Calibri"/>
          <w:sz w:val="24"/>
          <w:szCs w:val="24"/>
        </w:rPr>
        <w:t>DHS</w:t>
      </w:r>
      <w:r w:rsidRPr="0082307C">
        <w:rPr>
          <w:rFonts w:ascii="Calibri" w:hAnsi="Calibri" w:cs="Calibri"/>
          <w:sz w:val="24"/>
          <w:szCs w:val="24"/>
        </w:rPr>
        <w:t>-delivered services (disability, child protection and housing) in three sites, with plans to e</w:t>
      </w:r>
      <w:r w:rsidR="00704E9E">
        <w:rPr>
          <w:rFonts w:ascii="Calibri" w:hAnsi="Calibri" w:cs="Calibri"/>
          <w:sz w:val="24"/>
          <w:szCs w:val="24"/>
        </w:rPr>
        <w:t>xpand to two more sites in 2013</w:t>
      </w:r>
      <w:r w:rsidR="00E80384">
        <w:rPr>
          <w:rFonts w:ascii="Calibri" w:hAnsi="Calibri" w:cs="Calibri"/>
          <w:sz w:val="24"/>
          <w:szCs w:val="24"/>
        </w:rPr>
        <w:t>–</w:t>
      </w:r>
      <w:r w:rsidRPr="0082307C">
        <w:rPr>
          <w:rFonts w:ascii="Calibri" w:hAnsi="Calibri" w:cs="Calibri"/>
          <w:sz w:val="24"/>
          <w:szCs w:val="24"/>
        </w:rPr>
        <w:t xml:space="preserve">14. Over time, the aim is to expand the model and work with the </w:t>
      </w:r>
      <w:r w:rsidR="00C8305C">
        <w:rPr>
          <w:rFonts w:ascii="Calibri" w:hAnsi="Calibri" w:cs="Calibri"/>
          <w:sz w:val="24"/>
          <w:szCs w:val="24"/>
        </w:rPr>
        <w:t>community</w:t>
      </w:r>
      <w:r w:rsidRPr="0082307C">
        <w:rPr>
          <w:rFonts w:ascii="Calibri" w:hAnsi="Calibri" w:cs="Calibri"/>
          <w:sz w:val="24"/>
          <w:szCs w:val="24"/>
        </w:rPr>
        <w:t xml:space="preserve"> sector to develop genuinely integrated human services in Victoria.</w:t>
      </w:r>
    </w:p>
    <w:p w:rsidR="00BD5D4E" w:rsidRPr="00821556" w:rsidRDefault="00BD5D4E" w:rsidP="00247650">
      <w:pPr>
        <w:pStyle w:val="Heading3"/>
      </w:pPr>
      <w:bookmarkStart w:id="121" w:name="_Toc400007723"/>
      <w:r w:rsidRPr="00821556">
        <w:t>Western Australia</w:t>
      </w:r>
      <w:bookmarkEnd w:id="121"/>
    </w:p>
    <w:p w:rsidR="00CB728E" w:rsidRPr="003C414F" w:rsidRDefault="003C414F" w:rsidP="003C414F">
      <w:pPr>
        <w:pStyle w:val="Heading4"/>
        <w:rPr>
          <w:lang w:val="en-AU"/>
        </w:rPr>
      </w:pPr>
      <w:r>
        <w:t>Sharing Information</w:t>
      </w:r>
    </w:p>
    <w:p w:rsidR="00CB728E" w:rsidRPr="00CA35D6" w:rsidRDefault="0093445F" w:rsidP="00CA35D6">
      <w:pPr>
        <w:rPr>
          <w:rFonts w:ascii="Calibri" w:hAnsi="Calibri"/>
          <w:sz w:val="24"/>
          <w:szCs w:val="24"/>
          <w:lang w:eastAsia="en-AU"/>
        </w:rPr>
      </w:pPr>
      <w:r w:rsidRPr="000767E1">
        <w:rPr>
          <w:rFonts w:ascii="Calibri" w:hAnsi="Calibri"/>
          <w:sz w:val="24"/>
          <w:szCs w:val="24"/>
        </w:rPr>
        <w:t>CPFS</w:t>
      </w:r>
      <w:r w:rsidR="00CB728E" w:rsidRPr="000767E1">
        <w:rPr>
          <w:rFonts w:ascii="Calibri" w:hAnsi="Calibri"/>
          <w:sz w:val="24"/>
          <w:szCs w:val="24"/>
          <w:lang w:eastAsia="en-AU"/>
        </w:rPr>
        <w:t xml:space="preserve"> </w:t>
      </w:r>
      <w:r w:rsidR="00CB728E" w:rsidRPr="00CA35D6">
        <w:rPr>
          <w:rFonts w:ascii="Calibri" w:hAnsi="Calibri"/>
          <w:sz w:val="24"/>
          <w:szCs w:val="24"/>
          <w:lang w:eastAsia="en-AU"/>
        </w:rPr>
        <w:t xml:space="preserve">and WA Police are finalising a Strategic Bilateral </w:t>
      </w:r>
      <w:r w:rsidR="00883B4C">
        <w:rPr>
          <w:rFonts w:ascii="Calibri" w:hAnsi="Calibri"/>
          <w:sz w:val="24"/>
          <w:szCs w:val="24"/>
          <w:lang w:eastAsia="en-AU"/>
        </w:rPr>
        <w:t>MOU</w:t>
      </w:r>
      <w:r w:rsidR="00CB728E" w:rsidRPr="00CA35D6">
        <w:rPr>
          <w:rFonts w:ascii="Calibri" w:hAnsi="Calibri"/>
          <w:sz w:val="24"/>
          <w:szCs w:val="24"/>
          <w:lang w:eastAsia="en-AU"/>
        </w:rPr>
        <w:t xml:space="preserve"> between the two agencies, providing an </w:t>
      </w:r>
      <w:r w:rsidR="00E80384" w:rsidRPr="00CA35D6">
        <w:rPr>
          <w:rFonts w:ascii="Calibri" w:hAnsi="Calibri"/>
          <w:sz w:val="24"/>
          <w:szCs w:val="24"/>
          <w:lang w:eastAsia="en-AU"/>
        </w:rPr>
        <w:t>over</w:t>
      </w:r>
      <w:r w:rsidR="00CB728E" w:rsidRPr="00CA35D6">
        <w:rPr>
          <w:rFonts w:ascii="Calibri" w:hAnsi="Calibri"/>
          <w:sz w:val="24"/>
          <w:szCs w:val="24"/>
          <w:lang w:eastAsia="en-AU"/>
        </w:rPr>
        <w:t xml:space="preserve">arching framework </w:t>
      </w:r>
      <w:r w:rsidR="00E80384" w:rsidRPr="00CA35D6">
        <w:rPr>
          <w:rFonts w:ascii="Calibri" w:hAnsi="Calibri"/>
          <w:sz w:val="24"/>
          <w:szCs w:val="24"/>
          <w:lang w:eastAsia="en-AU"/>
        </w:rPr>
        <w:t xml:space="preserve">to support </w:t>
      </w:r>
      <w:r w:rsidR="00CB728E" w:rsidRPr="00CA35D6">
        <w:rPr>
          <w:rFonts w:ascii="Calibri" w:hAnsi="Calibri"/>
          <w:sz w:val="24"/>
          <w:szCs w:val="24"/>
          <w:lang w:eastAsia="en-AU"/>
        </w:rPr>
        <w:t>their collaborative approach to child protection.</w:t>
      </w:r>
      <w:r w:rsidR="00D26B57" w:rsidRPr="00CA35D6">
        <w:rPr>
          <w:rFonts w:ascii="Calibri" w:hAnsi="Calibri"/>
          <w:sz w:val="24"/>
          <w:szCs w:val="24"/>
          <w:lang w:eastAsia="en-AU"/>
        </w:rPr>
        <w:t xml:space="preserve"> </w:t>
      </w:r>
      <w:r w:rsidR="00CB728E" w:rsidRPr="00CA35D6">
        <w:rPr>
          <w:rFonts w:ascii="Calibri" w:hAnsi="Calibri"/>
          <w:sz w:val="24"/>
          <w:szCs w:val="24"/>
          <w:lang w:eastAsia="en-AU"/>
        </w:rPr>
        <w:t xml:space="preserve">A </w:t>
      </w:r>
      <w:proofErr w:type="gramStart"/>
      <w:r w:rsidR="00CB728E" w:rsidRPr="00CA35D6">
        <w:rPr>
          <w:rFonts w:ascii="Calibri" w:hAnsi="Calibri"/>
          <w:sz w:val="24"/>
          <w:szCs w:val="24"/>
          <w:lang w:eastAsia="en-AU"/>
        </w:rPr>
        <w:t>Schedule,</w:t>
      </w:r>
      <w:proofErr w:type="gramEnd"/>
      <w:r w:rsidR="00CB728E" w:rsidRPr="00CA35D6">
        <w:rPr>
          <w:rFonts w:ascii="Calibri" w:hAnsi="Calibri"/>
          <w:sz w:val="24"/>
          <w:szCs w:val="24"/>
          <w:lang w:eastAsia="en-AU"/>
        </w:rPr>
        <w:t xml:space="preserve"> developed on operational matters between CPFS, WA Police and domestic violence services, will formalise the Family and Domestic Violence Response Team </w:t>
      </w:r>
      <w:r w:rsidR="00D96C3C">
        <w:rPr>
          <w:rFonts w:ascii="Calibri" w:hAnsi="Calibri"/>
          <w:sz w:val="24"/>
          <w:szCs w:val="24"/>
          <w:lang w:eastAsia="en-AU"/>
        </w:rPr>
        <w:t>(</w:t>
      </w:r>
      <w:r w:rsidR="00D96C3C" w:rsidRPr="00CA35D6">
        <w:rPr>
          <w:rFonts w:ascii="Calibri" w:hAnsi="Calibri"/>
          <w:sz w:val="24"/>
          <w:szCs w:val="24"/>
          <w:lang w:eastAsia="en-AU"/>
        </w:rPr>
        <w:t>FDVRT</w:t>
      </w:r>
      <w:r w:rsidR="00D96C3C">
        <w:rPr>
          <w:rFonts w:ascii="Calibri" w:hAnsi="Calibri"/>
          <w:sz w:val="24"/>
          <w:szCs w:val="24"/>
          <w:lang w:eastAsia="en-AU"/>
        </w:rPr>
        <w:t xml:space="preserve">) </w:t>
      </w:r>
      <w:r w:rsidR="00CB728E" w:rsidRPr="00CA35D6">
        <w:rPr>
          <w:rFonts w:ascii="Calibri" w:hAnsi="Calibri"/>
          <w:sz w:val="24"/>
          <w:szCs w:val="24"/>
          <w:lang w:eastAsia="en-AU"/>
        </w:rPr>
        <w:t>partnership</w:t>
      </w:r>
      <w:r w:rsidR="000D2CE2" w:rsidRPr="00CA35D6">
        <w:rPr>
          <w:rFonts w:ascii="Calibri" w:hAnsi="Calibri"/>
          <w:sz w:val="24"/>
          <w:szCs w:val="24"/>
          <w:lang w:eastAsia="en-AU"/>
        </w:rPr>
        <w:t>,</w:t>
      </w:r>
      <w:r w:rsidR="00CB728E" w:rsidRPr="00CA35D6">
        <w:rPr>
          <w:rFonts w:ascii="Calibri" w:hAnsi="Calibri"/>
          <w:sz w:val="24"/>
          <w:szCs w:val="24"/>
          <w:lang w:eastAsia="en-AU"/>
        </w:rPr>
        <w:t xml:space="preserve"> including information sharing arrangements through </w:t>
      </w:r>
      <w:r w:rsidR="00E80384" w:rsidRPr="00CA35D6">
        <w:rPr>
          <w:rFonts w:ascii="Calibri" w:hAnsi="Calibri"/>
          <w:sz w:val="24"/>
          <w:szCs w:val="24"/>
          <w:lang w:eastAsia="en-AU"/>
        </w:rPr>
        <w:t xml:space="preserve">signatories </w:t>
      </w:r>
      <w:r w:rsidR="00CB728E" w:rsidRPr="00CA35D6">
        <w:rPr>
          <w:rFonts w:ascii="Calibri" w:hAnsi="Calibri"/>
          <w:sz w:val="24"/>
          <w:szCs w:val="24"/>
          <w:lang w:eastAsia="en-AU"/>
        </w:rPr>
        <w:t xml:space="preserve">to this </w:t>
      </w:r>
      <w:r w:rsidR="00DA6ECA">
        <w:rPr>
          <w:rFonts w:ascii="Calibri" w:hAnsi="Calibri"/>
          <w:sz w:val="24"/>
          <w:szCs w:val="24"/>
          <w:lang w:eastAsia="en-AU"/>
        </w:rPr>
        <w:t>S</w:t>
      </w:r>
      <w:r w:rsidR="00CB728E" w:rsidRPr="00CA35D6">
        <w:rPr>
          <w:rFonts w:ascii="Calibri" w:hAnsi="Calibri"/>
          <w:sz w:val="24"/>
          <w:szCs w:val="24"/>
          <w:lang w:eastAsia="en-AU"/>
        </w:rPr>
        <w:t>chedule. The Schedule will be an addendum to the Strategic Bilateral MOU between WA Police and CPFS.</w:t>
      </w:r>
    </w:p>
    <w:p w:rsidR="00CB728E" w:rsidRPr="00CA35D6" w:rsidRDefault="00CB728E" w:rsidP="00CA35D6">
      <w:pPr>
        <w:rPr>
          <w:rFonts w:ascii="Calibri" w:hAnsi="Calibri"/>
          <w:sz w:val="24"/>
          <w:szCs w:val="24"/>
          <w:lang w:eastAsia="en-AU"/>
        </w:rPr>
      </w:pPr>
    </w:p>
    <w:p w:rsidR="00CB728E" w:rsidRPr="00CA35D6" w:rsidRDefault="00CB728E" w:rsidP="00CA35D6">
      <w:pPr>
        <w:rPr>
          <w:rFonts w:ascii="Calibri" w:hAnsi="Calibri"/>
          <w:sz w:val="24"/>
          <w:szCs w:val="24"/>
          <w:lang w:eastAsia="en-AU"/>
        </w:rPr>
      </w:pPr>
      <w:r w:rsidRPr="00CA35D6">
        <w:rPr>
          <w:rFonts w:ascii="Calibri" w:hAnsi="Calibri"/>
          <w:sz w:val="24"/>
          <w:szCs w:val="24"/>
          <w:lang w:eastAsia="en-AU"/>
        </w:rPr>
        <w:t xml:space="preserve">The Department of Education and CPFS included information sharing protocols in their </w:t>
      </w:r>
      <w:r w:rsidR="00883B4C">
        <w:rPr>
          <w:rFonts w:ascii="Calibri" w:hAnsi="Calibri"/>
          <w:sz w:val="24"/>
          <w:szCs w:val="24"/>
          <w:lang w:eastAsia="en-AU"/>
        </w:rPr>
        <w:t>MOU</w:t>
      </w:r>
      <w:r w:rsidRPr="00CA35D6">
        <w:rPr>
          <w:rFonts w:ascii="Calibri" w:hAnsi="Calibri"/>
          <w:sz w:val="24"/>
          <w:szCs w:val="24"/>
          <w:lang w:eastAsia="en-AU"/>
        </w:rPr>
        <w:t>.</w:t>
      </w:r>
    </w:p>
    <w:p w:rsidR="00800F96" w:rsidRPr="003C414F" w:rsidRDefault="00B1265D" w:rsidP="003C414F">
      <w:pPr>
        <w:pStyle w:val="Heading4"/>
        <w:rPr>
          <w:lang w:val="en-AU" w:eastAsia="en-AU"/>
        </w:rPr>
      </w:pPr>
      <w:r w:rsidRPr="00CA35D6">
        <w:rPr>
          <w:lang w:eastAsia="en-AU"/>
        </w:rPr>
        <w:t>Joining Up Servic</w:t>
      </w:r>
      <w:r w:rsidR="003C414F">
        <w:rPr>
          <w:lang w:eastAsia="en-AU"/>
        </w:rPr>
        <w:t>e Delivery</w:t>
      </w:r>
    </w:p>
    <w:p w:rsidR="00B1265D" w:rsidRPr="00CA35D6" w:rsidRDefault="00B1265D" w:rsidP="00CA35D6">
      <w:pPr>
        <w:rPr>
          <w:rFonts w:ascii="Calibri" w:hAnsi="Calibri"/>
          <w:sz w:val="24"/>
          <w:szCs w:val="24"/>
          <w:lang w:eastAsia="en-AU"/>
        </w:rPr>
      </w:pPr>
      <w:r w:rsidRPr="00CA35D6">
        <w:rPr>
          <w:rFonts w:ascii="Calibri" w:hAnsi="Calibri"/>
          <w:sz w:val="24"/>
          <w:szCs w:val="24"/>
          <w:lang w:eastAsia="en-AU"/>
        </w:rPr>
        <w:t xml:space="preserve">Key child protection stakeholders developed and piloted a two-day workshop promoting interagency coordinated responses to child abuse incidents in the </w:t>
      </w:r>
      <w:proofErr w:type="spellStart"/>
      <w:r w:rsidRPr="00CA35D6">
        <w:rPr>
          <w:rFonts w:ascii="Calibri" w:hAnsi="Calibri"/>
          <w:sz w:val="24"/>
          <w:szCs w:val="24"/>
          <w:lang w:eastAsia="en-AU"/>
        </w:rPr>
        <w:t>Mid West</w:t>
      </w:r>
      <w:proofErr w:type="spellEnd"/>
      <w:r w:rsidRPr="00CA35D6">
        <w:rPr>
          <w:rFonts w:ascii="Calibri" w:hAnsi="Calibri"/>
          <w:sz w:val="24"/>
          <w:szCs w:val="24"/>
          <w:lang w:eastAsia="en-AU"/>
        </w:rPr>
        <w:t xml:space="preserve"> Gascoyne region.</w:t>
      </w:r>
      <w:r w:rsidR="00A43557">
        <w:rPr>
          <w:rFonts w:ascii="Calibri" w:hAnsi="Calibri"/>
          <w:sz w:val="24"/>
          <w:szCs w:val="24"/>
          <w:lang w:eastAsia="en-AU"/>
        </w:rPr>
        <w:t xml:space="preserve"> </w:t>
      </w:r>
      <w:r w:rsidRPr="00CA35D6">
        <w:rPr>
          <w:rFonts w:ascii="Calibri" w:hAnsi="Calibri"/>
          <w:sz w:val="24"/>
          <w:szCs w:val="24"/>
          <w:lang w:eastAsia="en-AU"/>
        </w:rPr>
        <w:t>The workshop focused on improving interagency collaboration and response standards in a more sustainable way</w:t>
      </w:r>
      <w:r w:rsidR="000D2CE2" w:rsidRPr="00CA35D6">
        <w:rPr>
          <w:rFonts w:ascii="Calibri" w:hAnsi="Calibri"/>
          <w:sz w:val="24"/>
          <w:szCs w:val="24"/>
          <w:lang w:eastAsia="en-AU"/>
        </w:rPr>
        <w:t>,</w:t>
      </w:r>
      <w:r w:rsidRPr="00CA35D6">
        <w:rPr>
          <w:rFonts w:ascii="Calibri" w:hAnsi="Calibri"/>
          <w:sz w:val="24"/>
          <w:szCs w:val="24"/>
          <w:lang w:eastAsia="en-AU"/>
        </w:rPr>
        <w:t xml:space="preserve"> including information sharing, risk management, joint planning and child</w:t>
      </w:r>
      <w:r w:rsidR="00E80384" w:rsidRPr="00CA35D6">
        <w:rPr>
          <w:rFonts w:ascii="Calibri" w:hAnsi="Calibri"/>
          <w:sz w:val="24"/>
          <w:szCs w:val="24"/>
          <w:lang w:eastAsia="en-AU"/>
        </w:rPr>
        <w:t>-</w:t>
      </w:r>
      <w:r w:rsidRPr="00CA35D6">
        <w:rPr>
          <w:rFonts w:ascii="Calibri" w:hAnsi="Calibri"/>
          <w:sz w:val="24"/>
          <w:szCs w:val="24"/>
          <w:lang w:eastAsia="en-AU"/>
        </w:rPr>
        <w:t>centred responses. There are plans to deliver the program in West Kimberley, East Kimberley and the Pilbara later in 2013.</w:t>
      </w:r>
      <w:r w:rsidR="00D26B57" w:rsidRPr="00CA35D6">
        <w:rPr>
          <w:rFonts w:ascii="Calibri" w:hAnsi="Calibri"/>
          <w:sz w:val="24"/>
          <w:szCs w:val="24"/>
          <w:lang w:eastAsia="en-AU"/>
        </w:rPr>
        <w:t xml:space="preserve"> </w:t>
      </w:r>
    </w:p>
    <w:p w:rsidR="00B1265D" w:rsidRPr="00CA35D6" w:rsidRDefault="00B1265D" w:rsidP="00CA35D6">
      <w:pPr>
        <w:rPr>
          <w:rFonts w:ascii="Calibri" w:hAnsi="Calibri"/>
          <w:sz w:val="24"/>
          <w:szCs w:val="24"/>
          <w:lang w:eastAsia="en-AU"/>
        </w:rPr>
      </w:pPr>
    </w:p>
    <w:p w:rsidR="00B1265D" w:rsidRPr="00CA35D6" w:rsidRDefault="000D2CE2" w:rsidP="00CA35D6">
      <w:pPr>
        <w:rPr>
          <w:rFonts w:ascii="Calibri" w:hAnsi="Calibri"/>
          <w:sz w:val="24"/>
          <w:szCs w:val="24"/>
          <w:lang w:eastAsia="en-AU"/>
        </w:rPr>
      </w:pPr>
      <w:r w:rsidRPr="00CA35D6">
        <w:rPr>
          <w:rFonts w:ascii="Calibri" w:hAnsi="Calibri"/>
          <w:sz w:val="24"/>
          <w:szCs w:val="24"/>
          <w:lang w:eastAsia="en-AU"/>
        </w:rPr>
        <w:t>Posters about ‘Sex and the Law’</w:t>
      </w:r>
      <w:r w:rsidR="00B1265D" w:rsidRPr="00CA35D6">
        <w:rPr>
          <w:rFonts w:ascii="Calibri" w:hAnsi="Calibri"/>
          <w:sz w:val="24"/>
          <w:szCs w:val="24"/>
          <w:lang w:eastAsia="en-AU"/>
        </w:rPr>
        <w:t xml:space="preserve"> were produced by a partnership with the Laverton Strong Women’s Group, Operation Deagon, </w:t>
      </w:r>
      <w:proofErr w:type="spellStart"/>
      <w:r w:rsidR="00B1265D" w:rsidRPr="00CA35D6">
        <w:rPr>
          <w:rFonts w:ascii="Calibri" w:hAnsi="Calibri"/>
          <w:sz w:val="24"/>
          <w:szCs w:val="24"/>
          <w:lang w:eastAsia="en-AU"/>
        </w:rPr>
        <w:t>Minara</w:t>
      </w:r>
      <w:proofErr w:type="spellEnd"/>
      <w:r w:rsidR="00B1265D" w:rsidRPr="00CA35D6">
        <w:rPr>
          <w:rFonts w:ascii="Calibri" w:hAnsi="Calibri"/>
          <w:sz w:val="24"/>
          <w:szCs w:val="24"/>
          <w:lang w:eastAsia="en-AU"/>
        </w:rPr>
        <w:t xml:space="preserve"> Resources and the Goldfields Esperance Development Commissi</w:t>
      </w:r>
      <w:r w:rsidRPr="00CA35D6">
        <w:rPr>
          <w:rFonts w:ascii="Calibri" w:hAnsi="Calibri"/>
          <w:sz w:val="24"/>
          <w:szCs w:val="24"/>
          <w:lang w:eastAsia="en-AU"/>
        </w:rPr>
        <w:t>on.</w:t>
      </w:r>
      <w:r w:rsidR="00D26B57" w:rsidRPr="00CA35D6">
        <w:rPr>
          <w:rFonts w:ascii="Calibri" w:hAnsi="Calibri"/>
          <w:sz w:val="24"/>
          <w:szCs w:val="24"/>
          <w:lang w:eastAsia="en-AU"/>
        </w:rPr>
        <w:t xml:space="preserve"> </w:t>
      </w:r>
      <w:r w:rsidRPr="00CA35D6">
        <w:rPr>
          <w:rFonts w:ascii="Calibri" w:hAnsi="Calibri"/>
          <w:sz w:val="24"/>
          <w:szCs w:val="24"/>
          <w:lang w:eastAsia="en-AU"/>
        </w:rPr>
        <w:t>The poster’s key message, ‘</w:t>
      </w:r>
      <w:r w:rsidR="00B1265D" w:rsidRPr="00CA35D6">
        <w:rPr>
          <w:rFonts w:ascii="Calibri" w:hAnsi="Calibri"/>
          <w:sz w:val="24"/>
          <w:szCs w:val="24"/>
          <w:lang w:eastAsia="en-AU"/>
        </w:rPr>
        <w:t>If you have sex with a child under 16</w:t>
      </w:r>
      <w:r w:rsidRPr="00CA35D6">
        <w:rPr>
          <w:rFonts w:ascii="Calibri" w:hAnsi="Calibri"/>
          <w:sz w:val="24"/>
          <w:szCs w:val="24"/>
          <w:lang w:eastAsia="en-AU"/>
        </w:rPr>
        <w:t xml:space="preserve"> years of age you break the law’</w:t>
      </w:r>
      <w:r w:rsidR="00B1265D" w:rsidRPr="00CA35D6">
        <w:rPr>
          <w:rFonts w:ascii="Calibri" w:hAnsi="Calibri"/>
          <w:sz w:val="24"/>
          <w:szCs w:val="24"/>
          <w:lang w:eastAsia="en-AU"/>
        </w:rPr>
        <w:t>, was delivered in both written text and as a recording by a local female Aboriginal elder. The posters were distributed throughout Laverton, Mt Margaret Remote Aboriginal Community, Mulga Queen Remote Aboriginal Community and Cosmo Newberry Remote Aboriginal Community.</w:t>
      </w:r>
      <w:r w:rsidR="00A43557">
        <w:rPr>
          <w:rFonts w:ascii="Calibri" w:hAnsi="Calibri"/>
          <w:sz w:val="24"/>
          <w:szCs w:val="24"/>
          <w:lang w:eastAsia="en-AU"/>
        </w:rPr>
        <w:t xml:space="preserve"> </w:t>
      </w:r>
    </w:p>
    <w:p w:rsidR="00B1265D" w:rsidRPr="00CA35D6" w:rsidRDefault="00B1265D" w:rsidP="00CA35D6">
      <w:pPr>
        <w:rPr>
          <w:rFonts w:ascii="Calibri" w:hAnsi="Calibri"/>
          <w:sz w:val="24"/>
          <w:szCs w:val="24"/>
          <w:lang w:eastAsia="en-AU"/>
        </w:rPr>
      </w:pPr>
    </w:p>
    <w:p w:rsidR="00B1265D" w:rsidRPr="00CA35D6" w:rsidRDefault="00B1265D" w:rsidP="00CA35D6">
      <w:pPr>
        <w:rPr>
          <w:rFonts w:ascii="Calibri" w:hAnsi="Calibri"/>
          <w:sz w:val="24"/>
          <w:szCs w:val="24"/>
          <w:lang w:eastAsia="en-AU"/>
        </w:rPr>
      </w:pPr>
      <w:r w:rsidRPr="00CA35D6">
        <w:rPr>
          <w:rFonts w:ascii="Calibri" w:hAnsi="Calibri"/>
          <w:sz w:val="24"/>
          <w:szCs w:val="24"/>
          <w:lang w:eastAsia="en-AU"/>
        </w:rPr>
        <w:t xml:space="preserve">As part of Operation Reset </w:t>
      </w:r>
      <w:proofErr w:type="spellStart"/>
      <w:r w:rsidRPr="00CA35D6">
        <w:rPr>
          <w:rFonts w:ascii="Calibri" w:hAnsi="Calibri"/>
          <w:sz w:val="24"/>
          <w:szCs w:val="24"/>
          <w:lang w:eastAsia="en-AU"/>
        </w:rPr>
        <w:t>Kalumburu</w:t>
      </w:r>
      <w:proofErr w:type="spellEnd"/>
      <w:r w:rsidRPr="00CA35D6">
        <w:rPr>
          <w:rFonts w:ascii="Calibri" w:hAnsi="Calibri"/>
          <w:sz w:val="24"/>
          <w:szCs w:val="24"/>
          <w:lang w:eastAsia="en-AU"/>
        </w:rPr>
        <w:t>, WA Police are meeting with both the adult and child mental health agencies in the East Kimberley on a monthly basis to discuss current trends within the community and develop initiatives to assist with child safety.</w:t>
      </w:r>
      <w:r w:rsidR="00D26B57" w:rsidRPr="00CA35D6">
        <w:rPr>
          <w:rFonts w:ascii="Calibri" w:hAnsi="Calibri"/>
          <w:sz w:val="24"/>
          <w:szCs w:val="24"/>
          <w:lang w:eastAsia="en-AU"/>
        </w:rPr>
        <w:t xml:space="preserve"> </w:t>
      </w:r>
      <w:r w:rsidRPr="00CA35D6">
        <w:rPr>
          <w:rFonts w:ascii="Calibri" w:hAnsi="Calibri"/>
          <w:sz w:val="24"/>
          <w:szCs w:val="24"/>
          <w:lang w:eastAsia="en-AU"/>
        </w:rPr>
        <w:t>Training opportunities are being developed about child sexual abuse, drug use and suicide intervention.</w:t>
      </w:r>
    </w:p>
    <w:p w:rsidR="00C22C91" w:rsidRPr="00CA35D6" w:rsidRDefault="00C22C91" w:rsidP="00CA35D6">
      <w:pPr>
        <w:rPr>
          <w:rFonts w:ascii="Calibri" w:hAnsi="Calibri"/>
          <w:sz w:val="24"/>
          <w:szCs w:val="24"/>
          <w:lang w:eastAsia="en-AU"/>
        </w:rPr>
      </w:pPr>
    </w:p>
    <w:p w:rsidR="00C22C91" w:rsidRPr="00CA35D6" w:rsidRDefault="00C22C91" w:rsidP="00CA35D6">
      <w:pPr>
        <w:rPr>
          <w:rFonts w:ascii="Calibri" w:hAnsi="Calibri"/>
          <w:sz w:val="24"/>
          <w:szCs w:val="24"/>
          <w:lang w:eastAsia="en-AU"/>
        </w:rPr>
      </w:pPr>
      <w:r w:rsidRPr="00CA35D6">
        <w:rPr>
          <w:rFonts w:ascii="Calibri" w:hAnsi="Calibri"/>
          <w:sz w:val="24"/>
          <w:szCs w:val="24"/>
          <w:lang w:eastAsia="en-AU"/>
        </w:rPr>
        <w:t>CPFS is working closely with the Drug and Alcohol Office and local community drug services to improve collaboration between the child protection and alcohol and other drug sector</w:t>
      </w:r>
      <w:r w:rsidR="000D2CE2" w:rsidRPr="00CA35D6">
        <w:rPr>
          <w:rFonts w:ascii="Calibri" w:hAnsi="Calibri"/>
          <w:sz w:val="24"/>
          <w:szCs w:val="24"/>
          <w:lang w:eastAsia="en-AU"/>
        </w:rPr>
        <w:t>s</w:t>
      </w:r>
      <w:r w:rsidRPr="00CA35D6">
        <w:rPr>
          <w:rFonts w:ascii="Calibri" w:hAnsi="Calibri"/>
          <w:sz w:val="24"/>
          <w:szCs w:val="24"/>
          <w:lang w:eastAsia="en-AU"/>
        </w:rPr>
        <w:t>.</w:t>
      </w:r>
      <w:r w:rsidR="00D26B57" w:rsidRPr="00CA35D6">
        <w:rPr>
          <w:rFonts w:ascii="Calibri" w:hAnsi="Calibri"/>
          <w:sz w:val="24"/>
          <w:szCs w:val="24"/>
          <w:lang w:eastAsia="en-AU"/>
        </w:rPr>
        <w:t xml:space="preserve"> </w:t>
      </w:r>
      <w:r w:rsidRPr="00CA35D6">
        <w:rPr>
          <w:rFonts w:ascii="Calibri" w:hAnsi="Calibri"/>
          <w:sz w:val="24"/>
          <w:szCs w:val="24"/>
          <w:lang w:eastAsia="en-AU"/>
        </w:rPr>
        <w:t xml:space="preserve">This includes the revision of </w:t>
      </w:r>
      <w:proofErr w:type="spellStart"/>
      <w:r w:rsidR="00E80384" w:rsidRPr="00CA35D6">
        <w:rPr>
          <w:rFonts w:ascii="Calibri" w:hAnsi="Calibri"/>
          <w:sz w:val="24"/>
          <w:szCs w:val="24"/>
          <w:lang w:eastAsia="en-AU"/>
        </w:rPr>
        <w:t>out</w:t>
      </w:r>
      <w:r w:rsidRPr="00CA35D6">
        <w:rPr>
          <w:rFonts w:ascii="Calibri" w:hAnsi="Calibri"/>
          <w:sz w:val="24"/>
          <w:szCs w:val="24"/>
          <w:lang w:eastAsia="en-AU"/>
        </w:rPr>
        <w:t>dated</w:t>
      </w:r>
      <w:proofErr w:type="spellEnd"/>
      <w:r w:rsidRPr="00CA35D6">
        <w:rPr>
          <w:rFonts w:ascii="Calibri" w:hAnsi="Calibri"/>
          <w:sz w:val="24"/>
          <w:szCs w:val="24"/>
          <w:lang w:eastAsia="en-AU"/>
        </w:rPr>
        <w:t xml:space="preserve"> </w:t>
      </w:r>
      <w:r w:rsidR="00D96C3C">
        <w:rPr>
          <w:rFonts w:ascii="Calibri" w:hAnsi="Calibri"/>
          <w:sz w:val="24"/>
          <w:szCs w:val="24"/>
          <w:lang w:eastAsia="en-AU"/>
        </w:rPr>
        <w:t>MOUs</w:t>
      </w:r>
      <w:r w:rsidR="000D2CE2" w:rsidRPr="00CA35D6">
        <w:rPr>
          <w:rFonts w:ascii="Calibri" w:hAnsi="Calibri"/>
          <w:sz w:val="24"/>
          <w:szCs w:val="24"/>
          <w:lang w:eastAsia="en-AU"/>
        </w:rPr>
        <w:t>,</w:t>
      </w:r>
      <w:r w:rsidRPr="00CA35D6">
        <w:rPr>
          <w:rFonts w:ascii="Calibri" w:hAnsi="Calibri"/>
          <w:sz w:val="24"/>
          <w:szCs w:val="24"/>
          <w:lang w:eastAsia="en-AU"/>
        </w:rPr>
        <w:t xml:space="preserve"> sharing of learning and development opportunities (including</w:t>
      </w:r>
      <w:r w:rsidR="000D2CE2" w:rsidRPr="00CA35D6">
        <w:rPr>
          <w:rFonts w:ascii="Calibri" w:hAnsi="Calibri"/>
          <w:sz w:val="24"/>
          <w:szCs w:val="24"/>
          <w:lang w:eastAsia="en-AU"/>
        </w:rPr>
        <w:t xml:space="preserve"> about child protection issues)</w:t>
      </w:r>
      <w:r w:rsidRPr="00CA35D6">
        <w:rPr>
          <w:rFonts w:ascii="Calibri" w:hAnsi="Calibri"/>
          <w:sz w:val="24"/>
          <w:szCs w:val="24"/>
          <w:lang w:eastAsia="en-AU"/>
        </w:rPr>
        <w:t xml:space="preserve"> and discussing ideas to promote referrals, better information sharing and joint work with mutual clients.</w:t>
      </w:r>
    </w:p>
    <w:p w:rsidR="00C22C91" w:rsidRPr="00CA35D6" w:rsidRDefault="00C22C91" w:rsidP="00CA35D6">
      <w:pPr>
        <w:rPr>
          <w:rFonts w:ascii="Calibri" w:hAnsi="Calibri"/>
          <w:sz w:val="24"/>
          <w:szCs w:val="24"/>
          <w:lang w:eastAsia="en-AU"/>
        </w:rPr>
      </w:pPr>
    </w:p>
    <w:p w:rsidR="00B1265D" w:rsidRPr="00CA35D6" w:rsidRDefault="00C22C91" w:rsidP="00CA35D6">
      <w:pPr>
        <w:rPr>
          <w:rFonts w:ascii="Calibri" w:hAnsi="Calibri"/>
          <w:sz w:val="24"/>
          <w:szCs w:val="24"/>
          <w:lang w:eastAsia="en-AU"/>
        </w:rPr>
      </w:pPr>
      <w:r w:rsidRPr="00CA35D6">
        <w:rPr>
          <w:rFonts w:ascii="Calibri" w:hAnsi="Calibri"/>
          <w:sz w:val="24"/>
          <w:szCs w:val="24"/>
          <w:lang w:eastAsia="en-AU"/>
        </w:rPr>
        <w:t xml:space="preserve">CPFS is developing guidelines for multi-agency case management to support </w:t>
      </w:r>
      <w:r w:rsidR="0053702F" w:rsidRPr="00CA35D6">
        <w:rPr>
          <w:rFonts w:ascii="Calibri" w:hAnsi="Calibri"/>
          <w:sz w:val="24"/>
          <w:szCs w:val="24"/>
          <w:lang w:eastAsia="en-AU"/>
        </w:rPr>
        <w:t>inter</w:t>
      </w:r>
      <w:r w:rsidRPr="00CA35D6">
        <w:rPr>
          <w:rFonts w:ascii="Calibri" w:hAnsi="Calibri"/>
          <w:sz w:val="24"/>
          <w:szCs w:val="24"/>
          <w:lang w:eastAsia="en-AU"/>
        </w:rPr>
        <w:t>agency responses to high-risk cases of family and domestic violence.</w:t>
      </w:r>
      <w:r w:rsidR="000D2CE2" w:rsidRPr="00CA35D6">
        <w:rPr>
          <w:rFonts w:ascii="Calibri" w:hAnsi="Calibri"/>
          <w:sz w:val="24"/>
          <w:szCs w:val="24"/>
          <w:lang w:eastAsia="en-AU"/>
        </w:rPr>
        <w:t xml:space="preserve"> </w:t>
      </w:r>
      <w:r w:rsidRPr="00CA35D6">
        <w:rPr>
          <w:rFonts w:ascii="Calibri" w:hAnsi="Calibri"/>
          <w:sz w:val="24"/>
          <w:szCs w:val="24"/>
          <w:lang w:eastAsia="en-AU"/>
        </w:rPr>
        <w:t xml:space="preserve">The </w:t>
      </w:r>
      <w:r w:rsidR="000D2CE2" w:rsidRPr="00CA35D6">
        <w:rPr>
          <w:rFonts w:ascii="Calibri" w:hAnsi="Calibri"/>
          <w:sz w:val="24"/>
          <w:szCs w:val="24"/>
          <w:lang w:eastAsia="en-AU"/>
        </w:rPr>
        <w:t xml:space="preserve">outcomes of the </w:t>
      </w:r>
      <w:r w:rsidRPr="00CA35D6">
        <w:rPr>
          <w:rFonts w:ascii="Calibri" w:hAnsi="Calibri"/>
          <w:sz w:val="24"/>
          <w:szCs w:val="24"/>
          <w:lang w:eastAsia="en-AU"/>
        </w:rPr>
        <w:t>firs</w:t>
      </w:r>
      <w:r w:rsidR="000D2CE2" w:rsidRPr="00CA35D6">
        <w:rPr>
          <w:rFonts w:ascii="Calibri" w:hAnsi="Calibri"/>
          <w:sz w:val="24"/>
          <w:szCs w:val="24"/>
          <w:lang w:eastAsia="en-AU"/>
        </w:rPr>
        <w:t>t six</w:t>
      </w:r>
      <w:r w:rsidR="0053702F" w:rsidRPr="00CA35D6">
        <w:rPr>
          <w:rFonts w:ascii="Calibri" w:hAnsi="Calibri"/>
          <w:sz w:val="24"/>
          <w:szCs w:val="24"/>
          <w:lang w:eastAsia="en-AU"/>
        </w:rPr>
        <w:t>-</w:t>
      </w:r>
      <w:r w:rsidR="000D2CE2" w:rsidRPr="00CA35D6">
        <w:rPr>
          <w:rFonts w:ascii="Calibri" w:hAnsi="Calibri"/>
          <w:sz w:val="24"/>
          <w:szCs w:val="24"/>
          <w:lang w:eastAsia="en-AU"/>
        </w:rPr>
        <w:t>monthly evaluations</w:t>
      </w:r>
      <w:r w:rsidRPr="00CA35D6">
        <w:rPr>
          <w:rFonts w:ascii="Calibri" w:hAnsi="Calibri"/>
          <w:sz w:val="24"/>
          <w:szCs w:val="24"/>
          <w:lang w:eastAsia="en-AU"/>
        </w:rPr>
        <w:t>, reporting on the operations of the FDVRT</w:t>
      </w:r>
      <w:r w:rsidR="00D96C3C">
        <w:rPr>
          <w:rFonts w:ascii="Calibri" w:hAnsi="Calibri"/>
          <w:sz w:val="24"/>
          <w:szCs w:val="24"/>
          <w:lang w:eastAsia="en-AU"/>
        </w:rPr>
        <w:t>s</w:t>
      </w:r>
      <w:r w:rsidRPr="00CA35D6">
        <w:rPr>
          <w:rFonts w:ascii="Calibri" w:hAnsi="Calibri"/>
          <w:sz w:val="24"/>
          <w:szCs w:val="24"/>
          <w:lang w:eastAsia="en-AU"/>
        </w:rPr>
        <w:t>, are due for release from September 2013.</w:t>
      </w:r>
      <w:r w:rsidR="00D26B57" w:rsidRPr="00CA35D6">
        <w:rPr>
          <w:rFonts w:ascii="Calibri" w:hAnsi="Calibri"/>
          <w:sz w:val="24"/>
          <w:szCs w:val="24"/>
          <w:lang w:eastAsia="en-AU"/>
        </w:rPr>
        <w:t xml:space="preserve"> </w:t>
      </w:r>
      <w:r w:rsidRPr="00CA35D6">
        <w:rPr>
          <w:rFonts w:ascii="Calibri" w:hAnsi="Calibri"/>
          <w:sz w:val="24"/>
          <w:szCs w:val="24"/>
          <w:lang w:eastAsia="en-AU"/>
        </w:rPr>
        <w:t>The FDVRTs provide an enhanced response to family and domestic violence through the inclusion of specialist services from dedicated community sector organisation</w:t>
      </w:r>
      <w:r w:rsidR="000D2CE2" w:rsidRPr="00CA35D6">
        <w:rPr>
          <w:rFonts w:ascii="Calibri" w:hAnsi="Calibri"/>
          <w:sz w:val="24"/>
          <w:szCs w:val="24"/>
          <w:lang w:eastAsia="en-AU"/>
        </w:rPr>
        <w:t xml:space="preserve">s. </w:t>
      </w:r>
    </w:p>
    <w:p w:rsidR="00C22C91" w:rsidRPr="00CA35D6" w:rsidRDefault="00C22C91" w:rsidP="00CA35D6">
      <w:pPr>
        <w:rPr>
          <w:rFonts w:ascii="Calibri" w:hAnsi="Calibri"/>
          <w:sz w:val="24"/>
          <w:szCs w:val="24"/>
          <w:lang w:eastAsia="en-AU"/>
        </w:rPr>
      </w:pPr>
    </w:p>
    <w:p w:rsidR="00C84A17" w:rsidRDefault="00C22C91" w:rsidP="00C84A17">
      <w:pPr>
        <w:rPr>
          <w:rFonts w:ascii="Calibri" w:hAnsi="Calibri"/>
          <w:sz w:val="24"/>
          <w:szCs w:val="24"/>
          <w:lang w:eastAsia="en-AU"/>
        </w:rPr>
      </w:pPr>
      <w:r w:rsidRPr="00CA35D6">
        <w:rPr>
          <w:rFonts w:ascii="Calibri" w:hAnsi="Calibri"/>
          <w:sz w:val="24"/>
          <w:szCs w:val="24"/>
          <w:lang w:eastAsia="en-AU"/>
        </w:rPr>
        <w:t xml:space="preserve">CPFS contributed to the </w:t>
      </w:r>
      <w:r w:rsidR="00345C45">
        <w:rPr>
          <w:rFonts w:ascii="Calibri" w:hAnsi="Calibri"/>
          <w:sz w:val="24"/>
          <w:szCs w:val="24"/>
          <w:lang w:eastAsia="en-AU"/>
        </w:rPr>
        <w:t>DSS</w:t>
      </w:r>
      <w:r w:rsidRPr="00CA35D6">
        <w:rPr>
          <w:rFonts w:ascii="Calibri" w:hAnsi="Calibri"/>
          <w:sz w:val="24"/>
          <w:szCs w:val="24"/>
          <w:lang w:eastAsia="en-AU"/>
        </w:rPr>
        <w:t xml:space="preserve"> evaluation of the CP</w:t>
      </w:r>
      <w:r w:rsidR="0075698E" w:rsidRPr="00CA35D6">
        <w:rPr>
          <w:rFonts w:ascii="Calibri" w:hAnsi="Calibri"/>
          <w:sz w:val="24"/>
          <w:szCs w:val="24"/>
          <w:lang w:eastAsia="en-AU"/>
        </w:rPr>
        <w:t>M</w:t>
      </w:r>
      <w:r w:rsidRPr="00CA35D6">
        <w:rPr>
          <w:rFonts w:ascii="Calibri" w:hAnsi="Calibri"/>
          <w:sz w:val="24"/>
          <w:szCs w:val="24"/>
          <w:lang w:eastAsia="en-AU"/>
        </w:rPr>
        <w:t>IM in Western Australia, providing data and client files.</w:t>
      </w:r>
      <w:r w:rsidR="00D26B57" w:rsidRPr="00CA35D6">
        <w:rPr>
          <w:rFonts w:ascii="Calibri" w:hAnsi="Calibri"/>
          <w:sz w:val="24"/>
          <w:szCs w:val="24"/>
          <w:lang w:eastAsia="en-AU"/>
        </w:rPr>
        <w:t xml:space="preserve"> </w:t>
      </w:r>
      <w:r w:rsidRPr="00CA35D6">
        <w:rPr>
          <w:rFonts w:ascii="Calibri" w:hAnsi="Calibri"/>
          <w:sz w:val="24"/>
          <w:szCs w:val="24"/>
          <w:lang w:eastAsia="en-AU"/>
        </w:rPr>
        <w:t>The evaluation also undertook interviews with a range of clients who had agreed to provide feedback, CPFS staff in CP</w:t>
      </w:r>
      <w:r w:rsidR="0075698E" w:rsidRPr="00CA35D6">
        <w:rPr>
          <w:rFonts w:ascii="Calibri" w:hAnsi="Calibri"/>
          <w:sz w:val="24"/>
          <w:szCs w:val="24"/>
          <w:lang w:eastAsia="en-AU"/>
        </w:rPr>
        <w:t>M</w:t>
      </w:r>
      <w:r w:rsidRPr="00CA35D6">
        <w:rPr>
          <w:rFonts w:ascii="Calibri" w:hAnsi="Calibri"/>
          <w:sz w:val="24"/>
          <w:szCs w:val="24"/>
          <w:lang w:eastAsia="en-AU"/>
        </w:rPr>
        <w:t xml:space="preserve">IM sites, staff from </w:t>
      </w:r>
      <w:r w:rsidR="001C4241">
        <w:rPr>
          <w:rFonts w:ascii="Calibri" w:hAnsi="Calibri"/>
          <w:sz w:val="24"/>
          <w:szCs w:val="24"/>
          <w:lang w:eastAsia="en-AU"/>
        </w:rPr>
        <w:t>DHS</w:t>
      </w:r>
      <w:r w:rsidRPr="00CA35D6">
        <w:rPr>
          <w:rFonts w:ascii="Calibri" w:hAnsi="Calibri"/>
          <w:sz w:val="24"/>
          <w:szCs w:val="24"/>
          <w:lang w:eastAsia="en-AU"/>
        </w:rPr>
        <w:t xml:space="preserve"> and money management services. Child Protection Income Management and Voluntary Income Management have been implemented in a gradual </w:t>
      </w:r>
      <w:r w:rsidR="0053702F" w:rsidRPr="00CA35D6">
        <w:rPr>
          <w:rFonts w:ascii="Calibri" w:hAnsi="Calibri"/>
          <w:sz w:val="24"/>
          <w:szCs w:val="24"/>
          <w:lang w:eastAsia="en-AU"/>
        </w:rPr>
        <w:t>roll</w:t>
      </w:r>
      <w:r w:rsidRPr="00CA35D6">
        <w:rPr>
          <w:rFonts w:ascii="Calibri" w:hAnsi="Calibri"/>
          <w:sz w:val="24"/>
          <w:szCs w:val="24"/>
          <w:lang w:eastAsia="en-AU"/>
        </w:rPr>
        <w:t>out to the metropolitan area, Peel and the Kimberley region.</w:t>
      </w:r>
      <w:r w:rsidR="00A43557">
        <w:rPr>
          <w:rFonts w:ascii="Calibri" w:hAnsi="Calibri"/>
          <w:sz w:val="24"/>
          <w:szCs w:val="24"/>
          <w:lang w:eastAsia="en-AU"/>
        </w:rPr>
        <w:t xml:space="preserve"> </w:t>
      </w:r>
      <w:r w:rsidRPr="00CA35D6">
        <w:rPr>
          <w:rFonts w:ascii="Calibri" w:hAnsi="Calibri"/>
          <w:sz w:val="24"/>
          <w:szCs w:val="24"/>
          <w:lang w:eastAsia="en-AU"/>
        </w:rPr>
        <w:t xml:space="preserve">In April 2013, the two </w:t>
      </w:r>
      <w:r w:rsidR="000D2CE2" w:rsidRPr="00CA35D6">
        <w:rPr>
          <w:rFonts w:ascii="Calibri" w:hAnsi="Calibri"/>
          <w:sz w:val="24"/>
          <w:szCs w:val="24"/>
          <w:lang w:eastAsia="en-AU"/>
        </w:rPr>
        <w:t xml:space="preserve">Child Protection </w:t>
      </w:r>
      <w:r w:rsidRPr="00CA35D6">
        <w:rPr>
          <w:rFonts w:ascii="Calibri" w:hAnsi="Calibri"/>
          <w:sz w:val="24"/>
          <w:szCs w:val="24"/>
          <w:lang w:eastAsia="en-AU"/>
        </w:rPr>
        <w:t>measures</w:t>
      </w:r>
      <w:r w:rsidR="000D2CE2" w:rsidRPr="00CA35D6">
        <w:rPr>
          <w:rFonts w:ascii="Calibri" w:hAnsi="Calibri"/>
          <w:sz w:val="24"/>
          <w:szCs w:val="24"/>
          <w:lang w:eastAsia="en-AU"/>
        </w:rPr>
        <w:t xml:space="preserve"> and the </w:t>
      </w:r>
      <w:proofErr w:type="gramStart"/>
      <w:r w:rsidR="000D2CE2" w:rsidRPr="00CA35D6">
        <w:rPr>
          <w:rFonts w:ascii="Calibri" w:hAnsi="Calibri"/>
          <w:sz w:val="24"/>
          <w:szCs w:val="24"/>
          <w:lang w:eastAsia="en-AU"/>
        </w:rPr>
        <w:t>Vulnerable</w:t>
      </w:r>
      <w:proofErr w:type="gramEnd"/>
      <w:r w:rsidR="000D2CE2" w:rsidRPr="00CA35D6">
        <w:rPr>
          <w:rFonts w:ascii="Calibri" w:hAnsi="Calibri"/>
          <w:sz w:val="24"/>
          <w:szCs w:val="24"/>
          <w:lang w:eastAsia="en-AU"/>
        </w:rPr>
        <w:t xml:space="preserve"> measure were</w:t>
      </w:r>
      <w:r w:rsidRPr="00CA35D6">
        <w:rPr>
          <w:rFonts w:ascii="Calibri" w:hAnsi="Calibri"/>
          <w:sz w:val="24"/>
          <w:szCs w:val="24"/>
          <w:lang w:eastAsia="en-AU"/>
        </w:rPr>
        <w:t xml:space="preserve"> introduced into the remote region of Laverton Shire and the </w:t>
      </w:r>
      <w:proofErr w:type="spellStart"/>
      <w:r w:rsidRPr="00CA35D6">
        <w:rPr>
          <w:rFonts w:ascii="Calibri" w:hAnsi="Calibri"/>
          <w:sz w:val="24"/>
          <w:szCs w:val="24"/>
          <w:lang w:eastAsia="en-AU"/>
        </w:rPr>
        <w:t>Ngaanyatjarra</w:t>
      </w:r>
      <w:proofErr w:type="spellEnd"/>
      <w:r w:rsidRPr="00CA35D6">
        <w:rPr>
          <w:rFonts w:ascii="Calibri" w:hAnsi="Calibri"/>
          <w:sz w:val="24"/>
          <w:szCs w:val="24"/>
          <w:lang w:eastAsia="en-AU"/>
        </w:rPr>
        <w:t xml:space="preserve"> Lands. It is expected that the </w:t>
      </w:r>
      <w:r w:rsidR="000D2CE2" w:rsidRPr="00CA35D6">
        <w:rPr>
          <w:rFonts w:ascii="Calibri" w:hAnsi="Calibri"/>
          <w:sz w:val="24"/>
          <w:szCs w:val="24"/>
          <w:lang w:eastAsia="en-AU"/>
        </w:rPr>
        <w:t xml:space="preserve">evaluation </w:t>
      </w:r>
      <w:r w:rsidRPr="00CA35D6">
        <w:rPr>
          <w:rFonts w:ascii="Calibri" w:hAnsi="Calibri"/>
          <w:sz w:val="24"/>
          <w:szCs w:val="24"/>
          <w:lang w:eastAsia="en-AU"/>
        </w:rPr>
        <w:t>report will be released in 2013.</w:t>
      </w:r>
    </w:p>
    <w:p w:rsidR="000C3B31" w:rsidRDefault="000C3B31" w:rsidP="00C84A17">
      <w:pPr>
        <w:rPr>
          <w:rFonts w:ascii="Calibri" w:hAnsi="Calibri"/>
          <w:sz w:val="24"/>
          <w:szCs w:val="24"/>
          <w:lang w:eastAsia="en-AU"/>
        </w:rPr>
      </w:pPr>
    </w:p>
    <w:p w:rsidR="000C3B31" w:rsidRDefault="000C3B31" w:rsidP="00C84A17">
      <w:pPr>
        <w:rPr>
          <w:rFonts w:ascii="Calibri" w:hAnsi="Calibri"/>
          <w:sz w:val="24"/>
          <w:szCs w:val="24"/>
          <w:lang w:eastAsia="en-AU"/>
        </w:rPr>
      </w:pPr>
      <w:r w:rsidRPr="000C3B31">
        <w:rPr>
          <w:rFonts w:ascii="Calibri" w:hAnsi="Calibri"/>
          <w:sz w:val="24"/>
          <w:szCs w:val="24"/>
          <w:lang w:eastAsia="en-AU"/>
        </w:rPr>
        <w:t xml:space="preserve">The Department of Education has undertaken a review of its </w:t>
      </w:r>
      <w:r w:rsidR="003F130D" w:rsidRPr="000C3B31">
        <w:rPr>
          <w:rFonts w:ascii="Calibri" w:hAnsi="Calibri"/>
          <w:sz w:val="24"/>
          <w:szCs w:val="24"/>
          <w:lang w:eastAsia="en-AU"/>
        </w:rPr>
        <w:t>existing</w:t>
      </w:r>
      <w:r w:rsidRPr="000C3B31">
        <w:rPr>
          <w:rFonts w:ascii="Calibri" w:hAnsi="Calibri"/>
          <w:sz w:val="24"/>
          <w:szCs w:val="24"/>
          <w:lang w:eastAsia="en-AU"/>
        </w:rPr>
        <w:t xml:space="preserve"> child abuse prevention curriculum and is developing behaviour training resources and delivery options for teachers.</w:t>
      </w:r>
    </w:p>
    <w:p w:rsidR="00C84A17" w:rsidRDefault="000D2CE2" w:rsidP="003C414F">
      <w:pPr>
        <w:pStyle w:val="Heading4"/>
        <w:rPr>
          <w:lang w:eastAsia="en-AU"/>
        </w:rPr>
      </w:pPr>
      <w:r w:rsidRPr="000D2CE2">
        <w:rPr>
          <w:lang w:eastAsia="en-AU"/>
        </w:rPr>
        <w:t>Other Supporting Actions</w:t>
      </w:r>
    </w:p>
    <w:p w:rsidR="00B1265D" w:rsidRPr="00B1265D" w:rsidRDefault="00B1265D" w:rsidP="00C84A17">
      <w:pPr>
        <w:rPr>
          <w:rFonts w:ascii="Calibri" w:hAnsi="Calibri" w:cs="Calibri"/>
          <w:bCs/>
          <w:sz w:val="24"/>
          <w:szCs w:val="24"/>
          <w:lang w:eastAsia="en-AU"/>
        </w:rPr>
      </w:pPr>
      <w:r w:rsidRPr="00B1265D">
        <w:rPr>
          <w:rFonts w:ascii="Calibri" w:hAnsi="Calibri" w:cs="Calibri"/>
          <w:bCs/>
          <w:sz w:val="24"/>
          <w:szCs w:val="24"/>
          <w:lang w:eastAsia="en-AU"/>
        </w:rPr>
        <w:t>People applying for a</w:t>
      </w:r>
      <w:r w:rsidR="00463933">
        <w:rPr>
          <w:rFonts w:ascii="Calibri" w:hAnsi="Calibri" w:cs="Calibri"/>
          <w:bCs/>
          <w:sz w:val="24"/>
          <w:szCs w:val="24"/>
          <w:lang w:eastAsia="en-AU"/>
        </w:rPr>
        <w:t xml:space="preserve"> grant from the</w:t>
      </w:r>
      <w:r w:rsidRPr="00B1265D">
        <w:rPr>
          <w:rFonts w:ascii="Calibri" w:hAnsi="Calibri" w:cs="Calibri"/>
          <w:bCs/>
          <w:sz w:val="24"/>
          <w:szCs w:val="24"/>
          <w:lang w:eastAsia="en-AU"/>
        </w:rPr>
        <w:t xml:space="preserve"> Hardship Utilities Grant Scheme (HUGS)</w:t>
      </w:r>
      <w:r w:rsidR="000D2CE2">
        <w:rPr>
          <w:rFonts w:ascii="Calibri" w:hAnsi="Calibri" w:cs="Calibri"/>
          <w:bCs/>
          <w:sz w:val="24"/>
          <w:szCs w:val="24"/>
          <w:lang w:eastAsia="en-AU"/>
        </w:rPr>
        <w:t>,</w:t>
      </w:r>
      <w:r w:rsidRPr="00B1265D">
        <w:rPr>
          <w:rFonts w:ascii="Calibri" w:hAnsi="Calibri" w:cs="Calibri"/>
          <w:bCs/>
          <w:sz w:val="24"/>
          <w:szCs w:val="24"/>
          <w:lang w:eastAsia="en-AU"/>
        </w:rPr>
        <w:t xml:space="preserve"> to pay for their utility accounts and maintain connection to essential services</w:t>
      </w:r>
      <w:r w:rsidR="000D2CE2">
        <w:rPr>
          <w:rFonts w:ascii="Calibri" w:hAnsi="Calibri" w:cs="Calibri"/>
          <w:bCs/>
          <w:sz w:val="24"/>
          <w:szCs w:val="24"/>
          <w:lang w:eastAsia="en-AU"/>
        </w:rPr>
        <w:t>,</w:t>
      </w:r>
      <w:r w:rsidRPr="00B1265D">
        <w:rPr>
          <w:rFonts w:ascii="Calibri" w:hAnsi="Calibri" w:cs="Calibri"/>
          <w:bCs/>
          <w:sz w:val="24"/>
          <w:szCs w:val="24"/>
          <w:lang w:eastAsia="en-AU"/>
        </w:rPr>
        <w:t xml:space="preserve"> can now apply directl</w:t>
      </w:r>
      <w:r w:rsidR="000D2CE2">
        <w:rPr>
          <w:rFonts w:ascii="Calibri" w:hAnsi="Calibri" w:cs="Calibri"/>
          <w:bCs/>
          <w:sz w:val="24"/>
          <w:szCs w:val="24"/>
          <w:lang w:eastAsia="en-AU"/>
        </w:rPr>
        <w:t>y to most utilities,</w:t>
      </w:r>
      <w:r w:rsidRPr="00B1265D">
        <w:rPr>
          <w:rFonts w:ascii="Calibri" w:hAnsi="Calibri" w:cs="Calibri"/>
          <w:bCs/>
          <w:sz w:val="24"/>
          <w:szCs w:val="24"/>
          <w:lang w:eastAsia="en-AU"/>
        </w:rPr>
        <w:t xml:space="preserve"> as an alternative to meeting with a financial counsellor.</w:t>
      </w:r>
      <w:r w:rsidR="00D26B57">
        <w:rPr>
          <w:rFonts w:ascii="Calibri" w:hAnsi="Calibri" w:cs="Calibri"/>
          <w:bCs/>
          <w:sz w:val="24"/>
          <w:szCs w:val="24"/>
          <w:lang w:eastAsia="en-AU"/>
        </w:rPr>
        <w:t xml:space="preserve"> </w:t>
      </w:r>
      <w:r w:rsidRPr="00B1265D">
        <w:rPr>
          <w:rFonts w:ascii="Calibri" w:hAnsi="Calibri" w:cs="Calibri"/>
          <w:bCs/>
          <w:sz w:val="24"/>
          <w:szCs w:val="24"/>
          <w:lang w:eastAsia="en-AU"/>
        </w:rPr>
        <w:t xml:space="preserve">This Second Entry Point has relieved demand on financial counselling services and was implemented after a successful 12-month trial. </w:t>
      </w:r>
    </w:p>
    <w:p w:rsidR="00B1265D" w:rsidRPr="00247650" w:rsidRDefault="00B1265D" w:rsidP="00247650">
      <w:pPr>
        <w:rPr>
          <w:rFonts w:asciiTheme="minorHAnsi" w:hAnsiTheme="minorHAnsi"/>
          <w:sz w:val="24"/>
        </w:rPr>
      </w:pPr>
    </w:p>
    <w:p w:rsidR="00B1265D" w:rsidRPr="0073305F" w:rsidRDefault="00B1265D" w:rsidP="0073305F">
      <w:pPr>
        <w:rPr>
          <w:rFonts w:asciiTheme="minorHAnsi" w:hAnsiTheme="minorHAnsi"/>
          <w:sz w:val="24"/>
        </w:rPr>
      </w:pPr>
      <w:r w:rsidRPr="0073305F">
        <w:rPr>
          <w:rFonts w:asciiTheme="minorHAnsi" w:hAnsiTheme="minorHAnsi"/>
          <w:sz w:val="24"/>
        </w:rPr>
        <w:t>The My Way project is available in four regions across Western Australia: Cockburn/Kwinana, the Hills, Lower South-West and Goldfields</w:t>
      </w:r>
      <w:r w:rsidR="000D2CE2" w:rsidRPr="0073305F">
        <w:rPr>
          <w:rFonts w:asciiTheme="minorHAnsi" w:hAnsiTheme="minorHAnsi"/>
          <w:sz w:val="24"/>
        </w:rPr>
        <w:t>. This project provides</w:t>
      </w:r>
      <w:r w:rsidRPr="0073305F">
        <w:rPr>
          <w:rFonts w:asciiTheme="minorHAnsi" w:hAnsiTheme="minorHAnsi"/>
          <w:sz w:val="24"/>
        </w:rPr>
        <w:t xml:space="preserve"> a more self-directed approach to accessing disability services from both </w:t>
      </w:r>
      <w:r w:rsidR="00D96C3C" w:rsidRPr="0073305F">
        <w:rPr>
          <w:rFonts w:asciiTheme="minorHAnsi" w:hAnsiTheme="minorHAnsi"/>
          <w:sz w:val="24"/>
        </w:rPr>
        <w:t>g</w:t>
      </w:r>
      <w:r w:rsidRPr="0073305F">
        <w:rPr>
          <w:rFonts w:asciiTheme="minorHAnsi" w:hAnsiTheme="minorHAnsi"/>
          <w:sz w:val="24"/>
        </w:rPr>
        <w:t xml:space="preserve">overnment and </w:t>
      </w:r>
      <w:r w:rsidR="00C8305C" w:rsidRPr="0073305F">
        <w:rPr>
          <w:rFonts w:asciiTheme="minorHAnsi" w:hAnsiTheme="minorHAnsi"/>
          <w:sz w:val="24"/>
        </w:rPr>
        <w:t>community sector</w:t>
      </w:r>
      <w:r w:rsidRPr="0073305F">
        <w:rPr>
          <w:rFonts w:asciiTheme="minorHAnsi" w:hAnsiTheme="minorHAnsi"/>
          <w:sz w:val="24"/>
        </w:rPr>
        <w:t xml:space="preserve"> agencies.</w:t>
      </w:r>
    </w:p>
    <w:p w:rsidR="00B1265D" w:rsidRPr="00247650" w:rsidRDefault="00B1265D" w:rsidP="00247650">
      <w:pPr>
        <w:rPr>
          <w:rFonts w:asciiTheme="minorHAnsi" w:hAnsiTheme="minorHAnsi"/>
          <w:sz w:val="24"/>
        </w:rPr>
      </w:pPr>
    </w:p>
    <w:p w:rsidR="0056419E" w:rsidRPr="0066418D" w:rsidRDefault="0056419E" w:rsidP="00AE7DB5">
      <w:pPr>
        <w:pBdr>
          <w:top w:val="single" w:sz="12" w:space="1" w:color="006600"/>
          <w:left w:val="single" w:sz="12" w:space="4" w:color="006600"/>
          <w:bottom w:val="single" w:sz="12" w:space="1" w:color="006600"/>
          <w:right w:val="single" w:sz="12" w:space="4" w:color="006600"/>
        </w:pBdr>
        <w:shd w:val="clear" w:color="auto" w:fill="D1FFD1"/>
        <w:spacing w:after="120"/>
        <w:rPr>
          <w:rFonts w:ascii="Calibri" w:hAnsi="Calibri"/>
          <w:b/>
          <w:sz w:val="24"/>
        </w:rPr>
      </w:pPr>
      <w:r w:rsidRPr="00AE7DB5">
        <w:rPr>
          <w:rFonts w:ascii="Calibri" w:hAnsi="Calibri"/>
          <w:b/>
          <w:color w:val="006600"/>
          <w:sz w:val="24"/>
        </w:rPr>
        <w:t xml:space="preserve">Staying </w:t>
      </w:r>
      <w:r w:rsidR="007477FC">
        <w:rPr>
          <w:rFonts w:ascii="Calibri" w:hAnsi="Calibri"/>
          <w:b/>
          <w:color w:val="006600"/>
          <w:sz w:val="24"/>
        </w:rPr>
        <w:t>c</w:t>
      </w:r>
      <w:r w:rsidRPr="00AE7DB5">
        <w:rPr>
          <w:rFonts w:ascii="Calibri" w:hAnsi="Calibri"/>
          <w:b/>
          <w:color w:val="006600"/>
          <w:sz w:val="24"/>
        </w:rPr>
        <w:t xml:space="preserve">onnected with </w:t>
      </w:r>
      <w:r w:rsidR="007477FC">
        <w:rPr>
          <w:rFonts w:ascii="Calibri" w:hAnsi="Calibri"/>
          <w:b/>
          <w:color w:val="006600"/>
          <w:sz w:val="24"/>
        </w:rPr>
        <w:t>f</w:t>
      </w:r>
      <w:r w:rsidRPr="00AE7DB5">
        <w:rPr>
          <w:rFonts w:ascii="Calibri" w:hAnsi="Calibri"/>
          <w:b/>
          <w:color w:val="006600"/>
          <w:sz w:val="24"/>
        </w:rPr>
        <w:t>amily</w:t>
      </w:r>
    </w:p>
    <w:p w:rsidR="0056419E" w:rsidRDefault="0056419E" w:rsidP="0056419E">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rPr>
      </w:pPr>
      <w:r w:rsidRPr="0066418D">
        <w:rPr>
          <w:rFonts w:ascii="Calibri" w:hAnsi="Calibri"/>
          <w:sz w:val="24"/>
        </w:rPr>
        <w:t>Sophie is a single mum whose 7</w:t>
      </w:r>
      <w:r>
        <w:rPr>
          <w:rFonts w:ascii="Calibri" w:hAnsi="Calibri"/>
          <w:sz w:val="24"/>
        </w:rPr>
        <w:t>-</w:t>
      </w:r>
      <w:r w:rsidRPr="0066418D">
        <w:rPr>
          <w:rFonts w:ascii="Calibri" w:hAnsi="Calibri"/>
          <w:sz w:val="24"/>
        </w:rPr>
        <w:t>year</w:t>
      </w:r>
      <w:r>
        <w:rPr>
          <w:rFonts w:ascii="Calibri" w:hAnsi="Calibri"/>
          <w:sz w:val="24"/>
        </w:rPr>
        <w:t>-</w:t>
      </w:r>
      <w:r w:rsidRPr="0066418D">
        <w:rPr>
          <w:rFonts w:ascii="Calibri" w:hAnsi="Calibri"/>
          <w:sz w:val="24"/>
        </w:rPr>
        <w:t xml:space="preserve">old daughter, Mandy </w:t>
      </w:r>
      <w:r>
        <w:rPr>
          <w:rFonts w:ascii="Calibri" w:hAnsi="Calibri"/>
          <w:sz w:val="24"/>
        </w:rPr>
        <w:t xml:space="preserve">(names changed) </w:t>
      </w:r>
      <w:r w:rsidRPr="0066418D">
        <w:rPr>
          <w:rFonts w:ascii="Calibri" w:hAnsi="Calibri"/>
          <w:sz w:val="24"/>
        </w:rPr>
        <w:t xml:space="preserve">had been in foster care on a </w:t>
      </w:r>
      <w:r>
        <w:rPr>
          <w:rFonts w:ascii="Calibri" w:hAnsi="Calibri"/>
          <w:sz w:val="24"/>
        </w:rPr>
        <w:t>two-y</w:t>
      </w:r>
      <w:r w:rsidRPr="0066418D">
        <w:rPr>
          <w:rFonts w:ascii="Calibri" w:hAnsi="Calibri"/>
          <w:sz w:val="24"/>
        </w:rPr>
        <w:t xml:space="preserve">ear Care </w:t>
      </w:r>
      <w:r>
        <w:rPr>
          <w:rFonts w:ascii="Calibri" w:hAnsi="Calibri"/>
          <w:sz w:val="24"/>
        </w:rPr>
        <w:t>and</w:t>
      </w:r>
      <w:r w:rsidRPr="0066418D">
        <w:rPr>
          <w:rFonts w:ascii="Calibri" w:hAnsi="Calibri"/>
          <w:sz w:val="24"/>
        </w:rPr>
        <w:t xml:space="preserve"> Protection Order. </w:t>
      </w:r>
      <w:r>
        <w:rPr>
          <w:rFonts w:ascii="Calibri" w:hAnsi="Calibri"/>
          <w:sz w:val="24"/>
        </w:rPr>
        <w:t xml:space="preserve">She had </w:t>
      </w:r>
      <w:r w:rsidRPr="0066418D">
        <w:rPr>
          <w:rFonts w:ascii="Calibri" w:hAnsi="Calibri"/>
          <w:sz w:val="24"/>
        </w:rPr>
        <w:t xml:space="preserve">entered care </w:t>
      </w:r>
      <w:r>
        <w:rPr>
          <w:rFonts w:ascii="Calibri" w:hAnsi="Calibri"/>
          <w:sz w:val="24"/>
        </w:rPr>
        <w:t>because of</w:t>
      </w:r>
      <w:r w:rsidRPr="0066418D">
        <w:rPr>
          <w:rFonts w:ascii="Calibri" w:hAnsi="Calibri"/>
          <w:sz w:val="24"/>
        </w:rPr>
        <w:t xml:space="preserve"> Sophie’s use of illegal drugs and </w:t>
      </w:r>
      <w:r>
        <w:rPr>
          <w:rFonts w:ascii="Calibri" w:hAnsi="Calibri"/>
          <w:sz w:val="24"/>
        </w:rPr>
        <w:t xml:space="preserve">their </w:t>
      </w:r>
      <w:r w:rsidRPr="0066418D">
        <w:rPr>
          <w:rFonts w:ascii="Calibri" w:hAnsi="Calibri"/>
          <w:sz w:val="24"/>
        </w:rPr>
        <w:t xml:space="preserve">homelessness. </w:t>
      </w:r>
      <w:r>
        <w:rPr>
          <w:rFonts w:ascii="Calibri" w:hAnsi="Calibri"/>
          <w:sz w:val="24"/>
        </w:rPr>
        <w:t xml:space="preserve">During those two years, </w:t>
      </w:r>
      <w:r w:rsidRPr="0066418D">
        <w:rPr>
          <w:rFonts w:ascii="Calibri" w:hAnsi="Calibri"/>
          <w:sz w:val="24"/>
        </w:rPr>
        <w:t>Sophie’s life had changed</w:t>
      </w:r>
      <w:r>
        <w:rPr>
          <w:rFonts w:ascii="Calibri" w:hAnsi="Calibri"/>
          <w:sz w:val="24"/>
        </w:rPr>
        <w:t>; she</w:t>
      </w:r>
      <w:r w:rsidRPr="0066418D">
        <w:rPr>
          <w:rFonts w:ascii="Calibri" w:hAnsi="Calibri"/>
          <w:sz w:val="24"/>
        </w:rPr>
        <w:t xml:space="preserve"> </w:t>
      </w:r>
      <w:r>
        <w:rPr>
          <w:rFonts w:ascii="Calibri" w:hAnsi="Calibri"/>
          <w:sz w:val="24"/>
        </w:rPr>
        <w:t xml:space="preserve">had </w:t>
      </w:r>
      <w:r w:rsidRPr="0066418D">
        <w:rPr>
          <w:rFonts w:ascii="Calibri" w:hAnsi="Calibri"/>
          <w:sz w:val="24"/>
        </w:rPr>
        <w:t>now held a steady</w:t>
      </w:r>
      <w:r>
        <w:rPr>
          <w:rFonts w:ascii="Calibri" w:hAnsi="Calibri"/>
          <w:sz w:val="24"/>
        </w:rPr>
        <w:t>,</w:t>
      </w:r>
      <w:r w:rsidRPr="0066418D">
        <w:rPr>
          <w:rFonts w:ascii="Calibri" w:hAnsi="Calibri"/>
          <w:sz w:val="24"/>
        </w:rPr>
        <w:t xml:space="preserve"> full</w:t>
      </w:r>
      <w:r>
        <w:rPr>
          <w:rFonts w:ascii="Calibri" w:hAnsi="Calibri"/>
          <w:sz w:val="24"/>
        </w:rPr>
        <w:t>-</w:t>
      </w:r>
      <w:r w:rsidRPr="0066418D">
        <w:rPr>
          <w:rFonts w:ascii="Calibri" w:hAnsi="Calibri"/>
          <w:sz w:val="24"/>
        </w:rPr>
        <w:t>time job for 15 months</w:t>
      </w:r>
      <w:r w:rsidR="00814E41">
        <w:rPr>
          <w:rFonts w:ascii="Calibri" w:hAnsi="Calibri"/>
          <w:sz w:val="24"/>
        </w:rPr>
        <w:t xml:space="preserve"> and</w:t>
      </w:r>
      <w:r w:rsidRPr="0066418D">
        <w:rPr>
          <w:rFonts w:ascii="Calibri" w:hAnsi="Calibri"/>
          <w:sz w:val="24"/>
        </w:rPr>
        <w:t xml:space="preserve"> had stable housing.</w:t>
      </w:r>
      <w:r>
        <w:rPr>
          <w:rFonts w:ascii="Calibri" w:hAnsi="Calibri"/>
          <w:sz w:val="24"/>
        </w:rPr>
        <w:t xml:space="preserve"> When the </w:t>
      </w:r>
      <w:r w:rsidR="00923274">
        <w:rPr>
          <w:rFonts w:ascii="Calibri" w:hAnsi="Calibri"/>
          <w:sz w:val="24"/>
        </w:rPr>
        <w:t>d</w:t>
      </w:r>
      <w:r>
        <w:rPr>
          <w:rFonts w:ascii="Calibri" w:hAnsi="Calibri"/>
          <w:sz w:val="24"/>
        </w:rPr>
        <w:t xml:space="preserve">epartment sought an 18-year </w:t>
      </w:r>
      <w:r w:rsidRPr="0066418D">
        <w:rPr>
          <w:rFonts w:ascii="Calibri" w:hAnsi="Calibri"/>
          <w:sz w:val="24"/>
        </w:rPr>
        <w:t>Court Order</w:t>
      </w:r>
      <w:r>
        <w:rPr>
          <w:rFonts w:ascii="Calibri" w:hAnsi="Calibri"/>
          <w:sz w:val="24"/>
        </w:rPr>
        <w:t>,</w:t>
      </w:r>
      <w:r w:rsidRPr="0066418D">
        <w:rPr>
          <w:rFonts w:ascii="Calibri" w:hAnsi="Calibri"/>
          <w:sz w:val="24"/>
        </w:rPr>
        <w:t xml:space="preserve"> Sophie </w:t>
      </w:r>
      <w:r>
        <w:rPr>
          <w:rFonts w:ascii="Calibri" w:hAnsi="Calibri"/>
          <w:sz w:val="24"/>
        </w:rPr>
        <w:t xml:space="preserve">contacted the Family </w:t>
      </w:r>
      <w:r w:rsidR="00BD0286">
        <w:rPr>
          <w:rFonts w:ascii="Calibri" w:hAnsi="Calibri"/>
          <w:sz w:val="24"/>
        </w:rPr>
        <w:t>I</w:t>
      </w:r>
      <w:r>
        <w:rPr>
          <w:rFonts w:ascii="Calibri" w:hAnsi="Calibri"/>
          <w:sz w:val="24"/>
        </w:rPr>
        <w:t>nclusion Network (FIN) seeking support and advocacy.</w:t>
      </w:r>
      <w:r w:rsidRPr="0066418D">
        <w:rPr>
          <w:rFonts w:ascii="Calibri" w:hAnsi="Calibri"/>
          <w:sz w:val="24"/>
        </w:rPr>
        <w:t xml:space="preserve"> </w:t>
      </w:r>
      <w:r>
        <w:rPr>
          <w:rFonts w:ascii="Calibri" w:hAnsi="Calibri"/>
          <w:sz w:val="24"/>
        </w:rPr>
        <w:t>T</w:t>
      </w:r>
      <w:r w:rsidRPr="0066418D">
        <w:rPr>
          <w:rFonts w:ascii="Calibri" w:hAnsi="Calibri"/>
          <w:sz w:val="24"/>
        </w:rPr>
        <w:t xml:space="preserve">he only contact she </w:t>
      </w:r>
      <w:r>
        <w:rPr>
          <w:rFonts w:ascii="Calibri" w:hAnsi="Calibri"/>
          <w:sz w:val="24"/>
        </w:rPr>
        <w:t xml:space="preserve">normally </w:t>
      </w:r>
      <w:r w:rsidRPr="0066418D">
        <w:rPr>
          <w:rFonts w:ascii="Calibri" w:hAnsi="Calibri"/>
          <w:sz w:val="24"/>
        </w:rPr>
        <w:t xml:space="preserve">had with the </w:t>
      </w:r>
      <w:r w:rsidR="00923274">
        <w:rPr>
          <w:rFonts w:ascii="Calibri" w:hAnsi="Calibri"/>
          <w:sz w:val="24"/>
        </w:rPr>
        <w:t>d</w:t>
      </w:r>
      <w:r w:rsidRPr="0066418D">
        <w:rPr>
          <w:rFonts w:ascii="Calibri" w:hAnsi="Calibri"/>
          <w:sz w:val="24"/>
        </w:rPr>
        <w:t>epartment was to verify her fortnightly contact</w:t>
      </w:r>
      <w:r>
        <w:rPr>
          <w:rFonts w:ascii="Calibri" w:hAnsi="Calibri"/>
          <w:sz w:val="24"/>
        </w:rPr>
        <w:t xml:space="preserve"> with Mandy</w:t>
      </w:r>
      <w:r w:rsidRPr="0066418D">
        <w:rPr>
          <w:rFonts w:ascii="Calibri" w:hAnsi="Calibri"/>
          <w:sz w:val="24"/>
        </w:rPr>
        <w:t>.</w:t>
      </w:r>
      <w:r w:rsidR="00A43557">
        <w:rPr>
          <w:rFonts w:ascii="Calibri" w:hAnsi="Calibri"/>
          <w:sz w:val="24"/>
        </w:rPr>
        <w:t xml:space="preserve"> </w:t>
      </w:r>
      <w:r w:rsidRPr="0066418D">
        <w:rPr>
          <w:rFonts w:ascii="Calibri" w:hAnsi="Calibri"/>
          <w:sz w:val="24"/>
        </w:rPr>
        <w:t>Sophie had also just received confirmation that she was pregnant.</w:t>
      </w:r>
    </w:p>
    <w:p w:rsidR="0056419E" w:rsidRPr="0066418D" w:rsidRDefault="0056419E" w:rsidP="0056419E">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rPr>
      </w:pPr>
    </w:p>
    <w:p w:rsidR="0056419E" w:rsidRDefault="0056419E" w:rsidP="0056419E">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rPr>
      </w:pPr>
      <w:r w:rsidRPr="0066418D">
        <w:rPr>
          <w:rFonts w:ascii="Calibri" w:hAnsi="Calibri"/>
          <w:sz w:val="24"/>
        </w:rPr>
        <w:t>At Sophie’s request</w:t>
      </w:r>
      <w:r>
        <w:rPr>
          <w:rFonts w:ascii="Calibri" w:hAnsi="Calibri"/>
          <w:sz w:val="24"/>
        </w:rPr>
        <w:t>, FIN</w:t>
      </w:r>
      <w:r w:rsidRPr="0066418D">
        <w:rPr>
          <w:rFonts w:ascii="Calibri" w:hAnsi="Calibri"/>
          <w:sz w:val="24"/>
        </w:rPr>
        <w:t xml:space="preserve"> approached her </w:t>
      </w:r>
      <w:r w:rsidR="00923274" w:rsidRPr="0066418D">
        <w:rPr>
          <w:rFonts w:ascii="Calibri" w:hAnsi="Calibri"/>
          <w:sz w:val="24"/>
        </w:rPr>
        <w:t>case manager</w:t>
      </w:r>
      <w:r w:rsidRPr="0066418D">
        <w:rPr>
          <w:rFonts w:ascii="Calibri" w:hAnsi="Calibri"/>
          <w:sz w:val="24"/>
        </w:rPr>
        <w:t xml:space="preserve"> to gather more information.</w:t>
      </w:r>
      <w:r w:rsidR="00A43557">
        <w:rPr>
          <w:rFonts w:ascii="Calibri" w:hAnsi="Calibri"/>
          <w:sz w:val="24"/>
        </w:rPr>
        <w:t xml:space="preserve"> </w:t>
      </w:r>
      <w:r w:rsidRPr="0066418D">
        <w:rPr>
          <w:rFonts w:ascii="Calibri" w:hAnsi="Calibri"/>
          <w:sz w:val="24"/>
        </w:rPr>
        <w:t>From all accounts</w:t>
      </w:r>
      <w:r>
        <w:rPr>
          <w:rFonts w:ascii="Calibri" w:hAnsi="Calibri"/>
          <w:sz w:val="24"/>
        </w:rPr>
        <w:t>,</w:t>
      </w:r>
      <w:r w:rsidRPr="0066418D">
        <w:rPr>
          <w:rFonts w:ascii="Calibri" w:hAnsi="Calibri"/>
          <w:sz w:val="24"/>
        </w:rPr>
        <w:t xml:space="preserve"> contact between Sophie and Mandy was positive</w:t>
      </w:r>
      <w:r>
        <w:rPr>
          <w:rFonts w:ascii="Calibri" w:hAnsi="Calibri"/>
          <w:sz w:val="24"/>
        </w:rPr>
        <w:t>,</w:t>
      </w:r>
      <w:r w:rsidRPr="0066418D">
        <w:rPr>
          <w:rFonts w:ascii="Calibri" w:hAnsi="Calibri"/>
          <w:sz w:val="24"/>
        </w:rPr>
        <w:t xml:space="preserve"> and Mandy enjoyed seeing </w:t>
      </w:r>
      <w:r>
        <w:rPr>
          <w:rFonts w:ascii="Calibri" w:hAnsi="Calibri"/>
          <w:sz w:val="24"/>
        </w:rPr>
        <w:t xml:space="preserve">her </w:t>
      </w:r>
      <w:r w:rsidRPr="0066418D">
        <w:rPr>
          <w:rFonts w:ascii="Calibri" w:hAnsi="Calibri"/>
          <w:sz w:val="24"/>
        </w:rPr>
        <w:t xml:space="preserve">mum; </w:t>
      </w:r>
      <w:r>
        <w:rPr>
          <w:rFonts w:ascii="Calibri" w:hAnsi="Calibri"/>
          <w:sz w:val="24"/>
        </w:rPr>
        <w:t>this seemed to be a positive sign that contact could be progressed further, with a view towards possible reunification.</w:t>
      </w:r>
    </w:p>
    <w:p w:rsidR="0056419E" w:rsidRDefault="0056419E" w:rsidP="0056419E">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rPr>
      </w:pPr>
    </w:p>
    <w:p w:rsidR="0056419E" w:rsidRDefault="0056419E" w:rsidP="0056419E">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rPr>
      </w:pPr>
      <w:r w:rsidRPr="0066418D">
        <w:rPr>
          <w:rFonts w:ascii="Calibri" w:hAnsi="Calibri"/>
          <w:sz w:val="24"/>
        </w:rPr>
        <w:t xml:space="preserve">The </w:t>
      </w:r>
      <w:r w:rsidR="00923274">
        <w:rPr>
          <w:rFonts w:ascii="Calibri" w:hAnsi="Calibri"/>
          <w:sz w:val="24"/>
        </w:rPr>
        <w:t>d</w:t>
      </w:r>
      <w:r w:rsidRPr="0066418D">
        <w:rPr>
          <w:rFonts w:ascii="Calibri" w:hAnsi="Calibri"/>
          <w:sz w:val="24"/>
        </w:rPr>
        <w:t>epartment</w:t>
      </w:r>
      <w:r>
        <w:rPr>
          <w:rFonts w:ascii="Calibri" w:hAnsi="Calibri"/>
          <w:sz w:val="24"/>
        </w:rPr>
        <w:t xml:space="preserve"> noted that Sophie had not been </w:t>
      </w:r>
      <w:r w:rsidRPr="0066418D">
        <w:rPr>
          <w:rFonts w:ascii="Calibri" w:hAnsi="Calibri"/>
          <w:sz w:val="24"/>
        </w:rPr>
        <w:t xml:space="preserve">proactive in </w:t>
      </w:r>
      <w:r>
        <w:rPr>
          <w:rFonts w:ascii="Calibri" w:hAnsi="Calibri"/>
          <w:sz w:val="24"/>
        </w:rPr>
        <w:t>seeking any changes</w:t>
      </w:r>
      <w:r w:rsidRPr="0066418D">
        <w:rPr>
          <w:rFonts w:ascii="Calibri" w:hAnsi="Calibri"/>
          <w:sz w:val="24"/>
        </w:rPr>
        <w:t>; she did not communicate with the department except to confirm contact.</w:t>
      </w:r>
      <w:r w:rsidR="00A43557">
        <w:rPr>
          <w:rFonts w:ascii="Calibri" w:hAnsi="Calibri"/>
          <w:sz w:val="24"/>
        </w:rPr>
        <w:t xml:space="preserve"> </w:t>
      </w:r>
      <w:r>
        <w:rPr>
          <w:rFonts w:ascii="Calibri" w:hAnsi="Calibri"/>
          <w:sz w:val="24"/>
        </w:rPr>
        <w:t xml:space="preserve">FIN noted that </w:t>
      </w:r>
      <w:r w:rsidRPr="0066418D">
        <w:rPr>
          <w:rFonts w:ascii="Calibri" w:hAnsi="Calibri"/>
          <w:sz w:val="24"/>
        </w:rPr>
        <w:t>Sophie had been through rehabilitation and maintained a drug</w:t>
      </w:r>
      <w:r w:rsidR="00814E41">
        <w:rPr>
          <w:rFonts w:ascii="Calibri" w:hAnsi="Calibri"/>
          <w:sz w:val="24"/>
        </w:rPr>
        <w:t>-</w:t>
      </w:r>
      <w:r w:rsidRPr="0066418D">
        <w:rPr>
          <w:rFonts w:ascii="Calibri" w:hAnsi="Calibri"/>
          <w:sz w:val="24"/>
        </w:rPr>
        <w:t>free life, had gained stable employment and housing</w:t>
      </w:r>
      <w:r>
        <w:rPr>
          <w:rFonts w:ascii="Calibri" w:hAnsi="Calibri"/>
          <w:sz w:val="24"/>
        </w:rPr>
        <w:t xml:space="preserve"> and so showed signs of being proactive in improving her own situation.</w:t>
      </w:r>
    </w:p>
    <w:p w:rsidR="00814E41" w:rsidRDefault="00814E41" w:rsidP="0056419E">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rPr>
      </w:pPr>
    </w:p>
    <w:p w:rsidR="0056419E" w:rsidRDefault="0056419E" w:rsidP="0056419E">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rPr>
      </w:pPr>
      <w:r w:rsidRPr="0066418D">
        <w:rPr>
          <w:rFonts w:ascii="Calibri" w:hAnsi="Calibri"/>
          <w:sz w:val="24"/>
        </w:rPr>
        <w:t xml:space="preserve">As Mandy had a significant attachment to the foster carers, the </w:t>
      </w:r>
      <w:r w:rsidR="00923274">
        <w:rPr>
          <w:rFonts w:ascii="Calibri" w:hAnsi="Calibri"/>
          <w:sz w:val="24"/>
        </w:rPr>
        <w:t>d</w:t>
      </w:r>
      <w:r w:rsidRPr="0066418D">
        <w:rPr>
          <w:rFonts w:ascii="Calibri" w:hAnsi="Calibri"/>
          <w:sz w:val="24"/>
        </w:rPr>
        <w:t xml:space="preserve">epartment </w:t>
      </w:r>
      <w:r>
        <w:rPr>
          <w:rFonts w:ascii="Calibri" w:hAnsi="Calibri"/>
          <w:sz w:val="24"/>
        </w:rPr>
        <w:t>decided that the best option for Mandy was</w:t>
      </w:r>
      <w:r w:rsidRPr="0066418D">
        <w:rPr>
          <w:rFonts w:ascii="Calibri" w:hAnsi="Calibri"/>
          <w:sz w:val="24"/>
        </w:rPr>
        <w:t xml:space="preserve"> still </w:t>
      </w:r>
      <w:r>
        <w:rPr>
          <w:rFonts w:ascii="Calibri" w:hAnsi="Calibri"/>
          <w:sz w:val="24"/>
        </w:rPr>
        <w:t>an 18-year placement</w:t>
      </w:r>
      <w:r w:rsidRPr="0066418D">
        <w:rPr>
          <w:rFonts w:ascii="Calibri" w:hAnsi="Calibri"/>
          <w:sz w:val="24"/>
        </w:rPr>
        <w:t>. Sophie was understandably upset and despondent.</w:t>
      </w:r>
      <w:r w:rsidR="00A43557">
        <w:rPr>
          <w:rFonts w:ascii="Calibri" w:hAnsi="Calibri"/>
          <w:sz w:val="24"/>
        </w:rPr>
        <w:t xml:space="preserve"> </w:t>
      </w:r>
      <w:r w:rsidRPr="0066418D">
        <w:rPr>
          <w:rFonts w:ascii="Calibri" w:hAnsi="Calibri"/>
          <w:sz w:val="24"/>
        </w:rPr>
        <w:t xml:space="preserve">It was at this time </w:t>
      </w:r>
      <w:r>
        <w:rPr>
          <w:rFonts w:ascii="Calibri" w:hAnsi="Calibri"/>
          <w:sz w:val="24"/>
        </w:rPr>
        <w:t xml:space="preserve">that </w:t>
      </w:r>
      <w:r w:rsidRPr="0066418D">
        <w:rPr>
          <w:rFonts w:ascii="Calibri" w:hAnsi="Calibri"/>
          <w:sz w:val="24"/>
        </w:rPr>
        <w:t>her pregnancy became known to the department.</w:t>
      </w:r>
      <w:r w:rsidR="00A43557">
        <w:rPr>
          <w:rFonts w:ascii="Calibri" w:hAnsi="Calibri"/>
          <w:sz w:val="24"/>
        </w:rPr>
        <w:t xml:space="preserve"> </w:t>
      </w:r>
      <w:r w:rsidRPr="0066418D">
        <w:rPr>
          <w:rFonts w:ascii="Calibri" w:hAnsi="Calibri"/>
          <w:sz w:val="24"/>
        </w:rPr>
        <w:t>This was a challenging time</w:t>
      </w:r>
      <w:r>
        <w:rPr>
          <w:rFonts w:ascii="Calibri" w:hAnsi="Calibri"/>
          <w:sz w:val="24"/>
        </w:rPr>
        <w:t xml:space="preserve"> for Sophie,</w:t>
      </w:r>
      <w:r w:rsidRPr="0066418D">
        <w:rPr>
          <w:rFonts w:ascii="Calibri" w:hAnsi="Calibri"/>
          <w:sz w:val="24"/>
        </w:rPr>
        <w:t xml:space="preserve"> a</w:t>
      </w:r>
      <w:r>
        <w:rPr>
          <w:rFonts w:ascii="Calibri" w:hAnsi="Calibri"/>
          <w:sz w:val="24"/>
        </w:rPr>
        <w:t>nd</w:t>
      </w:r>
      <w:r w:rsidRPr="0066418D">
        <w:rPr>
          <w:rFonts w:ascii="Calibri" w:hAnsi="Calibri"/>
          <w:sz w:val="24"/>
        </w:rPr>
        <w:t xml:space="preserve"> her </w:t>
      </w:r>
      <w:r>
        <w:rPr>
          <w:rFonts w:ascii="Calibri" w:hAnsi="Calibri"/>
          <w:sz w:val="24"/>
        </w:rPr>
        <w:t>FIN</w:t>
      </w:r>
      <w:r w:rsidRPr="0066418D">
        <w:rPr>
          <w:rFonts w:ascii="Calibri" w:hAnsi="Calibri"/>
          <w:sz w:val="24"/>
        </w:rPr>
        <w:t xml:space="preserve"> worker tried to keep </w:t>
      </w:r>
      <w:r>
        <w:rPr>
          <w:rFonts w:ascii="Calibri" w:hAnsi="Calibri"/>
          <w:sz w:val="24"/>
        </w:rPr>
        <w:t>her</w:t>
      </w:r>
      <w:r w:rsidRPr="0066418D">
        <w:rPr>
          <w:rFonts w:ascii="Calibri" w:hAnsi="Calibri"/>
          <w:sz w:val="24"/>
        </w:rPr>
        <w:t xml:space="preserve"> connected and engaged</w:t>
      </w:r>
      <w:r>
        <w:rPr>
          <w:rFonts w:ascii="Calibri" w:hAnsi="Calibri"/>
          <w:sz w:val="24"/>
        </w:rPr>
        <w:t>, focusing</w:t>
      </w:r>
      <w:r w:rsidRPr="0066418D">
        <w:rPr>
          <w:rFonts w:ascii="Calibri" w:hAnsi="Calibri"/>
          <w:sz w:val="24"/>
        </w:rPr>
        <w:t xml:space="preserve"> on the future of the baby</w:t>
      </w:r>
      <w:r>
        <w:rPr>
          <w:rFonts w:ascii="Calibri" w:hAnsi="Calibri"/>
          <w:sz w:val="24"/>
        </w:rPr>
        <w:t xml:space="preserve"> while continuing to advocate for her with the </w:t>
      </w:r>
      <w:r w:rsidR="00923274">
        <w:rPr>
          <w:rFonts w:ascii="Calibri" w:hAnsi="Calibri"/>
          <w:sz w:val="24"/>
        </w:rPr>
        <w:t>d</w:t>
      </w:r>
      <w:r>
        <w:rPr>
          <w:rFonts w:ascii="Calibri" w:hAnsi="Calibri"/>
          <w:sz w:val="24"/>
        </w:rPr>
        <w:t>epartment</w:t>
      </w:r>
      <w:r w:rsidRPr="0066418D">
        <w:rPr>
          <w:rFonts w:ascii="Calibri" w:hAnsi="Calibri"/>
          <w:sz w:val="24"/>
        </w:rPr>
        <w:t xml:space="preserve">. </w:t>
      </w:r>
      <w:r>
        <w:rPr>
          <w:rFonts w:ascii="Calibri" w:hAnsi="Calibri"/>
          <w:sz w:val="24"/>
        </w:rPr>
        <w:t>A series of meetings led to improved and constructive discussions.</w:t>
      </w:r>
      <w:r w:rsidRPr="0066418D">
        <w:rPr>
          <w:rFonts w:ascii="Calibri" w:hAnsi="Calibri"/>
          <w:sz w:val="24"/>
        </w:rPr>
        <w:t xml:space="preserve"> </w:t>
      </w:r>
    </w:p>
    <w:p w:rsidR="0056419E" w:rsidRDefault="0056419E" w:rsidP="0056419E">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rPr>
      </w:pPr>
    </w:p>
    <w:p w:rsidR="0056419E" w:rsidRDefault="0056419E" w:rsidP="0056419E">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rPr>
      </w:pPr>
      <w:r w:rsidRPr="0066418D">
        <w:rPr>
          <w:rFonts w:ascii="Calibri" w:hAnsi="Calibri"/>
          <w:sz w:val="24"/>
        </w:rPr>
        <w:t>Sophie began counselling and joined a local community centre.</w:t>
      </w:r>
      <w:r>
        <w:rPr>
          <w:rFonts w:ascii="Calibri" w:hAnsi="Calibri"/>
          <w:sz w:val="24"/>
        </w:rPr>
        <w:t xml:space="preserve"> </w:t>
      </w:r>
      <w:r w:rsidRPr="0066418D">
        <w:rPr>
          <w:rFonts w:ascii="Calibri" w:hAnsi="Calibri"/>
          <w:sz w:val="24"/>
        </w:rPr>
        <w:t xml:space="preserve">Due to the significant life changes that </w:t>
      </w:r>
      <w:r>
        <w:rPr>
          <w:rFonts w:ascii="Calibri" w:hAnsi="Calibri"/>
          <w:sz w:val="24"/>
        </w:rPr>
        <w:t>she</w:t>
      </w:r>
      <w:r w:rsidRPr="0066418D">
        <w:rPr>
          <w:rFonts w:ascii="Calibri" w:hAnsi="Calibri"/>
          <w:sz w:val="24"/>
        </w:rPr>
        <w:t xml:space="preserve"> had made, the potential risk for </w:t>
      </w:r>
      <w:r>
        <w:rPr>
          <w:rFonts w:ascii="Calibri" w:hAnsi="Calibri"/>
          <w:sz w:val="24"/>
        </w:rPr>
        <w:t xml:space="preserve">the new </w:t>
      </w:r>
      <w:r w:rsidRPr="0066418D">
        <w:rPr>
          <w:rFonts w:ascii="Calibri" w:hAnsi="Calibri"/>
          <w:sz w:val="24"/>
        </w:rPr>
        <w:t>baby was low</w:t>
      </w:r>
      <w:r>
        <w:rPr>
          <w:rFonts w:ascii="Calibri" w:hAnsi="Calibri"/>
          <w:sz w:val="24"/>
        </w:rPr>
        <w:t xml:space="preserve">, but concerns remained about </w:t>
      </w:r>
      <w:r w:rsidRPr="0066418D">
        <w:rPr>
          <w:rFonts w:ascii="Calibri" w:hAnsi="Calibri"/>
          <w:sz w:val="24"/>
        </w:rPr>
        <w:t xml:space="preserve">Sophie’s distress at </w:t>
      </w:r>
      <w:r>
        <w:rPr>
          <w:rFonts w:ascii="Calibri" w:hAnsi="Calibri"/>
          <w:sz w:val="24"/>
        </w:rPr>
        <w:t xml:space="preserve">potentially </w:t>
      </w:r>
      <w:r w:rsidRPr="0066418D">
        <w:rPr>
          <w:rFonts w:ascii="Calibri" w:hAnsi="Calibri"/>
          <w:sz w:val="24"/>
        </w:rPr>
        <w:t>losing Mandy to long</w:t>
      </w:r>
      <w:r>
        <w:rPr>
          <w:rFonts w:ascii="Calibri" w:hAnsi="Calibri"/>
          <w:sz w:val="24"/>
        </w:rPr>
        <w:t>-</w:t>
      </w:r>
      <w:r w:rsidRPr="0066418D">
        <w:rPr>
          <w:rFonts w:ascii="Calibri" w:hAnsi="Calibri"/>
          <w:sz w:val="24"/>
        </w:rPr>
        <w:t xml:space="preserve">term care and </w:t>
      </w:r>
      <w:r>
        <w:rPr>
          <w:rFonts w:ascii="Calibri" w:hAnsi="Calibri"/>
          <w:sz w:val="24"/>
        </w:rPr>
        <w:t>the</w:t>
      </w:r>
      <w:r w:rsidRPr="0066418D">
        <w:rPr>
          <w:rFonts w:ascii="Calibri" w:hAnsi="Calibri"/>
          <w:sz w:val="24"/>
        </w:rPr>
        <w:t xml:space="preserve"> impact on </w:t>
      </w:r>
      <w:r>
        <w:rPr>
          <w:rFonts w:ascii="Calibri" w:hAnsi="Calibri"/>
          <w:sz w:val="24"/>
        </w:rPr>
        <w:t>Sophie’s</w:t>
      </w:r>
      <w:r w:rsidRPr="0066418D">
        <w:rPr>
          <w:rFonts w:ascii="Calibri" w:hAnsi="Calibri"/>
          <w:sz w:val="24"/>
        </w:rPr>
        <w:t xml:space="preserve"> emotional wellbeing.</w:t>
      </w:r>
      <w:r w:rsidR="00A43557">
        <w:rPr>
          <w:rFonts w:ascii="Calibri" w:hAnsi="Calibri"/>
          <w:sz w:val="24"/>
        </w:rPr>
        <w:t xml:space="preserve"> </w:t>
      </w:r>
      <w:r>
        <w:rPr>
          <w:rFonts w:ascii="Calibri" w:hAnsi="Calibri"/>
          <w:sz w:val="24"/>
        </w:rPr>
        <w:t xml:space="preserve">FIN’s view was that Sophie needed to retain </w:t>
      </w:r>
      <w:r w:rsidRPr="0066418D">
        <w:rPr>
          <w:rFonts w:ascii="Calibri" w:hAnsi="Calibri"/>
          <w:sz w:val="24"/>
        </w:rPr>
        <w:t xml:space="preserve">some hope </w:t>
      </w:r>
      <w:r>
        <w:rPr>
          <w:rFonts w:ascii="Calibri" w:hAnsi="Calibri"/>
          <w:sz w:val="24"/>
        </w:rPr>
        <w:t>about remaining</w:t>
      </w:r>
      <w:r w:rsidRPr="0066418D">
        <w:rPr>
          <w:rFonts w:ascii="Calibri" w:hAnsi="Calibri"/>
          <w:sz w:val="24"/>
        </w:rPr>
        <w:t xml:space="preserve"> significant in Mandy’s life.</w:t>
      </w:r>
      <w:r w:rsidR="00A43557">
        <w:rPr>
          <w:rFonts w:ascii="Calibri" w:hAnsi="Calibri"/>
          <w:sz w:val="24"/>
        </w:rPr>
        <w:t xml:space="preserve"> </w:t>
      </w:r>
      <w:r w:rsidRPr="0066418D">
        <w:rPr>
          <w:rFonts w:ascii="Calibri" w:hAnsi="Calibri"/>
          <w:sz w:val="24"/>
        </w:rPr>
        <w:t>Sophie said that if she could work toward</w:t>
      </w:r>
      <w:r w:rsidR="00923274">
        <w:rPr>
          <w:rFonts w:ascii="Calibri" w:hAnsi="Calibri"/>
          <w:sz w:val="24"/>
        </w:rPr>
        <w:t>s</w:t>
      </w:r>
      <w:r w:rsidRPr="0066418D">
        <w:rPr>
          <w:rFonts w:ascii="Calibri" w:hAnsi="Calibri"/>
          <w:sz w:val="24"/>
        </w:rPr>
        <w:t xml:space="preserve"> increasing her contact to an overnight weekend once a month</w:t>
      </w:r>
      <w:r>
        <w:rPr>
          <w:rFonts w:ascii="Calibri" w:hAnsi="Calibri"/>
          <w:sz w:val="24"/>
        </w:rPr>
        <w:t>,</w:t>
      </w:r>
      <w:r w:rsidRPr="0066418D">
        <w:rPr>
          <w:rFonts w:ascii="Calibri" w:hAnsi="Calibri"/>
          <w:sz w:val="24"/>
        </w:rPr>
        <w:t xml:space="preserve"> this would help her remain positive.</w:t>
      </w:r>
      <w:r w:rsidR="00A43557">
        <w:rPr>
          <w:rFonts w:ascii="Calibri" w:hAnsi="Calibri"/>
          <w:sz w:val="24"/>
        </w:rPr>
        <w:t xml:space="preserve"> </w:t>
      </w:r>
      <w:r w:rsidRPr="0066418D">
        <w:rPr>
          <w:rFonts w:ascii="Calibri" w:hAnsi="Calibri"/>
          <w:sz w:val="24"/>
        </w:rPr>
        <w:t>At this time</w:t>
      </w:r>
      <w:r>
        <w:rPr>
          <w:rFonts w:ascii="Calibri" w:hAnsi="Calibri"/>
          <w:sz w:val="24"/>
        </w:rPr>
        <w:t>,</w:t>
      </w:r>
      <w:r w:rsidRPr="0066418D">
        <w:rPr>
          <w:rFonts w:ascii="Calibri" w:hAnsi="Calibri"/>
          <w:sz w:val="24"/>
        </w:rPr>
        <w:t xml:space="preserve"> the decision was made that the baby would be going home to </w:t>
      </w:r>
      <w:r>
        <w:rPr>
          <w:rFonts w:ascii="Calibri" w:hAnsi="Calibri"/>
          <w:sz w:val="24"/>
        </w:rPr>
        <w:t>Sophie</w:t>
      </w:r>
      <w:r w:rsidRPr="0066418D">
        <w:rPr>
          <w:rFonts w:ascii="Calibri" w:hAnsi="Calibri"/>
          <w:sz w:val="24"/>
        </w:rPr>
        <w:t>’s care with no order in place.</w:t>
      </w:r>
      <w:r>
        <w:rPr>
          <w:rFonts w:ascii="Calibri" w:hAnsi="Calibri"/>
          <w:sz w:val="24"/>
        </w:rPr>
        <w:t xml:space="preserve"> FIN asked the case manager to assess the possibility of overnight stays, given that Mandy was reported to be positive and happy about the regular visits with her mum.</w:t>
      </w:r>
      <w:r w:rsidRPr="0066418D">
        <w:rPr>
          <w:rFonts w:ascii="Calibri" w:hAnsi="Calibri"/>
          <w:sz w:val="24"/>
        </w:rPr>
        <w:t xml:space="preserve"> A number of assessments indicated </w:t>
      </w:r>
      <w:r>
        <w:rPr>
          <w:rFonts w:ascii="Calibri" w:hAnsi="Calibri"/>
          <w:sz w:val="24"/>
        </w:rPr>
        <w:t xml:space="preserve">that </w:t>
      </w:r>
      <w:r w:rsidRPr="0066418D">
        <w:rPr>
          <w:rFonts w:ascii="Calibri" w:hAnsi="Calibri"/>
          <w:sz w:val="24"/>
        </w:rPr>
        <w:t xml:space="preserve">the relationship between Sophie and Mandy </w:t>
      </w:r>
      <w:r>
        <w:rPr>
          <w:rFonts w:ascii="Calibri" w:hAnsi="Calibri"/>
          <w:sz w:val="24"/>
        </w:rPr>
        <w:t>was</w:t>
      </w:r>
      <w:r w:rsidRPr="0066418D">
        <w:rPr>
          <w:rFonts w:ascii="Calibri" w:hAnsi="Calibri"/>
          <w:sz w:val="24"/>
        </w:rPr>
        <w:t xml:space="preserve"> strong and positive</w:t>
      </w:r>
      <w:r>
        <w:rPr>
          <w:rFonts w:ascii="Calibri" w:hAnsi="Calibri"/>
          <w:sz w:val="24"/>
        </w:rPr>
        <w:t>, and this</w:t>
      </w:r>
      <w:r w:rsidRPr="0066418D">
        <w:rPr>
          <w:rFonts w:ascii="Calibri" w:hAnsi="Calibri"/>
          <w:sz w:val="24"/>
        </w:rPr>
        <w:t xml:space="preserve"> influenced the </w:t>
      </w:r>
      <w:r w:rsidR="00214A0E">
        <w:rPr>
          <w:rFonts w:ascii="Calibri" w:hAnsi="Calibri"/>
          <w:sz w:val="24"/>
        </w:rPr>
        <w:t xml:space="preserve">gradual </w:t>
      </w:r>
      <w:r w:rsidRPr="0066418D">
        <w:rPr>
          <w:rFonts w:ascii="Calibri" w:hAnsi="Calibri"/>
          <w:sz w:val="24"/>
        </w:rPr>
        <w:t>change from supervised to unsupervised contact</w:t>
      </w:r>
      <w:r w:rsidR="00BD0286">
        <w:rPr>
          <w:rFonts w:ascii="Calibri" w:hAnsi="Calibri"/>
          <w:sz w:val="24"/>
        </w:rPr>
        <w:t xml:space="preserve"> over a two</w:t>
      </w:r>
      <w:r w:rsidR="00214A0E">
        <w:rPr>
          <w:rFonts w:ascii="Calibri" w:hAnsi="Calibri"/>
          <w:sz w:val="24"/>
        </w:rPr>
        <w:t>-</w:t>
      </w:r>
      <w:r w:rsidR="00BD0286">
        <w:rPr>
          <w:rFonts w:ascii="Calibri" w:hAnsi="Calibri"/>
          <w:sz w:val="24"/>
        </w:rPr>
        <w:t>month period</w:t>
      </w:r>
      <w:r w:rsidRPr="0066418D">
        <w:rPr>
          <w:rFonts w:ascii="Calibri" w:hAnsi="Calibri"/>
          <w:sz w:val="24"/>
        </w:rPr>
        <w:t>.</w:t>
      </w:r>
      <w:r w:rsidR="00A43557">
        <w:rPr>
          <w:rFonts w:ascii="Calibri" w:hAnsi="Calibri"/>
          <w:sz w:val="24"/>
        </w:rPr>
        <w:t xml:space="preserve"> </w:t>
      </w:r>
    </w:p>
    <w:p w:rsidR="0056419E" w:rsidRPr="0066418D" w:rsidRDefault="0056419E" w:rsidP="0056419E">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rPr>
      </w:pPr>
    </w:p>
    <w:p w:rsidR="0056419E" w:rsidRDefault="0056419E" w:rsidP="0056419E">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rPr>
      </w:pPr>
      <w:r w:rsidRPr="0066418D">
        <w:rPr>
          <w:rFonts w:ascii="Calibri" w:hAnsi="Calibri"/>
          <w:sz w:val="24"/>
        </w:rPr>
        <w:t>Over these few months</w:t>
      </w:r>
      <w:r>
        <w:rPr>
          <w:rFonts w:ascii="Calibri" w:hAnsi="Calibri"/>
          <w:sz w:val="24"/>
        </w:rPr>
        <w:t>, Mandy became</w:t>
      </w:r>
      <w:r w:rsidRPr="0066418D">
        <w:rPr>
          <w:rFonts w:ascii="Calibri" w:hAnsi="Calibri"/>
          <w:sz w:val="24"/>
        </w:rPr>
        <w:t xml:space="preserve"> involved in some of the preparation for the baby.</w:t>
      </w:r>
      <w:r w:rsidR="00A43557">
        <w:rPr>
          <w:rFonts w:ascii="Calibri" w:hAnsi="Calibri"/>
          <w:sz w:val="24"/>
        </w:rPr>
        <w:t xml:space="preserve"> </w:t>
      </w:r>
      <w:r w:rsidRPr="0066418D">
        <w:rPr>
          <w:rFonts w:ascii="Calibri" w:hAnsi="Calibri"/>
          <w:sz w:val="24"/>
        </w:rPr>
        <w:t xml:space="preserve">Sophie managed the early care of </w:t>
      </w:r>
      <w:r>
        <w:rPr>
          <w:rFonts w:ascii="Calibri" w:hAnsi="Calibri"/>
          <w:sz w:val="24"/>
        </w:rPr>
        <w:t xml:space="preserve">baby </w:t>
      </w:r>
      <w:r w:rsidRPr="0066418D">
        <w:rPr>
          <w:rFonts w:ascii="Calibri" w:hAnsi="Calibri"/>
          <w:sz w:val="24"/>
        </w:rPr>
        <w:t>Louise with eas</w:t>
      </w:r>
      <w:r>
        <w:rPr>
          <w:rFonts w:ascii="Calibri" w:hAnsi="Calibri"/>
          <w:sz w:val="24"/>
        </w:rPr>
        <w:t>e</w:t>
      </w:r>
      <w:r w:rsidRPr="0066418D">
        <w:rPr>
          <w:rFonts w:ascii="Calibri" w:hAnsi="Calibri"/>
          <w:sz w:val="24"/>
        </w:rPr>
        <w:t>.</w:t>
      </w:r>
      <w:r w:rsidR="00A43557">
        <w:rPr>
          <w:rFonts w:ascii="Calibri" w:hAnsi="Calibri"/>
          <w:sz w:val="24"/>
        </w:rPr>
        <w:t xml:space="preserve"> </w:t>
      </w:r>
      <w:r w:rsidRPr="0066418D">
        <w:rPr>
          <w:rFonts w:ascii="Calibri" w:hAnsi="Calibri"/>
          <w:sz w:val="24"/>
        </w:rPr>
        <w:t>Mandy’s unsupervised day visits continued</w:t>
      </w:r>
      <w:r>
        <w:rPr>
          <w:rFonts w:ascii="Calibri" w:hAnsi="Calibri"/>
          <w:sz w:val="24"/>
        </w:rPr>
        <w:t>,</w:t>
      </w:r>
      <w:r w:rsidRPr="0066418D">
        <w:rPr>
          <w:rFonts w:ascii="Calibri" w:hAnsi="Calibri"/>
          <w:sz w:val="24"/>
        </w:rPr>
        <w:t xml:space="preserve"> and the carers </w:t>
      </w:r>
      <w:r>
        <w:rPr>
          <w:rFonts w:ascii="Calibri" w:hAnsi="Calibri"/>
          <w:sz w:val="24"/>
        </w:rPr>
        <w:t>began</w:t>
      </w:r>
      <w:r w:rsidRPr="0066418D">
        <w:rPr>
          <w:rFonts w:ascii="Calibri" w:hAnsi="Calibri"/>
          <w:sz w:val="24"/>
        </w:rPr>
        <w:t xml:space="preserve"> to provide transport </w:t>
      </w:r>
      <w:r>
        <w:rPr>
          <w:rFonts w:ascii="Calibri" w:hAnsi="Calibri"/>
          <w:sz w:val="24"/>
        </w:rPr>
        <w:t>to enable</w:t>
      </w:r>
      <w:r w:rsidRPr="0066418D">
        <w:rPr>
          <w:rFonts w:ascii="Calibri" w:hAnsi="Calibri"/>
          <w:sz w:val="24"/>
        </w:rPr>
        <w:t xml:space="preserve"> the contact </w:t>
      </w:r>
      <w:r>
        <w:rPr>
          <w:rFonts w:ascii="Calibri" w:hAnsi="Calibri"/>
          <w:sz w:val="24"/>
        </w:rPr>
        <w:t>to</w:t>
      </w:r>
      <w:r w:rsidRPr="0066418D">
        <w:rPr>
          <w:rFonts w:ascii="Calibri" w:hAnsi="Calibri"/>
          <w:sz w:val="24"/>
        </w:rPr>
        <w:t xml:space="preserve"> occur on the weekend. </w:t>
      </w:r>
      <w:r>
        <w:rPr>
          <w:rFonts w:ascii="Calibri" w:hAnsi="Calibri"/>
          <w:sz w:val="24"/>
        </w:rPr>
        <w:t xml:space="preserve">When </w:t>
      </w:r>
      <w:r w:rsidRPr="0066418D">
        <w:rPr>
          <w:rFonts w:ascii="Calibri" w:hAnsi="Calibri"/>
          <w:sz w:val="24"/>
        </w:rPr>
        <w:t>Louise was 10 weeks old</w:t>
      </w:r>
      <w:r>
        <w:rPr>
          <w:rFonts w:ascii="Calibri" w:hAnsi="Calibri"/>
          <w:sz w:val="24"/>
        </w:rPr>
        <w:t>,</w:t>
      </w:r>
      <w:r w:rsidRPr="0066418D">
        <w:rPr>
          <w:rFonts w:ascii="Calibri" w:hAnsi="Calibri"/>
          <w:sz w:val="24"/>
        </w:rPr>
        <w:t xml:space="preserve"> Mandy had her first overnight stay.</w:t>
      </w:r>
      <w:r w:rsidR="00BD0286">
        <w:rPr>
          <w:rFonts w:ascii="Calibri" w:hAnsi="Calibri"/>
          <w:sz w:val="24"/>
        </w:rPr>
        <w:t xml:space="preserve"> FIN continued to provide support over a three month period</w:t>
      </w:r>
      <w:r w:rsidR="00AE02CA">
        <w:rPr>
          <w:rFonts w:ascii="Calibri" w:hAnsi="Calibri"/>
          <w:sz w:val="24"/>
        </w:rPr>
        <w:t>,</w:t>
      </w:r>
      <w:r w:rsidR="00BD0286">
        <w:rPr>
          <w:rFonts w:ascii="Calibri" w:hAnsi="Calibri"/>
          <w:sz w:val="24"/>
        </w:rPr>
        <w:t xml:space="preserve"> and another agency was engaged to assist Mandy in developing further social networks.</w:t>
      </w:r>
    </w:p>
    <w:p w:rsidR="002C3550" w:rsidRPr="00247650" w:rsidRDefault="002C3550" w:rsidP="00247650">
      <w:pPr>
        <w:rPr>
          <w:rFonts w:asciiTheme="minorHAnsi" w:hAnsiTheme="minorHAnsi"/>
          <w:sz w:val="24"/>
        </w:rPr>
      </w:pPr>
    </w:p>
    <w:p w:rsidR="00D52BC7" w:rsidRDefault="00F00FA4" w:rsidP="00247650">
      <w:pPr>
        <w:pStyle w:val="Heading2"/>
      </w:pPr>
      <w:bookmarkStart w:id="122" w:name="_Toc400007724"/>
      <w:bookmarkStart w:id="123" w:name="_Toc400711480"/>
      <w:r w:rsidRPr="00D279C6">
        <w:t>Measuring progress</w:t>
      </w:r>
      <w:bookmarkEnd w:id="122"/>
      <w:bookmarkEnd w:id="123"/>
    </w:p>
    <w:p w:rsidR="000B29AC" w:rsidRPr="00605BBC" w:rsidRDefault="000B29AC" w:rsidP="00605BBC">
      <w:pPr>
        <w:pStyle w:val="Heading3"/>
      </w:pPr>
      <w:bookmarkStart w:id="124" w:name="_Toc400007725"/>
      <w:r w:rsidRPr="00605BBC">
        <w:t>Family support service use</w:t>
      </w:r>
      <w:bookmarkEnd w:id="124"/>
    </w:p>
    <w:p w:rsidR="000B29AC" w:rsidRPr="00706368" w:rsidRDefault="000B29AC" w:rsidP="00C35779">
      <w:pPr>
        <w:pStyle w:val="Heading4a"/>
      </w:pPr>
      <w:r w:rsidRPr="00C35779">
        <w:t>Indicator</w:t>
      </w:r>
      <w:r w:rsidRPr="00706368">
        <w:t xml:space="preserve"> 2.1: Number of children aged 0–17 years seeking assistance through treatment and support services</w:t>
      </w:r>
    </w:p>
    <w:p w:rsidR="000B29AC" w:rsidRDefault="000B29AC" w:rsidP="000B29AC">
      <w:pPr>
        <w:rPr>
          <w:rFonts w:ascii="Calibri" w:hAnsi="Calibri" w:cs="Calibri"/>
          <w:sz w:val="24"/>
          <w:szCs w:val="24"/>
        </w:rPr>
      </w:pPr>
    </w:p>
    <w:p w:rsidR="000B29AC" w:rsidRDefault="000B29AC" w:rsidP="000B29AC">
      <w:pPr>
        <w:rPr>
          <w:rFonts w:ascii="Calibri" w:hAnsi="Calibri" w:cs="Calibri"/>
          <w:sz w:val="24"/>
          <w:szCs w:val="24"/>
        </w:rPr>
      </w:pPr>
      <w:r w:rsidRPr="0064307D">
        <w:rPr>
          <w:rFonts w:ascii="Calibri" w:hAnsi="Calibri" w:cs="Calibri"/>
          <w:sz w:val="24"/>
          <w:szCs w:val="24"/>
        </w:rPr>
        <w:t xml:space="preserve">Family support services are increasingly recognised as playing a critical role in assisting families and minimising or complementing statutory child protection intervention. Vulnerable and </w:t>
      </w:r>
      <w:r w:rsidR="0053702F" w:rsidRPr="0064307D">
        <w:rPr>
          <w:rFonts w:ascii="Calibri" w:hAnsi="Calibri" w:cs="Calibri"/>
          <w:sz w:val="24"/>
          <w:szCs w:val="24"/>
        </w:rPr>
        <w:t>at</w:t>
      </w:r>
      <w:r w:rsidR="0053702F">
        <w:rPr>
          <w:rFonts w:ascii="Calibri" w:hAnsi="Calibri" w:cs="Calibri"/>
          <w:sz w:val="24"/>
          <w:szCs w:val="24"/>
        </w:rPr>
        <w:t>-</w:t>
      </w:r>
      <w:r w:rsidRPr="0064307D">
        <w:rPr>
          <w:rFonts w:ascii="Calibri" w:hAnsi="Calibri" w:cs="Calibri"/>
          <w:sz w:val="24"/>
          <w:szCs w:val="24"/>
        </w:rPr>
        <w:t>risk families are strengthened when they are identified early and are provided with appropriate services and supports to meet their needs.</w:t>
      </w:r>
    </w:p>
    <w:p w:rsidR="000B29AC" w:rsidRDefault="000B29AC" w:rsidP="000B29AC">
      <w:pPr>
        <w:rPr>
          <w:rFonts w:ascii="Calibri" w:hAnsi="Calibri" w:cs="Calibri"/>
          <w:sz w:val="24"/>
          <w:szCs w:val="24"/>
        </w:rPr>
      </w:pPr>
    </w:p>
    <w:p w:rsidR="000B29AC" w:rsidRPr="00450A9D" w:rsidRDefault="000B29AC" w:rsidP="000B29AC">
      <w:pPr>
        <w:rPr>
          <w:rFonts w:ascii="Calibri" w:hAnsi="Calibri" w:cs="Calibri"/>
          <w:sz w:val="24"/>
          <w:szCs w:val="24"/>
        </w:rPr>
      </w:pPr>
      <w:r w:rsidRPr="00450A9D">
        <w:rPr>
          <w:rFonts w:ascii="Calibri" w:hAnsi="Calibri" w:cs="Calibri"/>
          <w:sz w:val="24"/>
          <w:szCs w:val="24"/>
        </w:rPr>
        <w:t xml:space="preserve">The number of children who commence </w:t>
      </w:r>
      <w:r w:rsidR="009B2B97" w:rsidRPr="00450A9D">
        <w:rPr>
          <w:rFonts w:ascii="Calibri" w:hAnsi="Calibri" w:cs="Calibri"/>
          <w:sz w:val="24"/>
          <w:szCs w:val="24"/>
        </w:rPr>
        <w:t>IFS</w:t>
      </w:r>
      <w:r w:rsidRPr="00450A9D">
        <w:rPr>
          <w:rFonts w:ascii="Calibri" w:hAnsi="Calibri" w:cs="Calibri"/>
          <w:sz w:val="24"/>
          <w:szCs w:val="24"/>
        </w:rPr>
        <w:t xml:space="preserve"> services is a proxy indicator of the support families are receiving to allow children to live safely at home. </w:t>
      </w:r>
      <w:r w:rsidR="009B2B97" w:rsidRPr="00450A9D">
        <w:rPr>
          <w:rFonts w:ascii="Calibri" w:hAnsi="Calibri" w:cs="Calibri"/>
          <w:sz w:val="24"/>
          <w:szCs w:val="24"/>
        </w:rPr>
        <w:t>IFS</w:t>
      </w:r>
      <w:r w:rsidRPr="00450A9D">
        <w:rPr>
          <w:rFonts w:ascii="Calibri" w:hAnsi="Calibri" w:cs="Calibri"/>
          <w:sz w:val="24"/>
          <w:szCs w:val="24"/>
        </w:rPr>
        <w:t xml:space="preserve"> services are funded by state and territory departments responsible for child protection and offer early intervention when child protection concerns are identified. These services </w:t>
      </w:r>
      <w:r w:rsidRPr="00DC1B19">
        <w:rPr>
          <w:rStyle w:val="StyleBodyCalibri12pt"/>
        </w:rPr>
        <w:t xml:space="preserve">work intensively with families to help create a safe home environment for their children and </w:t>
      </w:r>
      <w:r w:rsidRPr="00450A9D">
        <w:rPr>
          <w:rFonts w:ascii="Calibri" w:hAnsi="Calibri" w:cs="Calibri"/>
          <w:sz w:val="24"/>
          <w:szCs w:val="24"/>
        </w:rPr>
        <w:t>avoid the need for out-of-home care. IFS</w:t>
      </w:r>
      <w:r w:rsidR="00450A9D">
        <w:rPr>
          <w:rFonts w:ascii="Calibri" w:hAnsi="Calibri" w:cs="Calibri"/>
          <w:sz w:val="24"/>
          <w:szCs w:val="24"/>
        </w:rPr>
        <w:t xml:space="preserve"> services</w:t>
      </w:r>
      <w:r w:rsidRPr="00450A9D">
        <w:rPr>
          <w:rFonts w:ascii="Calibri" w:hAnsi="Calibri" w:cs="Calibri"/>
          <w:sz w:val="24"/>
          <w:szCs w:val="24"/>
        </w:rPr>
        <w:t xml:space="preserve"> also help reunite families after a child has been removed (AIHW 2013a). </w:t>
      </w:r>
    </w:p>
    <w:p w:rsidR="000B29AC" w:rsidRPr="00450A9D" w:rsidRDefault="000B29AC" w:rsidP="000B29AC">
      <w:pPr>
        <w:rPr>
          <w:rFonts w:ascii="Calibri" w:hAnsi="Calibri" w:cs="Calibri"/>
          <w:sz w:val="24"/>
          <w:szCs w:val="24"/>
        </w:rPr>
      </w:pPr>
    </w:p>
    <w:p w:rsidR="000B29AC" w:rsidRPr="00450A9D" w:rsidRDefault="000B29AC" w:rsidP="000B29AC">
      <w:pPr>
        <w:rPr>
          <w:rFonts w:ascii="Calibri" w:hAnsi="Calibri" w:cs="Calibri"/>
          <w:sz w:val="24"/>
          <w:szCs w:val="24"/>
        </w:rPr>
      </w:pPr>
      <w:r w:rsidRPr="00450A9D">
        <w:rPr>
          <w:rFonts w:ascii="Calibri" w:hAnsi="Calibri" w:cs="Calibri"/>
          <w:sz w:val="24"/>
          <w:szCs w:val="24"/>
        </w:rPr>
        <w:t>Data on IFS</w:t>
      </w:r>
      <w:r w:rsidR="009B2B97" w:rsidRPr="00450A9D">
        <w:rPr>
          <w:rFonts w:ascii="Calibri" w:hAnsi="Calibri" w:cs="Calibri"/>
          <w:sz w:val="24"/>
          <w:szCs w:val="24"/>
        </w:rPr>
        <w:t xml:space="preserve"> services</w:t>
      </w:r>
      <w:r w:rsidRPr="00450A9D">
        <w:rPr>
          <w:rFonts w:ascii="Calibri" w:hAnsi="Calibri" w:cs="Calibri"/>
          <w:sz w:val="24"/>
          <w:szCs w:val="24"/>
        </w:rPr>
        <w:t xml:space="preserve"> were available for 6 jurisdictions (excludes Tasmania and the Australian Capital Territory). In 2011–12, 19 742 children commenced IFS</w:t>
      </w:r>
      <w:r w:rsidR="00844E7D">
        <w:rPr>
          <w:rFonts w:ascii="Calibri" w:hAnsi="Calibri" w:cs="Calibri"/>
          <w:sz w:val="24"/>
          <w:szCs w:val="24"/>
        </w:rPr>
        <w:t>, that is, they met with the IFS service provider for the first time</w:t>
      </w:r>
      <w:r w:rsidRPr="00450A9D">
        <w:rPr>
          <w:rFonts w:ascii="Calibri" w:hAnsi="Calibri" w:cs="Calibri"/>
          <w:sz w:val="24"/>
          <w:szCs w:val="24"/>
        </w:rPr>
        <w:t xml:space="preserve">. Almost half (47 per cent) of the children commencing services were aged less than 5 years. Children aged 15 to 17 years were least likely to be commencing services (5 per cent). </w:t>
      </w:r>
    </w:p>
    <w:p w:rsidR="000B29AC" w:rsidRPr="00450A9D" w:rsidRDefault="000B29AC" w:rsidP="000B29AC">
      <w:pPr>
        <w:rPr>
          <w:rFonts w:ascii="Calibri" w:hAnsi="Calibri" w:cs="Calibri"/>
          <w:sz w:val="24"/>
          <w:szCs w:val="24"/>
        </w:rPr>
      </w:pPr>
    </w:p>
    <w:p w:rsidR="000B29AC" w:rsidRPr="00450A9D" w:rsidRDefault="000B29AC" w:rsidP="000B29AC">
      <w:pPr>
        <w:rPr>
          <w:rFonts w:ascii="Calibri" w:hAnsi="Calibri" w:cs="Calibri"/>
          <w:sz w:val="24"/>
          <w:szCs w:val="24"/>
        </w:rPr>
      </w:pPr>
      <w:r w:rsidRPr="00450A9D">
        <w:rPr>
          <w:rFonts w:ascii="Calibri" w:hAnsi="Calibri" w:cs="Calibri"/>
          <w:sz w:val="24"/>
          <w:szCs w:val="24"/>
        </w:rPr>
        <w:t>In 2011–12, among the</w:t>
      </w:r>
      <w:r w:rsidR="00450A9D" w:rsidRPr="00450A9D">
        <w:rPr>
          <w:rFonts w:ascii="Calibri" w:hAnsi="Calibri" w:cs="Calibri"/>
          <w:sz w:val="24"/>
          <w:szCs w:val="24"/>
        </w:rPr>
        <w:t xml:space="preserve"> 19 025 children commencing IFS servic</w:t>
      </w:r>
      <w:r w:rsidR="00450A9D">
        <w:rPr>
          <w:rFonts w:ascii="Calibri" w:hAnsi="Calibri" w:cs="Calibri"/>
          <w:sz w:val="24"/>
          <w:szCs w:val="24"/>
        </w:rPr>
        <w:t>es</w:t>
      </w:r>
      <w:r w:rsidRPr="00450A9D">
        <w:rPr>
          <w:rFonts w:ascii="Calibri" w:hAnsi="Calibri" w:cs="Calibri"/>
          <w:sz w:val="24"/>
          <w:szCs w:val="24"/>
        </w:rPr>
        <w:t xml:space="preserve"> for whom Indigenous status was known, 24 per cent were Indigenous. </w:t>
      </w:r>
    </w:p>
    <w:p w:rsidR="000B29AC" w:rsidRPr="00821556" w:rsidRDefault="000B29AC" w:rsidP="000B29AC">
      <w:pPr>
        <w:rPr>
          <w:rFonts w:ascii="Calibri" w:hAnsi="Calibri" w:cs="Calibri"/>
          <w:sz w:val="24"/>
          <w:szCs w:val="24"/>
        </w:rPr>
      </w:pPr>
    </w:p>
    <w:p w:rsidR="003C414F" w:rsidRDefault="003C414F">
      <w:pPr>
        <w:rPr>
          <w:rFonts w:ascii="Arial" w:hAnsi="Arial"/>
          <w:b/>
        </w:rPr>
      </w:pPr>
      <w:bookmarkStart w:id="125" w:name="_Toc400010298"/>
      <w:r>
        <w:br w:type="page"/>
      </w:r>
    </w:p>
    <w:p w:rsidR="000B29AC" w:rsidRPr="0006442D" w:rsidRDefault="00D61D57" w:rsidP="005F1F80">
      <w:pPr>
        <w:pStyle w:val="Figure"/>
      </w:pPr>
      <w:r>
        <w:t xml:space="preserve">Table </w:t>
      </w:r>
      <w:fldSimple w:instr=" SEQ Table \* ARABIC ">
        <w:r w:rsidR="00BF1EC9">
          <w:rPr>
            <w:noProof/>
          </w:rPr>
          <w:t>12</w:t>
        </w:r>
      </w:fldSimple>
      <w:r>
        <w:t xml:space="preserve">: </w:t>
      </w:r>
      <w:r w:rsidRPr="006B32BD">
        <w:t>Children commenc</w:t>
      </w:r>
      <w:r w:rsidRPr="0041516D">
        <w:t xml:space="preserve">ing </w:t>
      </w:r>
      <w:r w:rsidR="009B2B97" w:rsidRPr="0041516D">
        <w:t>Intensive Family Support</w:t>
      </w:r>
      <w:r w:rsidRPr="0041516D">
        <w:t xml:space="preserve"> </w:t>
      </w:r>
      <w:proofErr w:type="gramStart"/>
      <w:r w:rsidRPr="0041516D">
        <w:t>services</w:t>
      </w:r>
      <w:r w:rsidRPr="00337BBD">
        <w:rPr>
          <w:vertAlign w:val="superscript"/>
        </w:rPr>
        <w:t>(</w:t>
      </w:r>
      <w:proofErr w:type="gramEnd"/>
      <w:r w:rsidRPr="00337BBD">
        <w:rPr>
          <w:vertAlign w:val="superscript"/>
        </w:rPr>
        <w:t>a)</w:t>
      </w:r>
      <w:r w:rsidRPr="0096034C">
        <w:t>, 2011</w:t>
      </w:r>
      <w:r w:rsidRPr="00A4234D">
        <w:t>–12</w:t>
      </w:r>
      <w:bookmarkEnd w:id="125"/>
    </w:p>
    <w:tbl>
      <w:tblPr>
        <w:tblW w:w="0" w:type="auto"/>
        <w:tblBorders>
          <w:top w:val="single" w:sz="4" w:space="0" w:color="auto"/>
          <w:bottom w:val="single" w:sz="4" w:space="0" w:color="auto"/>
        </w:tblBorders>
        <w:tblLook w:val="04A0" w:firstRow="1" w:lastRow="0" w:firstColumn="1" w:lastColumn="0" w:noHBand="0" w:noVBand="1"/>
        <w:tblDescription w:val="Table 12: Children commencing Intensive Family Support services(a), 2011–12"/>
      </w:tblPr>
      <w:tblGrid>
        <w:gridCol w:w="2376"/>
        <w:gridCol w:w="2268"/>
        <w:gridCol w:w="2268"/>
      </w:tblGrid>
      <w:tr w:rsidR="000B29AC" w:rsidRPr="00821556" w:rsidTr="005F1F80">
        <w:tc>
          <w:tcPr>
            <w:tcW w:w="2376" w:type="dxa"/>
            <w:tcBorders>
              <w:top w:val="single" w:sz="4" w:space="0" w:color="auto"/>
              <w:bottom w:val="single" w:sz="4" w:space="0" w:color="auto"/>
            </w:tcBorders>
            <w:shd w:val="clear" w:color="auto" w:fill="auto"/>
            <w:vAlign w:val="bottom"/>
          </w:tcPr>
          <w:p w:rsidR="000B29AC" w:rsidRPr="00821556" w:rsidRDefault="000B29AC" w:rsidP="00135409">
            <w:pPr>
              <w:pStyle w:val="TableFigHeadingtotal"/>
              <w:rPr>
                <w:rFonts w:cs="Arial"/>
              </w:rPr>
            </w:pPr>
            <w:r w:rsidRPr="00821556">
              <w:rPr>
                <w:rFonts w:cs="Arial"/>
              </w:rPr>
              <w:t>Age group (years)</w:t>
            </w:r>
          </w:p>
        </w:tc>
        <w:tc>
          <w:tcPr>
            <w:tcW w:w="2268" w:type="dxa"/>
            <w:tcBorders>
              <w:top w:val="single" w:sz="4" w:space="0" w:color="auto"/>
              <w:bottom w:val="single" w:sz="4" w:space="0" w:color="auto"/>
            </w:tcBorders>
          </w:tcPr>
          <w:p w:rsidR="000B29AC" w:rsidRPr="00821556" w:rsidRDefault="000B29AC" w:rsidP="00135409">
            <w:pPr>
              <w:pStyle w:val="TableFigHeadingtotal"/>
              <w:jc w:val="right"/>
              <w:rPr>
                <w:rFonts w:cs="Arial"/>
              </w:rPr>
            </w:pPr>
            <w:r>
              <w:rPr>
                <w:rFonts w:cs="Arial"/>
              </w:rPr>
              <w:t>Number</w:t>
            </w:r>
          </w:p>
        </w:tc>
        <w:tc>
          <w:tcPr>
            <w:tcW w:w="2268" w:type="dxa"/>
            <w:tcBorders>
              <w:top w:val="single" w:sz="4" w:space="0" w:color="auto"/>
              <w:bottom w:val="single" w:sz="4" w:space="0" w:color="auto"/>
            </w:tcBorders>
          </w:tcPr>
          <w:p w:rsidR="000B29AC" w:rsidRPr="00821556" w:rsidRDefault="000B29AC" w:rsidP="00135409">
            <w:pPr>
              <w:pStyle w:val="TableFigHeadingtotal"/>
              <w:jc w:val="right"/>
              <w:rPr>
                <w:rFonts w:cs="Arial"/>
              </w:rPr>
            </w:pPr>
            <w:r>
              <w:rPr>
                <w:rFonts w:cs="Arial"/>
              </w:rPr>
              <w:t>Per cent</w:t>
            </w:r>
            <w:r w:rsidRPr="004B2F44">
              <w:rPr>
                <w:rFonts w:cs="Arial"/>
                <w:vertAlign w:val="superscript"/>
              </w:rPr>
              <w:t>(</w:t>
            </w:r>
            <w:r>
              <w:rPr>
                <w:rFonts w:cs="Arial"/>
                <w:vertAlign w:val="superscript"/>
              </w:rPr>
              <w:t>c</w:t>
            </w:r>
            <w:r w:rsidRPr="004B2F44">
              <w:rPr>
                <w:rFonts w:cs="Arial"/>
                <w:vertAlign w:val="superscript"/>
              </w:rPr>
              <w:t>)</w:t>
            </w:r>
          </w:p>
        </w:tc>
      </w:tr>
      <w:tr w:rsidR="000B29AC" w:rsidRPr="00821556" w:rsidTr="005F1F80">
        <w:tc>
          <w:tcPr>
            <w:tcW w:w="2376" w:type="dxa"/>
            <w:tcBorders>
              <w:top w:val="single" w:sz="4" w:space="0" w:color="auto"/>
            </w:tcBorders>
            <w:shd w:val="clear" w:color="auto" w:fill="auto"/>
            <w:vAlign w:val="bottom"/>
          </w:tcPr>
          <w:p w:rsidR="000B29AC" w:rsidRPr="00821556" w:rsidRDefault="000B29AC" w:rsidP="00135409">
            <w:pPr>
              <w:pStyle w:val="TableFigText"/>
              <w:rPr>
                <w:rFonts w:cs="Arial"/>
              </w:rPr>
            </w:pPr>
            <w:r w:rsidRPr="00821556">
              <w:rPr>
                <w:rFonts w:cs="Arial"/>
              </w:rPr>
              <w:t>0–4</w:t>
            </w:r>
          </w:p>
        </w:tc>
        <w:tc>
          <w:tcPr>
            <w:tcW w:w="2268" w:type="dxa"/>
            <w:tcBorders>
              <w:top w:val="single" w:sz="4" w:space="0" w:color="auto"/>
            </w:tcBorders>
            <w:vAlign w:val="bottom"/>
          </w:tcPr>
          <w:p w:rsidR="000B29AC" w:rsidRPr="00821556" w:rsidRDefault="000B29AC" w:rsidP="0053702F">
            <w:pPr>
              <w:pStyle w:val="TableFigText"/>
              <w:jc w:val="right"/>
              <w:rPr>
                <w:rFonts w:cs="Arial"/>
              </w:rPr>
            </w:pPr>
            <w:r w:rsidRPr="00821556">
              <w:rPr>
                <w:rFonts w:cs="Arial"/>
              </w:rPr>
              <w:t>9001</w:t>
            </w:r>
          </w:p>
        </w:tc>
        <w:tc>
          <w:tcPr>
            <w:tcW w:w="2268" w:type="dxa"/>
            <w:tcBorders>
              <w:top w:val="single" w:sz="4" w:space="0" w:color="auto"/>
            </w:tcBorders>
            <w:vAlign w:val="bottom"/>
          </w:tcPr>
          <w:p w:rsidR="000B29AC" w:rsidRPr="00821556" w:rsidRDefault="000B29AC" w:rsidP="00135409">
            <w:pPr>
              <w:pStyle w:val="TableFigText"/>
              <w:jc w:val="right"/>
              <w:rPr>
                <w:rFonts w:cs="Arial"/>
              </w:rPr>
            </w:pPr>
            <w:r w:rsidRPr="009C0A6C">
              <w:t>47.2</w:t>
            </w:r>
          </w:p>
        </w:tc>
      </w:tr>
      <w:tr w:rsidR="000B29AC" w:rsidRPr="00821556" w:rsidTr="005F1F80">
        <w:tc>
          <w:tcPr>
            <w:tcW w:w="2376" w:type="dxa"/>
            <w:shd w:val="clear" w:color="auto" w:fill="auto"/>
            <w:vAlign w:val="bottom"/>
          </w:tcPr>
          <w:p w:rsidR="000B29AC" w:rsidRPr="00821556" w:rsidRDefault="000B29AC" w:rsidP="00135409">
            <w:pPr>
              <w:pStyle w:val="TableFigText"/>
              <w:rPr>
                <w:rFonts w:cs="Arial"/>
              </w:rPr>
            </w:pPr>
            <w:r w:rsidRPr="00821556">
              <w:rPr>
                <w:rFonts w:cs="Arial"/>
              </w:rPr>
              <w:t>5–9</w:t>
            </w:r>
          </w:p>
        </w:tc>
        <w:tc>
          <w:tcPr>
            <w:tcW w:w="2268" w:type="dxa"/>
            <w:vAlign w:val="bottom"/>
          </w:tcPr>
          <w:p w:rsidR="000B29AC" w:rsidRPr="00821556" w:rsidRDefault="000B29AC" w:rsidP="0053702F">
            <w:pPr>
              <w:pStyle w:val="TableFigText"/>
              <w:jc w:val="right"/>
              <w:rPr>
                <w:rFonts w:cs="Arial"/>
              </w:rPr>
            </w:pPr>
            <w:r w:rsidRPr="00821556">
              <w:rPr>
                <w:rFonts w:cs="Arial"/>
              </w:rPr>
              <w:t>5467</w:t>
            </w:r>
          </w:p>
        </w:tc>
        <w:tc>
          <w:tcPr>
            <w:tcW w:w="2268" w:type="dxa"/>
            <w:vAlign w:val="bottom"/>
          </w:tcPr>
          <w:p w:rsidR="000B29AC" w:rsidRPr="00821556" w:rsidRDefault="000B29AC" w:rsidP="00135409">
            <w:pPr>
              <w:pStyle w:val="TableFigText"/>
              <w:jc w:val="right"/>
              <w:rPr>
                <w:rFonts w:cs="Arial"/>
              </w:rPr>
            </w:pPr>
            <w:r w:rsidRPr="009C0A6C">
              <w:t>28.7</w:t>
            </w:r>
          </w:p>
        </w:tc>
      </w:tr>
      <w:tr w:rsidR="000B29AC" w:rsidRPr="00821556" w:rsidTr="005F1F80">
        <w:tc>
          <w:tcPr>
            <w:tcW w:w="2376" w:type="dxa"/>
            <w:shd w:val="clear" w:color="auto" w:fill="auto"/>
            <w:vAlign w:val="bottom"/>
          </w:tcPr>
          <w:p w:rsidR="000B29AC" w:rsidRPr="00821556" w:rsidRDefault="000B29AC" w:rsidP="00135409">
            <w:pPr>
              <w:pStyle w:val="TableFigText"/>
              <w:rPr>
                <w:rFonts w:cs="Arial"/>
              </w:rPr>
            </w:pPr>
            <w:r w:rsidRPr="00821556">
              <w:rPr>
                <w:rFonts w:cs="Arial"/>
              </w:rPr>
              <w:t>10–14</w:t>
            </w:r>
          </w:p>
        </w:tc>
        <w:tc>
          <w:tcPr>
            <w:tcW w:w="2268" w:type="dxa"/>
            <w:vAlign w:val="bottom"/>
          </w:tcPr>
          <w:p w:rsidR="000B29AC" w:rsidRPr="00821556" w:rsidRDefault="000B29AC" w:rsidP="0053702F">
            <w:pPr>
              <w:pStyle w:val="TableFigText"/>
              <w:jc w:val="right"/>
              <w:rPr>
                <w:rFonts w:cs="Arial"/>
              </w:rPr>
            </w:pPr>
            <w:r w:rsidRPr="00821556">
              <w:rPr>
                <w:rFonts w:cs="Arial"/>
              </w:rPr>
              <w:t>3542</w:t>
            </w:r>
          </w:p>
        </w:tc>
        <w:tc>
          <w:tcPr>
            <w:tcW w:w="2268" w:type="dxa"/>
            <w:vAlign w:val="bottom"/>
          </w:tcPr>
          <w:p w:rsidR="000B29AC" w:rsidRPr="00821556" w:rsidRDefault="000B29AC" w:rsidP="00135409">
            <w:pPr>
              <w:pStyle w:val="TableFigText"/>
              <w:jc w:val="right"/>
              <w:rPr>
                <w:rFonts w:cs="Arial"/>
              </w:rPr>
            </w:pPr>
            <w:r w:rsidRPr="009C0A6C">
              <w:t>18.6</w:t>
            </w:r>
          </w:p>
        </w:tc>
      </w:tr>
      <w:tr w:rsidR="000B29AC" w:rsidRPr="00821556" w:rsidTr="005F1F80">
        <w:tc>
          <w:tcPr>
            <w:tcW w:w="2376" w:type="dxa"/>
            <w:shd w:val="clear" w:color="auto" w:fill="auto"/>
            <w:vAlign w:val="bottom"/>
          </w:tcPr>
          <w:p w:rsidR="000B29AC" w:rsidRPr="00821556" w:rsidRDefault="000B29AC" w:rsidP="00135409">
            <w:pPr>
              <w:pStyle w:val="TableFigText"/>
              <w:rPr>
                <w:rFonts w:cs="Arial"/>
              </w:rPr>
            </w:pPr>
            <w:r w:rsidRPr="00821556">
              <w:rPr>
                <w:rFonts w:cs="Arial"/>
              </w:rPr>
              <w:t>15–17</w:t>
            </w:r>
          </w:p>
        </w:tc>
        <w:tc>
          <w:tcPr>
            <w:tcW w:w="2268" w:type="dxa"/>
            <w:vAlign w:val="bottom"/>
          </w:tcPr>
          <w:p w:rsidR="000B29AC" w:rsidRPr="00821556" w:rsidRDefault="000B29AC" w:rsidP="0053702F">
            <w:pPr>
              <w:pStyle w:val="TableFigText"/>
              <w:jc w:val="right"/>
              <w:rPr>
                <w:rFonts w:cs="Arial"/>
              </w:rPr>
            </w:pPr>
            <w:r w:rsidRPr="00821556">
              <w:rPr>
                <w:rFonts w:cs="Arial"/>
              </w:rPr>
              <w:t>1056</w:t>
            </w:r>
          </w:p>
        </w:tc>
        <w:tc>
          <w:tcPr>
            <w:tcW w:w="2268" w:type="dxa"/>
            <w:vAlign w:val="bottom"/>
          </w:tcPr>
          <w:p w:rsidR="000B29AC" w:rsidRPr="00821556" w:rsidRDefault="000B29AC" w:rsidP="00135409">
            <w:pPr>
              <w:pStyle w:val="TableFigText"/>
              <w:jc w:val="right"/>
              <w:rPr>
                <w:rFonts w:cs="Arial"/>
              </w:rPr>
            </w:pPr>
            <w:r w:rsidRPr="009C0A6C">
              <w:t>5.5</w:t>
            </w:r>
          </w:p>
        </w:tc>
      </w:tr>
      <w:tr w:rsidR="000B29AC" w:rsidRPr="00821556" w:rsidTr="005F1F80">
        <w:tc>
          <w:tcPr>
            <w:tcW w:w="2376" w:type="dxa"/>
            <w:shd w:val="clear" w:color="auto" w:fill="auto"/>
            <w:vAlign w:val="bottom"/>
          </w:tcPr>
          <w:p w:rsidR="000B29AC" w:rsidRPr="004B2F44" w:rsidRDefault="000B29AC" w:rsidP="00135409">
            <w:pPr>
              <w:pStyle w:val="TableFigText"/>
              <w:keepNext/>
              <w:rPr>
                <w:rFonts w:cs="Arial"/>
                <w:b/>
              </w:rPr>
            </w:pPr>
            <w:r w:rsidRPr="004B2F44">
              <w:rPr>
                <w:rFonts w:cs="Arial"/>
                <w:b/>
              </w:rPr>
              <w:t>Total children</w:t>
            </w:r>
          </w:p>
        </w:tc>
        <w:tc>
          <w:tcPr>
            <w:tcW w:w="2268" w:type="dxa"/>
            <w:tcMar>
              <w:right w:w="0" w:type="dxa"/>
            </w:tcMar>
            <w:vAlign w:val="bottom"/>
          </w:tcPr>
          <w:p w:rsidR="000B29AC" w:rsidRPr="004B2F44" w:rsidRDefault="000B29AC" w:rsidP="0053702F">
            <w:pPr>
              <w:pStyle w:val="TableFigText"/>
              <w:keepNext/>
              <w:jc w:val="right"/>
              <w:rPr>
                <w:rFonts w:cs="Arial"/>
                <w:b/>
              </w:rPr>
            </w:pPr>
            <w:r w:rsidRPr="004B2F44">
              <w:rPr>
                <w:rFonts w:cs="Arial"/>
                <w:b/>
              </w:rPr>
              <w:t>19</w:t>
            </w:r>
            <w:r w:rsidR="0053702F">
              <w:rPr>
                <w:rFonts w:cs="Arial"/>
                <w:b/>
              </w:rPr>
              <w:t> </w:t>
            </w:r>
            <w:r>
              <w:rPr>
                <w:rFonts w:cs="Arial"/>
                <w:b/>
              </w:rPr>
              <w:t> </w:t>
            </w:r>
            <w:r w:rsidRPr="004B2F44">
              <w:rPr>
                <w:rFonts w:cs="Arial"/>
                <w:b/>
              </w:rPr>
              <w:t>742</w:t>
            </w:r>
            <w:r w:rsidRPr="004B2F44">
              <w:rPr>
                <w:rFonts w:cs="Arial"/>
                <w:b/>
                <w:vertAlign w:val="superscript"/>
              </w:rPr>
              <w:t>(b)</w:t>
            </w:r>
          </w:p>
        </w:tc>
        <w:tc>
          <w:tcPr>
            <w:tcW w:w="2268" w:type="dxa"/>
          </w:tcPr>
          <w:p w:rsidR="000B29AC" w:rsidRPr="004B2F44" w:rsidRDefault="000B29AC" w:rsidP="00135409">
            <w:pPr>
              <w:pStyle w:val="TableFigText"/>
              <w:keepNext/>
              <w:jc w:val="right"/>
              <w:rPr>
                <w:rFonts w:cs="Arial"/>
                <w:b/>
              </w:rPr>
            </w:pPr>
            <w:r w:rsidRPr="004B2F44">
              <w:rPr>
                <w:rFonts w:cs="Arial"/>
                <w:b/>
              </w:rPr>
              <w:t>100.0</w:t>
            </w:r>
          </w:p>
        </w:tc>
      </w:tr>
    </w:tbl>
    <w:p w:rsidR="000B29AC" w:rsidRPr="00A6091A" w:rsidRDefault="000B29AC" w:rsidP="00A6091A">
      <w:pPr>
        <w:pStyle w:val="StyleArial7ptBefore6pt1"/>
      </w:pPr>
      <w:r w:rsidRPr="00A6091A">
        <w:t>(</w:t>
      </w:r>
      <w:proofErr w:type="gramStart"/>
      <w:r w:rsidRPr="00A6091A">
        <w:t>a</w:t>
      </w:r>
      <w:proofErr w:type="gramEnd"/>
      <w:r w:rsidRPr="00A6091A">
        <w:t>)</w:t>
      </w:r>
      <w:r w:rsidRPr="00A6091A">
        <w:tab/>
        <w:t>Excludes Tasmania and the Australian Capital Territory.</w:t>
      </w:r>
      <w:r w:rsidRPr="00A6091A">
        <w:tab/>
      </w:r>
    </w:p>
    <w:p w:rsidR="000B29AC" w:rsidRPr="00A6091A" w:rsidRDefault="000B29AC" w:rsidP="00A6091A">
      <w:pPr>
        <w:pStyle w:val="StyleArial7ptBefore6pt1"/>
      </w:pPr>
      <w:r w:rsidRPr="00A6091A">
        <w:t>(b)</w:t>
      </w:r>
      <w:r w:rsidRPr="00A6091A">
        <w:tab/>
        <w:t xml:space="preserve">Total includes 676 children whose age was unknown. This includes all 584 children commencing services in South Australia, </w:t>
      </w:r>
      <w:r w:rsidRPr="00A6091A">
        <w:br/>
        <w:t xml:space="preserve">as SA was not able to disaggregate data by age or Indigenous status. </w:t>
      </w:r>
    </w:p>
    <w:p w:rsidR="000B29AC" w:rsidRPr="00A6091A" w:rsidRDefault="000B29AC" w:rsidP="00A6091A">
      <w:pPr>
        <w:pStyle w:val="StyleArial7ptBefore6pt1"/>
      </w:pPr>
      <w:r w:rsidRPr="00A6091A">
        <w:t>(c)</w:t>
      </w:r>
      <w:r w:rsidRPr="00A6091A">
        <w:tab/>
        <w:t>Percentages exclude children of unknown age. Percentages in tables may not add to 100 due to rounding.</w:t>
      </w:r>
    </w:p>
    <w:p w:rsidR="000B29AC" w:rsidRPr="00A6091A" w:rsidRDefault="000B29AC" w:rsidP="00A6091A">
      <w:pPr>
        <w:pStyle w:val="StyleArial7ptBefore6pt1"/>
      </w:pPr>
      <w:r w:rsidRPr="00A6091A">
        <w:t>Source: AIHW Child Protection Data Collections.</w:t>
      </w:r>
    </w:p>
    <w:p w:rsidR="000B29AC" w:rsidRPr="00131C0C" w:rsidRDefault="000B29AC" w:rsidP="000B29AC">
      <w:pPr>
        <w:spacing w:after="60"/>
        <w:rPr>
          <w:rFonts w:ascii="Calibri" w:hAnsi="Calibri" w:cs="Calibri"/>
          <w:sz w:val="24"/>
          <w:szCs w:val="22"/>
          <w:lang w:eastAsia="en-AU"/>
        </w:rPr>
      </w:pPr>
    </w:p>
    <w:p w:rsidR="000B29AC" w:rsidRDefault="001A76C9" w:rsidP="000B29AC">
      <w:pPr>
        <w:rPr>
          <w:rFonts w:ascii="Calibri" w:hAnsi="Calibri" w:cs="Calibri"/>
          <w:sz w:val="24"/>
          <w:szCs w:val="24"/>
        </w:rPr>
      </w:pPr>
      <w:r>
        <w:rPr>
          <w:rFonts w:ascii="Calibri" w:hAnsi="Calibri" w:cs="Calibri"/>
          <w:sz w:val="24"/>
          <w:szCs w:val="24"/>
        </w:rPr>
        <w:t>T</w:t>
      </w:r>
      <w:r w:rsidR="000B29AC">
        <w:rPr>
          <w:rFonts w:ascii="Calibri" w:hAnsi="Calibri" w:cs="Calibri"/>
          <w:sz w:val="24"/>
          <w:szCs w:val="24"/>
        </w:rPr>
        <w:t xml:space="preserve">he Australian Government </w:t>
      </w:r>
      <w:r>
        <w:rPr>
          <w:rFonts w:ascii="Calibri" w:hAnsi="Calibri" w:cs="Calibri"/>
          <w:sz w:val="24"/>
          <w:szCs w:val="24"/>
        </w:rPr>
        <w:t xml:space="preserve">also funds the </w:t>
      </w:r>
      <w:r w:rsidR="000B29AC">
        <w:rPr>
          <w:rFonts w:ascii="Calibri" w:hAnsi="Calibri" w:cs="Calibri"/>
          <w:sz w:val="24"/>
          <w:szCs w:val="24"/>
        </w:rPr>
        <w:t>Family Support Program</w:t>
      </w:r>
      <w:r w:rsidR="00442A5E">
        <w:rPr>
          <w:rFonts w:ascii="Calibri" w:hAnsi="Calibri" w:cs="Calibri"/>
          <w:sz w:val="24"/>
          <w:szCs w:val="24"/>
        </w:rPr>
        <w:t>,</w:t>
      </w:r>
      <w:r w:rsidR="000B29AC">
        <w:rPr>
          <w:rFonts w:ascii="Calibri" w:hAnsi="Calibri" w:cs="Calibri"/>
          <w:sz w:val="24"/>
          <w:szCs w:val="24"/>
        </w:rPr>
        <w:t xml:space="preserve"> </w:t>
      </w:r>
      <w:r>
        <w:rPr>
          <w:rFonts w:ascii="Calibri" w:hAnsi="Calibri" w:cs="Calibri"/>
          <w:sz w:val="24"/>
          <w:szCs w:val="24"/>
        </w:rPr>
        <w:t>which</w:t>
      </w:r>
      <w:r w:rsidR="000B29AC">
        <w:rPr>
          <w:rFonts w:ascii="Calibri" w:hAnsi="Calibri" w:cs="Calibri"/>
          <w:sz w:val="24"/>
          <w:szCs w:val="24"/>
        </w:rPr>
        <w:t xml:space="preserve"> aim</w:t>
      </w:r>
      <w:r>
        <w:rPr>
          <w:rFonts w:ascii="Calibri" w:hAnsi="Calibri" w:cs="Calibri"/>
          <w:sz w:val="24"/>
          <w:szCs w:val="24"/>
        </w:rPr>
        <w:t>s</w:t>
      </w:r>
      <w:r w:rsidR="000B29AC" w:rsidRPr="00AB17F4">
        <w:rPr>
          <w:rFonts w:ascii="Calibri" w:hAnsi="Calibri" w:cs="Calibri"/>
          <w:sz w:val="24"/>
          <w:szCs w:val="24"/>
        </w:rPr>
        <w:t xml:space="preserve"> to improve family functioning, safety and child wellbeing and development. </w:t>
      </w:r>
      <w:r w:rsidR="000B29AC">
        <w:rPr>
          <w:rFonts w:ascii="Calibri" w:hAnsi="Calibri" w:cs="Calibri"/>
          <w:sz w:val="24"/>
          <w:szCs w:val="24"/>
        </w:rPr>
        <w:t>Early intervention and prevention services</w:t>
      </w:r>
      <w:r w:rsidR="000B29AC" w:rsidRPr="00AB17F4">
        <w:rPr>
          <w:rFonts w:ascii="Calibri" w:hAnsi="Calibri" w:cs="Calibri"/>
          <w:sz w:val="24"/>
          <w:szCs w:val="24"/>
        </w:rPr>
        <w:t xml:space="preserve"> </w:t>
      </w:r>
      <w:r w:rsidR="000B29AC">
        <w:rPr>
          <w:rFonts w:ascii="Calibri" w:hAnsi="Calibri" w:cs="Calibri"/>
          <w:sz w:val="24"/>
          <w:szCs w:val="24"/>
        </w:rPr>
        <w:t>are provided</w:t>
      </w:r>
      <w:r>
        <w:rPr>
          <w:rFonts w:ascii="Calibri" w:hAnsi="Calibri" w:cs="Calibri"/>
          <w:sz w:val="24"/>
          <w:szCs w:val="24"/>
        </w:rPr>
        <w:t xml:space="preserve"> through Communities for Children Services, Family and Relationship Services, Specialist Services and Community Playgroups</w:t>
      </w:r>
      <w:r w:rsidR="000B29AC">
        <w:rPr>
          <w:rFonts w:ascii="Calibri" w:hAnsi="Calibri" w:cs="Calibri"/>
          <w:sz w:val="24"/>
          <w:szCs w:val="24"/>
        </w:rPr>
        <w:t>, as well as more intensive assistance in targeted locations where there are multiple indicators of disadvantage (</w:t>
      </w:r>
      <w:r w:rsidR="00214A0E">
        <w:rPr>
          <w:rFonts w:ascii="Calibri" w:hAnsi="Calibri" w:cs="Calibri"/>
          <w:sz w:val="24"/>
          <w:szCs w:val="24"/>
        </w:rPr>
        <w:t>FaHCSIA</w:t>
      </w:r>
      <w:r w:rsidR="000B29AC">
        <w:rPr>
          <w:rFonts w:ascii="Calibri" w:hAnsi="Calibri" w:cs="Calibri"/>
          <w:sz w:val="24"/>
          <w:szCs w:val="24"/>
        </w:rPr>
        <w:t xml:space="preserve"> </w:t>
      </w:r>
      <w:r w:rsidR="00214A0E">
        <w:rPr>
          <w:rFonts w:ascii="Calibri" w:hAnsi="Calibri" w:cs="Calibri"/>
          <w:sz w:val="24"/>
          <w:szCs w:val="24"/>
        </w:rPr>
        <w:t xml:space="preserve">(now DSS) </w:t>
      </w:r>
      <w:r w:rsidR="000B29AC">
        <w:rPr>
          <w:rFonts w:ascii="Calibri" w:hAnsi="Calibri" w:cs="Calibri"/>
          <w:sz w:val="24"/>
          <w:szCs w:val="24"/>
        </w:rPr>
        <w:t>2012</w:t>
      </w:r>
      <w:r w:rsidR="0077030B">
        <w:rPr>
          <w:rFonts w:ascii="Calibri" w:hAnsi="Calibri" w:cs="Calibri"/>
          <w:sz w:val="24"/>
          <w:szCs w:val="24"/>
        </w:rPr>
        <w:t>a</w:t>
      </w:r>
      <w:r w:rsidR="000B29AC">
        <w:rPr>
          <w:rFonts w:ascii="Calibri" w:hAnsi="Calibri" w:cs="Calibri"/>
          <w:sz w:val="24"/>
          <w:szCs w:val="24"/>
        </w:rPr>
        <w:t xml:space="preserve">). </w:t>
      </w:r>
      <w:r w:rsidR="00844E7D" w:rsidRPr="00844E7D">
        <w:rPr>
          <w:rFonts w:ascii="Calibri" w:hAnsi="Calibri" w:cs="Calibri"/>
          <w:sz w:val="24"/>
          <w:szCs w:val="24"/>
        </w:rPr>
        <w:t>These services may be provided to child and adult clients, and the data include clients assisted at any point during the year, rather than only those commencing a service. As such, these data capture a much broader scope of clients and services than the IFS services described above.</w:t>
      </w:r>
    </w:p>
    <w:p w:rsidR="000B29AC" w:rsidRDefault="000B29AC" w:rsidP="000B29AC">
      <w:pPr>
        <w:rPr>
          <w:rFonts w:ascii="Calibri" w:hAnsi="Calibri" w:cs="Calibri"/>
          <w:sz w:val="24"/>
          <w:szCs w:val="24"/>
        </w:rPr>
      </w:pPr>
    </w:p>
    <w:p w:rsidR="000B29AC" w:rsidRDefault="000B29AC" w:rsidP="000B29AC">
      <w:pPr>
        <w:rPr>
          <w:rFonts w:ascii="Calibri" w:hAnsi="Calibri" w:cs="Calibri"/>
          <w:sz w:val="24"/>
          <w:szCs w:val="24"/>
        </w:rPr>
      </w:pPr>
      <w:r>
        <w:rPr>
          <w:rFonts w:ascii="Calibri" w:hAnsi="Calibri" w:cs="Calibri"/>
          <w:sz w:val="24"/>
          <w:szCs w:val="24"/>
        </w:rPr>
        <w:t xml:space="preserve">In 2011–12, </w:t>
      </w:r>
      <w:r w:rsidR="00D45364">
        <w:rPr>
          <w:rFonts w:ascii="Calibri" w:hAnsi="Calibri" w:cs="Calibri"/>
          <w:sz w:val="24"/>
          <w:szCs w:val="24"/>
        </w:rPr>
        <w:t>873</w:t>
      </w:r>
      <w:r w:rsidR="002504F8">
        <w:rPr>
          <w:rFonts w:ascii="Calibri" w:hAnsi="Calibri" w:cs="Calibri"/>
          <w:sz w:val="24"/>
          <w:szCs w:val="24"/>
        </w:rPr>
        <w:t> </w:t>
      </w:r>
      <w:r w:rsidR="00D45364">
        <w:rPr>
          <w:rFonts w:ascii="Calibri" w:hAnsi="Calibri" w:cs="Calibri"/>
          <w:sz w:val="24"/>
          <w:szCs w:val="24"/>
        </w:rPr>
        <w:t>597</w:t>
      </w:r>
      <w:r>
        <w:rPr>
          <w:rFonts w:ascii="Calibri" w:hAnsi="Calibri" w:cs="Calibri"/>
          <w:sz w:val="24"/>
          <w:szCs w:val="24"/>
        </w:rPr>
        <w:t xml:space="preserve"> clients were assisted through Family and Children’s Services</w:t>
      </w:r>
      <w:r w:rsidR="00D45364">
        <w:rPr>
          <w:rFonts w:ascii="Calibri" w:hAnsi="Calibri" w:cs="Calibri"/>
          <w:sz w:val="24"/>
          <w:szCs w:val="24"/>
        </w:rPr>
        <w:t xml:space="preserve"> (FaHCSIA (now DSS) 2012</w:t>
      </w:r>
      <w:r w:rsidR="0027503D">
        <w:rPr>
          <w:rFonts w:ascii="Calibri" w:hAnsi="Calibri" w:cs="Calibri"/>
          <w:sz w:val="24"/>
          <w:szCs w:val="24"/>
        </w:rPr>
        <w:t>b</w:t>
      </w:r>
      <w:r w:rsidR="00D45364">
        <w:rPr>
          <w:rFonts w:ascii="Calibri" w:hAnsi="Calibri" w:cs="Calibri"/>
          <w:sz w:val="24"/>
          <w:szCs w:val="24"/>
        </w:rPr>
        <w:t>)</w:t>
      </w:r>
      <w:r>
        <w:rPr>
          <w:rFonts w:ascii="Calibri" w:hAnsi="Calibri" w:cs="Calibri"/>
          <w:sz w:val="24"/>
          <w:szCs w:val="24"/>
        </w:rPr>
        <w:t>. On completion of the service intervention, 87 per cent of clients reported an immediate increase in knowledge and skills related to family functioning, parenting, family safety or children</w:t>
      </w:r>
      <w:r w:rsidR="00E62112">
        <w:rPr>
          <w:rFonts w:ascii="Calibri" w:hAnsi="Calibri" w:cs="Calibri"/>
          <w:sz w:val="24"/>
          <w:szCs w:val="24"/>
        </w:rPr>
        <w:t>’s</w:t>
      </w:r>
      <w:r>
        <w:rPr>
          <w:rFonts w:ascii="Calibri" w:hAnsi="Calibri" w:cs="Calibri"/>
          <w:sz w:val="24"/>
          <w:szCs w:val="24"/>
        </w:rPr>
        <w:t xml:space="preserve"> development. Three to six months after the intervention, 85 per cent of clients reported a lasting difference in improving child wellbeing and development, family functioning or family safety (</w:t>
      </w:r>
      <w:r w:rsidR="00456DF7">
        <w:rPr>
          <w:rFonts w:ascii="Calibri" w:hAnsi="Calibri" w:cs="Calibri"/>
          <w:sz w:val="24"/>
          <w:szCs w:val="24"/>
        </w:rPr>
        <w:t xml:space="preserve">FaHCSIA (now DSS) </w:t>
      </w:r>
      <w:r>
        <w:rPr>
          <w:rFonts w:ascii="Calibri" w:hAnsi="Calibri" w:cs="Calibri"/>
          <w:sz w:val="24"/>
          <w:szCs w:val="24"/>
        </w:rPr>
        <w:t>2012</w:t>
      </w:r>
      <w:r w:rsidR="0077030B">
        <w:rPr>
          <w:rFonts w:ascii="Calibri" w:hAnsi="Calibri" w:cs="Calibri"/>
          <w:sz w:val="24"/>
          <w:szCs w:val="24"/>
        </w:rPr>
        <w:t>a</w:t>
      </w:r>
      <w:r>
        <w:rPr>
          <w:rFonts w:ascii="Calibri" w:hAnsi="Calibri" w:cs="Calibri"/>
          <w:sz w:val="24"/>
          <w:szCs w:val="24"/>
        </w:rPr>
        <w:t>).</w:t>
      </w:r>
      <w:r w:rsidR="00D26B57">
        <w:rPr>
          <w:rFonts w:ascii="Calibri" w:hAnsi="Calibri" w:cs="Calibri"/>
          <w:sz w:val="24"/>
          <w:szCs w:val="24"/>
        </w:rPr>
        <w:t xml:space="preserve"> </w:t>
      </w:r>
    </w:p>
    <w:p w:rsidR="000B29AC" w:rsidRDefault="000B29AC" w:rsidP="00605BBC">
      <w:pPr>
        <w:pStyle w:val="Heading3"/>
      </w:pPr>
      <w:bookmarkStart w:id="126" w:name="_Toc400007726"/>
      <w:r>
        <w:t>Early childhood education</w:t>
      </w:r>
      <w:bookmarkEnd w:id="126"/>
    </w:p>
    <w:p w:rsidR="000B29AC" w:rsidRPr="00C84A17" w:rsidRDefault="000B29AC" w:rsidP="004B3342">
      <w:pPr>
        <w:pStyle w:val="Heading4a"/>
      </w:pPr>
      <w:r w:rsidRPr="00C84A17">
        <w:t>Indicator 2.2: Attendance rate of children aged 4–5 years at preschool programs</w:t>
      </w:r>
    </w:p>
    <w:p w:rsidR="000B29AC" w:rsidRPr="00C3315D" w:rsidRDefault="000B29AC" w:rsidP="000B29AC">
      <w:pPr>
        <w:rPr>
          <w:rFonts w:ascii="Calibri" w:hAnsi="Calibri"/>
          <w:b/>
          <w:sz w:val="24"/>
          <w:lang w:eastAsia="en-AU"/>
        </w:rPr>
      </w:pPr>
    </w:p>
    <w:p w:rsidR="000B29AC" w:rsidRDefault="000B29AC" w:rsidP="000B29AC">
      <w:pPr>
        <w:rPr>
          <w:rFonts w:ascii="Calibri" w:hAnsi="Calibri" w:cs="Calibri"/>
          <w:sz w:val="24"/>
          <w:szCs w:val="24"/>
          <w:lang w:eastAsia="en-AU"/>
        </w:rPr>
      </w:pPr>
      <w:r w:rsidRPr="00036F90">
        <w:rPr>
          <w:rFonts w:ascii="Calibri" w:hAnsi="Calibri" w:cs="Calibri"/>
          <w:sz w:val="24"/>
          <w:szCs w:val="24"/>
          <w:lang w:eastAsia="en-AU"/>
        </w:rPr>
        <w:t xml:space="preserve">Studies have repeatedly demonstrated that children who attend early education programs or interventions show better performance and progress in their early school years in almost all intellectual, cognitive and school domains and </w:t>
      </w:r>
      <w:r w:rsidR="00E62112">
        <w:rPr>
          <w:rFonts w:ascii="Calibri" w:hAnsi="Calibri" w:cs="Calibri"/>
          <w:sz w:val="24"/>
          <w:szCs w:val="24"/>
          <w:lang w:eastAsia="en-AU"/>
        </w:rPr>
        <w:t xml:space="preserve">in </w:t>
      </w:r>
      <w:r w:rsidRPr="00036F90">
        <w:rPr>
          <w:rFonts w:ascii="Calibri" w:hAnsi="Calibri" w:cs="Calibri"/>
          <w:sz w:val="24"/>
          <w:szCs w:val="24"/>
          <w:lang w:eastAsia="en-AU"/>
        </w:rPr>
        <w:t>many socialisation domains (AIHW 2011</w:t>
      </w:r>
      <w:r>
        <w:rPr>
          <w:rFonts w:ascii="Calibri" w:hAnsi="Calibri" w:cs="Calibri"/>
          <w:sz w:val="24"/>
          <w:szCs w:val="24"/>
          <w:lang w:eastAsia="en-AU"/>
        </w:rPr>
        <w:t>a</w:t>
      </w:r>
      <w:r w:rsidRPr="00036F90">
        <w:rPr>
          <w:rFonts w:ascii="Calibri" w:hAnsi="Calibri" w:cs="Calibri"/>
          <w:sz w:val="24"/>
          <w:szCs w:val="24"/>
          <w:lang w:eastAsia="en-AU"/>
        </w:rPr>
        <w:t>).</w:t>
      </w:r>
    </w:p>
    <w:p w:rsidR="000B29AC" w:rsidRPr="00036F90" w:rsidRDefault="000B29AC" w:rsidP="000B29AC">
      <w:pPr>
        <w:rPr>
          <w:rFonts w:ascii="Calibri" w:hAnsi="Calibri" w:cs="Calibri"/>
          <w:sz w:val="24"/>
          <w:szCs w:val="24"/>
          <w:lang w:eastAsia="en-AU"/>
        </w:rPr>
      </w:pPr>
    </w:p>
    <w:p w:rsidR="000B29AC" w:rsidRDefault="000B29AC" w:rsidP="000B29AC">
      <w:pPr>
        <w:rPr>
          <w:rFonts w:ascii="Calibri" w:hAnsi="Calibri" w:cs="Calibri"/>
          <w:sz w:val="24"/>
          <w:szCs w:val="24"/>
          <w:lang w:eastAsia="en-AU"/>
        </w:rPr>
      </w:pPr>
      <w:r w:rsidRPr="00036F90">
        <w:rPr>
          <w:rFonts w:ascii="Calibri" w:hAnsi="Calibri" w:cs="Calibri"/>
          <w:sz w:val="24"/>
          <w:szCs w:val="24"/>
          <w:lang w:eastAsia="en-AU"/>
        </w:rPr>
        <w:t xml:space="preserve">Participation in high-quality early childhood education programs may be particularly beneficial for children from disadvantaged backgrounds. These children—who may experience low family incomes, lone parenting, young maternal age, low parental education and overcrowded households—have been shown to be at risk of attaining poorer cognitive, language and other school outcomes. Targeted early education interventions have been shown to be effective </w:t>
      </w:r>
      <w:r w:rsidR="00E62112">
        <w:rPr>
          <w:rFonts w:ascii="Calibri" w:hAnsi="Calibri" w:cs="Calibri"/>
          <w:sz w:val="24"/>
          <w:szCs w:val="24"/>
          <w:lang w:eastAsia="en-AU"/>
        </w:rPr>
        <w:t>in</w:t>
      </w:r>
      <w:r w:rsidR="00E62112" w:rsidRPr="00036F90">
        <w:rPr>
          <w:rFonts w:ascii="Calibri" w:hAnsi="Calibri" w:cs="Calibri"/>
          <w:sz w:val="24"/>
          <w:szCs w:val="24"/>
          <w:lang w:eastAsia="en-AU"/>
        </w:rPr>
        <w:t xml:space="preserve"> </w:t>
      </w:r>
      <w:r w:rsidRPr="00036F90">
        <w:rPr>
          <w:rFonts w:ascii="Calibri" w:hAnsi="Calibri" w:cs="Calibri"/>
          <w:sz w:val="24"/>
          <w:szCs w:val="24"/>
          <w:lang w:eastAsia="en-AU"/>
        </w:rPr>
        <w:t xml:space="preserve">overcoming the effects of many of these disadvantages, and </w:t>
      </w:r>
      <w:r w:rsidR="00E62112">
        <w:rPr>
          <w:rFonts w:ascii="Calibri" w:hAnsi="Calibri" w:cs="Calibri"/>
          <w:sz w:val="24"/>
          <w:szCs w:val="24"/>
          <w:lang w:eastAsia="en-AU"/>
        </w:rPr>
        <w:t xml:space="preserve">they </w:t>
      </w:r>
      <w:r w:rsidRPr="00036F90">
        <w:rPr>
          <w:rFonts w:ascii="Calibri" w:hAnsi="Calibri" w:cs="Calibri"/>
          <w:sz w:val="24"/>
          <w:szCs w:val="24"/>
          <w:lang w:eastAsia="en-AU"/>
        </w:rPr>
        <w:t>have the potential to close the gap in academic achievement among disadvantaged populations (AIHW 2011</w:t>
      </w:r>
      <w:r>
        <w:rPr>
          <w:rFonts w:ascii="Calibri" w:hAnsi="Calibri" w:cs="Calibri"/>
          <w:sz w:val="24"/>
          <w:szCs w:val="24"/>
          <w:lang w:eastAsia="en-AU"/>
        </w:rPr>
        <w:t>a</w:t>
      </w:r>
      <w:r w:rsidRPr="00036F90">
        <w:rPr>
          <w:rFonts w:ascii="Calibri" w:hAnsi="Calibri" w:cs="Calibri"/>
          <w:sz w:val="24"/>
          <w:szCs w:val="24"/>
          <w:lang w:eastAsia="en-AU"/>
        </w:rPr>
        <w:t>).</w:t>
      </w:r>
    </w:p>
    <w:p w:rsidR="000B29AC" w:rsidRDefault="000B29AC" w:rsidP="000B29AC">
      <w:pPr>
        <w:rPr>
          <w:rFonts w:ascii="Calibri" w:hAnsi="Calibri" w:cs="Calibri"/>
          <w:sz w:val="24"/>
          <w:szCs w:val="24"/>
          <w:lang w:eastAsia="en-AU"/>
        </w:rPr>
      </w:pPr>
    </w:p>
    <w:p w:rsidR="000B29AC" w:rsidRDefault="000B29AC" w:rsidP="000B29AC">
      <w:pPr>
        <w:rPr>
          <w:rFonts w:ascii="Calibri" w:hAnsi="Calibri" w:cs="Calibri"/>
          <w:sz w:val="24"/>
          <w:szCs w:val="24"/>
          <w:lang w:eastAsia="en-AU"/>
        </w:rPr>
      </w:pPr>
      <w:r w:rsidRPr="0080464E">
        <w:rPr>
          <w:rFonts w:ascii="Calibri" w:hAnsi="Calibri" w:cs="Calibri"/>
          <w:sz w:val="24"/>
          <w:szCs w:val="24"/>
          <w:lang w:eastAsia="en-AU"/>
        </w:rPr>
        <w:t xml:space="preserve">Children commence full-time schooling in the preparatory year prior to Year 1 (this may </w:t>
      </w:r>
      <w:r>
        <w:rPr>
          <w:rFonts w:ascii="Calibri" w:hAnsi="Calibri" w:cs="Calibri"/>
          <w:sz w:val="24"/>
          <w:szCs w:val="24"/>
          <w:lang w:eastAsia="en-AU"/>
        </w:rPr>
        <w:t xml:space="preserve">be known by varying titles across states and territories, including </w:t>
      </w:r>
      <w:r w:rsidRPr="0080464E">
        <w:rPr>
          <w:rFonts w:ascii="Calibri" w:hAnsi="Calibri" w:cs="Calibri"/>
          <w:sz w:val="24"/>
          <w:szCs w:val="24"/>
          <w:lang w:eastAsia="en-AU"/>
        </w:rPr>
        <w:t>kindergarten, prep, pre-primary, reception or transition). Preschool programs are aimed at children in the year before they commence the preparatory year</w:t>
      </w:r>
      <w:r>
        <w:rPr>
          <w:rFonts w:ascii="Calibri" w:hAnsi="Calibri" w:cs="Calibri"/>
          <w:sz w:val="24"/>
          <w:szCs w:val="24"/>
          <w:lang w:eastAsia="en-AU"/>
        </w:rPr>
        <w:t>.</w:t>
      </w:r>
    </w:p>
    <w:p w:rsidR="000B29AC" w:rsidRDefault="000B29AC" w:rsidP="000B29AC">
      <w:pPr>
        <w:rPr>
          <w:rFonts w:ascii="Calibri" w:hAnsi="Calibri" w:cs="Calibri"/>
          <w:sz w:val="24"/>
          <w:szCs w:val="24"/>
          <w:lang w:eastAsia="en-AU"/>
        </w:rPr>
      </w:pPr>
    </w:p>
    <w:p w:rsidR="003C414F" w:rsidRDefault="003C414F">
      <w:pPr>
        <w:rPr>
          <w:rFonts w:ascii="Calibri" w:hAnsi="Calibri" w:cs="Calibri"/>
          <w:sz w:val="24"/>
          <w:szCs w:val="24"/>
          <w:lang w:eastAsia="en-AU"/>
        </w:rPr>
      </w:pPr>
      <w:r>
        <w:rPr>
          <w:rFonts w:ascii="Calibri" w:hAnsi="Calibri" w:cs="Calibri"/>
          <w:sz w:val="24"/>
          <w:szCs w:val="24"/>
          <w:lang w:eastAsia="en-AU"/>
        </w:rPr>
        <w:br w:type="page"/>
      </w:r>
    </w:p>
    <w:p w:rsidR="000B29AC" w:rsidRDefault="000B29AC" w:rsidP="000B29AC">
      <w:pPr>
        <w:rPr>
          <w:rFonts w:ascii="Calibri" w:hAnsi="Calibri" w:cs="Calibri"/>
          <w:sz w:val="24"/>
          <w:szCs w:val="24"/>
          <w:lang w:eastAsia="en-AU"/>
        </w:rPr>
      </w:pPr>
      <w:r>
        <w:rPr>
          <w:rFonts w:ascii="Calibri" w:hAnsi="Calibri" w:cs="Calibri"/>
          <w:sz w:val="24"/>
          <w:szCs w:val="24"/>
          <w:lang w:eastAsia="en-AU"/>
        </w:rPr>
        <w:t xml:space="preserve">Estimates from the ABS National Early Childhood Education and Care Collection for </w:t>
      </w:r>
      <w:r w:rsidRPr="00EF64CE">
        <w:rPr>
          <w:rFonts w:ascii="Calibri" w:hAnsi="Calibri" w:cs="Calibri"/>
          <w:sz w:val="24"/>
          <w:szCs w:val="24"/>
          <w:lang w:eastAsia="en-AU"/>
        </w:rPr>
        <w:t>2012</w:t>
      </w:r>
      <w:r>
        <w:rPr>
          <w:rFonts w:ascii="Calibri" w:hAnsi="Calibri" w:cs="Calibri"/>
          <w:sz w:val="24"/>
          <w:szCs w:val="24"/>
          <w:lang w:eastAsia="en-AU"/>
        </w:rPr>
        <w:t xml:space="preserve"> indicate that 86 per cent of children aged 4</w:t>
      </w:r>
      <w:r w:rsidR="00945F81">
        <w:rPr>
          <w:rFonts w:ascii="Calibri" w:hAnsi="Calibri" w:cs="Calibri"/>
          <w:sz w:val="24"/>
          <w:szCs w:val="24"/>
          <w:lang w:eastAsia="en-AU"/>
        </w:rPr>
        <w:t xml:space="preserve"> to </w:t>
      </w:r>
      <w:r>
        <w:rPr>
          <w:rFonts w:ascii="Calibri" w:hAnsi="Calibri" w:cs="Calibri"/>
          <w:sz w:val="24"/>
          <w:szCs w:val="24"/>
          <w:lang w:eastAsia="en-AU"/>
        </w:rPr>
        <w:t xml:space="preserve">5 years attended a preschool program </w:t>
      </w:r>
      <w:r w:rsidRPr="005F337B">
        <w:rPr>
          <w:rFonts w:ascii="Calibri" w:hAnsi="Calibri" w:cs="Calibri"/>
          <w:sz w:val="24"/>
          <w:szCs w:val="24"/>
          <w:lang w:eastAsia="en-AU"/>
        </w:rPr>
        <w:t xml:space="preserve">for at least one hour in the reference week </w:t>
      </w:r>
      <w:r>
        <w:rPr>
          <w:rFonts w:ascii="Calibri" w:hAnsi="Calibri" w:cs="Calibri"/>
          <w:sz w:val="24"/>
          <w:szCs w:val="24"/>
          <w:lang w:eastAsia="en-AU"/>
        </w:rPr>
        <w:t xml:space="preserve">in the year before full-time schooling (around 259 000 children). Attendance rates were higher among non-Indigenous children than Indigenous children (an estimated </w:t>
      </w:r>
      <w:r w:rsidRPr="005E3753">
        <w:rPr>
          <w:rFonts w:ascii="Calibri" w:hAnsi="Calibri" w:cs="Calibri"/>
          <w:sz w:val="24"/>
          <w:szCs w:val="24"/>
          <w:lang w:eastAsia="en-AU"/>
        </w:rPr>
        <w:t>86</w:t>
      </w:r>
      <w:r>
        <w:rPr>
          <w:rFonts w:ascii="Calibri" w:hAnsi="Calibri" w:cs="Calibri"/>
          <w:sz w:val="24"/>
          <w:szCs w:val="24"/>
          <w:lang w:eastAsia="en-AU"/>
        </w:rPr>
        <w:t xml:space="preserve"> per cent</w:t>
      </w:r>
      <w:r w:rsidRPr="005E3753">
        <w:rPr>
          <w:rFonts w:ascii="Calibri" w:hAnsi="Calibri" w:cs="Calibri"/>
          <w:sz w:val="24"/>
          <w:szCs w:val="24"/>
          <w:lang w:eastAsia="en-AU"/>
        </w:rPr>
        <w:t xml:space="preserve"> and 76</w:t>
      </w:r>
      <w:r w:rsidR="005B46FA">
        <w:rPr>
          <w:rFonts w:ascii="Calibri" w:hAnsi="Calibri" w:cs="Calibri"/>
          <w:sz w:val="24"/>
          <w:szCs w:val="24"/>
          <w:lang w:eastAsia="en-AU"/>
        </w:rPr>
        <w:t xml:space="preserve"> per cent respectively).</w:t>
      </w:r>
    </w:p>
    <w:p w:rsidR="000B29AC" w:rsidRDefault="000B29AC" w:rsidP="000B29AC">
      <w:pPr>
        <w:rPr>
          <w:rFonts w:ascii="Calibri" w:hAnsi="Calibri" w:cs="Calibri"/>
          <w:sz w:val="24"/>
          <w:szCs w:val="24"/>
          <w:lang w:eastAsia="en-AU"/>
        </w:rPr>
      </w:pPr>
    </w:p>
    <w:p w:rsidR="000B29AC" w:rsidRPr="00E93C3A" w:rsidRDefault="00FC088D" w:rsidP="00520DEC">
      <w:pPr>
        <w:pStyle w:val="Figure"/>
        <w:ind w:right="2527"/>
      </w:pPr>
      <w:bookmarkStart w:id="127" w:name="_Toc400010299"/>
      <w:r>
        <w:t xml:space="preserve">Table </w:t>
      </w:r>
      <w:fldSimple w:instr=" SEQ Table \* ARABIC ">
        <w:r w:rsidR="00BF1EC9">
          <w:rPr>
            <w:noProof/>
          </w:rPr>
          <w:t>13</w:t>
        </w:r>
      </w:fldSimple>
      <w:r>
        <w:t xml:space="preserve">: </w:t>
      </w:r>
      <w:r w:rsidRPr="00E93C3A">
        <w:t>Children attending a preschool program in the year before full-time schooling, 2012</w:t>
      </w:r>
      <w:bookmarkEnd w:id="1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13: Children attending a preschool program in the year before full-time schooling; in 2012 by percentage for Indigenous and non-Indigenous children."/>
      </w:tblPr>
      <w:tblGrid>
        <w:gridCol w:w="2376"/>
        <w:gridCol w:w="2268"/>
      </w:tblGrid>
      <w:tr w:rsidR="000B29AC" w:rsidTr="007535BE">
        <w:trPr>
          <w:tblHeader/>
        </w:trPr>
        <w:tc>
          <w:tcPr>
            <w:tcW w:w="2376" w:type="dxa"/>
            <w:tcBorders>
              <w:top w:val="single" w:sz="4" w:space="0" w:color="auto"/>
              <w:bottom w:val="single" w:sz="4" w:space="0" w:color="auto"/>
            </w:tcBorders>
          </w:tcPr>
          <w:p w:rsidR="000B29AC" w:rsidRPr="00E93C3A" w:rsidRDefault="000B29AC" w:rsidP="00135409">
            <w:pPr>
              <w:keepLines/>
              <w:tabs>
                <w:tab w:val="left" w:pos="198"/>
              </w:tabs>
              <w:spacing w:before="60" w:after="60" w:line="200" w:lineRule="atLeast"/>
              <w:rPr>
                <w:rFonts w:ascii="Arial" w:hAnsi="Arial"/>
                <w:color w:val="000000"/>
                <w:sz w:val="16"/>
                <w:lang w:eastAsia="en-US"/>
              </w:rPr>
            </w:pPr>
          </w:p>
        </w:tc>
        <w:tc>
          <w:tcPr>
            <w:tcW w:w="2268" w:type="dxa"/>
            <w:tcBorders>
              <w:top w:val="single" w:sz="4" w:space="0" w:color="auto"/>
              <w:bottom w:val="single" w:sz="4" w:space="0" w:color="auto"/>
            </w:tcBorders>
          </w:tcPr>
          <w:p w:rsidR="000B29AC" w:rsidRPr="00E93C3A" w:rsidRDefault="000B29AC" w:rsidP="00135409">
            <w:pPr>
              <w:keepLines/>
              <w:tabs>
                <w:tab w:val="left" w:pos="198"/>
              </w:tabs>
              <w:spacing w:before="60" w:after="60" w:line="200" w:lineRule="atLeast"/>
              <w:jc w:val="right"/>
              <w:rPr>
                <w:rFonts w:ascii="Arial" w:hAnsi="Arial"/>
                <w:b/>
                <w:color w:val="000000"/>
                <w:sz w:val="16"/>
                <w:lang w:eastAsia="en-US"/>
              </w:rPr>
            </w:pPr>
            <w:r w:rsidRPr="00E93C3A">
              <w:rPr>
                <w:rFonts w:ascii="Arial" w:hAnsi="Arial"/>
                <w:b/>
                <w:color w:val="000000"/>
                <w:sz w:val="16"/>
                <w:lang w:eastAsia="en-US"/>
              </w:rPr>
              <w:t>Per cent</w:t>
            </w:r>
          </w:p>
        </w:tc>
      </w:tr>
      <w:tr w:rsidR="000B29AC" w:rsidTr="007535BE">
        <w:tc>
          <w:tcPr>
            <w:tcW w:w="2376" w:type="dxa"/>
            <w:tcBorders>
              <w:top w:val="single" w:sz="4" w:space="0" w:color="auto"/>
            </w:tcBorders>
          </w:tcPr>
          <w:p w:rsidR="000B29AC" w:rsidRPr="00E93C3A" w:rsidRDefault="000B29AC" w:rsidP="00135409">
            <w:pPr>
              <w:keepLines/>
              <w:tabs>
                <w:tab w:val="left" w:pos="198"/>
              </w:tabs>
              <w:spacing w:before="60" w:after="60" w:line="200" w:lineRule="atLeast"/>
              <w:rPr>
                <w:rFonts w:ascii="Arial" w:hAnsi="Arial"/>
                <w:color w:val="000000"/>
                <w:sz w:val="16"/>
                <w:lang w:eastAsia="en-US"/>
              </w:rPr>
            </w:pPr>
            <w:r>
              <w:rPr>
                <w:rFonts w:ascii="Arial" w:hAnsi="Arial"/>
                <w:color w:val="000000"/>
                <w:sz w:val="16"/>
                <w:lang w:eastAsia="en-US"/>
              </w:rPr>
              <w:t>Indigenous children</w:t>
            </w:r>
          </w:p>
        </w:tc>
        <w:tc>
          <w:tcPr>
            <w:tcW w:w="2268" w:type="dxa"/>
            <w:tcBorders>
              <w:top w:val="single" w:sz="4" w:space="0" w:color="auto"/>
            </w:tcBorders>
          </w:tcPr>
          <w:p w:rsidR="000B29AC" w:rsidRPr="00E93C3A" w:rsidRDefault="000B29A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76.0</w:t>
            </w:r>
          </w:p>
        </w:tc>
      </w:tr>
      <w:tr w:rsidR="000B29AC" w:rsidTr="007535BE">
        <w:tc>
          <w:tcPr>
            <w:tcW w:w="2376" w:type="dxa"/>
          </w:tcPr>
          <w:p w:rsidR="000B29AC" w:rsidRPr="00E93C3A" w:rsidRDefault="000B29AC" w:rsidP="00135409">
            <w:pPr>
              <w:keepLines/>
              <w:tabs>
                <w:tab w:val="left" w:pos="198"/>
              </w:tabs>
              <w:spacing w:before="60" w:after="60" w:line="200" w:lineRule="atLeast"/>
              <w:rPr>
                <w:rFonts w:ascii="Arial" w:hAnsi="Arial"/>
                <w:color w:val="000000"/>
                <w:sz w:val="16"/>
                <w:lang w:eastAsia="en-US"/>
              </w:rPr>
            </w:pPr>
            <w:r>
              <w:rPr>
                <w:rFonts w:ascii="Arial" w:hAnsi="Arial"/>
                <w:color w:val="000000"/>
                <w:sz w:val="16"/>
                <w:lang w:eastAsia="en-US"/>
              </w:rPr>
              <w:t>Non-Indigenous children</w:t>
            </w:r>
          </w:p>
        </w:tc>
        <w:tc>
          <w:tcPr>
            <w:tcW w:w="2268" w:type="dxa"/>
          </w:tcPr>
          <w:p w:rsidR="000B29AC" w:rsidRPr="00E93C3A" w:rsidRDefault="000B29A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86.0</w:t>
            </w:r>
          </w:p>
        </w:tc>
      </w:tr>
      <w:tr w:rsidR="000B29AC" w:rsidRPr="00BE7192" w:rsidTr="007535BE">
        <w:tc>
          <w:tcPr>
            <w:tcW w:w="2376" w:type="dxa"/>
            <w:tcBorders>
              <w:bottom w:val="single" w:sz="4" w:space="0" w:color="auto"/>
            </w:tcBorders>
          </w:tcPr>
          <w:p w:rsidR="000B29AC" w:rsidRPr="00EA5E75" w:rsidRDefault="000B29AC" w:rsidP="00135409">
            <w:pPr>
              <w:keepNext/>
              <w:keepLines/>
              <w:tabs>
                <w:tab w:val="left" w:pos="198"/>
              </w:tabs>
              <w:spacing w:before="60" w:after="60" w:line="200" w:lineRule="atLeast"/>
              <w:rPr>
                <w:rFonts w:ascii="Arial" w:hAnsi="Arial"/>
                <w:b/>
                <w:color w:val="000000"/>
                <w:sz w:val="16"/>
                <w:lang w:eastAsia="en-US"/>
              </w:rPr>
            </w:pPr>
            <w:r w:rsidRPr="00EA5E75">
              <w:rPr>
                <w:rFonts w:ascii="Arial" w:hAnsi="Arial"/>
                <w:b/>
                <w:color w:val="000000"/>
                <w:sz w:val="16"/>
                <w:lang w:eastAsia="en-US"/>
              </w:rPr>
              <w:t xml:space="preserve">All children </w:t>
            </w:r>
          </w:p>
        </w:tc>
        <w:tc>
          <w:tcPr>
            <w:tcW w:w="2268" w:type="dxa"/>
            <w:tcBorders>
              <w:bottom w:val="single" w:sz="4" w:space="0" w:color="auto"/>
            </w:tcBorders>
          </w:tcPr>
          <w:p w:rsidR="000B29AC" w:rsidRPr="00EA5E75" w:rsidRDefault="000B29AC" w:rsidP="00135409">
            <w:pPr>
              <w:keepNext/>
              <w:keepLines/>
              <w:tabs>
                <w:tab w:val="left" w:pos="198"/>
              </w:tabs>
              <w:spacing w:before="60" w:after="60" w:line="200" w:lineRule="atLeast"/>
              <w:jc w:val="right"/>
              <w:rPr>
                <w:rFonts w:ascii="Arial" w:hAnsi="Arial"/>
                <w:b/>
                <w:color w:val="000000"/>
                <w:sz w:val="16"/>
                <w:lang w:eastAsia="en-US"/>
              </w:rPr>
            </w:pPr>
            <w:r w:rsidRPr="00EA5E75">
              <w:rPr>
                <w:rFonts w:ascii="Arial" w:hAnsi="Arial"/>
                <w:b/>
                <w:color w:val="000000"/>
                <w:sz w:val="16"/>
                <w:lang w:eastAsia="en-US"/>
              </w:rPr>
              <w:t>86.1</w:t>
            </w:r>
          </w:p>
        </w:tc>
      </w:tr>
    </w:tbl>
    <w:p w:rsidR="000B29AC" w:rsidRPr="008F388F" w:rsidRDefault="000B29AC" w:rsidP="00D66FAA">
      <w:pPr>
        <w:pStyle w:val="StyleArial7ptLeft0cmHanging05cmBefore6pt"/>
      </w:pPr>
      <w:r w:rsidRPr="008F388F">
        <w:t xml:space="preserve">Notes </w:t>
      </w:r>
    </w:p>
    <w:p w:rsidR="000B29AC" w:rsidRPr="008F388F" w:rsidRDefault="000B29AC" w:rsidP="00340880">
      <w:pPr>
        <w:pStyle w:val="StyleArial7ptLeft0cmHanging05cmBefore6pt"/>
        <w:ind w:left="284" w:hanging="284"/>
      </w:pPr>
      <w:r w:rsidRPr="008F388F">
        <w:t>1.</w:t>
      </w:r>
      <w:r w:rsidRPr="008F388F">
        <w:tab/>
        <w:t>A small number of children aged 5 attend a preschool program in the year before full-time schooling. In calculating the percentages, the numerator therefore includes children aged 4 and 5 and the denominator includes children aged 4 only.</w:t>
      </w:r>
    </w:p>
    <w:p w:rsidR="000B29AC" w:rsidRPr="008F388F" w:rsidRDefault="000B29AC" w:rsidP="00340880">
      <w:pPr>
        <w:pStyle w:val="StyleArial7ptLeft0cmHanging05cmBefore6pt"/>
        <w:ind w:left="284" w:hanging="284"/>
      </w:pPr>
      <w:r w:rsidRPr="008F388F">
        <w:t>2.</w:t>
      </w:r>
      <w:r w:rsidRPr="008F388F">
        <w:tab/>
        <w:t xml:space="preserve">The denominator for this table is the ABS June 2012 Estimated Resident Population based on the 2006 Census. </w:t>
      </w:r>
    </w:p>
    <w:p w:rsidR="000B29AC" w:rsidRPr="008F388F" w:rsidRDefault="00340880" w:rsidP="00340880">
      <w:pPr>
        <w:pStyle w:val="StyleArial7ptLeft0cmHanging05cmBefore6pt"/>
        <w:ind w:left="284" w:hanging="284"/>
      </w:pPr>
      <w:r>
        <w:t>3.</w:t>
      </w:r>
      <w:r w:rsidR="000B29AC" w:rsidRPr="008F388F">
        <w:tab/>
        <w:t>In 2012, data for Queensland (and therefore Australia totals) include counts of episodes of preschool enrolment rather than unique child counts. Children attending an early education program with more than one episode of preschool enrolment are therefore counted more than once in these data.</w:t>
      </w:r>
    </w:p>
    <w:p w:rsidR="000B29AC" w:rsidRDefault="000B29AC" w:rsidP="00340880">
      <w:pPr>
        <w:pStyle w:val="StyleArial7ptLeft0cmHanging05cmBefore6pt"/>
        <w:ind w:left="284" w:hanging="284"/>
      </w:pPr>
      <w:r w:rsidRPr="008F388F">
        <w:t>Source: ABS 2012 National Early Childhood Education and Care Collection data sourced from AIHW 2013b.</w:t>
      </w:r>
    </w:p>
    <w:p w:rsidR="003C414F" w:rsidRPr="008F388F" w:rsidRDefault="003C414F" w:rsidP="00340880">
      <w:pPr>
        <w:pStyle w:val="StyleArial7ptLeft0cmHanging05cmBefore6pt"/>
        <w:ind w:left="284" w:hanging="284"/>
      </w:pPr>
    </w:p>
    <w:p w:rsidR="000B29AC" w:rsidRPr="00EA7C35" w:rsidRDefault="000B29AC" w:rsidP="00EA7C35">
      <w:pPr>
        <w:pStyle w:val="Heading3"/>
      </w:pPr>
      <w:bookmarkStart w:id="128" w:name="_Toc400007727"/>
      <w:r w:rsidRPr="00EA7C35">
        <w:t>Antenatal care</w:t>
      </w:r>
      <w:bookmarkEnd w:id="128"/>
    </w:p>
    <w:p w:rsidR="000B29AC" w:rsidRPr="00D44281" w:rsidRDefault="000B29AC" w:rsidP="004B3342">
      <w:pPr>
        <w:pStyle w:val="Heading4a"/>
      </w:pPr>
      <w:r w:rsidRPr="00D44281">
        <w:t>Indicator 2.3: Proportion of women who had at least five antenatal visits during pregnancy</w:t>
      </w:r>
    </w:p>
    <w:p w:rsidR="000B29AC" w:rsidRPr="00605BBC" w:rsidRDefault="000B29AC" w:rsidP="000B29AC">
      <w:pPr>
        <w:rPr>
          <w:rFonts w:ascii="Calibri" w:hAnsi="Calibri"/>
          <w:sz w:val="24"/>
          <w:lang w:eastAsia="en-AU"/>
        </w:rPr>
      </w:pPr>
    </w:p>
    <w:p w:rsidR="000B29AC" w:rsidRPr="00821556" w:rsidRDefault="000B29AC" w:rsidP="000B29AC">
      <w:pPr>
        <w:rPr>
          <w:rFonts w:ascii="Calibri" w:hAnsi="Calibri" w:cs="Calibri"/>
          <w:sz w:val="24"/>
          <w:szCs w:val="24"/>
          <w:lang w:eastAsia="en-AU"/>
        </w:rPr>
      </w:pPr>
      <w:r w:rsidRPr="00821556">
        <w:rPr>
          <w:rFonts w:ascii="Calibri" w:hAnsi="Calibri" w:cs="Calibri"/>
          <w:sz w:val="24"/>
          <w:szCs w:val="24"/>
          <w:lang w:eastAsia="en-AU"/>
        </w:rPr>
        <w:t>Antenatal care is important for the safety and wellbeing of infants.</w:t>
      </w:r>
      <w:r>
        <w:rPr>
          <w:rFonts w:ascii="Calibri" w:hAnsi="Calibri" w:cs="Calibri"/>
          <w:sz w:val="24"/>
          <w:szCs w:val="24"/>
          <w:lang w:eastAsia="en-AU"/>
        </w:rPr>
        <w:t xml:space="preserve"> </w:t>
      </w:r>
      <w:r w:rsidRPr="00821556">
        <w:rPr>
          <w:rFonts w:ascii="Calibri" w:hAnsi="Calibri" w:cs="Calibri"/>
          <w:sz w:val="24"/>
          <w:szCs w:val="24"/>
          <w:lang w:eastAsia="en-AU"/>
        </w:rPr>
        <w:t>Women who do not receive antenatal care are more likely to have adverse pregnancy outcomes, including preterm birth, post-partum haemorrhage, babies with low birth weight and perinatal death. These adverse birth outcomes can have long</w:t>
      </w:r>
      <w:r>
        <w:rPr>
          <w:rFonts w:ascii="Calibri" w:hAnsi="Calibri" w:cs="Calibri"/>
          <w:sz w:val="24"/>
          <w:szCs w:val="24"/>
          <w:lang w:eastAsia="en-AU"/>
        </w:rPr>
        <w:t>-</w:t>
      </w:r>
      <w:r w:rsidRPr="00821556">
        <w:rPr>
          <w:rFonts w:ascii="Calibri" w:hAnsi="Calibri" w:cs="Calibri"/>
          <w:sz w:val="24"/>
          <w:szCs w:val="24"/>
          <w:lang w:eastAsia="en-AU"/>
        </w:rPr>
        <w:t>term negative impacts on the mental and physical wellbeing of both children and their mothers, and this, of course, can affect parenting capacity.</w:t>
      </w:r>
    </w:p>
    <w:p w:rsidR="000B29AC" w:rsidRPr="00821556" w:rsidRDefault="000B29AC" w:rsidP="000B29AC">
      <w:pPr>
        <w:rPr>
          <w:rFonts w:ascii="Calibri" w:hAnsi="Calibri" w:cs="Calibri"/>
          <w:sz w:val="24"/>
          <w:szCs w:val="24"/>
          <w:lang w:eastAsia="en-AU"/>
        </w:rPr>
      </w:pPr>
    </w:p>
    <w:p w:rsidR="000B29AC" w:rsidRDefault="000B29AC" w:rsidP="000B29AC">
      <w:pPr>
        <w:rPr>
          <w:rFonts w:ascii="Calibri" w:hAnsi="Calibri" w:cs="Calibri"/>
          <w:sz w:val="24"/>
          <w:szCs w:val="24"/>
          <w:lang w:eastAsia="en-AU"/>
        </w:rPr>
      </w:pPr>
      <w:r w:rsidRPr="00821556">
        <w:rPr>
          <w:rFonts w:ascii="Calibri" w:hAnsi="Calibri" w:cs="Calibri"/>
          <w:sz w:val="24"/>
          <w:szCs w:val="24"/>
          <w:lang w:eastAsia="en-AU"/>
        </w:rPr>
        <w:t>The National Indigenous Reform Agreement sets a benchmark of at least five antenatal visits during pregnancy.</w:t>
      </w:r>
      <w:r>
        <w:rPr>
          <w:rFonts w:ascii="Calibri" w:hAnsi="Calibri" w:cs="Calibri"/>
          <w:sz w:val="24"/>
          <w:szCs w:val="24"/>
          <w:lang w:eastAsia="en-AU"/>
        </w:rPr>
        <w:t xml:space="preserve"> </w:t>
      </w:r>
      <w:r w:rsidRPr="00821556">
        <w:rPr>
          <w:rFonts w:ascii="Calibri" w:hAnsi="Calibri" w:cs="Calibri"/>
          <w:sz w:val="24"/>
          <w:szCs w:val="24"/>
          <w:lang w:eastAsia="en-AU"/>
        </w:rPr>
        <w:t xml:space="preserve">Data on the number of antenatal visits during pregnancy were available for Queensland, South Australia, </w:t>
      </w:r>
      <w:r>
        <w:rPr>
          <w:rFonts w:ascii="Calibri" w:hAnsi="Calibri" w:cs="Calibri"/>
          <w:sz w:val="24"/>
          <w:szCs w:val="24"/>
          <w:lang w:eastAsia="en-AU"/>
        </w:rPr>
        <w:t xml:space="preserve">Tasmania, </w:t>
      </w:r>
      <w:r w:rsidRPr="00821556">
        <w:rPr>
          <w:rFonts w:ascii="Calibri" w:hAnsi="Calibri" w:cs="Calibri"/>
          <w:sz w:val="24"/>
          <w:szCs w:val="24"/>
          <w:lang w:eastAsia="en-AU"/>
        </w:rPr>
        <w:t>Australian Capital Territory and the Northern Territory.</w:t>
      </w:r>
      <w:r>
        <w:rPr>
          <w:rFonts w:ascii="Calibri" w:hAnsi="Calibri" w:cs="Calibri"/>
          <w:sz w:val="24"/>
          <w:szCs w:val="24"/>
          <w:lang w:eastAsia="en-AU"/>
        </w:rPr>
        <w:t xml:space="preserve"> </w:t>
      </w:r>
      <w:r w:rsidRPr="00821556">
        <w:rPr>
          <w:rFonts w:ascii="Calibri" w:hAnsi="Calibri" w:cs="Calibri"/>
          <w:sz w:val="24"/>
          <w:szCs w:val="24"/>
          <w:lang w:eastAsia="en-AU"/>
        </w:rPr>
        <w:t>During 20</w:t>
      </w:r>
      <w:r>
        <w:rPr>
          <w:rFonts w:ascii="Calibri" w:hAnsi="Calibri" w:cs="Calibri"/>
          <w:sz w:val="24"/>
          <w:szCs w:val="24"/>
          <w:lang w:eastAsia="en-AU"/>
        </w:rPr>
        <w:t>10</w:t>
      </w:r>
      <w:r w:rsidRPr="00821556">
        <w:rPr>
          <w:rFonts w:ascii="Calibri" w:hAnsi="Calibri" w:cs="Calibri"/>
          <w:sz w:val="24"/>
          <w:szCs w:val="24"/>
          <w:lang w:eastAsia="en-AU"/>
        </w:rPr>
        <w:t xml:space="preserve">, </w:t>
      </w:r>
      <w:r>
        <w:rPr>
          <w:rFonts w:ascii="Calibri" w:hAnsi="Calibri" w:cs="Calibri"/>
          <w:sz w:val="24"/>
          <w:szCs w:val="24"/>
          <w:lang w:eastAsia="en-AU"/>
        </w:rPr>
        <w:t xml:space="preserve">nine in ten </w:t>
      </w:r>
      <w:r w:rsidRPr="00821556">
        <w:rPr>
          <w:rFonts w:ascii="Calibri" w:hAnsi="Calibri" w:cs="Calibri"/>
          <w:sz w:val="24"/>
          <w:szCs w:val="24"/>
          <w:lang w:eastAsia="en-AU"/>
        </w:rPr>
        <w:t xml:space="preserve">women who gave birth had </w:t>
      </w:r>
      <w:r>
        <w:rPr>
          <w:rFonts w:ascii="Calibri" w:hAnsi="Calibri" w:cs="Calibri"/>
          <w:sz w:val="24"/>
          <w:szCs w:val="24"/>
          <w:lang w:eastAsia="en-AU"/>
        </w:rPr>
        <w:t xml:space="preserve">at least five antenatal visits (90 per cent), and almost all had </w:t>
      </w:r>
      <w:r w:rsidRPr="00821556">
        <w:rPr>
          <w:rFonts w:ascii="Calibri" w:hAnsi="Calibri" w:cs="Calibri"/>
          <w:sz w:val="24"/>
          <w:szCs w:val="24"/>
          <w:lang w:eastAsia="en-AU"/>
        </w:rPr>
        <w:t>at least one antenatal visit</w:t>
      </w:r>
      <w:r>
        <w:rPr>
          <w:rFonts w:ascii="Calibri" w:hAnsi="Calibri" w:cs="Calibri"/>
          <w:sz w:val="24"/>
          <w:szCs w:val="24"/>
          <w:lang w:eastAsia="en-AU"/>
        </w:rPr>
        <w:t xml:space="preserve"> (96 per cent). </w:t>
      </w:r>
      <w:r w:rsidRPr="00821556">
        <w:rPr>
          <w:rFonts w:ascii="Calibri" w:hAnsi="Calibri" w:cs="Calibri"/>
          <w:sz w:val="24"/>
          <w:szCs w:val="24"/>
          <w:lang w:eastAsia="en-AU"/>
        </w:rPr>
        <w:t>Only 0.</w:t>
      </w:r>
      <w:r>
        <w:rPr>
          <w:rFonts w:ascii="Calibri" w:hAnsi="Calibri" w:cs="Calibri"/>
          <w:sz w:val="24"/>
          <w:szCs w:val="24"/>
          <w:lang w:eastAsia="en-AU"/>
        </w:rPr>
        <w:t>2 per cent</w:t>
      </w:r>
      <w:r w:rsidRPr="00821556">
        <w:rPr>
          <w:rFonts w:ascii="Calibri" w:hAnsi="Calibri" w:cs="Calibri"/>
          <w:sz w:val="24"/>
          <w:szCs w:val="24"/>
          <w:lang w:eastAsia="en-AU"/>
        </w:rPr>
        <w:t xml:space="preserve"> had no antenatal visits</w:t>
      </w:r>
      <w:r>
        <w:rPr>
          <w:rFonts w:ascii="Calibri" w:hAnsi="Calibri" w:cs="Calibri"/>
          <w:sz w:val="24"/>
          <w:szCs w:val="24"/>
          <w:lang w:eastAsia="en-AU"/>
        </w:rPr>
        <w:t xml:space="preserve"> during pregnancy</w:t>
      </w:r>
      <w:r w:rsidRPr="00821556">
        <w:rPr>
          <w:rFonts w:ascii="Calibri" w:hAnsi="Calibri" w:cs="Calibri"/>
          <w:sz w:val="24"/>
          <w:szCs w:val="24"/>
          <w:lang w:eastAsia="en-AU"/>
        </w:rPr>
        <w:t>.</w:t>
      </w:r>
      <w:r>
        <w:rPr>
          <w:rFonts w:ascii="Calibri" w:hAnsi="Calibri" w:cs="Calibri"/>
          <w:sz w:val="24"/>
          <w:szCs w:val="24"/>
          <w:lang w:eastAsia="en-AU"/>
        </w:rPr>
        <w:t xml:space="preserve"> Similar patterns were found in 2008 and 2009 (Laws</w:t>
      </w:r>
      <w:r w:rsidR="00E62112">
        <w:rPr>
          <w:rFonts w:ascii="Calibri" w:hAnsi="Calibri" w:cs="Calibri"/>
          <w:sz w:val="24"/>
          <w:szCs w:val="24"/>
          <w:lang w:eastAsia="en-AU"/>
        </w:rPr>
        <w:t>, Li &amp; Sullivan</w:t>
      </w:r>
      <w:r>
        <w:rPr>
          <w:rFonts w:ascii="Calibri" w:hAnsi="Calibri" w:cs="Calibri"/>
          <w:sz w:val="24"/>
          <w:szCs w:val="24"/>
          <w:lang w:eastAsia="en-AU"/>
        </w:rPr>
        <w:t xml:space="preserve"> 2010; Li et al. 2011)</w:t>
      </w:r>
      <w:r w:rsidRPr="00821556">
        <w:rPr>
          <w:rFonts w:ascii="Calibri" w:hAnsi="Calibri" w:cs="Calibri"/>
          <w:sz w:val="24"/>
          <w:szCs w:val="24"/>
          <w:lang w:eastAsia="en-AU"/>
        </w:rPr>
        <w:t>.</w:t>
      </w:r>
    </w:p>
    <w:p w:rsidR="000B29AC" w:rsidRDefault="000B29AC" w:rsidP="000B29AC">
      <w:pPr>
        <w:rPr>
          <w:rFonts w:ascii="Calibri" w:hAnsi="Calibri" w:cs="Calibri"/>
          <w:sz w:val="24"/>
          <w:szCs w:val="24"/>
          <w:lang w:eastAsia="en-AU"/>
        </w:rPr>
      </w:pPr>
    </w:p>
    <w:p w:rsidR="000B29AC" w:rsidRDefault="000B29AC" w:rsidP="000B29AC">
      <w:pPr>
        <w:rPr>
          <w:rFonts w:ascii="Calibri" w:hAnsi="Calibri" w:cs="Calibri"/>
          <w:sz w:val="24"/>
          <w:szCs w:val="24"/>
          <w:lang w:eastAsia="en-AU"/>
        </w:rPr>
      </w:pPr>
      <w:r>
        <w:rPr>
          <w:rFonts w:ascii="Calibri" w:hAnsi="Calibri" w:cs="Calibri"/>
          <w:sz w:val="24"/>
          <w:szCs w:val="24"/>
          <w:lang w:eastAsia="en-AU"/>
        </w:rPr>
        <w:t xml:space="preserve">Among </w:t>
      </w:r>
      <w:r w:rsidRPr="000867BD">
        <w:rPr>
          <w:rFonts w:ascii="Calibri" w:hAnsi="Calibri" w:cs="Calibri"/>
          <w:sz w:val="24"/>
          <w:szCs w:val="24"/>
          <w:lang w:eastAsia="en-AU"/>
        </w:rPr>
        <w:t xml:space="preserve">women who gave birth at 32 weeks </w:t>
      </w:r>
      <w:r>
        <w:rPr>
          <w:rFonts w:ascii="Calibri" w:hAnsi="Calibri" w:cs="Calibri"/>
          <w:sz w:val="24"/>
          <w:szCs w:val="24"/>
          <w:lang w:eastAsia="en-AU"/>
        </w:rPr>
        <w:t xml:space="preserve">or more </w:t>
      </w:r>
      <w:r w:rsidRPr="000867BD">
        <w:rPr>
          <w:rFonts w:ascii="Calibri" w:hAnsi="Calibri" w:cs="Calibri"/>
          <w:sz w:val="24"/>
          <w:szCs w:val="24"/>
          <w:lang w:eastAsia="en-AU"/>
        </w:rPr>
        <w:t>gestation, thus</w:t>
      </w:r>
      <w:r>
        <w:rPr>
          <w:rFonts w:ascii="Calibri" w:hAnsi="Calibri" w:cs="Calibri"/>
          <w:sz w:val="24"/>
          <w:szCs w:val="24"/>
          <w:lang w:eastAsia="en-AU"/>
        </w:rPr>
        <w:t xml:space="preserve"> </w:t>
      </w:r>
      <w:r w:rsidRPr="000867BD">
        <w:rPr>
          <w:rFonts w:ascii="Calibri" w:hAnsi="Calibri" w:cs="Calibri"/>
          <w:sz w:val="24"/>
          <w:szCs w:val="24"/>
          <w:lang w:eastAsia="en-AU"/>
        </w:rPr>
        <w:t>excluding very preterm births, 96</w:t>
      </w:r>
      <w:r>
        <w:rPr>
          <w:rFonts w:ascii="Calibri" w:hAnsi="Calibri" w:cs="Calibri"/>
          <w:sz w:val="24"/>
          <w:szCs w:val="24"/>
          <w:lang w:eastAsia="en-AU"/>
        </w:rPr>
        <w:t xml:space="preserve"> per cent</w:t>
      </w:r>
      <w:r w:rsidRPr="000867BD">
        <w:rPr>
          <w:rFonts w:ascii="Calibri" w:hAnsi="Calibri" w:cs="Calibri"/>
          <w:sz w:val="24"/>
          <w:szCs w:val="24"/>
          <w:lang w:eastAsia="en-AU"/>
        </w:rPr>
        <w:t xml:space="preserve"> had at least one </w:t>
      </w:r>
      <w:r>
        <w:rPr>
          <w:rFonts w:ascii="Calibri" w:hAnsi="Calibri" w:cs="Calibri"/>
          <w:sz w:val="24"/>
          <w:szCs w:val="24"/>
          <w:lang w:eastAsia="en-AU"/>
        </w:rPr>
        <w:t xml:space="preserve">antenatal </w:t>
      </w:r>
      <w:r w:rsidRPr="000867BD">
        <w:rPr>
          <w:rFonts w:ascii="Calibri" w:hAnsi="Calibri" w:cs="Calibri"/>
          <w:sz w:val="24"/>
          <w:szCs w:val="24"/>
          <w:lang w:eastAsia="en-AU"/>
        </w:rPr>
        <w:t>visit</w:t>
      </w:r>
      <w:r w:rsidR="009953FB">
        <w:rPr>
          <w:rFonts w:ascii="Calibri" w:hAnsi="Calibri" w:cs="Calibri"/>
          <w:sz w:val="24"/>
          <w:szCs w:val="24"/>
          <w:lang w:eastAsia="en-AU"/>
        </w:rPr>
        <w:t>,</w:t>
      </w:r>
      <w:r w:rsidRPr="000867BD">
        <w:rPr>
          <w:rFonts w:ascii="Calibri" w:hAnsi="Calibri" w:cs="Calibri"/>
          <w:sz w:val="24"/>
          <w:szCs w:val="24"/>
          <w:lang w:eastAsia="en-AU"/>
        </w:rPr>
        <w:t xml:space="preserve"> and 91</w:t>
      </w:r>
      <w:r>
        <w:rPr>
          <w:rFonts w:ascii="Calibri" w:hAnsi="Calibri" w:cs="Calibri"/>
          <w:sz w:val="24"/>
          <w:szCs w:val="24"/>
          <w:lang w:eastAsia="en-AU"/>
        </w:rPr>
        <w:t xml:space="preserve"> per cent</w:t>
      </w:r>
      <w:r w:rsidRPr="000867BD">
        <w:rPr>
          <w:rFonts w:ascii="Calibri" w:hAnsi="Calibri" w:cs="Calibri"/>
          <w:sz w:val="24"/>
          <w:szCs w:val="24"/>
          <w:lang w:eastAsia="en-AU"/>
        </w:rPr>
        <w:t xml:space="preserve"> had five or more</w:t>
      </w:r>
      <w:r>
        <w:rPr>
          <w:rFonts w:ascii="Calibri" w:hAnsi="Calibri" w:cs="Calibri"/>
          <w:sz w:val="24"/>
          <w:szCs w:val="24"/>
          <w:lang w:eastAsia="en-AU"/>
        </w:rPr>
        <w:t xml:space="preserve"> (</w:t>
      </w:r>
      <w:r w:rsidRPr="00E32A39">
        <w:rPr>
          <w:rFonts w:ascii="Calibri" w:hAnsi="Calibri" w:cs="Calibri"/>
          <w:sz w:val="24"/>
          <w:szCs w:val="24"/>
          <w:lang w:eastAsia="en-AU"/>
        </w:rPr>
        <w:t>Li et al. 2012</w:t>
      </w:r>
      <w:r>
        <w:rPr>
          <w:rFonts w:ascii="Calibri" w:hAnsi="Calibri" w:cs="Calibri"/>
          <w:sz w:val="24"/>
          <w:szCs w:val="24"/>
          <w:lang w:eastAsia="en-AU"/>
        </w:rPr>
        <w:t>)</w:t>
      </w:r>
      <w:r w:rsidRPr="00E32A39">
        <w:rPr>
          <w:rFonts w:ascii="Calibri" w:hAnsi="Calibri" w:cs="Calibri"/>
          <w:sz w:val="24"/>
          <w:szCs w:val="24"/>
          <w:lang w:eastAsia="en-AU"/>
        </w:rPr>
        <w:t>.</w:t>
      </w:r>
    </w:p>
    <w:p w:rsidR="000B29AC" w:rsidRDefault="000B29AC" w:rsidP="000B29AC">
      <w:pPr>
        <w:rPr>
          <w:rFonts w:ascii="Calibri" w:hAnsi="Calibri" w:cs="Calibri"/>
          <w:sz w:val="24"/>
          <w:szCs w:val="24"/>
          <w:lang w:eastAsia="en-AU"/>
        </w:rPr>
      </w:pPr>
    </w:p>
    <w:p w:rsidR="000B29AC" w:rsidRPr="00821556" w:rsidRDefault="000B29AC" w:rsidP="000B29AC">
      <w:pPr>
        <w:rPr>
          <w:rFonts w:ascii="Calibri" w:hAnsi="Calibri" w:cs="Calibri"/>
          <w:sz w:val="24"/>
          <w:szCs w:val="24"/>
          <w:lang w:eastAsia="en-AU"/>
        </w:rPr>
      </w:pPr>
      <w:r w:rsidRPr="00E32A39">
        <w:rPr>
          <w:rFonts w:ascii="Calibri" w:hAnsi="Calibri" w:cs="Calibri"/>
          <w:sz w:val="24"/>
          <w:szCs w:val="24"/>
          <w:lang w:eastAsia="en-AU"/>
        </w:rPr>
        <w:t>Aboriginal or Torres Strait Islander mothers had fewer antenatal visits than non-Indigenous</w:t>
      </w:r>
      <w:r>
        <w:rPr>
          <w:rFonts w:ascii="Calibri" w:hAnsi="Calibri" w:cs="Calibri"/>
          <w:sz w:val="24"/>
          <w:szCs w:val="24"/>
          <w:lang w:eastAsia="en-AU"/>
        </w:rPr>
        <w:t xml:space="preserve"> </w:t>
      </w:r>
      <w:r w:rsidRPr="00E32A39">
        <w:rPr>
          <w:rFonts w:ascii="Calibri" w:hAnsi="Calibri" w:cs="Calibri"/>
          <w:sz w:val="24"/>
          <w:szCs w:val="24"/>
          <w:lang w:eastAsia="en-AU"/>
        </w:rPr>
        <w:t xml:space="preserve">mothers. </w:t>
      </w:r>
      <w:r>
        <w:rPr>
          <w:rFonts w:ascii="Calibri" w:hAnsi="Calibri" w:cs="Calibri"/>
          <w:sz w:val="24"/>
          <w:szCs w:val="24"/>
          <w:lang w:eastAsia="en-AU"/>
        </w:rPr>
        <w:t>Among</w:t>
      </w:r>
      <w:r w:rsidRPr="00E32A39">
        <w:rPr>
          <w:rFonts w:ascii="Calibri" w:hAnsi="Calibri" w:cs="Calibri"/>
          <w:sz w:val="24"/>
          <w:szCs w:val="24"/>
          <w:lang w:eastAsia="en-AU"/>
        </w:rPr>
        <w:t xml:space="preserve"> </w:t>
      </w:r>
      <w:r>
        <w:rPr>
          <w:rFonts w:ascii="Calibri" w:hAnsi="Calibri" w:cs="Calibri"/>
          <w:sz w:val="24"/>
          <w:szCs w:val="24"/>
          <w:lang w:eastAsia="en-AU"/>
        </w:rPr>
        <w:t xml:space="preserve">mothers </w:t>
      </w:r>
      <w:r w:rsidRPr="00E32A39">
        <w:rPr>
          <w:rFonts w:ascii="Calibri" w:hAnsi="Calibri" w:cs="Calibri"/>
          <w:sz w:val="24"/>
          <w:szCs w:val="24"/>
          <w:lang w:eastAsia="en-AU"/>
        </w:rPr>
        <w:t>who gave birth at 32 weeks or more, 7</w:t>
      </w:r>
      <w:r>
        <w:rPr>
          <w:rFonts w:ascii="Calibri" w:hAnsi="Calibri" w:cs="Calibri"/>
          <w:sz w:val="24"/>
          <w:szCs w:val="24"/>
          <w:lang w:eastAsia="en-AU"/>
        </w:rPr>
        <w:t>8 per cent</w:t>
      </w:r>
      <w:r w:rsidRPr="00E32A39">
        <w:rPr>
          <w:rFonts w:ascii="Calibri" w:hAnsi="Calibri" w:cs="Calibri"/>
          <w:sz w:val="24"/>
          <w:szCs w:val="24"/>
          <w:lang w:eastAsia="en-AU"/>
        </w:rPr>
        <w:t xml:space="preserve"> </w:t>
      </w:r>
      <w:r>
        <w:rPr>
          <w:rFonts w:ascii="Calibri" w:hAnsi="Calibri" w:cs="Calibri"/>
          <w:sz w:val="24"/>
          <w:szCs w:val="24"/>
          <w:lang w:eastAsia="en-AU"/>
        </w:rPr>
        <w:t xml:space="preserve">of </w:t>
      </w:r>
      <w:r w:rsidRPr="00E32A39">
        <w:rPr>
          <w:rFonts w:ascii="Calibri" w:hAnsi="Calibri" w:cs="Calibri"/>
          <w:sz w:val="24"/>
          <w:szCs w:val="24"/>
          <w:lang w:eastAsia="en-AU"/>
        </w:rPr>
        <w:t>Indigenous mothers had five or more</w:t>
      </w:r>
      <w:r>
        <w:rPr>
          <w:rFonts w:ascii="Calibri" w:hAnsi="Calibri" w:cs="Calibri"/>
          <w:sz w:val="24"/>
          <w:szCs w:val="24"/>
          <w:lang w:eastAsia="en-AU"/>
        </w:rPr>
        <w:t xml:space="preserve"> </w:t>
      </w:r>
      <w:r w:rsidRPr="00E32A39">
        <w:rPr>
          <w:rFonts w:ascii="Calibri" w:hAnsi="Calibri" w:cs="Calibri"/>
          <w:sz w:val="24"/>
          <w:szCs w:val="24"/>
          <w:lang w:eastAsia="en-AU"/>
        </w:rPr>
        <w:t>visits, compared with 92</w:t>
      </w:r>
      <w:r>
        <w:rPr>
          <w:rFonts w:ascii="Calibri" w:hAnsi="Calibri" w:cs="Calibri"/>
          <w:sz w:val="24"/>
          <w:szCs w:val="24"/>
          <w:lang w:eastAsia="en-AU"/>
        </w:rPr>
        <w:t xml:space="preserve"> per cent </w:t>
      </w:r>
      <w:r w:rsidRPr="00E32A39">
        <w:rPr>
          <w:rFonts w:ascii="Calibri" w:hAnsi="Calibri" w:cs="Calibri"/>
          <w:sz w:val="24"/>
          <w:szCs w:val="24"/>
          <w:lang w:eastAsia="en-AU"/>
        </w:rPr>
        <w:t>of non-Indigenous mothers</w:t>
      </w:r>
      <w:r>
        <w:rPr>
          <w:rFonts w:ascii="Calibri" w:hAnsi="Calibri" w:cs="Calibri"/>
          <w:sz w:val="24"/>
          <w:szCs w:val="24"/>
          <w:lang w:eastAsia="en-AU"/>
        </w:rPr>
        <w:t xml:space="preserve"> (</w:t>
      </w:r>
      <w:r w:rsidRPr="00E32A39">
        <w:rPr>
          <w:rFonts w:ascii="Calibri" w:hAnsi="Calibri" w:cs="Calibri"/>
          <w:sz w:val="24"/>
          <w:szCs w:val="24"/>
          <w:lang w:eastAsia="en-AU"/>
        </w:rPr>
        <w:t>Li et al. 2012</w:t>
      </w:r>
      <w:r>
        <w:rPr>
          <w:rFonts w:ascii="Calibri" w:hAnsi="Calibri" w:cs="Calibri"/>
          <w:sz w:val="24"/>
          <w:szCs w:val="24"/>
          <w:lang w:eastAsia="en-AU"/>
        </w:rPr>
        <w:t>)</w:t>
      </w:r>
      <w:r w:rsidRPr="00E32A39">
        <w:rPr>
          <w:rFonts w:ascii="Calibri" w:hAnsi="Calibri" w:cs="Calibri"/>
          <w:sz w:val="24"/>
          <w:szCs w:val="24"/>
          <w:lang w:eastAsia="en-AU"/>
        </w:rPr>
        <w:t>.</w:t>
      </w:r>
    </w:p>
    <w:p w:rsidR="000B29AC" w:rsidRDefault="000B29AC" w:rsidP="000B29AC">
      <w:pPr>
        <w:rPr>
          <w:rFonts w:ascii="Calibri" w:hAnsi="Calibri" w:cs="Calibri"/>
          <w:sz w:val="24"/>
          <w:szCs w:val="24"/>
          <w:lang w:eastAsia="en-AU"/>
        </w:rPr>
      </w:pPr>
    </w:p>
    <w:p w:rsidR="003C414F" w:rsidRDefault="003C414F">
      <w:pPr>
        <w:rPr>
          <w:rFonts w:ascii="Arial" w:hAnsi="Arial"/>
          <w:b/>
        </w:rPr>
      </w:pPr>
      <w:bookmarkStart w:id="129" w:name="_Toc400010300"/>
      <w:r>
        <w:br w:type="page"/>
      </w:r>
    </w:p>
    <w:p w:rsidR="000B29AC" w:rsidRPr="00821556" w:rsidRDefault="00FC088D" w:rsidP="00520DEC">
      <w:pPr>
        <w:pStyle w:val="Figure"/>
        <w:ind w:right="2527"/>
      </w:pPr>
      <w:r>
        <w:t xml:space="preserve">Table </w:t>
      </w:r>
      <w:fldSimple w:instr=" SEQ Table \* ARABIC ">
        <w:r w:rsidR="00BF1EC9">
          <w:rPr>
            <w:noProof/>
          </w:rPr>
          <w:t>14</w:t>
        </w:r>
      </w:fldSimple>
      <w:r>
        <w:t xml:space="preserve">: </w:t>
      </w:r>
      <w:r w:rsidRPr="00821556">
        <w:t>Women who gave birth, by number of antenatal visits</w:t>
      </w:r>
      <w:r>
        <w:t xml:space="preserve"> during pregnancy</w:t>
      </w:r>
      <w:r w:rsidRPr="00821556">
        <w:t>, 20</w:t>
      </w:r>
      <w:r>
        <w:t>10</w:t>
      </w:r>
      <w:bookmarkEnd w:id="129"/>
    </w:p>
    <w:tbl>
      <w:tblPr>
        <w:tblW w:w="0" w:type="auto"/>
        <w:tblLook w:val="04A0" w:firstRow="1" w:lastRow="0" w:firstColumn="1" w:lastColumn="0" w:noHBand="0" w:noVBand="1"/>
        <w:tblDescription w:val="Table 14: Women who gave birth, by number of antenatal visits during pregnancy, 2010"/>
      </w:tblPr>
      <w:tblGrid>
        <w:gridCol w:w="2376"/>
        <w:gridCol w:w="2268"/>
        <w:gridCol w:w="2268"/>
      </w:tblGrid>
      <w:tr w:rsidR="000B29AC" w:rsidRPr="00821556" w:rsidTr="007814FB">
        <w:tc>
          <w:tcPr>
            <w:tcW w:w="2376" w:type="dxa"/>
            <w:tcBorders>
              <w:top w:val="single" w:sz="4" w:space="0" w:color="auto"/>
              <w:bottom w:val="single" w:sz="4" w:space="0" w:color="auto"/>
            </w:tcBorders>
            <w:shd w:val="clear" w:color="auto" w:fill="auto"/>
          </w:tcPr>
          <w:p w:rsidR="000B29AC" w:rsidRPr="00821556" w:rsidRDefault="000B29AC" w:rsidP="00135409">
            <w:pPr>
              <w:keepLines/>
              <w:tabs>
                <w:tab w:val="left" w:pos="198"/>
              </w:tabs>
              <w:spacing w:before="60" w:after="60" w:line="200" w:lineRule="atLeast"/>
              <w:rPr>
                <w:rFonts w:ascii="Arial" w:hAnsi="Arial"/>
                <w:b/>
                <w:color w:val="000000"/>
                <w:sz w:val="16"/>
                <w:lang w:eastAsia="en-US"/>
              </w:rPr>
            </w:pPr>
            <w:r w:rsidRPr="00821556">
              <w:rPr>
                <w:rFonts w:ascii="Arial" w:hAnsi="Arial"/>
                <w:b/>
                <w:color w:val="000000"/>
                <w:sz w:val="16"/>
                <w:lang w:eastAsia="en-US"/>
              </w:rPr>
              <w:t>Number of antenatal visits</w:t>
            </w:r>
          </w:p>
        </w:tc>
        <w:tc>
          <w:tcPr>
            <w:tcW w:w="2268" w:type="dxa"/>
            <w:tcBorders>
              <w:top w:val="single" w:sz="4" w:space="0" w:color="auto"/>
              <w:bottom w:val="single" w:sz="4" w:space="0" w:color="auto"/>
            </w:tcBorders>
            <w:shd w:val="clear" w:color="auto" w:fill="auto"/>
          </w:tcPr>
          <w:p w:rsidR="000B29AC" w:rsidRPr="00821556" w:rsidRDefault="000B29AC" w:rsidP="00135409">
            <w:pPr>
              <w:keepLines/>
              <w:tabs>
                <w:tab w:val="left" w:pos="198"/>
              </w:tabs>
              <w:spacing w:before="60" w:after="60" w:line="200" w:lineRule="atLeast"/>
              <w:jc w:val="right"/>
              <w:rPr>
                <w:rFonts w:ascii="Arial" w:hAnsi="Arial"/>
                <w:b/>
                <w:color w:val="000000"/>
                <w:sz w:val="16"/>
                <w:lang w:eastAsia="en-US"/>
              </w:rPr>
            </w:pPr>
            <w:r w:rsidRPr="00821556">
              <w:rPr>
                <w:rFonts w:ascii="Arial" w:hAnsi="Arial"/>
                <w:b/>
                <w:color w:val="000000"/>
                <w:sz w:val="16"/>
                <w:lang w:eastAsia="en-US"/>
              </w:rPr>
              <w:t>Number of women</w:t>
            </w:r>
          </w:p>
        </w:tc>
        <w:tc>
          <w:tcPr>
            <w:tcW w:w="2268" w:type="dxa"/>
            <w:tcBorders>
              <w:top w:val="single" w:sz="4" w:space="0" w:color="auto"/>
              <w:bottom w:val="single" w:sz="4" w:space="0" w:color="auto"/>
            </w:tcBorders>
            <w:shd w:val="clear" w:color="auto" w:fill="auto"/>
          </w:tcPr>
          <w:p w:rsidR="000B29AC" w:rsidRPr="00821556" w:rsidRDefault="000B29AC" w:rsidP="00135409">
            <w:pPr>
              <w:keepLines/>
              <w:tabs>
                <w:tab w:val="left" w:pos="198"/>
              </w:tabs>
              <w:spacing w:before="60" w:after="60" w:line="200" w:lineRule="atLeast"/>
              <w:jc w:val="right"/>
              <w:rPr>
                <w:rFonts w:ascii="Arial" w:hAnsi="Arial"/>
                <w:b/>
                <w:color w:val="000000"/>
                <w:sz w:val="16"/>
                <w:lang w:eastAsia="en-US"/>
              </w:rPr>
            </w:pPr>
            <w:r w:rsidRPr="00821556">
              <w:rPr>
                <w:rFonts w:ascii="Arial" w:hAnsi="Arial"/>
                <w:b/>
                <w:color w:val="000000"/>
                <w:sz w:val="16"/>
                <w:lang w:eastAsia="en-US"/>
              </w:rPr>
              <w:t>Per cent</w:t>
            </w:r>
          </w:p>
        </w:tc>
      </w:tr>
      <w:tr w:rsidR="000B29AC" w:rsidRPr="00821556" w:rsidTr="007814FB">
        <w:tc>
          <w:tcPr>
            <w:tcW w:w="2376" w:type="dxa"/>
            <w:tcBorders>
              <w:top w:val="single" w:sz="4" w:space="0" w:color="auto"/>
            </w:tcBorders>
            <w:shd w:val="clear" w:color="auto" w:fill="auto"/>
          </w:tcPr>
          <w:p w:rsidR="000B29AC" w:rsidRPr="00821556" w:rsidRDefault="000B29AC" w:rsidP="00135409">
            <w:pPr>
              <w:keepLines/>
              <w:tabs>
                <w:tab w:val="left" w:pos="198"/>
              </w:tabs>
              <w:spacing w:before="60" w:after="60" w:line="200" w:lineRule="atLeast"/>
              <w:rPr>
                <w:rFonts w:ascii="Arial" w:hAnsi="Arial"/>
                <w:color w:val="000000"/>
                <w:sz w:val="16"/>
                <w:lang w:eastAsia="en-US"/>
              </w:rPr>
            </w:pPr>
            <w:r w:rsidRPr="00821556">
              <w:rPr>
                <w:rFonts w:ascii="Arial" w:hAnsi="Arial"/>
                <w:color w:val="000000"/>
                <w:sz w:val="16"/>
                <w:lang w:eastAsia="en-US"/>
              </w:rPr>
              <w:t>None</w:t>
            </w:r>
          </w:p>
        </w:tc>
        <w:tc>
          <w:tcPr>
            <w:tcW w:w="2268" w:type="dxa"/>
            <w:tcBorders>
              <w:top w:val="single" w:sz="4" w:space="0" w:color="auto"/>
            </w:tcBorders>
            <w:shd w:val="clear" w:color="auto" w:fill="auto"/>
          </w:tcPr>
          <w:p w:rsidR="000B29AC" w:rsidRPr="00821556" w:rsidRDefault="000B29A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231</w:t>
            </w:r>
          </w:p>
        </w:tc>
        <w:tc>
          <w:tcPr>
            <w:tcW w:w="2268" w:type="dxa"/>
            <w:tcBorders>
              <w:top w:val="single" w:sz="4" w:space="0" w:color="auto"/>
            </w:tcBorders>
            <w:shd w:val="clear" w:color="auto" w:fill="auto"/>
          </w:tcPr>
          <w:p w:rsidR="000B29AC" w:rsidRPr="00821556" w:rsidRDefault="000B29A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0.2</w:t>
            </w:r>
          </w:p>
        </w:tc>
      </w:tr>
      <w:tr w:rsidR="000B29AC" w:rsidRPr="00821556" w:rsidTr="007814FB">
        <w:tc>
          <w:tcPr>
            <w:tcW w:w="2376" w:type="dxa"/>
            <w:shd w:val="clear" w:color="auto" w:fill="auto"/>
          </w:tcPr>
          <w:p w:rsidR="000B29AC" w:rsidRPr="00821556" w:rsidRDefault="000B29AC" w:rsidP="00135409">
            <w:pPr>
              <w:keepLines/>
              <w:tabs>
                <w:tab w:val="left" w:pos="198"/>
              </w:tabs>
              <w:spacing w:before="60" w:after="60" w:line="200" w:lineRule="atLeast"/>
              <w:rPr>
                <w:rFonts w:ascii="Arial" w:hAnsi="Arial"/>
                <w:color w:val="000000"/>
                <w:sz w:val="16"/>
                <w:lang w:eastAsia="en-US"/>
              </w:rPr>
            </w:pPr>
            <w:r w:rsidRPr="00821556">
              <w:rPr>
                <w:rFonts w:ascii="Arial" w:hAnsi="Arial"/>
                <w:color w:val="000000"/>
                <w:sz w:val="16"/>
                <w:lang w:eastAsia="en-US"/>
              </w:rPr>
              <w:t>At least 1</w:t>
            </w:r>
          </w:p>
        </w:tc>
        <w:tc>
          <w:tcPr>
            <w:tcW w:w="2268" w:type="dxa"/>
            <w:shd w:val="clear" w:color="auto" w:fill="auto"/>
          </w:tcPr>
          <w:p w:rsidR="000B29AC" w:rsidRPr="00821556" w:rsidRDefault="000B29AC" w:rsidP="00DB4022">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89</w:t>
            </w:r>
            <w:r w:rsidR="00DB4022">
              <w:rPr>
                <w:rFonts w:ascii="Arial" w:hAnsi="Arial" w:cs="Arial"/>
                <w:color w:val="000000"/>
                <w:sz w:val="16"/>
                <w:lang w:eastAsia="en-US"/>
              </w:rPr>
              <w:t> </w:t>
            </w:r>
            <w:r>
              <w:rPr>
                <w:rFonts w:ascii="Arial" w:hAnsi="Arial"/>
                <w:color w:val="000000"/>
                <w:sz w:val="16"/>
                <w:lang w:eastAsia="en-US"/>
              </w:rPr>
              <w:t>780</w:t>
            </w:r>
          </w:p>
        </w:tc>
        <w:tc>
          <w:tcPr>
            <w:tcW w:w="2268" w:type="dxa"/>
            <w:shd w:val="clear" w:color="auto" w:fill="auto"/>
          </w:tcPr>
          <w:p w:rsidR="000B29AC" w:rsidRPr="00821556" w:rsidRDefault="000B29A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96.1</w:t>
            </w:r>
          </w:p>
        </w:tc>
      </w:tr>
      <w:tr w:rsidR="000B29AC" w:rsidRPr="00861132" w:rsidTr="007814FB">
        <w:tc>
          <w:tcPr>
            <w:tcW w:w="2376" w:type="dxa"/>
            <w:shd w:val="clear" w:color="auto" w:fill="auto"/>
          </w:tcPr>
          <w:p w:rsidR="000B29AC" w:rsidRPr="00861132" w:rsidRDefault="000B29AC" w:rsidP="00135409">
            <w:pPr>
              <w:keepLines/>
              <w:tabs>
                <w:tab w:val="left" w:pos="198"/>
              </w:tabs>
              <w:spacing w:before="60" w:after="60" w:line="200" w:lineRule="atLeast"/>
              <w:ind w:firstLine="284"/>
              <w:rPr>
                <w:rFonts w:ascii="Arial" w:hAnsi="Arial"/>
                <w:color w:val="000000"/>
                <w:sz w:val="16"/>
                <w:lang w:eastAsia="en-US"/>
              </w:rPr>
            </w:pPr>
            <w:r w:rsidRPr="00861132">
              <w:rPr>
                <w:rFonts w:ascii="Arial" w:hAnsi="Arial"/>
                <w:color w:val="000000"/>
                <w:sz w:val="16"/>
                <w:lang w:eastAsia="en-US"/>
              </w:rPr>
              <w:t>1</w:t>
            </w:r>
          </w:p>
        </w:tc>
        <w:tc>
          <w:tcPr>
            <w:tcW w:w="2268" w:type="dxa"/>
            <w:shd w:val="clear" w:color="auto" w:fill="auto"/>
          </w:tcPr>
          <w:p w:rsidR="000B29AC" w:rsidRPr="00861132" w:rsidRDefault="000B29AC" w:rsidP="00135409">
            <w:pPr>
              <w:keepLines/>
              <w:tabs>
                <w:tab w:val="left" w:pos="198"/>
              </w:tabs>
              <w:spacing w:before="60" w:after="60" w:line="200" w:lineRule="atLeast"/>
              <w:jc w:val="right"/>
              <w:rPr>
                <w:rFonts w:ascii="Arial" w:hAnsi="Arial"/>
                <w:color w:val="000000"/>
                <w:sz w:val="16"/>
                <w:lang w:eastAsia="en-US"/>
              </w:rPr>
            </w:pPr>
            <w:r w:rsidRPr="00861132">
              <w:rPr>
                <w:rFonts w:ascii="Arial" w:hAnsi="Arial"/>
                <w:color w:val="000000"/>
                <w:sz w:val="16"/>
                <w:lang w:eastAsia="en-US"/>
              </w:rPr>
              <w:t>798</w:t>
            </w:r>
          </w:p>
        </w:tc>
        <w:tc>
          <w:tcPr>
            <w:tcW w:w="2268" w:type="dxa"/>
            <w:shd w:val="clear" w:color="auto" w:fill="auto"/>
          </w:tcPr>
          <w:p w:rsidR="000B29AC" w:rsidRPr="00861132" w:rsidRDefault="000B29AC" w:rsidP="00135409">
            <w:pPr>
              <w:keepLines/>
              <w:tabs>
                <w:tab w:val="left" w:pos="198"/>
              </w:tabs>
              <w:spacing w:before="60" w:after="60" w:line="200" w:lineRule="atLeast"/>
              <w:jc w:val="right"/>
              <w:rPr>
                <w:rFonts w:ascii="Arial" w:hAnsi="Arial"/>
                <w:color w:val="000000"/>
                <w:sz w:val="16"/>
                <w:lang w:eastAsia="en-US"/>
              </w:rPr>
            </w:pPr>
            <w:r w:rsidRPr="00861132">
              <w:rPr>
                <w:rFonts w:ascii="Arial" w:hAnsi="Arial"/>
                <w:color w:val="000000"/>
                <w:sz w:val="16"/>
                <w:lang w:eastAsia="en-US"/>
              </w:rPr>
              <w:t>0.9</w:t>
            </w:r>
          </w:p>
        </w:tc>
      </w:tr>
      <w:tr w:rsidR="000B29AC" w:rsidRPr="00861132" w:rsidTr="007814FB">
        <w:tc>
          <w:tcPr>
            <w:tcW w:w="2376" w:type="dxa"/>
            <w:shd w:val="clear" w:color="auto" w:fill="auto"/>
          </w:tcPr>
          <w:p w:rsidR="000B29AC" w:rsidRPr="00861132" w:rsidRDefault="000B29AC" w:rsidP="00135409">
            <w:pPr>
              <w:keepLines/>
              <w:tabs>
                <w:tab w:val="left" w:pos="198"/>
              </w:tabs>
              <w:spacing w:before="60" w:after="60" w:line="200" w:lineRule="atLeast"/>
              <w:ind w:firstLine="284"/>
              <w:rPr>
                <w:rFonts w:ascii="Arial" w:hAnsi="Arial"/>
                <w:color w:val="000000"/>
                <w:sz w:val="16"/>
                <w:lang w:eastAsia="en-US"/>
              </w:rPr>
            </w:pPr>
            <w:r w:rsidRPr="00861132">
              <w:rPr>
                <w:rFonts w:ascii="Arial" w:hAnsi="Arial"/>
                <w:color w:val="000000"/>
                <w:sz w:val="16"/>
                <w:lang w:eastAsia="en-US"/>
              </w:rPr>
              <w:t>2</w:t>
            </w:r>
            <w:r w:rsidRPr="00861132">
              <w:rPr>
                <w:rFonts w:ascii="Arial" w:hAnsi="Arial" w:cs="Arial"/>
                <w:color w:val="000000"/>
                <w:sz w:val="16"/>
                <w:lang w:eastAsia="en-US"/>
              </w:rPr>
              <w:t>–</w:t>
            </w:r>
            <w:r w:rsidRPr="00861132">
              <w:rPr>
                <w:rFonts w:ascii="Arial" w:hAnsi="Arial"/>
                <w:color w:val="000000"/>
                <w:sz w:val="16"/>
                <w:lang w:eastAsia="en-US"/>
              </w:rPr>
              <w:t xml:space="preserve">4 </w:t>
            </w:r>
          </w:p>
        </w:tc>
        <w:tc>
          <w:tcPr>
            <w:tcW w:w="2268" w:type="dxa"/>
            <w:shd w:val="clear" w:color="auto" w:fill="auto"/>
          </w:tcPr>
          <w:p w:rsidR="000B29AC" w:rsidRPr="00861132" w:rsidRDefault="000B29AC" w:rsidP="00DB4022">
            <w:pPr>
              <w:keepLines/>
              <w:tabs>
                <w:tab w:val="left" w:pos="198"/>
              </w:tabs>
              <w:spacing w:before="60" w:after="60" w:line="200" w:lineRule="atLeast"/>
              <w:jc w:val="right"/>
              <w:rPr>
                <w:rFonts w:ascii="Arial" w:hAnsi="Arial"/>
                <w:color w:val="000000"/>
                <w:sz w:val="16"/>
                <w:lang w:eastAsia="en-US"/>
              </w:rPr>
            </w:pPr>
            <w:r w:rsidRPr="00861132">
              <w:rPr>
                <w:rFonts w:ascii="Arial" w:hAnsi="Arial"/>
                <w:color w:val="000000"/>
                <w:sz w:val="16"/>
                <w:lang w:eastAsia="en-US"/>
              </w:rPr>
              <w:t>4543</w:t>
            </w:r>
          </w:p>
        </w:tc>
        <w:tc>
          <w:tcPr>
            <w:tcW w:w="2268" w:type="dxa"/>
            <w:shd w:val="clear" w:color="auto" w:fill="auto"/>
          </w:tcPr>
          <w:p w:rsidR="000B29AC" w:rsidRPr="00861132" w:rsidRDefault="000B29AC" w:rsidP="00135409">
            <w:pPr>
              <w:keepLines/>
              <w:tabs>
                <w:tab w:val="left" w:pos="198"/>
              </w:tabs>
              <w:spacing w:before="60" w:after="60" w:line="200" w:lineRule="atLeast"/>
              <w:jc w:val="right"/>
              <w:rPr>
                <w:rFonts w:ascii="Arial" w:hAnsi="Arial"/>
                <w:color w:val="000000"/>
                <w:sz w:val="16"/>
                <w:lang w:eastAsia="en-US"/>
              </w:rPr>
            </w:pPr>
            <w:r w:rsidRPr="00861132">
              <w:rPr>
                <w:rFonts w:ascii="Arial" w:hAnsi="Arial"/>
                <w:color w:val="000000"/>
                <w:sz w:val="16"/>
                <w:lang w:eastAsia="en-US"/>
              </w:rPr>
              <w:t>4.9</w:t>
            </w:r>
          </w:p>
        </w:tc>
      </w:tr>
      <w:tr w:rsidR="000B29AC" w:rsidRPr="00861132" w:rsidTr="007814FB">
        <w:tc>
          <w:tcPr>
            <w:tcW w:w="2376" w:type="dxa"/>
            <w:shd w:val="clear" w:color="auto" w:fill="auto"/>
          </w:tcPr>
          <w:p w:rsidR="000B29AC" w:rsidRPr="00861132" w:rsidRDefault="000B29AC" w:rsidP="00135409">
            <w:pPr>
              <w:keepLines/>
              <w:tabs>
                <w:tab w:val="left" w:pos="198"/>
              </w:tabs>
              <w:spacing w:before="60" w:after="60" w:line="200" w:lineRule="atLeast"/>
              <w:ind w:firstLine="284"/>
              <w:rPr>
                <w:rFonts w:ascii="Arial" w:hAnsi="Arial"/>
                <w:color w:val="000000"/>
                <w:sz w:val="16"/>
                <w:lang w:eastAsia="en-US"/>
              </w:rPr>
            </w:pPr>
            <w:r w:rsidRPr="00861132">
              <w:rPr>
                <w:rFonts w:ascii="Arial" w:hAnsi="Arial"/>
                <w:color w:val="000000"/>
                <w:sz w:val="16"/>
                <w:lang w:eastAsia="en-US"/>
              </w:rPr>
              <w:t>5 or more</w:t>
            </w:r>
          </w:p>
        </w:tc>
        <w:tc>
          <w:tcPr>
            <w:tcW w:w="2268" w:type="dxa"/>
            <w:shd w:val="clear" w:color="auto" w:fill="auto"/>
          </w:tcPr>
          <w:p w:rsidR="000B29AC" w:rsidRPr="00861132" w:rsidRDefault="000B29AC" w:rsidP="00135409">
            <w:pPr>
              <w:keepLines/>
              <w:tabs>
                <w:tab w:val="left" w:pos="198"/>
              </w:tabs>
              <w:spacing w:before="60" w:after="60" w:line="200" w:lineRule="atLeast"/>
              <w:jc w:val="right"/>
              <w:rPr>
                <w:rFonts w:ascii="Arial" w:hAnsi="Arial"/>
                <w:color w:val="000000"/>
                <w:sz w:val="16"/>
                <w:lang w:eastAsia="en-US"/>
              </w:rPr>
            </w:pPr>
            <w:r w:rsidRPr="00861132">
              <w:rPr>
                <w:rFonts w:ascii="Arial" w:hAnsi="Arial"/>
                <w:color w:val="000000"/>
                <w:sz w:val="16"/>
                <w:lang w:eastAsia="en-US"/>
              </w:rPr>
              <w:t>84</w:t>
            </w:r>
            <w:r w:rsidRPr="00861132">
              <w:rPr>
                <w:rFonts w:ascii="Arial" w:hAnsi="Arial" w:cs="Arial"/>
                <w:color w:val="000000"/>
                <w:sz w:val="16"/>
                <w:lang w:eastAsia="en-US"/>
              </w:rPr>
              <w:t> </w:t>
            </w:r>
            <w:r w:rsidRPr="00861132">
              <w:rPr>
                <w:rFonts w:ascii="Arial" w:hAnsi="Arial"/>
                <w:color w:val="000000"/>
                <w:sz w:val="16"/>
                <w:lang w:eastAsia="en-US"/>
              </w:rPr>
              <w:t>439</w:t>
            </w:r>
          </w:p>
        </w:tc>
        <w:tc>
          <w:tcPr>
            <w:tcW w:w="2268" w:type="dxa"/>
            <w:shd w:val="clear" w:color="auto" w:fill="auto"/>
          </w:tcPr>
          <w:p w:rsidR="000B29AC" w:rsidRPr="00861132" w:rsidRDefault="000B29AC" w:rsidP="00135409">
            <w:pPr>
              <w:keepLines/>
              <w:tabs>
                <w:tab w:val="left" w:pos="198"/>
              </w:tabs>
              <w:spacing w:before="60" w:after="60" w:line="200" w:lineRule="atLeast"/>
              <w:jc w:val="right"/>
              <w:rPr>
                <w:rFonts w:ascii="Arial" w:hAnsi="Arial"/>
                <w:color w:val="000000"/>
                <w:sz w:val="16"/>
                <w:lang w:eastAsia="en-US"/>
              </w:rPr>
            </w:pPr>
            <w:r w:rsidRPr="00861132">
              <w:rPr>
                <w:rFonts w:ascii="Arial" w:hAnsi="Arial"/>
                <w:color w:val="000000"/>
                <w:sz w:val="16"/>
                <w:lang w:eastAsia="en-US"/>
              </w:rPr>
              <w:t>90.4</w:t>
            </w:r>
          </w:p>
        </w:tc>
      </w:tr>
      <w:tr w:rsidR="000B29AC" w:rsidRPr="00821556" w:rsidTr="007814FB">
        <w:tc>
          <w:tcPr>
            <w:tcW w:w="2376" w:type="dxa"/>
            <w:shd w:val="clear" w:color="auto" w:fill="auto"/>
          </w:tcPr>
          <w:p w:rsidR="000B29AC" w:rsidRPr="00821556" w:rsidRDefault="000B29AC" w:rsidP="00135409">
            <w:pPr>
              <w:keepLines/>
              <w:tabs>
                <w:tab w:val="left" w:pos="198"/>
              </w:tabs>
              <w:spacing w:before="60" w:after="60" w:line="200" w:lineRule="atLeast"/>
              <w:rPr>
                <w:rFonts w:ascii="Arial" w:hAnsi="Arial"/>
                <w:color w:val="000000"/>
                <w:sz w:val="16"/>
                <w:lang w:eastAsia="en-US"/>
              </w:rPr>
            </w:pPr>
            <w:r w:rsidRPr="00821556">
              <w:rPr>
                <w:rFonts w:ascii="Arial" w:hAnsi="Arial"/>
                <w:color w:val="000000"/>
                <w:sz w:val="16"/>
                <w:lang w:eastAsia="en-US"/>
              </w:rPr>
              <w:t>Not stated</w:t>
            </w:r>
          </w:p>
        </w:tc>
        <w:tc>
          <w:tcPr>
            <w:tcW w:w="2268" w:type="dxa"/>
            <w:shd w:val="clear" w:color="auto" w:fill="auto"/>
          </w:tcPr>
          <w:p w:rsidR="000B29AC" w:rsidRPr="00821556" w:rsidRDefault="000B29AC" w:rsidP="00DB4022">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3377</w:t>
            </w:r>
          </w:p>
        </w:tc>
        <w:tc>
          <w:tcPr>
            <w:tcW w:w="2268" w:type="dxa"/>
            <w:shd w:val="clear" w:color="auto" w:fill="auto"/>
          </w:tcPr>
          <w:p w:rsidR="000B29AC" w:rsidRPr="00821556" w:rsidRDefault="000B29AC" w:rsidP="00135409">
            <w:pPr>
              <w:keepLines/>
              <w:tabs>
                <w:tab w:val="left" w:pos="198"/>
              </w:tabs>
              <w:spacing w:before="60" w:after="60" w:line="200" w:lineRule="atLeast"/>
              <w:jc w:val="right"/>
              <w:rPr>
                <w:rFonts w:ascii="Arial" w:hAnsi="Arial"/>
                <w:color w:val="000000"/>
                <w:sz w:val="16"/>
                <w:lang w:eastAsia="en-US"/>
              </w:rPr>
            </w:pPr>
            <w:r w:rsidRPr="00821556">
              <w:rPr>
                <w:rFonts w:ascii="Arial" w:hAnsi="Arial"/>
                <w:color w:val="000000"/>
                <w:sz w:val="16"/>
                <w:lang w:eastAsia="en-US"/>
              </w:rPr>
              <w:t>3.6</w:t>
            </w:r>
          </w:p>
        </w:tc>
      </w:tr>
      <w:tr w:rsidR="000B29AC" w:rsidRPr="00821556" w:rsidTr="007814FB">
        <w:tc>
          <w:tcPr>
            <w:tcW w:w="2376" w:type="dxa"/>
            <w:tcBorders>
              <w:bottom w:val="single" w:sz="4" w:space="0" w:color="auto"/>
            </w:tcBorders>
            <w:shd w:val="clear" w:color="auto" w:fill="auto"/>
          </w:tcPr>
          <w:p w:rsidR="000B29AC" w:rsidRPr="00821556" w:rsidRDefault="000B29AC" w:rsidP="00135409">
            <w:pPr>
              <w:keepLines/>
              <w:tabs>
                <w:tab w:val="left" w:pos="198"/>
              </w:tabs>
              <w:spacing w:before="60" w:after="60" w:line="200" w:lineRule="atLeast"/>
              <w:rPr>
                <w:rFonts w:ascii="Arial" w:hAnsi="Arial"/>
                <w:b/>
                <w:color w:val="000000"/>
                <w:sz w:val="16"/>
                <w:lang w:eastAsia="en-US"/>
              </w:rPr>
            </w:pPr>
            <w:r w:rsidRPr="00821556">
              <w:rPr>
                <w:rFonts w:ascii="Arial" w:hAnsi="Arial"/>
                <w:b/>
                <w:color w:val="000000"/>
                <w:sz w:val="16"/>
                <w:lang w:eastAsia="en-US"/>
              </w:rPr>
              <w:t>Total</w:t>
            </w:r>
          </w:p>
        </w:tc>
        <w:tc>
          <w:tcPr>
            <w:tcW w:w="2268" w:type="dxa"/>
            <w:tcBorders>
              <w:bottom w:val="single" w:sz="4" w:space="0" w:color="auto"/>
            </w:tcBorders>
            <w:shd w:val="clear" w:color="auto" w:fill="auto"/>
          </w:tcPr>
          <w:p w:rsidR="000B29AC" w:rsidRPr="00821556" w:rsidRDefault="000B29AC"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93</w:t>
            </w:r>
            <w:r>
              <w:rPr>
                <w:rFonts w:ascii="Arial" w:hAnsi="Arial" w:cs="Arial"/>
                <w:b/>
                <w:color w:val="000000"/>
                <w:sz w:val="16"/>
                <w:lang w:eastAsia="en-US"/>
              </w:rPr>
              <w:t> </w:t>
            </w:r>
            <w:r>
              <w:rPr>
                <w:rFonts w:ascii="Arial" w:hAnsi="Arial"/>
                <w:b/>
                <w:color w:val="000000"/>
                <w:sz w:val="16"/>
                <w:lang w:eastAsia="en-US"/>
              </w:rPr>
              <w:t>388</w:t>
            </w:r>
          </w:p>
        </w:tc>
        <w:tc>
          <w:tcPr>
            <w:tcW w:w="2268" w:type="dxa"/>
            <w:tcBorders>
              <w:bottom w:val="single" w:sz="4" w:space="0" w:color="auto"/>
            </w:tcBorders>
            <w:shd w:val="clear" w:color="auto" w:fill="auto"/>
          </w:tcPr>
          <w:p w:rsidR="000B29AC" w:rsidRPr="00821556" w:rsidRDefault="000B29AC" w:rsidP="00135409">
            <w:pPr>
              <w:keepLines/>
              <w:tabs>
                <w:tab w:val="left" w:pos="198"/>
              </w:tabs>
              <w:spacing w:before="60" w:after="60" w:line="200" w:lineRule="atLeast"/>
              <w:jc w:val="right"/>
              <w:rPr>
                <w:rFonts w:ascii="Arial" w:hAnsi="Arial"/>
                <w:b/>
                <w:color w:val="000000"/>
                <w:sz w:val="16"/>
                <w:lang w:eastAsia="en-US"/>
              </w:rPr>
            </w:pPr>
            <w:r w:rsidRPr="00821556">
              <w:rPr>
                <w:rFonts w:ascii="Arial" w:hAnsi="Arial"/>
                <w:b/>
                <w:color w:val="000000"/>
                <w:sz w:val="16"/>
                <w:lang w:eastAsia="en-US"/>
              </w:rPr>
              <w:t>100.0</w:t>
            </w:r>
          </w:p>
        </w:tc>
      </w:tr>
    </w:tbl>
    <w:p w:rsidR="000B29AC" w:rsidRPr="00506E58" w:rsidRDefault="000B29AC" w:rsidP="00D66FAA">
      <w:pPr>
        <w:pStyle w:val="StyleArial7ptLeft0cmHanging05cmBefore6pt"/>
      </w:pPr>
      <w:r w:rsidRPr="00506E58">
        <w:t xml:space="preserve">Notes </w:t>
      </w:r>
    </w:p>
    <w:p w:rsidR="000B29AC" w:rsidRPr="00506E58" w:rsidRDefault="000B29AC" w:rsidP="00340880">
      <w:pPr>
        <w:pStyle w:val="StyleArial7ptLeft0cmHanging05cmBefore6pt"/>
        <w:ind w:left="284" w:hanging="284"/>
      </w:pPr>
      <w:r w:rsidRPr="00506E58">
        <w:t>1.</w:t>
      </w:r>
      <w:r w:rsidRPr="00506E58">
        <w:tab/>
        <w:t>In 2010, data on the number of antenatal visits during pregnancy were only available for Queensland, South Australia, Tasmania, the Australian Capital Territory and the Northern Territory.</w:t>
      </w:r>
    </w:p>
    <w:p w:rsidR="000B29AC" w:rsidRPr="00506E58" w:rsidRDefault="000B29AC" w:rsidP="00340880">
      <w:pPr>
        <w:pStyle w:val="StyleArial7ptLeft0cmHanging05cmBefore6pt"/>
        <w:ind w:left="284" w:hanging="284"/>
      </w:pPr>
      <w:r w:rsidRPr="00506E58">
        <w:t>2.</w:t>
      </w:r>
      <w:r w:rsidRPr="00506E58">
        <w:tab/>
        <w:t>Percentages in tables may not add to 100 due to rounding.</w:t>
      </w:r>
    </w:p>
    <w:p w:rsidR="000B29AC" w:rsidRPr="00506E58" w:rsidRDefault="000B29AC" w:rsidP="00D66FAA">
      <w:pPr>
        <w:pStyle w:val="StyleArial7ptLeft0cmHanging05cmBefore6pt"/>
      </w:pPr>
      <w:r w:rsidRPr="00506E58">
        <w:t>Source: AIHW National Perinatal Data Collection, data sourced from Li et al. 2012.</w:t>
      </w:r>
    </w:p>
    <w:p w:rsidR="00AD0457" w:rsidRDefault="00AD0457">
      <w:pPr>
        <w:rPr>
          <w:rFonts w:ascii="Arial" w:hAnsi="Arial" w:cs="Arial"/>
          <w:sz w:val="14"/>
          <w:lang w:eastAsia="en-US"/>
        </w:rPr>
      </w:pPr>
      <w:r>
        <w:rPr>
          <w:rFonts w:ascii="Arial" w:hAnsi="Arial" w:cs="Arial"/>
          <w:sz w:val="14"/>
          <w:lang w:eastAsia="en-US"/>
        </w:rPr>
        <w:br w:type="page"/>
      </w:r>
    </w:p>
    <w:p w:rsidR="00DF3B6C" w:rsidRPr="00356B6E" w:rsidRDefault="00DF3B6C" w:rsidP="00B940CF">
      <w:pPr>
        <w:pStyle w:val="Heading1"/>
      </w:pPr>
      <w:bookmarkStart w:id="130" w:name="_Toc400007728"/>
      <w:bookmarkStart w:id="131" w:name="_Toc400711481"/>
      <w:r>
        <w:t>Chapter five: Outcome 3</w:t>
      </w:r>
      <w:r>
        <w:noBreakHyphen/>
        <w:t>Risk factors for child abuse and neglect are addressed</w:t>
      </w:r>
      <w:bookmarkEnd w:id="130"/>
      <w:bookmarkEnd w:id="131"/>
    </w:p>
    <w:p w:rsidR="00F13829" w:rsidRPr="00C475E2" w:rsidRDefault="00754A9B" w:rsidP="00B71ABA">
      <w:pPr>
        <w:pBdr>
          <w:top w:val="single" w:sz="4" w:space="1" w:color="auto"/>
          <w:left w:val="single" w:sz="4" w:space="4" w:color="auto"/>
          <w:bottom w:val="single" w:sz="4" w:space="1" w:color="auto"/>
          <w:right w:val="single" w:sz="4" w:space="4" w:color="auto"/>
        </w:pBdr>
        <w:ind w:left="567" w:right="567"/>
        <w:jc w:val="center"/>
        <w:rPr>
          <w:rFonts w:ascii="Arial" w:hAnsi="Arial" w:cs="Arial"/>
          <w:sz w:val="18"/>
          <w:szCs w:val="18"/>
        </w:rPr>
      </w:pPr>
      <w:r w:rsidRPr="001A2E07">
        <w:rPr>
          <w:rFonts w:ascii="Arial" w:hAnsi="Arial" w:cs="Arial"/>
          <w:sz w:val="28"/>
          <w:szCs w:val="28"/>
        </w:rPr>
        <w:t xml:space="preserve">Major </w:t>
      </w:r>
      <w:r w:rsidR="00242B06" w:rsidRPr="001A2E07">
        <w:rPr>
          <w:rFonts w:ascii="Arial" w:hAnsi="Arial" w:cs="Arial"/>
          <w:sz w:val="28"/>
          <w:szCs w:val="28"/>
        </w:rPr>
        <w:t>parental risk factors that are associated with child abuse</w:t>
      </w:r>
      <w:r w:rsidR="001A2E07">
        <w:rPr>
          <w:rFonts w:ascii="Arial" w:hAnsi="Arial" w:cs="Arial"/>
          <w:sz w:val="28"/>
          <w:szCs w:val="28"/>
        </w:rPr>
        <w:t xml:space="preserve"> </w:t>
      </w:r>
      <w:r w:rsidR="00242B06" w:rsidRPr="001A2E07">
        <w:rPr>
          <w:rFonts w:ascii="Arial" w:hAnsi="Arial" w:cs="Arial"/>
          <w:sz w:val="28"/>
          <w:szCs w:val="28"/>
        </w:rPr>
        <w:t>and neglect are addressed in individuals and reduced in communities.</w:t>
      </w:r>
      <w:r w:rsidR="003B4864" w:rsidRPr="001A2E07">
        <w:rPr>
          <w:rFonts w:ascii="Arial" w:hAnsi="Arial" w:cs="Arial"/>
          <w:sz w:val="28"/>
          <w:szCs w:val="28"/>
        </w:rPr>
        <w:t xml:space="preserve"> </w:t>
      </w:r>
      <w:r w:rsidR="00D745AF" w:rsidRPr="001A2E07">
        <w:rPr>
          <w:rFonts w:ascii="Arial" w:hAnsi="Arial" w:cs="Arial"/>
          <w:sz w:val="28"/>
          <w:szCs w:val="28"/>
        </w:rPr>
        <w:t>A </w:t>
      </w:r>
      <w:r w:rsidR="00242B06" w:rsidRPr="001A2E07">
        <w:rPr>
          <w:rFonts w:ascii="Arial" w:hAnsi="Arial" w:cs="Arial"/>
          <w:sz w:val="28"/>
          <w:szCs w:val="28"/>
        </w:rPr>
        <w:t xml:space="preserve">particular focus is sustained on key risk factors of mental </w:t>
      </w:r>
      <w:proofErr w:type="spellStart"/>
      <w:r w:rsidR="00242B06" w:rsidRPr="001A2E07">
        <w:rPr>
          <w:rFonts w:ascii="Arial" w:hAnsi="Arial" w:cs="Arial"/>
          <w:sz w:val="28"/>
          <w:szCs w:val="28"/>
        </w:rPr>
        <w:t>health</w:t>
      </w:r>
      <w:proofErr w:type="gramStart"/>
      <w:r w:rsidR="00242B06" w:rsidRPr="001A2E07">
        <w:rPr>
          <w:rFonts w:ascii="Arial" w:hAnsi="Arial" w:cs="Arial"/>
          <w:sz w:val="28"/>
          <w:szCs w:val="28"/>
        </w:rPr>
        <w:t>,domestic</w:t>
      </w:r>
      <w:proofErr w:type="spellEnd"/>
      <w:proofErr w:type="gramEnd"/>
      <w:r w:rsidR="00242B06" w:rsidRPr="001A2E07">
        <w:rPr>
          <w:rFonts w:ascii="Arial" w:hAnsi="Arial" w:cs="Arial"/>
          <w:sz w:val="28"/>
          <w:szCs w:val="28"/>
        </w:rPr>
        <w:t xml:space="preserve"> violence and drug and alcohol use.</w:t>
      </w:r>
    </w:p>
    <w:p w:rsidR="00242B06" w:rsidRPr="001A2E07" w:rsidRDefault="00242B06" w:rsidP="00B71ABA">
      <w:pPr>
        <w:pStyle w:val="Heading2"/>
        <w:spacing w:before="240"/>
      </w:pPr>
      <w:bookmarkStart w:id="132" w:name="Thursday"/>
      <w:bookmarkStart w:id="133" w:name="_Toc400007729"/>
      <w:bookmarkStart w:id="134" w:name="_Toc400711482"/>
      <w:bookmarkEnd w:id="132"/>
      <w:r w:rsidRPr="001A2E07">
        <w:t>Overview</w:t>
      </w:r>
      <w:bookmarkEnd w:id="133"/>
      <w:bookmarkEnd w:id="134"/>
    </w:p>
    <w:p w:rsidR="007175F1" w:rsidRPr="004C7AAB" w:rsidRDefault="00C475E2" w:rsidP="008B0400">
      <w:pPr>
        <w:rPr>
          <w:rFonts w:ascii="Calibri" w:hAnsi="Calibri" w:cs="Calibri"/>
          <w:sz w:val="24"/>
          <w:szCs w:val="24"/>
        </w:rPr>
      </w:pPr>
      <w:r w:rsidRPr="004C7AAB">
        <w:rPr>
          <w:rFonts w:ascii="Calibri" w:hAnsi="Calibri" w:cs="Calibri"/>
          <w:sz w:val="24"/>
          <w:szCs w:val="24"/>
        </w:rPr>
        <w:t xml:space="preserve">The focus of </w:t>
      </w:r>
      <w:r w:rsidR="00EC5572">
        <w:rPr>
          <w:rFonts w:ascii="Calibri" w:hAnsi="Calibri" w:cs="Calibri"/>
          <w:sz w:val="24"/>
          <w:szCs w:val="24"/>
        </w:rPr>
        <w:t>National Priorities</w:t>
      </w:r>
      <w:r w:rsidRPr="004C7AAB">
        <w:rPr>
          <w:rFonts w:ascii="Calibri" w:hAnsi="Calibri" w:cs="Calibri"/>
          <w:sz w:val="24"/>
          <w:szCs w:val="24"/>
        </w:rPr>
        <w:t xml:space="preserve"> under the Second Action Plan against Outcom</w:t>
      </w:r>
      <w:r w:rsidR="00D62CF6" w:rsidRPr="004C7AAB">
        <w:rPr>
          <w:rFonts w:ascii="Calibri" w:hAnsi="Calibri" w:cs="Calibri"/>
          <w:sz w:val="24"/>
          <w:szCs w:val="24"/>
        </w:rPr>
        <w:t>e 3 is on building and strengthening communities and addressing economic and social disadvantage</w:t>
      </w:r>
      <w:r w:rsidR="00DB4022">
        <w:rPr>
          <w:rFonts w:ascii="Calibri" w:hAnsi="Calibri" w:cs="Calibri"/>
          <w:sz w:val="24"/>
          <w:szCs w:val="24"/>
        </w:rPr>
        <w:t>, which</w:t>
      </w:r>
      <w:r w:rsidR="00D62CF6" w:rsidRPr="004C7AAB">
        <w:rPr>
          <w:rFonts w:ascii="Calibri" w:hAnsi="Calibri" w:cs="Calibri"/>
          <w:sz w:val="24"/>
          <w:szCs w:val="24"/>
        </w:rPr>
        <w:t xml:space="preserve"> are important elements in an overall approach to ensuring the safety and wellbeing of children and young people.</w:t>
      </w:r>
      <w:r w:rsidR="00D26B57">
        <w:rPr>
          <w:rFonts w:ascii="Calibri" w:hAnsi="Calibri" w:cs="Calibri"/>
          <w:sz w:val="24"/>
          <w:szCs w:val="24"/>
        </w:rPr>
        <w:t xml:space="preserve"> </w:t>
      </w:r>
      <w:r w:rsidR="00D62CF6" w:rsidRPr="004C7AAB">
        <w:rPr>
          <w:rFonts w:ascii="Calibri" w:hAnsi="Calibri" w:cs="Calibri"/>
          <w:sz w:val="24"/>
          <w:szCs w:val="24"/>
        </w:rPr>
        <w:t xml:space="preserve">These </w:t>
      </w:r>
      <w:r w:rsidR="00EC5572">
        <w:rPr>
          <w:rFonts w:ascii="Calibri" w:hAnsi="Calibri" w:cs="Calibri"/>
          <w:sz w:val="24"/>
          <w:szCs w:val="24"/>
        </w:rPr>
        <w:t>National Priorities</w:t>
      </w:r>
      <w:r w:rsidR="00D62CF6" w:rsidRPr="004C7AAB">
        <w:rPr>
          <w:rFonts w:ascii="Calibri" w:hAnsi="Calibri" w:cs="Calibri"/>
          <w:sz w:val="24"/>
          <w:szCs w:val="24"/>
        </w:rPr>
        <w:t xml:space="preserve"> are:</w:t>
      </w:r>
    </w:p>
    <w:p w:rsidR="00D5506F" w:rsidRDefault="00D5506F" w:rsidP="00DB4022">
      <w:pPr>
        <w:pStyle w:val="ListBullet"/>
      </w:pPr>
      <w:r>
        <w:t>Building Workforce Capacity and E</w:t>
      </w:r>
      <w:r w:rsidR="00D62CF6" w:rsidRPr="004C7AAB">
        <w:t xml:space="preserve">xpertise </w:t>
      </w:r>
    </w:p>
    <w:p w:rsidR="00D62CF6" w:rsidRPr="004C7AAB" w:rsidRDefault="00804098" w:rsidP="00DB4022">
      <w:pPr>
        <w:pStyle w:val="ListBullet3"/>
        <w:ind w:left="1077" w:hanging="357"/>
      </w:pPr>
      <w:r>
        <w:t xml:space="preserve">This </w:t>
      </w:r>
      <w:r w:rsidR="00DB4022">
        <w:t xml:space="preserve">explores </w:t>
      </w:r>
      <w:r w:rsidR="00D5506F">
        <w:t>options to broaden child and family</w:t>
      </w:r>
      <w:r w:rsidR="005448DD">
        <w:t>-</w:t>
      </w:r>
      <w:r w:rsidR="00D5506F">
        <w:t xml:space="preserve">sensitive practice </w:t>
      </w:r>
      <w:r w:rsidR="00DB4022">
        <w:t>through</w:t>
      </w:r>
      <w:r w:rsidR="00D5506F">
        <w:t xml:space="preserve"> increased access to training</w:t>
      </w:r>
      <w:r>
        <w:t>.</w:t>
      </w:r>
    </w:p>
    <w:p w:rsidR="00D5506F" w:rsidRDefault="00D5506F" w:rsidP="00DB4022">
      <w:pPr>
        <w:pStyle w:val="ListBullet"/>
        <w:spacing w:before="60"/>
        <w:ind w:left="357" w:hanging="357"/>
      </w:pPr>
      <w:r>
        <w:t>Domestic and Family Violence</w:t>
      </w:r>
    </w:p>
    <w:p w:rsidR="00D5506F" w:rsidRDefault="00804098" w:rsidP="00DB4022">
      <w:pPr>
        <w:pStyle w:val="ListBullet3"/>
      </w:pPr>
      <w:r>
        <w:t xml:space="preserve">This </w:t>
      </w:r>
      <w:r w:rsidR="00DB4022">
        <w:t xml:space="preserve">aims </w:t>
      </w:r>
      <w:r w:rsidR="00D5506F">
        <w:t>to strengthen families so children and young people grow up in a safe household free from domestic and family violence</w:t>
      </w:r>
      <w:r>
        <w:t>.</w:t>
      </w:r>
    </w:p>
    <w:p w:rsidR="00D5506F" w:rsidRDefault="00D5506F" w:rsidP="00DB4022">
      <w:pPr>
        <w:pStyle w:val="ListBullet"/>
        <w:spacing w:before="60"/>
        <w:ind w:left="357" w:hanging="357"/>
      </w:pPr>
      <w:r>
        <w:t>Health and Mental Health</w:t>
      </w:r>
    </w:p>
    <w:p w:rsidR="00D62CF6" w:rsidRPr="004C7AAB" w:rsidRDefault="00804098" w:rsidP="00DB4022">
      <w:pPr>
        <w:pStyle w:val="ListBullet3"/>
      </w:pPr>
      <w:r>
        <w:t xml:space="preserve">This </w:t>
      </w:r>
      <w:r w:rsidR="00DB4022">
        <w:t xml:space="preserve">looks </w:t>
      </w:r>
      <w:r w:rsidR="00D5506F">
        <w:t>for opportunities</w:t>
      </w:r>
      <w:r w:rsidR="00D62CF6" w:rsidRPr="004C7AAB">
        <w:t xml:space="preserve"> to better meet the health and mental health needs of vu</w:t>
      </w:r>
      <w:r w:rsidR="00DB4022">
        <w:t>l</w:t>
      </w:r>
      <w:r w:rsidR="00D62CF6" w:rsidRPr="004C7AAB">
        <w:t xml:space="preserve">nerable and at-risk </w:t>
      </w:r>
      <w:r w:rsidR="000F1D46">
        <w:t xml:space="preserve">women, </w:t>
      </w:r>
      <w:r w:rsidR="00D62CF6" w:rsidRPr="004C7AAB">
        <w:t>children and young people</w:t>
      </w:r>
      <w:r>
        <w:t>.</w:t>
      </w:r>
    </w:p>
    <w:p w:rsidR="00D5506F" w:rsidRDefault="00D5506F" w:rsidP="00DB4022">
      <w:pPr>
        <w:pStyle w:val="ListBullet"/>
        <w:spacing w:before="60"/>
        <w:ind w:left="357" w:hanging="357"/>
      </w:pPr>
      <w:r>
        <w:t>Disability</w:t>
      </w:r>
    </w:p>
    <w:p w:rsidR="00D5506F" w:rsidRDefault="00804098" w:rsidP="00DB4022">
      <w:pPr>
        <w:pStyle w:val="ListBullet3"/>
      </w:pPr>
      <w:r>
        <w:t xml:space="preserve">This </w:t>
      </w:r>
      <w:r w:rsidR="00DB4022">
        <w:t>i</w:t>
      </w:r>
      <w:r w:rsidR="00DB4022" w:rsidRPr="00D5506F">
        <w:t xml:space="preserve">dentifies </w:t>
      </w:r>
      <w:r w:rsidR="00D5506F" w:rsidRPr="00D5506F">
        <w:t>opportunities to link with the rollout of the</w:t>
      </w:r>
      <w:r w:rsidR="00A44A38">
        <w:t xml:space="preserve"> </w:t>
      </w:r>
      <w:r w:rsidR="00E7263D">
        <w:t xml:space="preserve">NDIS </w:t>
      </w:r>
      <w:r w:rsidR="00D5506F">
        <w:t>and the National Disa</w:t>
      </w:r>
      <w:r w:rsidR="00D5506F" w:rsidRPr="00D5506F">
        <w:t xml:space="preserve">bility </w:t>
      </w:r>
      <w:r w:rsidR="000F1D46" w:rsidRPr="00D5506F">
        <w:t>S</w:t>
      </w:r>
      <w:r w:rsidR="000F1D46">
        <w:t>trategy</w:t>
      </w:r>
      <w:r w:rsidR="00D5506F">
        <w:t>.</w:t>
      </w:r>
    </w:p>
    <w:p w:rsidR="00C475E2" w:rsidRDefault="00C475E2" w:rsidP="008B0400">
      <w:pPr>
        <w:rPr>
          <w:rFonts w:ascii="Calibri" w:hAnsi="Calibri" w:cs="Calibri"/>
          <w:sz w:val="24"/>
          <w:szCs w:val="24"/>
        </w:rPr>
      </w:pPr>
    </w:p>
    <w:p w:rsidR="007C6B38" w:rsidRDefault="006F7CAB" w:rsidP="008B0400">
      <w:pPr>
        <w:rPr>
          <w:rFonts w:ascii="Calibri" w:hAnsi="Calibri" w:cs="Calibri"/>
          <w:sz w:val="24"/>
          <w:szCs w:val="24"/>
        </w:rPr>
      </w:pPr>
      <w:r w:rsidRPr="00F85B7D">
        <w:rPr>
          <w:rFonts w:ascii="Calibri" w:hAnsi="Calibri" w:cs="Calibri"/>
          <w:sz w:val="24"/>
          <w:szCs w:val="24"/>
        </w:rPr>
        <w:t xml:space="preserve">The actions taken by each jurisdiction under these National Priorities, including other associated supporting actions, are described in detail below. </w:t>
      </w:r>
      <w:r>
        <w:rPr>
          <w:rFonts w:ascii="Calibri" w:hAnsi="Calibri" w:cs="Calibri"/>
          <w:sz w:val="24"/>
          <w:szCs w:val="24"/>
        </w:rPr>
        <w:t xml:space="preserve">At the end of the </w:t>
      </w:r>
      <w:r w:rsidR="008D421A">
        <w:rPr>
          <w:rFonts w:ascii="Calibri" w:hAnsi="Calibri" w:cs="Calibri"/>
          <w:sz w:val="24"/>
          <w:szCs w:val="24"/>
        </w:rPr>
        <w:t>c</w:t>
      </w:r>
      <w:r>
        <w:rPr>
          <w:rFonts w:ascii="Calibri" w:hAnsi="Calibri" w:cs="Calibri"/>
          <w:sz w:val="24"/>
          <w:szCs w:val="24"/>
        </w:rPr>
        <w:t xml:space="preserve">hapter, there is a discussion of performance against the </w:t>
      </w:r>
      <w:r w:rsidR="00C34AC4">
        <w:rPr>
          <w:rFonts w:ascii="Calibri" w:hAnsi="Calibri" w:cs="Calibri"/>
          <w:sz w:val="24"/>
          <w:szCs w:val="24"/>
        </w:rPr>
        <w:t>three</w:t>
      </w:r>
      <w:r w:rsidR="007C6B38">
        <w:rPr>
          <w:rFonts w:ascii="Calibri" w:hAnsi="Calibri" w:cs="Calibri"/>
          <w:sz w:val="24"/>
          <w:szCs w:val="24"/>
        </w:rPr>
        <w:t xml:space="preserve"> indicators </w:t>
      </w:r>
      <w:r>
        <w:rPr>
          <w:rFonts w:ascii="Calibri" w:hAnsi="Calibri" w:cs="Calibri"/>
          <w:sz w:val="24"/>
          <w:szCs w:val="24"/>
        </w:rPr>
        <w:t>which</w:t>
      </w:r>
      <w:r w:rsidR="007C6B38">
        <w:rPr>
          <w:rFonts w:ascii="Calibri" w:hAnsi="Calibri" w:cs="Calibri"/>
          <w:sz w:val="24"/>
          <w:szCs w:val="24"/>
        </w:rPr>
        <w:t xml:space="preserve"> measure progress towards Outcome 3. These are:</w:t>
      </w:r>
    </w:p>
    <w:p w:rsidR="007C6B38" w:rsidRDefault="007C6B38" w:rsidP="00852D18">
      <w:pPr>
        <w:pStyle w:val="ListBullet"/>
      </w:pPr>
      <w:r>
        <w:t>Parental substance use</w:t>
      </w:r>
    </w:p>
    <w:p w:rsidR="007C6B38" w:rsidRDefault="007C6B38" w:rsidP="00852D18">
      <w:pPr>
        <w:pStyle w:val="ListBullet"/>
      </w:pPr>
      <w:r>
        <w:t>Parental mental health</w:t>
      </w:r>
    </w:p>
    <w:p w:rsidR="007C6B38" w:rsidRPr="006F7CAB" w:rsidRDefault="007C6B38" w:rsidP="00852D18">
      <w:pPr>
        <w:pStyle w:val="ListBullet"/>
      </w:pPr>
      <w:r>
        <w:t>Homelessness</w:t>
      </w:r>
      <w:r w:rsidR="00754225">
        <w:t>.</w:t>
      </w:r>
    </w:p>
    <w:p w:rsidR="00D176F0" w:rsidRPr="006F793D" w:rsidRDefault="00D176F0" w:rsidP="00D745AF">
      <w:pPr>
        <w:pStyle w:val="Heading2"/>
      </w:pPr>
      <w:bookmarkStart w:id="135" w:name="_Toc400007730"/>
      <w:bookmarkStart w:id="136" w:name="_Toc400711483"/>
      <w:r>
        <w:t>Australian, state and territory government activities</w:t>
      </w:r>
      <w:bookmarkEnd w:id="135"/>
      <w:bookmarkEnd w:id="136"/>
    </w:p>
    <w:p w:rsidR="00E47C83" w:rsidRPr="004521E7" w:rsidRDefault="00E47C83" w:rsidP="00D745AF">
      <w:pPr>
        <w:pStyle w:val="Heading3"/>
      </w:pPr>
      <w:bookmarkStart w:id="137" w:name="_Toc400007731"/>
      <w:r w:rsidRPr="004521E7">
        <w:t>Australian Government</w:t>
      </w:r>
      <w:bookmarkEnd w:id="137"/>
    </w:p>
    <w:p w:rsidR="001B4C89" w:rsidRDefault="001B4C89" w:rsidP="003C414F">
      <w:pPr>
        <w:pStyle w:val="Heading4"/>
      </w:pPr>
      <w:r w:rsidRPr="001B4C89">
        <w:t>Building Workforce Capacity and Expertise</w:t>
      </w:r>
    </w:p>
    <w:p w:rsidR="00792BAF" w:rsidRPr="00DC1B19" w:rsidRDefault="001B4C89" w:rsidP="001B4C89">
      <w:pPr>
        <w:rPr>
          <w:rStyle w:val="StyleBodyCalibri12pt"/>
        </w:rPr>
      </w:pPr>
      <w:r w:rsidRPr="00DC1B19">
        <w:rPr>
          <w:rStyle w:val="StyleBodyCalibri12pt"/>
        </w:rPr>
        <w:t xml:space="preserve">The BCBB </w:t>
      </w:r>
      <w:r w:rsidR="006A667E" w:rsidRPr="00DC1B19">
        <w:rPr>
          <w:rStyle w:val="StyleBodyCalibri12pt"/>
        </w:rPr>
        <w:t>project aims to</w:t>
      </w:r>
      <w:r w:rsidR="00DB4022" w:rsidRPr="00DC1B19">
        <w:rPr>
          <w:rStyle w:val="StyleBodyCalibri12pt"/>
        </w:rPr>
        <w:t>:</w:t>
      </w:r>
      <w:r w:rsidR="006A667E" w:rsidRPr="00DC1B19">
        <w:rPr>
          <w:rStyle w:val="StyleBodyCalibri12pt"/>
        </w:rPr>
        <w:t xml:space="preserve"> enhance the knowledge and skills of practitioners in child and </w:t>
      </w:r>
      <w:r w:rsidR="0083567D" w:rsidRPr="00DC1B19">
        <w:rPr>
          <w:rStyle w:val="StyleBodyCalibri12pt"/>
        </w:rPr>
        <w:t>family-</w:t>
      </w:r>
      <w:r w:rsidR="006A667E" w:rsidRPr="00DC1B19">
        <w:rPr>
          <w:rStyle w:val="StyleBodyCalibri12pt"/>
        </w:rPr>
        <w:t>focused and adult</w:t>
      </w:r>
      <w:r w:rsidR="0083567D" w:rsidRPr="00DC1B19">
        <w:rPr>
          <w:rStyle w:val="StyleBodyCalibri12pt"/>
        </w:rPr>
        <w:t>-</w:t>
      </w:r>
      <w:r w:rsidR="006A667E" w:rsidRPr="00DC1B19">
        <w:rPr>
          <w:rStyle w:val="StyleBodyCalibri12pt"/>
        </w:rPr>
        <w:t xml:space="preserve">focused services to support parents to meet the needs of children in their care (building capacity); and strengthen collaboration between </w:t>
      </w:r>
      <w:r w:rsidR="00DB4022" w:rsidRPr="00DC1B19">
        <w:rPr>
          <w:rStyle w:val="StyleBodyCalibri12pt"/>
        </w:rPr>
        <w:t>adult-</w:t>
      </w:r>
      <w:r w:rsidR="006A667E" w:rsidRPr="00DC1B19">
        <w:rPr>
          <w:rStyle w:val="StyleBodyCalibri12pt"/>
        </w:rPr>
        <w:t xml:space="preserve">focused and child and </w:t>
      </w:r>
      <w:r w:rsidR="00DB4022" w:rsidRPr="00DC1B19">
        <w:rPr>
          <w:rStyle w:val="StyleBodyCalibri12pt"/>
        </w:rPr>
        <w:t>family-</w:t>
      </w:r>
      <w:r w:rsidR="006A667E" w:rsidRPr="00DC1B19">
        <w:rPr>
          <w:rStyle w:val="StyleBodyCalibri12pt"/>
        </w:rPr>
        <w:t xml:space="preserve">focused services to improve the way that families with multiple needs experience the service system (building bridges). </w:t>
      </w:r>
      <w:r w:rsidR="00792BAF" w:rsidRPr="00DC1B19">
        <w:rPr>
          <w:rStyle w:val="StyleBodyCalibri12pt"/>
        </w:rPr>
        <w:t xml:space="preserve">BCBB is run by </w:t>
      </w:r>
      <w:r w:rsidR="00631492" w:rsidRPr="00DC1B19">
        <w:rPr>
          <w:rStyle w:val="StyleBodyCalibri12pt"/>
        </w:rPr>
        <w:t>ACCP</w:t>
      </w:r>
      <w:r w:rsidR="00792BAF" w:rsidRPr="00DC1B19">
        <w:rPr>
          <w:rStyle w:val="StyleBodyCalibri12pt"/>
        </w:rPr>
        <w:t xml:space="preserve"> at the University of South Australia.</w:t>
      </w:r>
      <w:r w:rsidR="00D26B57" w:rsidRPr="00DC1B19">
        <w:rPr>
          <w:rStyle w:val="StyleBodyCalibri12pt"/>
        </w:rPr>
        <w:t xml:space="preserve"> </w:t>
      </w:r>
    </w:p>
    <w:p w:rsidR="00792BAF" w:rsidRPr="00DC1B19" w:rsidRDefault="00792BAF" w:rsidP="001B4C89">
      <w:pPr>
        <w:rPr>
          <w:rStyle w:val="StyleBodyCalibri12pt"/>
        </w:rPr>
      </w:pPr>
    </w:p>
    <w:p w:rsidR="001B4C89" w:rsidRPr="00DC1B19" w:rsidRDefault="00792BAF" w:rsidP="001B4C89">
      <w:pPr>
        <w:rPr>
          <w:rStyle w:val="StyleBodyCalibri12pt"/>
        </w:rPr>
      </w:pPr>
      <w:r w:rsidRPr="00DC1B19">
        <w:rPr>
          <w:rStyle w:val="StyleBodyCalibri12pt"/>
        </w:rPr>
        <w:t>BCBB</w:t>
      </w:r>
      <w:r w:rsidR="001B4C89" w:rsidRPr="00DC1B19">
        <w:rPr>
          <w:rStyle w:val="StyleBodyCalibri12pt"/>
        </w:rPr>
        <w:t xml:space="preserve"> is delivering child and </w:t>
      </w:r>
      <w:r w:rsidR="00DB4022" w:rsidRPr="00DC1B19">
        <w:rPr>
          <w:rStyle w:val="StyleBodyCalibri12pt"/>
        </w:rPr>
        <w:t>family-</w:t>
      </w:r>
      <w:r w:rsidR="001B4C89" w:rsidRPr="00DC1B19">
        <w:rPr>
          <w:rStyle w:val="StyleBodyCalibri12pt"/>
        </w:rPr>
        <w:t>sensitive practice training in adult services and is currently being trialled in 12 sites across Australia.</w:t>
      </w:r>
      <w:r w:rsidR="00D26B57" w:rsidRPr="00DC1B19">
        <w:rPr>
          <w:rStyle w:val="StyleBodyCalibri12pt"/>
        </w:rPr>
        <w:t xml:space="preserve"> </w:t>
      </w:r>
      <w:r w:rsidR="001B4C89" w:rsidRPr="00DC1B19">
        <w:rPr>
          <w:rStyle w:val="StyleBodyCalibri12pt"/>
        </w:rPr>
        <w:t>An evaluation report</w:t>
      </w:r>
      <w:r w:rsidR="009B3828" w:rsidRPr="00DC1B19">
        <w:rPr>
          <w:rStyle w:val="StyleBodyCalibri12pt"/>
        </w:rPr>
        <w:t xml:space="preserve"> on this </w:t>
      </w:r>
      <w:r w:rsidR="006A667E" w:rsidRPr="00DC1B19">
        <w:rPr>
          <w:rStyle w:val="StyleBodyCalibri12pt"/>
        </w:rPr>
        <w:t>project,</w:t>
      </w:r>
      <w:r w:rsidR="001B4C89" w:rsidRPr="00DC1B19">
        <w:rPr>
          <w:rStyle w:val="StyleBodyCalibri12pt"/>
        </w:rPr>
        <w:t xml:space="preserve"> </w:t>
      </w:r>
      <w:r w:rsidR="006A667E" w:rsidRPr="00DC1B19">
        <w:rPr>
          <w:rStyle w:val="StyleBodyCalibri12pt"/>
        </w:rPr>
        <w:t xml:space="preserve">released in May 2013, indicates that the training has been successful in enhancing knowledge development that supports child and </w:t>
      </w:r>
      <w:r w:rsidR="00B849DF" w:rsidRPr="00DC1B19">
        <w:rPr>
          <w:rStyle w:val="StyleBodyCalibri12pt"/>
        </w:rPr>
        <w:t>family-</w:t>
      </w:r>
      <w:r w:rsidR="006A667E" w:rsidRPr="00DC1B19">
        <w:rPr>
          <w:rStyle w:val="StyleBodyCalibri12pt"/>
        </w:rPr>
        <w:t xml:space="preserve">sensitive practice across service sectors in the 12 communities and </w:t>
      </w:r>
      <w:r w:rsidR="00B849DF" w:rsidRPr="00DC1B19">
        <w:rPr>
          <w:rStyle w:val="StyleBodyCalibri12pt"/>
        </w:rPr>
        <w:t xml:space="preserve">in </w:t>
      </w:r>
      <w:r w:rsidR="006A667E" w:rsidRPr="00DC1B19">
        <w:rPr>
          <w:rStyle w:val="StyleBodyCalibri12pt"/>
        </w:rPr>
        <w:t>creating opportunities to bring service sectors together to re</w:t>
      </w:r>
      <w:r w:rsidR="00395332" w:rsidRPr="00DC1B19">
        <w:rPr>
          <w:rStyle w:val="StyleBodyCalibri12pt"/>
        </w:rPr>
        <w:t>f</w:t>
      </w:r>
      <w:r w:rsidR="006A667E" w:rsidRPr="00DC1B19">
        <w:rPr>
          <w:rStyle w:val="StyleBodyCalibri12pt"/>
        </w:rPr>
        <w:t>lect on what is working and what more needs to happen so that vulnerable families and children are better supported</w:t>
      </w:r>
      <w:r w:rsidR="001B4C89" w:rsidRPr="00DC1B19">
        <w:rPr>
          <w:rStyle w:val="StyleBodyCalibri12pt"/>
        </w:rPr>
        <w:t>.</w:t>
      </w:r>
    </w:p>
    <w:p w:rsidR="00792BAF" w:rsidRPr="00DC1B19" w:rsidRDefault="00792BAF" w:rsidP="001B4C89">
      <w:pPr>
        <w:rPr>
          <w:rStyle w:val="StyleBodyCalibri12pt"/>
        </w:rPr>
      </w:pPr>
    </w:p>
    <w:p w:rsidR="00792BAF" w:rsidRPr="00DC1B19" w:rsidRDefault="00792BAF" w:rsidP="001B4C89">
      <w:pPr>
        <w:rPr>
          <w:rStyle w:val="StyleBodyCalibri12pt"/>
        </w:rPr>
      </w:pPr>
      <w:r w:rsidRPr="00DC1B19">
        <w:rPr>
          <w:rStyle w:val="StyleBodyCalibri12pt"/>
        </w:rPr>
        <w:t>BCBB will continue until 30 June 2014</w:t>
      </w:r>
      <w:r w:rsidR="00831442" w:rsidRPr="00DC1B19">
        <w:rPr>
          <w:rStyle w:val="StyleBodyCalibri12pt"/>
        </w:rPr>
        <w:t>,</w:t>
      </w:r>
      <w:r w:rsidRPr="00DC1B19">
        <w:rPr>
          <w:rStyle w:val="StyleBodyCalibri12pt"/>
        </w:rPr>
        <w:t xml:space="preserve"> and part of its activities will involve the development of e</w:t>
      </w:r>
      <w:r w:rsidR="00797E28" w:rsidRPr="00DC1B19">
        <w:rPr>
          <w:rStyle w:val="StyleBodyCalibri12pt"/>
        </w:rPr>
        <w:noBreakHyphen/>
      </w:r>
      <w:r w:rsidR="00831442" w:rsidRPr="00DC1B19">
        <w:rPr>
          <w:rStyle w:val="StyleBodyCalibri12pt"/>
        </w:rPr>
        <w:t>l</w:t>
      </w:r>
      <w:r w:rsidRPr="00DC1B19">
        <w:rPr>
          <w:rStyle w:val="StyleBodyCalibri12pt"/>
        </w:rPr>
        <w:t>earning resources and other relevant products and publications to sustain the child and family</w:t>
      </w:r>
      <w:r w:rsidR="00B849DF" w:rsidRPr="00DC1B19">
        <w:rPr>
          <w:rStyle w:val="StyleBodyCalibri12pt"/>
        </w:rPr>
        <w:t>-</w:t>
      </w:r>
      <w:r w:rsidRPr="00DC1B19">
        <w:rPr>
          <w:rStyle w:val="StyleBodyCalibri12pt"/>
        </w:rPr>
        <w:t>sensitive practice message that underpins the aims of the project.</w:t>
      </w:r>
    </w:p>
    <w:p w:rsidR="001B4C89" w:rsidRPr="00DC1B19" w:rsidRDefault="001B4C89" w:rsidP="001B4C89">
      <w:pPr>
        <w:rPr>
          <w:rStyle w:val="StyleBodyCalibri12pt"/>
        </w:rPr>
      </w:pPr>
    </w:p>
    <w:p w:rsidR="001B4C89" w:rsidRPr="00DC1B19" w:rsidRDefault="001B4C89" w:rsidP="001B4C89">
      <w:pPr>
        <w:rPr>
          <w:rStyle w:val="StyleBodyCalibri12pt"/>
        </w:rPr>
      </w:pPr>
      <w:r w:rsidRPr="00DC1B19">
        <w:rPr>
          <w:rStyle w:val="StyleBodyCalibri12pt"/>
        </w:rPr>
        <w:t xml:space="preserve">BCBB is being progressed under the National Framework and is </w:t>
      </w:r>
      <w:r w:rsidR="00B849DF" w:rsidRPr="00DC1B19">
        <w:rPr>
          <w:rStyle w:val="StyleBodyCalibri12pt"/>
        </w:rPr>
        <w:t xml:space="preserve">also </w:t>
      </w:r>
      <w:r w:rsidRPr="00DC1B19">
        <w:rPr>
          <w:rStyle w:val="StyleBodyCalibri12pt"/>
        </w:rPr>
        <w:t xml:space="preserve">a deliverable under the National Plan to Reduce Violence </w:t>
      </w:r>
      <w:r w:rsidR="00923274" w:rsidRPr="00DC1B19">
        <w:rPr>
          <w:rStyle w:val="StyleBodyCalibri12pt"/>
        </w:rPr>
        <w:t xml:space="preserve">against </w:t>
      </w:r>
      <w:r w:rsidRPr="00DC1B19">
        <w:rPr>
          <w:rStyle w:val="StyleBodyCalibri12pt"/>
        </w:rPr>
        <w:t>Women and their Children.</w:t>
      </w:r>
      <w:r w:rsidR="00D26B57" w:rsidRPr="00DC1B19">
        <w:rPr>
          <w:rStyle w:val="StyleBodyCalibri12pt"/>
        </w:rPr>
        <w:t xml:space="preserve"> </w:t>
      </w:r>
      <w:r w:rsidRPr="00DC1B19">
        <w:rPr>
          <w:rStyle w:val="StyleBodyCalibri12pt"/>
        </w:rPr>
        <w:t>There is</w:t>
      </w:r>
      <w:r w:rsidR="00B849DF" w:rsidRPr="00DC1B19">
        <w:rPr>
          <w:rStyle w:val="StyleBodyCalibri12pt"/>
        </w:rPr>
        <w:t>, therefore,</w:t>
      </w:r>
      <w:r w:rsidRPr="00DC1B19">
        <w:rPr>
          <w:rStyle w:val="StyleBodyCalibri12pt"/>
        </w:rPr>
        <w:t xml:space="preserve"> an </w:t>
      </w:r>
      <w:r w:rsidR="00B849DF" w:rsidRPr="00DC1B19">
        <w:rPr>
          <w:rStyle w:val="StyleBodyCalibri12pt"/>
        </w:rPr>
        <w:t xml:space="preserve">inherent </w:t>
      </w:r>
      <w:r w:rsidRPr="00DC1B19">
        <w:rPr>
          <w:rStyle w:val="StyleBodyCalibri12pt"/>
        </w:rPr>
        <w:t xml:space="preserve">opportunity to explore links with domestic and family violence services as part of this work. </w:t>
      </w:r>
    </w:p>
    <w:p w:rsidR="001B4C89" w:rsidRPr="00DC1B19" w:rsidRDefault="001B4C89" w:rsidP="001B4C89">
      <w:pPr>
        <w:rPr>
          <w:rStyle w:val="StyleBodyCalibri12pt"/>
        </w:rPr>
      </w:pPr>
    </w:p>
    <w:p w:rsidR="001B4C89" w:rsidRPr="00DC1B19" w:rsidRDefault="001B4C89" w:rsidP="001B4C89">
      <w:pPr>
        <w:rPr>
          <w:rStyle w:val="StyleBodyCalibri12pt"/>
        </w:rPr>
      </w:pPr>
      <w:r w:rsidRPr="00DC1B19">
        <w:rPr>
          <w:rStyle w:val="StyleBodyCalibri12pt"/>
        </w:rPr>
        <w:t>Child Aware initiatives</w:t>
      </w:r>
      <w:r w:rsidR="009B3828" w:rsidRPr="00DC1B19">
        <w:rPr>
          <w:rStyle w:val="StyleBodyCalibri12pt"/>
        </w:rPr>
        <w:t xml:space="preserve"> </w:t>
      </w:r>
      <w:r w:rsidRPr="00DC1B19">
        <w:rPr>
          <w:rStyle w:val="StyleBodyCalibri12pt"/>
        </w:rPr>
        <w:t xml:space="preserve">build on the lessons learned from the BCBB project, by putting the child at the centre of policies, programs and service delivery, particularly </w:t>
      </w:r>
      <w:r w:rsidR="00005A52" w:rsidRPr="00DC1B19">
        <w:rPr>
          <w:rStyle w:val="StyleBodyCalibri12pt"/>
        </w:rPr>
        <w:t xml:space="preserve">in </w:t>
      </w:r>
      <w:r w:rsidRPr="00DC1B19">
        <w:rPr>
          <w:rStyle w:val="StyleBodyCalibri12pt"/>
        </w:rPr>
        <w:t>adult-focused services.</w:t>
      </w:r>
    </w:p>
    <w:p w:rsidR="006C7A3F" w:rsidRDefault="006C7A3F" w:rsidP="003C414F">
      <w:pPr>
        <w:pStyle w:val="Heading4"/>
      </w:pPr>
      <w:r w:rsidRPr="006C7A3F">
        <w:t>Domestic and Family Violence</w:t>
      </w:r>
    </w:p>
    <w:p w:rsidR="006C7A3F" w:rsidRPr="00DC1B19" w:rsidRDefault="006C7A3F" w:rsidP="006C7A3F">
      <w:pPr>
        <w:rPr>
          <w:rStyle w:val="StyleBodyCalibri12pt"/>
        </w:rPr>
      </w:pPr>
      <w:r w:rsidRPr="00DC1B19">
        <w:rPr>
          <w:rStyle w:val="StyleBodyCalibri12pt"/>
        </w:rPr>
        <w:t xml:space="preserve">The NCE is a key deliverable under the </w:t>
      </w:r>
      <w:r w:rsidRPr="000433CA">
        <w:rPr>
          <w:rStyle w:val="StyleBodyCalibri12ptItalic"/>
        </w:rPr>
        <w:t>National Plan to Reduce Violence against Women and their Children 2010</w:t>
      </w:r>
      <w:r w:rsidR="00B849DF" w:rsidRPr="000433CA">
        <w:rPr>
          <w:rStyle w:val="StyleBodyCalibri12ptItalic"/>
        </w:rPr>
        <w:t>–</w:t>
      </w:r>
      <w:r w:rsidRPr="000433CA">
        <w:rPr>
          <w:rStyle w:val="StyleBodyCalibri12ptItalic"/>
        </w:rPr>
        <w:t>2022</w:t>
      </w:r>
      <w:r w:rsidRPr="00DC1B19">
        <w:rPr>
          <w:rStyle w:val="StyleBodyCalibri12pt"/>
        </w:rPr>
        <w:t>.</w:t>
      </w:r>
    </w:p>
    <w:p w:rsidR="006C7A3F" w:rsidRPr="00DC1B19" w:rsidRDefault="006C7A3F" w:rsidP="006C7A3F">
      <w:pPr>
        <w:rPr>
          <w:rStyle w:val="StyleBodyCalibri12pt"/>
        </w:rPr>
      </w:pPr>
    </w:p>
    <w:p w:rsidR="006C7A3F" w:rsidRPr="00DC1B19" w:rsidRDefault="006C7A3F" w:rsidP="006C7A3F">
      <w:pPr>
        <w:rPr>
          <w:rStyle w:val="StyleBodyCalibri12pt"/>
        </w:rPr>
      </w:pPr>
      <w:r w:rsidRPr="00DC1B19">
        <w:rPr>
          <w:rStyle w:val="StyleBodyCalibri12pt"/>
        </w:rPr>
        <w:t>The NCE was registered as an independent company limited by guarantee with the Australian Securities and Investments Commission on 12 February 2013.</w:t>
      </w:r>
      <w:r w:rsidR="00D26B57" w:rsidRPr="00DC1B19">
        <w:rPr>
          <w:rStyle w:val="StyleBodyCalibri12pt"/>
        </w:rPr>
        <w:t xml:space="preserve"> </w:t>
      </w:r>
      <w:r w:rsidRPr="00DC1B19">
        <w:rPr>
          <w:rStyle w:val="StyleBodyCalibri12pt"/>
        </w:rPr>
        <w:t>A leading expert in violence against women, Emeritus Professor Anne Edwards, was announced as the initial NCE Chair.</w:t>
      </w:r>
      <w:r w:rsidR="00662D3C" w:rsidRPr="00DC1B19">
        <w:rPr>
          <w:rStyle w:val="StyleBodyCalibri12pt"/>
        </w:rPr>
        <w:t xml:space="preserve"> It is located in Sydney.</w:t>
      </w:r>
    </w:p>
    <w:p w:rsidR="006C7A3F" w:rsidRPr="00DC1B19" w:rsidRDefault="006C7A3F" w:rsidP="006C7A3F">
      <w:pPr>
        <w:rPr>
          <w:rStyle w:val="StyleBodyCalibri12pt"/>
        </w:rPr>
      </w:pPr>
    </w:p>
    <w:p w:rsidR="006C7A3F" w:rsidRPr="00DC1B19" w:rsidRDefault="006C7A3F" w:rsidP="006C7A3F">
      <w:pPr>
        <w:rPr>
          <w:rStyle w:val="StyleBodyCalibri12pt"/>
        </w:rPr>
      </w:pPr>
      <w:r w:rsidRPr="00DC1B19">
        <w:rPr>
          <w:rStyle w:val="StyleBodyCalibri12pt"/>
        </w:rPr>
        <w:t xml:space="preserve">The NCE’s first priority is developing a national research agenda to improve policy and service delivery in preventing and responding to </w:t>
      </w:r>
      <w:r w:rsidR="006B4236" w:rsidRPr="00DC1B19">
        <w:rPr>
          <w:rStyle w:val="StyleBodyCalibri12pt"/>
        </w:rPr>
        <w:t xml:space="preserve">violence against </w:t>
      </w:r>
      <w:r w:rsidRPr="00DC1B19">
        <w:rPr>
          <w:rStyle w:val="StyleBodyCalibri12pt"/>
        </w:rPr>
        <w:t>women and their children across Australia.</w:t>
      </w:r>
    </w:p>
    <w:p w:rsidR="001B4C89" w:rsidRPr="00DC1B19" w:rsidRDefault="001B4C89" w:rsidP="006C7A3F">
      <w:pPr>
        <w:rPr>
          <w:rStyle w:val="StyleBodyCalibri12pt"/>
        </w:rPr>
      </w:pPr>
    </w:p>
    <w:p w:rsidR="001B4C89" w:rsidRPr="00DC1B19" w:rsidRDefault="001B4C89" w:rsidP="006C7A3F">
      <w:pPr>
        <w:rPr>
          <w:rStyle w:val="StyleBodyCalibri12pt"/>
        </w:rPr>
      </w:pPr>
      <w:r w:rsidRPr="00DC1B19">
        <w:rPr>
          <w:rStyle w:val="StyleBodyCalibri12pt"/>
        </w:rPr>
        <w:t xml:space="preserve">Joint work is being progressed under the National Framework and National Plan to Reduce Violence </w:t>
      </w:r>
      <w:r w:rsidR="00923274" w:rsidRPr="00DC1B19">
        <w:rPr>
          <w:rStyle w:val="StyleBodyCalibri12pt"/>
        </w:rPr>
        <w:t xml:space="preserve">against </w:t>
      </w:r>
      <w:r w:rsidRPr="00DC1B19">
        <w:rPr>
          <w:rStyle w:val="StyleBodyCalibri12pt"/>
        </w:rPr>
        <w:t xml:space="preserve">Women and their Children to address the causes of violence and minimise </w:t>
      </w:r>
      <w:r w:rsidR="00B849DF" w:rsidRPr="00DC1B19">
        <w:rPr>
          <w:rStyle w:val="StyleBodyCalibri12pt"/>
        </w:rPr>
        <w:t xml:space="preserve">its </w:t>
      </w:r>
      <w:r w:rsidRPr="00DC1B19">
        <w:rPr>
          <w:rStyle w:val="StyleBodyCalibri12pt"/>
        </w:rPr>
        <w:t>impact on children.</w:t>
      </w:r>
      <w:r w:rsidR="00D26B57" w:rsidRPr="00DC1B19">
        <w:rPr>
          <w:rStyle w:val="StyleBodyCalibri12pt"/>
        </w:rPr>
        <w:t xml:space="preserve"> </w:t>
      </w:r>
      <w:r w:rsidRPr="00DC1B19">
        <w:rPr>
          <w:rStyle w:val="StyleBodyCalibri12pt"/>
        </w:rPr>
        <w:t xml:space="preserve">Current joint work includes the </w:t>
      </w:r>
      <w:r w:rsidR="00A44A38" w:rsidRPr="00DC1B19">
        <w:rPr>
          <w:rStyle w:val="StyleBodyCalibri12pt"/>
        </w:rPr>
        <w:t>NCE</w:t>
      </w:r>
      <w:r w:rsidRPr="00DC1B19">
        <w:rPr>
          <w:rStyle w:val="StyleBodyCalibri12pt"/>
        </w:rPr>
        <w:t xml:space="preserve">, Child Aware initiatives and the </w:t>
      </w:r>
      <w:r w:rsidR="002A7141" w:rsidRPr="00DC1B19">
        <w:rPr>
          <w:rStyle w:val="StyleBodyCalibri12pt"/>
        </w:rPr>
        <w:t>BCBB</w:t>
      </w:r>
      <w:r w:rsidRPr="00DC1B19">
        <w:rPr>
          <w:rStyle w:val="StyleBodyCalibri12pt"/>
        </w:rPr>
        <w:t xml:space="preserve"> project.</w:t>
      </w:r>
      <w:r w:rsidR="00D26B57" w:rsidRPr="00DC1B19">
        <w:rPr>
          <w:rStyle w:val="StyleBodyCalibri12pt"/>
        </w:rPr>
        <w:t xml:space="preserve"> </w:t>
      </w:r>
      <w:r w:rsidRPr="00DC1B19">
        <w:rPr>
          <w:rStyle w:val="StyleBodyCalibri12pt"/>
        </w:rPr>
        <w:t>Community and Disability Services Ministers have agreed to progress joint work and identify future opportunities through a standing item on the SCCDS agenda.</w:t>
      </w:r>
    </w:p>
    <w:p w:rsidR="006C7A3F" w:rsidRDefault="006C7A3F" w:rsidP="003C414F">
      <w:pPr>
        <w:pStyle w:val="Heading4"/>
      </w:pPr>
      <w:r w:rsidRPr="006C7A3F">
        <w:t>Health and Mental Health</w:t>
      </w:r>
    </w:p>
    <w:p w:rsidR="005F668C" w:rsidRPr="00DC1B19" w:rsidRDefault="005F668C" w:rsidP="005F668C">
      <w:pPr>
        <w:rPr>
          <w:rStyle w:val="StyleBodyCalibri12pt"/>
        </w:rPr>
      </w:pPr>
      <w:r w:rsidRPr="00DC1B19">
        <w:rPr>
          <w:rStyle w:val="StyleBodyCalibri12pt"/>
        </w:rPr>
        <w:t>In November 2012, Community and Disability Services Ministers agreed to give priority to better addressing the health needs of children and young people in the child protection system.</w:t>
      </w:r>
    </w:p>
    <w:p w:rsidR="005F668C" w:rsidRPr="00DC1B19" w:rsidRDefault="005F668C" w:rsidP="005F668C">
      <w:pPr>
        <w:rPr>
          <w:rStyle w:val="StyleBodyCalibri12pt"/>
        </w:rPr>
      </w:pPr>
    </w:p>
    <w:p w:rsidR="005F668C" w:rsidRPr="00DC1B19" w:rsidRDefault="00345C45" w:rsidP="005F668C">
      <w:pPr>
        <w:rPr>
          <w:rStyle w:val="StyleBodyCalibri12pt"/>
        </w:rPr>
      </w:pPr>
      <w:r w:rsidRPr="00DC1B19">
        <w:rPr>
          <w:rStyle w:val="StyleBodyCalibri12pt"/>
        </w:rPr>
        <w:t>DSS</w:t>
      </w:r>
      <w:r w:rsidR="005F668C" w:rsidRPr="00DC1B19">
        <w:rPr>
          <w:rStyle w:val="StyleBodyCalibri12pt"/>
        </w:rPr>
        <w:t xml:space="preserve"> contracted ACIL Allen Consulting</w:t>
      </w:r>
      <w:r w:rsidR="00B449CF" w:rsidRPr="00DC1B19">
        <w:rPr>
          <w:rStyle w:val="StyleBodyCalibri12pt"/>
        </w:rPr>
        <w:t xml:space="preserve"> in April 2013</w:t>
      </w:r>
      <w:r w:rsidR="005F668C" w:rsidRPr="00DC1B19">
        <w:rPr>
          <w:rStyle w:val="StyleBodyCalibri12pt"/>
        </w:rPr>
        <w:t xml:space="preserve"> to undertake a comprehensive analysis of the range of health assessments and interventions for children and young people in the child protection system and develop feasible and </w:t>
      </w:r>
      <w:r w:rsidR="00F12AE5" w:rsidRPr="00DC1B19">
        <w:rPr>
          <w:rStyle w:val="StyleBodyCalibri12pt"/>
        </w:rPr>
        <w:t>cost-</w:t>
      </w:r>
      <w:r w:rsidR="005F668C" w:rsidRPr="00DC1B19">
        <w:rPr>
          <w:rStyle w:val="StyleBodyCalibri12pt"/>
        </w:rPr>
        <w:t>effective options for ensuring ongoing substantive health assessments and interventions, including effective mechanisms to track health histories.</w:t>
      </w:r>
      <w:r w:rsidR="00D26B57" w:rsidRPr="00DC1B19">
        <w:rPr>
          <w:rStyle w:val="StyleBodyCalibri12pt"/>
        </w:rPr>
        <w:t xml:space="preserve"> </w:t>
      </w:r>
      <w:r w:rsidR="005F668C" w:rsidRPr="00DC1B19">
        <w:rPr>
          <w:rStyle w:val="StyleBodyCalibri12pt"/>
        </w:rPr>
        <w:t>An Expert Reference Group</w:t>
      </w:r>
      <w:r w:rsidR="006E33FF" w:rsidRPr="00DC1B19">
        <w:rPr>
          <w:rStyle w:val="StyleBodyCalibri12pt"/>
        </w:rPr>
        <w:t xml:space="preserve"> (ERG)</w:t>
      </w:r>
      <w:r w:rsidR="005F668C" w:rsidRPr="00DC1B19">
        <w:rPr>
          <w:rStyle w:val="StyleBodyCalibri12pt"/>
        </w:rPr>
        <w:t xml:space="preserve">, comprising child protection and health representatives, was established to progress this work. The </w:t>
      </w:r>
      <w:r w:rsidR="00D31C59" w:rsidRPr="00DC1B19">
        <w:rPr>
          <w:rStyle w:val="StyleBodyCalibri12pt"/>
        </w:rPr>
        <w:t>Australian Government</w:t>
      </w:r>
      <w:r w:rsidR="005F668C" w:rsidRPr="00DC1B19">
        <w:rPr>
          <w:rStyle w:val="StyleBodyCalibri12pt"/>
        </w:rPr>
        <w:t xml:space="preserve"> is co-leading this project with New South Wales and Victoria</w:t>
      </w:r>
      <w:r w:rsidR="00722161" w:rsidRPr="00DC1B19">
        <w:rPr>
          <w:rStyle w:val="StyleBodyCalibri12pt"/>
        </w:rPr>
        <w:t>,</w:t>
      </w:r>
      <w:r w:rsidR="005F668C" w:rsidRPr="00DC1B19">
        <w:rPr>
          <w:rStyle w:val="StyleBodyCalibri12pt"/>
        </w:rPr>
        <w:t xml:space="preserve"> and outcomes will be considered by Ministers later in 2013.</w:t>
      </w:r>
      <w:r w:rsidR="00D26B57" w:rsidRPr="00DC1B19">
        <w:rPr>
          <w:rStyle w:val="StyleBodyCalibri12pt"/>
        </w:rPr>
        <w:t xml:space="preserve"> </w:t>
      </w:r>
    </w:p>
    <w:p w:rsidR="005F668C" w:rsidRPr="00DC1B19" w:rsidRDefault="005F668C" w:rsidP="005F668C">
      <w:pPr>
        <w:rPr>
          <w:rStyle w:val="StyleBodyCalibri12pt"/>
        </w:rPr>
      </w:pPr>
    </w:p>
    <w:p w:rsidR="001B4C89" w:rsidRPr="00DC1B19" w:rsidRDefault="001B4C89" w:rsidP="00E47C83">
      <w:pPr>
        <w:rPr>
          <w:rStyle w:val="StyleBodyCalibri12pt"/>
        </w:rPr>
      </w:pPr>
      <w:proofErr w:type="gramStart"/>
      <w:r w:rsidRPr="00DC1B19">
        <w:rPr>
          <w:rStyle w:val="StyleBodyCalibri12pt"/>
        </w:rPr>
        <w:t>The first part of a staged implementation of the Medicare Healthy Kids Check commenced in early 2013.</w:t>
      </w:r>
      <w:proofErr w:type="gramEnd"/>
      <w:r w:rsidRPr="00DC1B19">
        <w:rPr>
          <w:rStyle w:val="StyleBodyCalibri12pt"/>
        </w:rPr>
        <w:t xml:space="preserve"> The Australian Medicare Local Alliance has been contracted to undertake this project. Subject to the outcomes of the first phase of implementation over 2013, it is anticipated that the expanded Medicare Healthy Kids Check will be rolled out nationally in 2014.</w:t>
      </w:r>
    </w:p>
    <w:p w:rsidR="00BF2517" w:rsidRDefault="00BB7510" w:rsidP="003C414F">
      <w:pPr>
        <w:pStyle w:val="Heading4"/>
      </w:pPr>
      <w:r>
        <w:t>Disabil</w:t>
      </w:r>
      <w:r w:rsidRPr="00BB7510">
        <w:t>ity</w:t>
      </w:r>
    </w:p>
    <w:p w:rsidR="00A87C9C" w:rsidRPr="00DC1B19" w:rsidRDefault="00A87C9C" w:rsidP="00A87C9C">
      <w:pPr>
        <w:rPr>
          <w:rStyle w:val="StyleBodyCalibri12pt"/>
        </w:rPr>
      </w:pPr>
      <w:r w:rsidRPr="00DC1B19">
        <w:rPr>
          <w:rStyle w:val="StyleBodyCalibri12pt"/>
        </w:rPr>
        <w:t xml:space="preserve">As part of the Second Action Plan, the interface between the disability, child protection and family support service systems will be considered through the </w:t>
      </w:r>
      <w:r w:rsidR="00A44A38" w:rsidRPr="00DC1B19">
        <w:rPr>
          <w:rStyle w:val="StyleBodyCalibri12pt"/>
        </w:rPr>
        <w:t>NDIS</w:t>
      </w:r>
      <w:r w:rsidRPr="00DC1B19">
        <w:rPr>
          <w:rStyle w:val="StyleBodyCalibri12pt"/>
        </w:rPr>
        <w:t xml:space="preserve"> launch sites.</w:t>
      </w:r>
    </w:p>
    <w:p w:rsidR="00A87C9C" w:rsidRPr="00DC1B19" w:rsidRDefault="00A87C9C" w:rsidP="00A87C9C">
      <w:pPr>
        <w:rPr>
          <w:rStyle w:val="StyleBodyCalibri12pt"/>
        </w:rPr>
      </w:pPr>
    </w:p>
    <w:p w:rsidR="00A87C9C" w:rsidRPr="00DC1B19" w:rsidRDefault="00A87C9C" w:rsidP="00A87C9C">
      <w:pPr>
        <w:rPr>
          <w:rStyle w:val="StyleBodyCalibri12pt"/>
        </w:rPr>
      </w:pPr>
      <w:r w:rsidRPr="00DC1B19">
        <w:rPr>
          <w:rStyle w:val="StyleBodyCalibri12pt"/>
        </w:rPr>
        <w:t xml:space="preserve">A number of NDIS </w:t>
      </w:r>
      <w:r w:rsidR="005308E0" w:rsidRPr="00DC1B19">
        <w:rPr>
          <w:rStyle w:val="StyleBodyCalibri12pt"/>
        </w:rPr>
        <w:t xml:space="preserve">trial </w:t>
      </w:r>
      <w:r w:rsidRPr="00DC1B19">
        <w:rPr>
          <w:rStyle w:val="StyleBodyCalibri12pt"/>
        </w:rPr>
        <w:t xml:space="preserve">sites have commenced from July 2013. The South Australian and Tasmanian </w:t>
      </w:r>
      <w:r w:rsidR="005308E0" w:rsidRPr="00DC1B19">
        <w:rPr>
          <w:rStyle w:val="StyleBodyCalibri12pt"/>
        </w:rPr>
        <w:t xml:space="preserve">trial </w:t>
      </w:r>
      <w:r w:rsidRPr="00DC1B19">
        <w:rPr>
          <w:rStyle w:val="StyleBodyCalibri12pt"/>
        </w:rPr>
        <w:t xml:space="preserve">sites will have a particular focus on children and young people. The evaluation of the NDIS </w:t>
      </w:r>
      <w:r w:rsidR="005308E0" w:rsidRPr="00DC1B19">
        <w:rPr>
          <w:rStyle w:val="StyleBodyCalibri12pt"/>
        </w:rPr>
        <w:t xml:space="preserve">trial </w:t>
      </w:r>
      <w:r w:rsidRPr="00DC1B19">
        <w:rPr>
          <w:rStyle w:val="StyleBodyCalibri12pt"/>
        </w:rPr>
        <w:t xml:space="preserve">in these sites will provide an opportunity to measure outcomes for children and young people with disability receiving supports under the new scheme. </w:t>
      </w:r>
    </w:p>
    <w:p w:rsidR="00A87C9C" w:rsidRPr="00DC1B19" w:rsidRDefault="00A87C9C" w:rsidP="00A87C9C">
      <w:pPr>
        <w:rPr>
          <w:rStyle w:val="StyleBodyCalibri12pt"/>
        </w:rPr>
      </w:pPr>
    </w:p>
    <w:p w:rsidR="00A87C9C" w:rsidRPr="00DC1B19" w:rsidRDefault="00A87C9C" w:rsidP="00A87C9C">
      <w:pPr>
        <w:rPr>
          <w:rStyle w:val="StyleBodyCalibri12pt"/>
        </w:rPr>
      </w:pPr>
      <w:r w:rsidRPr="00DC1B19">
        <w:rPr>
          <w:rStyle w:val="StyleBodyCalibri12pt"/>
        </w:rPr>
        <w:t xml:space="preserve">There will be an opportunity to engage with the roll out of the NDIS to ensure </w:t>
      </w:r>
      <w:r w:rsidR="000A7B7A" w:rsidRPr="00DC1B19">
        <w:rPr>
          <w:rStyle w:val="StyleBodyCalibri12pt"/>
        </w:rPr>
        <w:t xml:space="preserve">that </w:t>
      </w:r>
      <w:r w:rsidRPr="00DC1B19">
        <w:rPr>
          <w:rStyle w:val="StyleBodyCalibri12pt"/>
        </w:rPr>
        <w:t>the wellbeing of children with disability, pa</w:t>
      </w:r>
      <w:r w:rsidR="00923D22" w:rsidRPr="00DC1B19">
        <w:rPr>
          <w:rStyle w:val="StyleBodyCalibri12pt"/>
        </w:rPr>
        <w:t>rticularly in the child protect</w:t>
      </w:r>
      <w:r w:rsidRPr="00DC1B19">
        <w:rPr>
          <w:rStyle w:val="StyleBodyCalibri12pt"/>
        </w:rPr>
        <w:t xml:space="preserve">ion system, </w:t>
      </w:r>
      <w:r w:rsidR="00214A0E" w:rsidRPr="00DC1B19">
        <w:rPr>
          <w:rStyle w:val="StyleBodyCalibri12pt"/>
        </w:rPr>
        <w:t>is</w:t>
      </w:r>
      <w:r w:rsidRPr="00DC1B19">
        <w:rPr>
          <w:rStyle w:val="StyleBodyCalibri12pt"/>
        </w:rPr>
        <w:t xml:space="preserve"> considered.</w:t>
      </w:r>
    </w:p>
    <w:p w:rsidR="00BD5D4E" w:rsidRPr="00821556" w:rsidRDefault="00BD5D4E" w:rsidP="00D36819">
      <w:pPr>
        <w:pStyle w:val="Heading3"/>
      </w:pPr>
      <w:bookmarkStart w:id="138" w:name="_Toc400007732"/>
      <w:r w:rsidRPr="00821556">
        <w:t>Australian Capital Territory</w:t>
      </w:r>
      <w:bookmarkEnd w:id="138"/>
    </w:p>
    <w:p w:rsidR="00890AEB" w:rsidRPr="00110E84" w:rsidRDefault="00890AEB" w:rsidP="003C414F">
      <w:pPr>
        <w:pStyle w:val="Heading4"/>
      </w:pPr>
      <w:r w:rsidRPr="00110E84">
        <w:t xml:space="preserve">Building Workforce Capacity and Expertise </w:t>
      </w:r>
    </w:p>
    <w:p w:rsidR="00890AEB" w:rsidRDefault="00890AEB" w:rsidP="00890AEB">
      <w:pPr>
        <w:rPr>
          <w:rFonts w:ascii="Calibri" w:hAnsi="Calibri" w:cs="Calibri"/>
          <w:sz w:val="24"/>
          <w:szCs w:val="24"/>
        </w:rPr>
      </w:pPr>
      <w:r w:rsidRPr="00FA1ECD">
        <w:rPr>
          <w:rFonts w:ascii="Calibri" w:hAnsi="Calibri" w:cs="Calibri"/>
          <w:sz w:val="24"/>
          <w:szCs w:val="24"/>
        </w:rPr>
        <w:t>The ACT Learning and Community Engagement Service delivers a regular program of core training to educate care and protection staff, mandated reporters and other providers of adult and children’s services about risk factors and the impacts of child abuse and neglect.</w:t>
      </w:r>
    </w:p>
    <w:p w:rsidR="0047483B" w:rsidRPr="00FA1ECD" w:rsidRDefault="0047483B" w:rsidP="00890AEB">
      <w:pPr>
        <w:rPr>
          <w:rFonts w:ascii="Calibri" w:hAnsi="Calibri" w:cs="Calibri"/>
          <w:sz w:val="24"/>
          <w:szCs w:val="24"/>
        </w:rPr>
      </w:pPr>
    </w:p>
    <w:p w:rsidR="00890AEB" w:rsidRPr="00890AEB" w:rsidRDefault="00890AEB" w:rsidP="00905F8A">
      <w:pPr>
        <w:rPr>
          <w:rFonts w:ascii="Calibri" w:hAnsi="Calibri" w:cs="Calibri"/>
          <w:sz w:val="24"/>
          <w:szCs w:val="24"/>
        </w:rPr>
      </w:pPr>
      <w:r w:rsidRPr="00FA1ECD">
        <w:rPr>
          <w:rFonts w:ascii="Calibri" w:hAnsi="Calibri" w:cs="Calibri"/>
          <w:sz w:val="24"/>
          <w:szCs w:val="24"/>
        </w:rPr>
        <w:t>A Practice Framework and Common Assessment Tool have been developed for use by service providers operating under the Child, Youth and Family Services Program for vulnerable children, young people and families. These clearly distinguish the continuum of roles and responsibilities for workers according to the levels of need and risk existing within a family.</w:t>
      </w:r>
    </w:p>
    <w:p w:rsidR="00905F8A" w:rsidRDefault="00FA1ECD" w:rsidP="003C414F">
      <w:pPr>
        <w:pStyle w:val="Heading4"/>
      </w:pPr>
      <w:r w:rsidRPr="00FA1ECD">
        <w:t xml:space="preserve">Health and Mental Health </w:t>
      </w:r>
    </w:p>
    <w:p w:rsidR="00FA1ECD" w:rsidRDefault="00FA1ECD" w:rsidP="00905F8A">
      <w:pPr>
        <w:rPr>
          <w:rFonts w:ascii="Calibri" w:hAnsi="Calibri" w:cs="Calibri"/>
          <w:sz w:val="24"/>
          <w:szCs w:val="24"/>
        </w:rPr>
      </w:pPr>
      <w:r w:rsidRPr="00FA1ECD">
        <w:rPr>
          <w:rFonts w:ascii="Calibri" w:hAnsi="Calibri" w:cs="Calibri"/>
          <w:sz w:val="24"/>
          <w:szCs w:val="24"/>
        </w:rPr>
        <w:t>In the ACT</w:t>
      </w:r>
      <w:r w:rsidR="009B3828">
        <w:rPr>
          <w:rFonts w:ascii="Calibri" w:hAnsi="Calibri" w:cs="Calibri"/>
          <w:sz w:val="24"/>
          <w:szCs w:val="24"/>
        </w:rPr>
        <w:t>,</w:t>
      </w:r>
      <w:r w:rsidRPr="00FA1ECD">
        <w:rPr>
          <w:rFonts w:ascii="Calibri" w:hAnsi="Calibri" w:cs="Calibri"/>
          <w:sz w:val="24"/>
          <w:szCs w:val="24"/>
        </w:rPr>
        <w:t xml:space="preserve"> a Health Passport project is being developed to track the health histories of children and young people in out-of-home care. A Health Passport will be a record of a child or young person’s health activity that can travel with </w:t>
      </w:r>
      <w:r w:rsidR="00BE0B4F">
        <w:rPr>
          <w:rFonts w:ascii="Calibri" w:hAnsi="Calibri" w:cs="Calibri"/>
          <w:sz w:val="24"/>
          <w:szCs w:val="24"/>
        </w:rPr>
        <w:t>that person</w:t>
      </w:r>
      <w:r w:rsidR="00BE0B4F" w:rsidRPr="00FA1ECD">
        <w:rPr>
          <w:rFonts w:ascii="Calibri" w:hAnsi="Calibri" w:cs="Calibri"/>
          <w:sz w:val="24"/>
          <w:szCs w:val="24"/>
        </w:rPr>
        <w:t xml:space="preserve"> </w:t>
      </w:r>
      <w:r w:rsidRPr="00FA1ECD">
        <w:rPr>
          <w:rFonts w:ascii="Calibri" w:hAnsi="Calibri" w:cs="Calibri"/>
          <w:sz w:val="24"/>
          <w:szCs w:val="24"/>
        </w:rPr>
        <w:t xml:space="preserve">across </w:t>
      </w:r>
      <w:r w:rsidR="00D6253D">
        <w:rPr>
          <w:rFonts w:ascii="Calibri" w:hAnsi="Calibri" w:cs="Calibri"/>
          <w:sz w:val="24"/>
          <w:szCs w:val="24"/>
        </w:rPr>
        <w:t>her or his</w:t>
      </w:r>
      <w:r w:rsidR="00BE0B4F" w:rsidRPr="00FA1ECD">
        <w:rPr>
          <w:rFonts w:ascii="Calibri" w:hAnsi="Calibri" w:cs="Calibri"/>
          <w:sz w:val="24"/>
          <w:szCs w:val="24"/>
        </w:rPr>
        <w:t xml:space="preserve"> </w:t>
      </w:r>
      <w:r w:rsidRPr="00FA1ECD">
        <w:rPr>
          <w:rFonts w:ascii="Calibri" w:hAnsi="Calibri" w:cs="Calibri"/>
          <w:sz w:val="24"/>
          <w:szCs w:val="24"/>
        </w:rPr>
        <w:t>life. The aim</w:t>
      </w:r>
      <w:r w:rsidR="00D6253D">
        <w:rPr>
          <w:rFonts w:ascii="Calibri" w:hAnsi="Calibri" w:cs="Calibri"/>
          <w:sz w:val="24"/>
          <w:szCs w:val="24"/>
        </w:rPr>
        <w:t>s</w:t>
      </w:r>
      <w:r w:rsidRPr="00FA1ECD">
        <w:rPr>
          <w:rFonts w:ascii="Calibri" w:hAnsi="Calibri" w:cs="Calibri"/>
          <w:sz w:val="24"/>
          <w:szCs w:val="24"/>
        </w:rPr>
        <w:t xml:space="preserve"> of the project </w:t>
      </w:r>
      <w:r w:rsidR="00D6253D">
        <w:rPr>
          <w:rFonts w:ascii="Calibri" w:hAnsi="Calibri" w:cs="Calibri"/>
          <w:sz w:val="24"/>
          <w:szCs w:val="24"/>
        </w:rPr>
        <w:t>are</w:t>
      </w:r>
      <w:r w:rsidRPr="00FA1ECD">
        <w:rPr>
          <w:rFonts w:ascii="Calibri" w:hAnsi="Calibri" w:cs="Calibri"/>
          <w:sz w:val="24"/>
          <w:szCs w:val="24"/>
        </w:rPr>
        <w:t xml:space="preserve"> to allow for the tracking of health histories and </w:t>
      </w:r>
      <w:r w:rsidR="00D6253D">
        <w:rPr>
          <w:rFonts w:ascii="Calibri" w:hAnsi="Calibri" w:cs="Calibri"/>
          <w:sz w:val="24"/>
          <w:szCs w:val="24"/>
        </w:rPr>
        <w:t xml:space="preserve">to </w:t>
      </w:r>
      <w:r w:rsidRPr="00FA1ECD">
        <w:rPr>
          <w:rFonts w:ascii="Calibri" w:hAnsi="Calibri" w:cs="Calibri"/>
          <w:sz w:val="24"/>
          <w:szCs w:val="24"/>
        </w:rPr>
        <w:t xml:space="preserve">improve </w:t>
      </w:r>
      <w:r w:rsidR="00BE0B4F">
        <w:rPr>
          <w:rFonts w:ascii="Calibri" w:hAnsi="Calibri" w:cs="Calibri"/>
          <w:sz w:val="24"/>
          <w:szCs w:val="24"/>
        </w:rPr>
        <w:t xml:space="preserve">the </w:t>
      </w:r>
      <w:r w:rsidR="009B3828">
        <w:rPr>
          <w:rFonts w:ascii="Calibri" w:hAnsi="Calibri" w:cs="Calibri"/>
          <w:sz w:val="24"/>
          <w:szCs w:val="24"/>
        </w:rPr>
        <w:t>access of children and young people to their health records.</w:t>
      </w:r>
    </w:p>
    <w:p w:rsidR="00FA1ECD" w:rsidRDefault="00FA1ECD" w:rsidP="003C414F">
      <w:pPr>
        <w:pStyle w:val="Heading4"/>
      </w:pPr>
      <w:r w:rsidRPr="00FA1ECD">
        <w:t xml:space="preserve">Other </w:t>
      </w:r>
      <w:r w:rsidR="00890AEB">
        <w:t>Supporting Actions</w:t>
      </w:r>
    </w:p>
    <w:p w:rsidR="00FA1ECD" w:rsidRDefault="00C673F8" w:rsidP="00C673F8">
      <w:pPr>
        <w:rPr>
          <w:rFonts w:ascii="Calibri" w:hAnsi="Calibri" w:cs="Calibri"/>
          <w:sz w:val="24"/>
          <w:szCs w:val="24"/>
        </w:rPr>
      </w:pPr>
      <w:r w:rsidRPr="00C673F8">
        <w:rPr>
          <w:rFonts w:ascii="Calibri" w:hAnsi="Calibri" w:cs="Calibri"/>
          <w:sz w:val="24"/>
          <w:szCs w:val="24"/>
        </w:rPr>
        <w:t>The ACT Prevention of Violence against Women and Children Implementation Plan Phase One 2011</w:t>
      </w:r>
      <w:r w:rsidR="00BE0B4F">
        <w:rPr>
          <w:rFonts w:ascii="Calibri" w:hAnsi="Calibri" w:cs="Calibri"/>
          <w:sz w:val="24"/>
          <w:szCs w:val="24"/>
        </w:rPr>
        <w:t>–</w:t>
      </w:r>
      <w:r w:rsidRPr="00C673F8">
        <w:rPr>
          <w:rFonts w:ascii="Calibri" w:hAnsi="Calibri" w:cs="Calibri"/>
          <w:sz w:val="24"/>
          <w:szCs w:val="24"/>
        </w:rPr>
        <w:t>2014 was released in August 2012. It outlines actions to be undertaken in the first three years which focus on building strong foundations for the work that lies ahead over the life of the</w:t>
      </w:r>
      <w:r w:rsidR="00D745AF">
        <w:rPr>
          <w:rFonts w:ascii="Calibri" w:hAnsi="Calibri" w:cs="Calibri"/>
          <w:sz w:val="24"/>
          <w:szCs w:val="24"/>
        </w:rPr>
        <w:t xml:space="preserve"> </w:t>
      </w:r>
      <w:r w:rsidRPr="00C673F8">
        <w:rPr>
          <w:rFonts w:ascii="Calibri" w:hAnsi="Calibri" w:cs="Calibri"/>
          <w:sz w:val="24"/>
          <w:szCs w:val="24"/>
        </w:rPr>
        <w:t xml:space="preserve">ACT </w:t>
      </w:r>
      <w:r w:rsidRPr="00AE7DB5">
        <w:rPr>
          <w:rFonts w:ascii="Calibri" w:hAnsi="Calibri" w:cs="Calibri"/>
          <w:i/>
          <w:sz w:val="24"/>
          <w:szCs w:val="24"/>
        </w:rPr>
        <w:t>Prevention of Violence against Women and Children Strategy 2010</w:t>
      </w:r>
      <w:r w:rsidR="00BE0B4F" w:rsidRPr="00AE7DB5">
        <w:rPr>
          <w:rFonts w:ascii="Calibri" w:hAnsi="Calibri" w:cs="Calibri"/>
          <w:i/>
          <w:sz w:val="24"/>
          <w:szCs w:val="24"/>
        </w:rPr>
        <w:t>–</w:t>
      </w:r>
      <w:r w:rsidRPr="00AE7DB5">
        <w:rPr>
          <w:rFonts w:ascii="Calibri" w:hAnsi="Calibri" w:cs="Calibri"/>
          <w:i/>
          <w:sz w:val="24"/>
          <w:szCs w:val="24"/>
        </w:rPr>
        <w:t>17 Our Responsibility: Ending Violence against Women and Children</w:t>
      </w:r>
      <w:r w:rsidRPr="00C673F8">
        <w:rPr>
          <w:rFonts w:ascii="Calibri" w:hAnsi="Calibri" w:cs="Calibri"/>
          <w:sz w:val="24"/>
          <w:szCs w:val="24"/>
        </w:rPr>
        <w:t xml:space="preserve"> (Our Responsibility) and the </w:t>
      </w:r>
      <w:r w:rsidRPr="00AE7DB5">
        <w:rPr>
          <w:rFonts w:ascii="Calibri" w:hAnsi="Calibri" w:cs="Calibri"/>
          <w:i/>
          <w:sz w:val="24"/>
          <w:szCs w:val="24"/>
        </w:rPr>
        <w:t>National Plan to Reduce Violence against Women and their Children 2010</w:t>
      </w:r>
      <w:r w:rsidR="00662D3C" w:rsidRPr="00AE7DB5">
        <w:rPr>
          <w:rFonts w:ascii="Calibri" w:hAnsi="Calibri" w:cs="Calibri"/>
          <w:i/>
          <w:sz w:val="24"/>
          <w:szCs w:val="24"/>
        </w:rPr>
        <w:t>–</w:t>
      </w:r>
      <w:r w:rsidRPr="00AE7DB5">
        <w:rPr>
          <w:rFonts w:ascii="Calibri" w:hAnsi="Calibri" w:cs="Calibri"/>
          <w:i/>
          <w:sz w:val="24"/>
          <w:szCs w:val="24"/>
        </w:rPr>
        <w:t>2022</w:t>
      </w:r>
      <w:r w:rsidRPr="00C673F8">
        <w:rPr>
          <w:rFonts w:ascii="Calibri" w:hAnsi="Calibri" w:cs="Calibri"/>
          <w:sz w:val="24"/>
          <w:szCs w:val="24"/>
        </w:rPr>
        <w:t xml:space="preserve"> (National Plan). Our Responsibility is a joint initiative of the Community Services and the Justice and Community Safety Directorates and </w:t>
      </w:r>
      <w:r w:rsidR="00662D3C">
        <w:rPr>
          <w:rFonts w:ascii="Calibri" w:hAnsi="Calibri" w:cs="Calibri"/>
          <w:sz w:val="24"/>
          <w:szCs w:val="24"/>
        </w:rPr>
        <w:t xml:space="preserve">is </w:t>
      </w:r>
      <w:r w:rsidRPr="00C673F8">
        <w:rPr>
          <w:rFonts w:ascii="Calibri" w:hAnsi="Calibri" w:cs="Calibri"/>
          <w:sz w:val="24"/>
          <w:szCs w:val="24"/>
        </w:rPr>
        <w:t xml:space="preserve">the first of its kind in the ACT. The </w:t>
      </w:r>
      <w:r w:rsidR="00923274" w:rsidRPr="00C673F8">
        <w:rPr>
          <w:rFonts w:ascii="Calibri" w:hAnsi="Calibri" w:cs="Calibri"/>
          <w:sz w:val="24"/>
          <w:szCs w:val="24"/>
        </w:rPr>
        <w:t>long</w:t>
      </w:r>
      <w:r w:rsidR="00923274">
        <w:rPr>
          <w:rFonts w:ascii="Calibri" w:hAnsi="Calibri" w:cs="Calibri"/>
          <w:sz w:val="24"/>
          <w:szCs w:val="24"/>
        </w:rPr>
        <w:t>-</w:t>
      </w:r>
      <w:r w:rsidRPr="00C673F8">
        <w:rPr>
          <w:rFonts w:ascii="Calibri" w:hAnsi="Calibri" w:cs="Calibri"/>
          <w:sz w:val="24"/>
          <w:szCs w:val="24"/>
        </w:rPr>
        <w:t>term goals of Our Responsibility are consistent with the goals of the National Plan.</w:t>
      </w:r>
    </w:p>
    <w:p w:rsidR="00FA1ECD" w:rsidRDefault="00FA1ECD" w:rsidP="00905F8A">
      <w:pPr>
        <w:rPr>
          <w:rFonts w:ascii="Calibri" w:hAnsi="Calibri" w:cs="Calibri"/>
          <w:sz w:val="24"/>
          <w:szCs w:val="24"/>
        </w:rPr>
      </w:pPr>
    </w:p>
    <w:p w:rsidR="00C673F8" w:rsidRDefault="00C673F8" w:rsidP="00905F8A">
      <w:pPr>
        <w:rPr>
          <w:rFonts w:ascii="Calibri" w:hAnsi="Calibri" w:cs="Calibri"/>
          <w:sz w:val="24"/>
          <w:szCs w:val="24"/>
        </w:rPr>
      </w:pPr>
      <w:r>
        <w:rPr>
          <w:rFonts w:ascii="Calibri" w:hAnsi="Calibri" w:cs="Calibri"/>
          <w:sz w:val="24"/>
          <w:szCs w:val="24"/>
        </w:rPr>
        <w:t>T</w:t>
      </w:r>
      <w:r w:rsidRPr="00C673F8">
        <w:rPr>
          <w:rFonts w:ascii="Calibri" w:hAnsi="Calibri" w:cs="Calibri"/>
          <w:sz w:val="24"/>
          <w:szCs w:val="24"/>
        </w:rPr>
        <w:t xml:space="preserve">he </w:t>
      </w:r>
      <w:r>
        <w:rPr>
          <w:rFonts w:ascii="Calibri" w:hAnsi="Calibri" w:cs="Calibri"/>
          <w:sz w:val="24"/>
          <w:szCs w:val="24"/>
        </w:rPr>
        <w:t>ACT G</w:t>
      </w:r>
      <w:r w:rsidRPr="00C673F8">
        <w:rPr>
          <w:rFonts w:ascii="Calibri" w:hAnsi="Calibri" w:cs="Calibri"/>
          <w:sz w:val="24"/>
          <w:szCs w:val="24"/>
        </w:rPr>
        <w:t>overnment</w:t>
      </w:r>
      <w:r>
        <w:rPr>
          <w:rFonts w:ascii="Calibri" w:hAnsi="Calibri" w:cs="Calibri"/>
          <w:sz w:val="24"/>
          <w:szCs w:val="24"/>
        </w:rPr>
        <w:t xml:space="preserve"> also amended the </w:t>
      </w:r>
      <w:r w:rsidRPr="00AE7DB5">
        <w:rPr>
          <w:rFonts w:ascii="Calibri" w:hAnsi="Calibri" w:cs="Calibri"/>
          <w:i/>
          <w:sz w:val="24"/>
          <w:szCs w:val="24"/>
        </w:rPr>
        <w:t>Crimes (Child Sex Offenders) A</w:t>
      </w:r>
      <w:r w:rsidR="009B3828" w:rsidRPr="00AE7DB5">
        <w:rPr>
          <w:rFonts w:ascii="Calibri" w:hAnsi="Calibri" w:cs="Calibri"/>
          <w:i/>
          <w:sz w:val="24"/>
          <w:szCs w:val="24"/>
        </w:rPr>
        <w:t>ct 2005</w:t>
      </w:r>
      <w:r w:rsidR="009B3828">
        <w:rPr>
          <w:rFonts w:ascii="Calibri" w:hAnsi="Calibri" w:cs="Calibri"/>
          <w:sz w:val="24"/>
          <w:szCs w:val="24"/>
        </w:rPr>
        <w:t>. T</w:t>
      </w:r>
      <w:r w:rsidRPr="00C673F8">
        <w:rPr>
          <w:rFonts w:ascii="Calibri" w:hAnsi="Calibri" w:cs="Calibri"/>
          <w:sz w:val="24"/>
          <w:szCs w:val="24"/>
        </w:rPr>
        <w:t>he amendments created new offences of sexual intercourse and acts of indecency with a young person under special care and brought important definitions for sexual offences into line with other juri</w:t>
      </w:r>
      <w:r>
        <w:rPr>
          <w:rFonts w:ascii="Calibri" w:hAnsi="Calibri" w:cs="Calibri"/>
          <w:sz w:val="24"/>
          <w:szCs w:val="24"/>
        </w:rPr>
        <w:t>sdictions. T</w:t>
      </w:r>
      <w:r w:rsidRPr="00C673F8">
        <w:rPr>
          <w:rFonts w:ascii="Calibri" w:hAnsi="Calibri" w:cs="Calibri"/>
          <w:sz w:val="24"/>
          <w:szCs w:val="24"/>
        </w:rPr>
        <w:t>he legislation strengthens provisions for victims and certain witnesses who give evidence in</w:t>
      </w:r>
      <w:r>
        <w:rPr>
          <w:rFonts w:ascii="Calibri" w:hAnsi="Calibri" w:cs="Calibri"/>
          <w:sz w:val="24"/>
          <w:szCs w:val="24"/>
        </w:rPr>
        <w:t xml:space="preserve"> sexual and violent offences.</w:t>
      </w:r>
      <w:r w:rsidR="007764A2">
        <w:rPr>
          <w:rFonts w:ascii="Calibri" w:hAnsi="Calibri" w:cs="Calibri"/>
          <w:sz w:val="24"/>
          <w:szCs w:val="24"/>
        </w:rPr>
        <w:t xml:space="preserve"> </w:t>
      </w:r>
      <w:r>
        <w:rPr>
          <w:rFonts w:ascii="Calibri" w:hAnsi="Calibri" w:cs="Calibri"/>
          <w:sz w:val="24"/>
          <w:szCs w:val="24"/>
        </w:rPr>
        <w:t>V</w:t>
      </w:r>
      <w:r w:rsidRPr="00C673F8">
        <w:rPr>
          <w:rFonts w:ascii="Calibri" w:hAnsi="Calibri" w:cs="Calibri"/>
          <w:sz w:val="24"/>
          <w:szCs w:val="24"/>
        </w:rPr>
        <w:t xml:space="preserve">ictims who wish to read a victim impact statement aloud, either in court or in certain cases by </w:t>
      </w:r>
      <w:r w:rsidR="00582B3B" w:rsidRPr="00C673F8">
        <w:rPr>
          <w:rFonts w:ascii="Calibri" w:hAnsi="Calibri" w:cs="Calibri"/>
          <w:sz w:val="24"/>
          <w:szCs w:val="24"/>
        </w:rPr>
        <w:t>audio</w:t>
      </w:r>
      <w:r w:rsidR="00582B3B">
        <w:rPr>
          <w:rFonts w:ascii="Calibri" w:hAnsi="Calibri" w:cs="Calibri"/>
          <w:sz w:val="24"/>
          <w:szCs w:val="24"/>
        </w:rPr>
        <w:t>-</w:t>
      </w:r>
      <w:r w:rsidRPr="00C673F8">
        <w:rPr>
          <w:rFonts w:ascii="Calibri" w:hAnsi="Calibri" w:cs="Calibri"/>
          <w:sz w:val="24"/>
          <w:szCs w:val="24"/>
        </w:rPr>
        <w:t>visual link, will be given a right to do so.</w:t>
      </w:r>
    </w:p>
    <w:p w:rsidR="00C673F8" w:rsidRDefault="00C673F8" w:rsidP="00905F8A">
      <w:pPr>
        <w:rPr>
          <w:rFonts w:ascii="Calibri" w:hAnsi="Calibri" w:cs="Calibri"/>
          <w:sz w:val="24"/>
          <w:szCs w:val="24"/>
        </w:rPr>
      </w:pPr>
    </w:p>
    <w:p w:rsidR="00C673F8" w:rsidRDefault="00C673F8" w:rsidP="00905F8A">
      <w:pPr>
        <w:rPr>
          <w:rFonts w:ascii="Calibri" w:hAnsi="Calibri" w:cs="Calibri"/>
          <w:sz w:val="24"/>
          <w:szCs w:val="24"/>
        </w:rPr>
      </w:pPr>
      <w:r w:rsidRPr="00C673F8">
        <w:rPr>
          <w:rFonts w:ascii="Calibri" w:hAnsi="Calibri" w:cs="Calibri"/>
          <w:sz w:val="24"/>
          <w:szCs w:val="24"/>
        </w:rPr>
        <w:t xml:space="preserve">The ACT Government provided seed funding for the development of a primary prevention anti-violence respectful relationships program, Respect, Communicate, Choose, targeted </w:t>
      </w:r>
      <w:r w:rsidR="006C6346">
        <w:rPr>
          <w:rFonts w:ascii="Calibri" w:hAnsi="Calibri" w:cs="Calibri"/>
          <w:sz w:val="24"/>
          <w:szCs w:val="24"/>
        </w:rPr>
        <w:t>to</w:t>
      </w:r>
      <w:r w:rsidRPr="00C673F8">
        <w:rPr>
          <w:rFonts w:ascii="Calibri" w:hAnsi="Calibri" w:cs="Calibri"/>
          <w:sz w:val="24"/>
          <w:szCs w:val="24"/>
        </w:rPr>
        <w:t xml:space="preserve"> 8</w:t>
      </w:r>
      <w:r w:rsidR="00662D3C">
        <w:rPr>
          <w:rFonts w:ascii="Calibri" w:hAnsi="Calibri" w:cs="Calibri"/>
          <w:sz w:val="24"/>
          <w:szCs w:val="24"/>
        </w:rPr>
        <w:t>–</w:t>
      </w:r>
      <w:r w:rsidRPr="00C673F8">
        <w:rPr>
          <w:rFonts w:ascii="Calibri" w:hAnsi="Calibri" w:cs="Calibri"/>
          <w:sz w:val="24"/>
          <w:szCs w:val="24"/>
        </w:rPr>
        <w:t>12 year olds</w:t>
      </w:r>
      <w:r w:rsidR="009B3828">
        <w:rPr>
          <w:rFonts w:ascii="Calibri" w:hAnsi="Calibri" w:cs="Calibri"/>
          <w:sz w:val="24"/>
          <w:szCs w:val="24"/>
        </w:rPr>
        <w:t>,</w:t>
      </w:r>
      <w:r w:rsidRPr="00C673F8">
        <w:rPr>
          <w:rFonts w:ascii="Calibri" w:hAnsi="Calibri" w:cs="Calibri"/>
          <w:sz w:val="24"/>
          <w:szCs w:val="24"/>
        </w:rPr>
        <w:t xml:space="preserve"> to build young people’s knowledge and skills to support them to develop relationships based on respect, equality and safety. The funding enabled the </w:t>
      </w:r>
      <w:r w:rsidR="00662D3C">
        <w:rPr>
          <w:rFonts w:ascii="Calibri" w:hAnsi="Calibri" w:cs="Calibri"/>
          <w:sz w:val="24"/>
          <w:szCs w:val="24"/>
        </w:rPr>
        <w:t>Young Women’s Christian Association (</w:t>
      </w:r>
      <w:r w:rsidRPr="00C673F8">
        <w:rPr>
          <w:rFonts w:ascii="Calibri" w:hAnsi="Calibri" w:cs="Calibri"/>
          <w:sz w:val="24"/>
          <w:szCs w:val="24"/>
        </w:rPr>
        <w:t>YWCA</w:t>
      </w:r>
      <w:r w:rsidR="00662D3C">
        <w:rPr>
          <w:rFonts w:ascii="Calibri" w:hAnsi="Calibri" w:cs="Calibri"/>
          <w:sz w:val="24"/>
          <w:szCs w:val="24"/>
        </w:rPr>
        <w:t>)</w:t>
      </w:r>
      <w:r w:rsidRPr="00C673F8">
        <w:rPr>
          <w:rFonts w:ascii="Calibri" w:hAnsi="Calibri" w:cs="Calibri"/>
          <w:sz w:val="24"/>
          <w:szCs w:val="24"/>
        </w:rPr>
        <w:t xml:space="preserve"> of Canberra to develop a program manual for educators and trainers and an information resource booklet about respectful relationships</w:t>
      </w:r>
      <w:r w:rsidR="0056599F">
        <w:rPr>
          <w:rFonts w:ascii="Calibri" w:hAnsi="Calibri" w:cs="Calibri"/>
          <w:sz w:val="24"/>
          <w:szCs w:val="24"/>
        </w:rPr>
        <w:t>,</w:t>
      </w:r>
      <w:r w:rsidRPr="00C673F8">
        <w:rPr>
          <w:rFonts w:ascii="Calibri" w:hAnsi="Calibri" w:cs="Calibri"/>
          <w:sz w:val="24"/>
          <w:szCs w:val="24"/>
        </w:rPr>
        <w:t xml:space="preserve"> targeted </w:t>
      </w:r>
      <w:r w:rsidR="006C6346">
        <w:rPr>
          <w:rFonts w:ascii="Calibri" w:hAnsi="Calibri" w:cs="Calibri"/>
          <w:sz w:val="24"/>
          <w:szCs w:val="24"/>
        </w:rPr>
        <w:t>to</w:t>
      </w:r>
      <w:r w:rsidRPr="00C673F8">
        <w:rPr>
          <w:rFonts w:ascii="Calibri" w:hAnsi="Calibri" w:cs="Calibri"/>
          <w:sz w:val="24"/>
          <w:szCs w:val="24"/>
        </w:rPr>
        <w:t xml:space="preserve"> 8</w:t>
      </w:r>
      <w:r w:rsidR="00662D3C">
        <w:rPr>
          <w:rFonts w:ascii="Calibri" w:hAnsi="Calibri" w:cs="Calibri"/>
          <w:sz w:val="24"/>
          <w:szCs w:val="24"/>
        </w:rPr>
        <w:t>–</w:t>
      </w:r>
      <w:r w:rsidRPr="00C673F8">
        <w:rPr>
          <w:rFonts w:ascii="Calibri" w:hAnsi="Calibri" w:cs="Calibri"/>
          <w:sz w:val="24"/>
          <w:szCs w:val="24"/>
        </w:rPr>
        <w:t>12 year olds.</w:t>
      </w:r>
    </w:p>
    <w:p w:rsidR="00C673F8" w:rsidRDefault="00C673F8" w:rsidP="00905F8A">
      <w:pPr>
        <w:rPr>
          <w:rFonts w:ascii="Calibri" w:hAnsi="Calibri" w:cs="Calibri"/>
          <w:sz w:val="24"/>
          <w:szCs w:val="24"/>
        </w:rPr>
      </w:pPr>
    </w:p>
    <w:p w:rsidR="00C673F8" w:rsidRPr="00C673F8" w:rsidRDefault="00C673F8" w:rsidP="00C673F8">
      <w:pPr>
        <w:rPr>
          <w:rFonts w:ascii="Calibri" w:hAnsi="Calibri" w:cs="Calibri"/>
          <w:sz w:val="24"/>
          <w:szCs w:val="24"/>
        </w:rPr>
      </w:pPr>
      <w:r w:rsidRPr="00C673F8">
        <w:rPr>
          <w:rFonts w:ascii="Calibri" w:hAnsi="Calibri" w:cs="Calibri"/>
          <w:sz w:val="24"/>
          <w:szCs w:val="24"/>
        </w:rPr>
        <w:t>The ACT Government provided funding to support the initial rollout of the Breaking the Silence Program to ACT schools. The program works to inspire principals to strengthen the culture of respect in their schools that is age-appropriate for their students</w:t>
      </w:r>
      <w:r w:rsidR="00662D3C">
        <w:rPr>
          <w:rFonts w:ascii="Calibri" w:hAnsi="Calibri" w:cs="Calibri"/>
          <w:sz w:val="24"/>
          <w:szCs w:val="24"/>
        </w:rPr>
        <w:t>. It</w:t>
      </w:r>
      <w:r w:rsidRPr="00C673F8">
        <w:rPr>
          <w:rFonts w:ascii="Calibri" w:hAnsi="Calibri" w:cs="Calibri"/>
          <w:sz w:val="24"/>
          <w:szCs w:val="24"/>
        </w:rPr>
        <w:t xml:space="preserve"> engages all parts of the school community. </w:t>
      </w:r>
    </w:p>
    <w:p w:rsidR="00C673F8" w:rsidRPr="00C673F8" w:rsidRDefault="00C673F8" w:rsidP="00C673F8">
      <w:pPr>
        <w:rPr>
          <w:rFonts w:ascii="Calibri" w:hAnsi="Calibri" w:cs="Calibri"/>
          <w:sz w:val="24"/>
          <w:szCs w:val="24"/>
        </w:rPr>
      </w:pPr>
    </w:p>
    <w:p w:rsidR="00C673F8" w:rsidRDefault="00C673F8" w:rsidP="00C673F8">
      <w:pPr>
        <w:rPr>
          <w:rFonts w:ascii="Calibri" w:hAnsi="Calibri" w:cs="Calibri"/>
          <w:sz w:val="24"/>
          <w:szCs w:val="24"/>
        </w:rPr>
      </w:pPr>
      <w:r w:rsidRPr="00C673F8">
        <w:rPr>
          <w:rFonts w:ascii="Calibri" w:hAnsi="Calibri" w:cs="Calibri"/>
          <w:sz w:val="24"/>
          <w:szCs w:val="24"/>
        </w:rPr>
        <w:t>The ACT Stay at Home Program supports women and children to transfer a public housing lease to their own tenancy following domestic violence.</w:t>
      </w:r>
      <w:r w:rsidR="007764A2">
        <w:rPr>
          <w:rFonts w:ascii="Calibri" w:hAnsi="Calibri" w:cs="Calibri"/>
          <w:sz w:val="24"/>
          <w:szCs w:val="24"/>
        </w:rPr>
        <w:t xml:space="preserve"> </w:t>
      </w:r>
      <w:r w:rsidRPr="00C673F8">
        <w:rPr>
          <w:rFonts w:ascii="Calibri" w:hAnsi="Calibri" w:cs="Calibri"/>
          <w:sz w:val="24"/>
          <w:szCs w:val="24"/>
        </w:rPr>
        <w:t>The program is underpinned by the Domestic Violence Policy Manual</w:t>
      </w:r>
      <w:r w:rsidR="00662D3C">
        <w:rPr>
          <w:rFonts w:ascii="Calibri" w:hAnsi="Calibri" w:cs="Calibri"/>
          <w:sz w:val="24"/>
          <w:szCs w:val="24"/>
        </w:rPr>
        <w:t>,</w:t>
      </w:r>
      <w:r w:rsidRPr="00C673F8">
        <w:rPr>
          <w:rFonts w:ascii="Calibri" w:hAnsi="Calibri" w:cs="Calibri"/>
          <w:sz w:val="24"/>
          <w:szCs w:val="24"/>
        </w:rPr>
        <w:t xml:space="preserve"> which outlines the commitments and principles that inform the work of Housing ACT</w:t>
      </w:r>
      <w:r w:rsidR="009B3828">
        <w:rPr>
          <w:rFonts w:ascii="Calibri" w:hAnsi="Calibri" w:cs="Calibri"/>
          <w:sz w:val="24"/>
          <w:szCs w:val="24"/>
        </w:rPr>
        <w:t>,</w:t>
      </w:r>
      <w:r w:rsidRPr="00C673F8">
        <w:rPr>
          <w:rFonts w:ascii="Calibri" w:hAnsi="Calibri" w:cs="Calibri"/>
          <w:sz w:val="24"/>
          <w:szCs w:val="24"/>
        </w:rPr>
        <w:t xml:space="preserve"> including security upgrades on houses, transfers and prioritising applications for women and children escaping domestic violence.</w:t>
      </w:r>
    </w:p>
    <w:p w:rsidR="00E713D3" w:rsidRDefault="00BD5D4E" w:rsidP="00751415">
      <w:pPr>
        <w:pStyle w:val="Heading3"/>
      </w:pPr>
      <w:bookmarkStart w:id="139" w:name="_Toc400007733"/>
      <w:r w:rsidRPr="00821556">
        <w:t>New South Wales</w:t>
      </w:r>
      <w:bookmarkEnd w:id="139"/>
    </w:p>
    <w:p w:rsidR="00FB0CED" w:rsidRPr="00B71ABA" w:rsidRDefault="00B076FD" w:rsidP="003C414F">
      <w:pPr>
        <w:pStyle w:val="Heading4"/>
        <w:rPr>
          <w:i/>
        </w:rPr>
      </w:pPr>
      <w:r>
        <w:t>Domestic and Family Violence</w:t>
      </w:r>
    </w:p>
    <w:p w:rsidR="00FB0CED" w:rsidRDefault="001D7308" w:rsidP="00FB0CED">
      <w:pPr>
        <w:rPr>
          <w:rFonts w:ascii="Calibri" w:hAnsi="Calibri" w:cs="Calibri"/>
          <w:sz w:val="24"/>
          <w:szCs w:val="24"/>
        </w:rPr>
      </w:pPr>
      <w:r w:rsidRPr="001D7308">
        <w:rPr>
          <w:rFonts w:ascii="Calibri" w:hAnsi="Calibri" w:cs="Calibri"/>
          <w:sz w:val="24"/>
          <w:szCs w:val="24"/>
        </w:rPr>
        <w:t>The NSW Government continues to support families exposed to domestic violence</w:t>
      </w:r>
      <w:r>
        <w:rPr>
          <w:rFonts w:ascii="Calibri" w:hAnsi="Calibri" w:cs="Calibri"/>
          <w:sz w:val="24"/>
          <w:szCs w:val="24"/>
        </w:rPr>
        <w:t>.</w:t>
      </w:r>
    </w:p>
    <w:p w:rsidR="001D7308" w:rsidRPr="00FB0CED" w:rsidRDefault="001D7308" w:rsidP="00FB0CED">
      <w:pPr>
        <w:rPr>
          <w:rFonts w:ascii="Calibri" w:hAnsi="Calibri" w:cs="Calibri"/>
          <w:sz w:val="24"/>
          <w:szCs w:val="24"/>
        </w:rPr>
      </w:pPr>
    </w:p>
    <w:p w:rsidR="00FB0CED" w:rsidRPr="00FB0CED" w:rsidRDefault="00FB0CED" w:rsidP="00FB0CED">
      <w:pPr>
        <w:rPr>
          <w:rFonts w:ascii="Calibri" w:hAnsi="Calibri" w:cs="Calibri"/>
          <w:sz w:val="24"/>
          <w:szCs w:val="24"/>
        </w:rPr>
      </w:pPr>
      <w:r w:rsidRPr="00FB0CED">
        <w:rPr>
          <w:rFonts w:ascii="Calibri" w:hAnsi="Calibri" w:cs="Calibri"/>
          <w:sz w:val="24"/>
          <w:szCs w:val="24"/>
        </w:rPr>
        <w:t>Staying Home Leaving Violence (SHLV) is a homeless</w:t>
      </w:r>
      <w:r w:rsidR="00384357">
        <w:rPr>
          <w:rFonts w:ascii="Calibri" w:hAnsi="Calibri" w:cs="Calibri"/>
          <w:sz w:val="24"/>
          <w:szCs w:val="24"/>
        </w:rPr>
        <w:t>ness</w:t>
      </w:r>
      <w:r w:rsidRPr="00FB0CED">
        <w:rPr>
          <w:rFonts w:ascii="Calibri" w:hAnsi="Calibri" w:cs="Calibri"/>
          <w:sz w:val="24"/>
          <w:szCs w:val="24"/>
        </w:rPr>
        <w:t xml:space="preserve"> prevention initiative funded by FACS </w:t>
      </w:r>
      <w:r w:rsidR="00436B73">
        <w:rPr>
          <w:rFonts w:ascii="Calibri" w:hAnsi="Calibri" w:cs="Calibri"/>
          <w:sz w:val="24"/>
          <w:szCs w:val="24"/>
        </w:rPr>
        <w:t xml:space="preserve">that </w:t>
      </w:r>
      <w:r w:rsidR="00D73992">
        <w:rPr>
          <w:rFonts w:ascii="Calibri" w:hAnsi="Calibri" w:cs="Calibri"/>
          <w:sz w:val="24"/>
          <w:szCs w:val="24"/>
        </w:rPr>
        <w:t>aims</w:t>
      </w:r>
      <w:r w:rsidRPr="00FB0CED">
        <w:rPr>
          <w:rFonts w:ascii="Calibri" w:hAnsi="Calibri" w:cs="Calibri"/>
          <w:sz w:val="24"/>
          <w:szCs w:val="24"/>
        </w:rPr>
        <w:t xml:space="preserve"> </w:t>
      </w:r>
      <w:r w:rsidR="00436B73">
        <w:rPr>
          <w:rFonts w:ascii="Calibri" w:hAnsi="Calibri" w:cs="Calibri"/>
          <w:sz w:val="24"/>
          <w:szCs w:val="24"/>
        </w:rPr>
        <w:t>to reduce</w:t>
      </w:r>
      <w:r w:rsidRPr="00FB0CED">
        <w:rPr>
          <w:rFonts w:ascii="Calibri" w:hAnsi="Calibri" w:cs="Calibri"/>
          <w:sz w:val="24"/>
          <w:szCs w:val="24"/>
        </w:rPr>
        <w:t xml:space="preserve"> risk to children experiencing domestic and family violence. The program is </w:t>
      </w:r>
      <w:r w:rsidR="00EE4A4B">
        <w:rPr>
          <w:rFonts w:ascii="Calibri" w:hAnsi="Calibri" w:cs="Calibri"/>
          <w:sz w:val="24"/>
          <w:szCs w:val="24"/>
        </w:rPr>
        <w:t>run</w:t>
      </w:r>
      <w:r w:rsidRPr="00FB0CED">
        <w:rPr>
          <w:rFonts w:ascii="Calibri" w:hAnsi="Calibri" w:cs="Calibri"/>
          <w:sz w:val="24"/>
          <w:szCs w:val="24"/>
        </w:rPr>
        <w:t xml:space="preserve"> across 23 </w:t>
      </w:r>
      <w:r w:rsidR="00EE4A4B">
        <w:rPr>
          <w:rFonts w:ascii="Calibri" w:hAnsi="Calibri" w:cs="Calibri"/>
          <w:sz w:val="24"/>
          <w:szCs w:val="24"/>
        </w:rPr>
        <w:t>locations</w:t>
      </w:r>
      <w:r w:rsidRPr="00FB0CED">
        <w:rPr>
          <w:rFonts w:ascii="Calibri" w:hAnsi="Calibri" w:cs="Calibri"/>
          <w:sz w:val="24"/>
          <w:szCs w:val="24"/>
        </w:rPr>
        <w:t xml:space="preserve"> in NSW. Women and children are supported to stay safely in their own home</w:t>
      </w:r>
      <w:r w:rsidR="0032247C">
        <w:rPr>
          <w:rFonts w:ascii="Calibri" w:hAnsi="Calibri" w:cs="Calibri"/>
          <w:sz w:val="24"/>
          <w:szCs w:val="24"/>
        </w:rPr>
        <w:t>s</w:t>
      </w:r>
      <w:r w:rsidRPr="00FB0CED">
        <w:rPr>
          <w:rFonts w:ascii="Calibri" w:hAnsi="Calibri" w:cs="Calibri"/>
          <w:sz w:val="24"/>
          <w:szCs w:val="24"/>
        </w:rPr>
        <w:t xml:space="preserve"> while the offender</w:t>
      </w:r>
      <w:r w:rsidR="0032247C">
        <w:rPr>
          <w:rFonts w:ascii="Calibri" w:hAnsi="Calibri" w:cs="Calibri"/>
          <w:sz w:val="24"/>
          <w:szCs w:val="24"/>
        </w:rPr>
        <w:t>s are</w:t>
      </w:r>
      <w:r w:rsidRPr="00FB0CED">
        <w:rPr>
          <w:rFonts w:ascii="Calibri" w:hAnsi="Calibri" w:cs="Calibri"/>
          <w:sz w:val="24"/>
          <w:szCs w:val="24"/>
        </w:rPr>
        <w:t xml:space="preserve"> removed, </w:t>
      </w:r>
      <w:r w:rsidR="00D73992">
        <w:rPr>
          <w:rFonts w:ascii="Calibri" w:hAnsi="Calibri" w:cs="Calibri"/>
          <w:sz w:val="24"/>
          <w:szCs w:val="24"/>
        </w:rPr>
        <w:t xml:space="preserve">resulting in </w:t>
      </w:r>
      <w:r w:rsidR="002115C4">
        <w:rPr>
          <w:rFonts w:ascii="Calibri" w:hAnsi="Calibri" w:cs="Calibri"/>
          <w:sz w:val="24"/>
          <w:szCs w:val="24"/>
        </w:rPr>
        <w:t xml:space="preserve">reduced likelihood of </w:t>
      </w:r>
      <w:r w:rsidR="002115C4" w:rsidRPr="00FB0CED">
        <w:rPr>
          <w:rFonts w:ascii="Calibri" w:hAnsi="Calibri" w:cs="Calibri"/>
          <w:sz w:val="24"/>
          <w:szCs w:val="24"/>
        </w:rPr>
        <w:t>displacement and disruption to</w:t>
      </w:r>
      <w:r w:rsidR="002115C4">
        <w:rPr>
          <w:rFonts w:ascii="Calibri" w:hAnsi="Calibri" w:cs="Calibri"/>
          <w:sz w:val="24"/>
          <w:szCs w:val="24"/>
        </w:rPr>
        <w:t xml:space="preserve"> </w:t>
      </w:r>
      <w:r w:rsidR="00D73992">
        <w:rPr>
          <w:rFonts w:ascii="Calibri" w:hAnsi="Calibri" w:cs="Calibri"/>
          <w:sz w:val="24"/>
          <w:szCs w:val="24"/>
        </w:rPr>
        <w:t>children</w:t>
      </w:r>
      <w:r w:rsidR="0003251A">
        <w:rPr>
          <w:rFonts w:ascii="Calibri" w:hAnsi="Calibri" w:cs="Calibri"/>
          <w:sz w:val="24"/>
          <w:szCs w:val="24"/>
        </w:rPr>
        <w:t>’s</w:t>
      </w:r>
      <w:r w:rsidR="00D73992">
        <w:rPr>
          <w:rFonts w:ascii="Calibri" w:hAnsi="Calibri" w:cs="Calibri"/>
          <w:sz w:val="24"/>
          <w:szCs w:val="24"/>
        </w:rPr>
        <w:t xml:space="preserve"> </w:t>
      </w:r>
      <w:r w:rsidRPr="00FB0CED">
        <w:rPr>
          <w:rFonts w:ascii="Calibri" w:hAnsi="Calibri" w:cs="Calibri"/>
          <w:sz w:val="24"/>
          <w:szCs w:val="24"/>
        </w:rPr>
        <w:t>educational, personal and social development.</w:t>
      </w:r>
      <w:r w:rsidR="007764A2">
        <w:rPr>
          <w:rFonts w:ascii="Calibri" w:hAnsi="Calibri" w:cs="Calibri"/>
          <w:sz w:val="24"/>
          <w:szCs w:val="24"/>
        </w:rPr>
        <w:t xml:space="preserve"> </w:t>
      </w:r>
      <w:r w:rsidRPr="00FB0CED">
        <w:rPr>
          <w:rFonts w:ascii="Calibri" w:hAnsi="Calibri" w:cs="Calibri"/>
          <w:sz w:val="24"/>
          <w:szCs w:val="24"/>
        </w:rPr>
        <w:t xml:space="preserve">Positive results include sustained accommodation, sustained employment and education and improved safety. </w:t>
      </w:r>
    </w:p>
    <w:p w:rsidR="00FB0CED" w:rsidRPr="00FB0CED" w:rsidRDefault="00FB0CED" w:rsidP="00FB0CED">
      <w:pPr>
        <w:rPr>
          <w:rFonts w:ascii="Calibri" w:hAnsi="Calibri" w:cs="Calibri"/>
          <w:sz w:val="24"/>
          <w:szCs w:val="24"/>
        </w:rPr>
      </w:pPr>
    </w:p>
    <w:p w:rsidR="00FB0CED" w:rsidRPr="00FB0CED" w:rsidRDefault="00FB0CED" w:rsidP="00FB0CED">
      <w:pPr>
        <w:rPr>
          <w:rFonts w:ascii="Calibri" w:hAnsi="Calibri" w:cs="Calibri"/>
          <w:sz w:val="24"/>
          <w:szCs w:val="24"/>
        </w:rPr>
      </w:pPr>
      <w:r w:rsidRPr="00FB0CED">
        <w:rPr>
          <w:rFonts w:ascii="Calibri" w:hAnsi="Calibri" w:cs="Calibri"/>
          <w:sz w:val="24"/>
          <w:szCs w:val="24"/>
        </w:rPr>
        <w:t>The Integrated Domestic and Family Violence Services Program (IDFVSP) aims to improve outcomes for those affected by domestic and family violence, including children, by improving</w:t>
      </w:r>
      <w:r w:rsidR="007764A2">
        <w:rPr>
          <w:rFonts w:ascii="Calibri" w:hAnsi="Calibri" w:cs="Calibri"/>
          <w:sz w:val="24"/>
          <w:szCs w:val="24"/>
        </w:rPr>
        <w:t xml:space="preserve"> </w:t>
      </w:r>
      <w:r w:rsidRPr="00FB0CED">
        <w:rPr>
          <w:rFonts w:ascii="Calibri" w:hAnsi="Calibri" w:cs="Calibri"/>
          <w:sz w:val="24"/>
          <w:szCs w:val="24"/>
        </w:rPr>
        <w:t>multi-agency service integration</w:t>
      </w:r>
      <w:r w:rsidR="0003251A">
        <w:rPr>
          <w:rFonts w:ascii="Calibri" w:hAnsi="Calibri" w:cs="Calibri"/>
          <w:sz w:val="24"/>
          <w:szCs w:val="24"/>
        </w:rPr>
        <w:t xml:space="preserve">, raising </w:t>
      </w:r>
      <w:r w:rsidR="00EE4A4B">
        <w:rPr>
          <w:rFonts w:ascii="Calibri" w:hAnsi="Calibri" w:cs="Calibri"/>
          <w:sz w:val="24"/>
          <w:szCs w:val="24"/>
        </w:rPr>
        <w:t>the profile of violence</w:t>
      </w:r>
      <w:r w:rsidR="0003251A">
        <w:rPr>
          <w:rFonts w:ascii="Calibri" w:hAnsi="Calibri" w:cs="Calibri"/>
          <w:sz w:val="24"/>
          <w:szCs w:val="24"/>
        </w:rPr>
        <w:t xml:space="preserve"> as a priority</w:t>
      </w:r>
      <w:r w:rsidRPr="00FB0CED">
        <w:rPr>
          <w:rFonts w:ascii="Calibri" w:hAnsi="Calibri" w:cs="Calibri"/>
          <w:sz w:val="24"/>
          <w:szCs w:val="24"/>
        </w:rPr>
        <w:t xml:space="preserve"> and increasing effort</w:t>
      </w:r>
      <w:r w:rsidR="0003251A">
        <w:rPr>
          <w:rFonts w:ascii="Calibri" w:hAnsi="Calibri" w:cs="Calibri"/>
          <w:sz w:val="24"/>
          <w:szCs w:val="24"/>
        </w:rPr>
        <w:t>s</w:t>
      </w:r>
      <w:r w:rsidRPr="00FB0CED">
        <w:rPr>
          <w:rFonts w:ascii="Calibri" w:hAnsi="Calibri" w:cs="Calibri"/>
          <w:sz w:val="24"/>
          <w:szCs w:val="24"/>
        </w:rPr>
        <w:t xml:space="preserve"> made by partner agencies </w:t>
      </w:r>
      <w:r w:rsidR="0003251A">
        <w:rPr>
          <w:rFonts w:ascii="Calibri" w:hAnsi="Calibri" w:cs="Calibri"/>
          <w:sz w:val="24"/>
          <w:szCs w:val="24"/>
        </w:rPr>
        <w:t>in assisting affected</w:t>
      </w:r>
      <w:r w:rsidR="0003251A" w:rsidRPr="00FB0CED">
        <w:rPr>
          <w:rFonts w:ascii="Calibri" w:hAnsi="Calibri" w:cs="Calibri"/>
          <w:sz w:val="24"/>
          <w:szCs w:val="24"/>
        </w:rPr>
        <w:t xml:space="preserve"> </w:t>
      </w:r>
      <w:r w:rsidRPr="00FB0CED">
        <w:rPr>
          <w:rFonts w:ascii="Calibri" w:hAnsi="Calibri" w:cs="Calibri"/>
          <w:sz w:val="24"/>
          <w:szCs w:val="24"/>
        </w:rPr>
        <w:t>clients. The services operate as a partnership between FACS, NSW Health, NSW Police and the auspice agency. All projects were designed locally to</w:t>
      </w:r>
      <w:r w:rsidR="00D73992">
        <w:rPr>
          <w:rFonts w:ascii="Calibri" w:hAnsi="Calibri" w:cs="Calibri"/>
          <w:sz w:val="24"/>
          <w:szCs w:val="24"/>
        </w:rPr>
        <w:t xml:space="preserve"> meet local need. Up until 2012</w:t>
      </w:r>
      <w:r w:rsidR="00436B73">
        <w:rPr>
          <w:rFonts w:ascii="Calibri" w:hAnsi="Calibri" w:cs="Calibri"/>
          <w:sz w:val="24"/>
          <w:szCs w:val="24"/>
        </w:rPr>
        <w:t>–</w:t>
      </w:r>
      <w:r w:rsidRPr="00FB0CED">
        <w:rPr>
          <w:rFonts w:ascii="Calibri" w:hAnsi="Calibri" w:cs="Calibri"/>
          <w:sz w:val="24"/>
          <w:szCs w:val="24"/>
        </w:rPr>
        <w:t>13</w:t>
      </w:r>
      <w:r w:rsidR="00D73992">
        <w:rPr>
          <w:rFonts w:ascii="Calibri" w:hAnsi="Calibri" w:cs="Calibri"/>
          <w:sz w:val="24"/>
          <w:szCs w:val="24"/>
        </w:rPr>
        <w:t>,</w:t>
      </w:r>
      <w:r w:rsidRPr="00FB0CED">
        <w:rPr>
          <w:rFonts w:ascii="Calibri" w:hAnsi="Calibri" w:cs="Calibri"/>
          <w:sz w:val="24"/>
          <w:szCs w:val="24"/>
        </w:rPr>
        <w:t xml:space="preserve"> the program </w:t>
      </w:r>
      <w:r w:rsidR="00CF4E56">
        <w:rPr>
          <w:rFonts w:ascii="Calibri" w:hAnsi="Calibri" w:cs="Calibri"/>
          <w:sz w:val="24"/>
          <w:szCs w:val="24"/>
        </w:rPr>
        <w:t>was run</w:t>
      </w:r>
      <w:r w:rsidRPr="00FB0CED">
        <w:rPr>
          <w:rFonts w:ascii="Calibri" w:hAnsi="Calibri" w:cs="Calibri"/>
          <w:sz w:val="24"/>
          <w:szCs w:val="24"/>
        </w:rPr>
        <w:t xml:space="preserve"> in six </w:t>
      </w:r>
      <w:r w:rsidR="00D73992">
        <w:rPr>
          <w:rFonts w:ascii="Calibri" w:hAnsi="Calibri" w:cs="Calibri"/>
          <w:sz w:val="24"/>
          <w:szCs w:val="24"/>
        </w:rPr>
        <w:t>locations across NSW.</w:t>
      </w:r>
      <w:r w:rsidR="00272D5B">
        <w:rPr>
          <w:rFonts w:ascii="Calibri" w:hAnsi="Calibri" w:cs="Calibri"/>
          <w:sz w:val="24"/>
          <w:szCs w:val="24"/>
        </w:rPr>
        <w:t xml:space="preserve"> </w:t>
      </w:r>
      <w:r w:rsidR="00272D5B" w:rsidRPr="00272D5B">
        <w:rPr>
          <w:rFonts w:ascii="Calibri" w:hAnsi="Calibri" w:cs="Calibri"/>
          <w:sz w:val="24"/>
          <w:szCs w:val="24"/>
        </w:rPr>
        <w:t>From 2013</w:t>
      </w:r>
      <w:r w:rsidR="00272D5B">
        <w:rPr>
          <w:rFonts w:ascii="Calibri" w:hAnsi="Calibri" w:cs="Calibri"/>
          <w:sz w:val="24"/>
          <w:szCs w:val="24"/>
        </w:rPr>
        <w:t>–</w:t>
      </w:r>
      <w:r w:rsidR="00272D5B" w:rsidRPr="00272D5B">
        <w:rPr>
          <w:rFonts w:ascii="Calibri" w:hAnsi="Calibri" w:cs="Calibri"/>
          <w:sz w:val="24"/>
          <w:szCs w:val="24"/>
        </w:rPr>
        <w:t xml:space="preserve">14, four additional preserved services will be transferred into the IDFVSP. </w:t>
      </w:r>
      <w:r w:rsidRPr="00FB0CED">
        <w:rPr>
          <w:rFonts w:ascii="Calibri" w:hAnsi="Calibri" w:cs="Calibri"/>
          <w:sz w:val="24"/>
          <w:szCs w:val="24"/>
        </w:rPr>
        <w:t xml:space="preserve"> These projects play an important early intervention role and partner with Brighter Futures and other initiatives to prevent further escalation of violence and mandated child protection responses. </w:t>
      </w:r>
    </w:p>
    <w:p w:rsidR="00FB0CED" w:rsidRPr="00FB0CED" w:rsidRDefault="00FB0CED" w:rsidP="00FB0CED">
      <w:pPr>
        <w:rPr>
          <w:rFonts w:ascii="Calibri" w:hAnsi="Calibri" w:cs="Calibri"/>
          <w:sz w:val="24"/>
          <w:szCs w:val="24"/>
        </w:rPr>
      </w:pPr>
    </w:p>
    <w:p w:rsidR="00FB0CED" w:rsidRPr="00FB0CED" w:rsidRDefault="00FB0CED" w:rsidP="00FB0CED">
      <w:pPr>
        <w:rPr>
          <w:rFonts w:ascii="Calibri" w:hAnsi="Calibri" w:cs="Calibri"/>
          <w:sz w:val="24"/>
          <w:szCs w:val="24"/>
        </w:rPr>
      </w:pPr>
      <w:r w:rsidRPr="00FB0CED">
        <w:rPr>
          <w:rFonts w:ascii="Calibri" w:hAnsi="Calibri" w:cs="Calibri"/>
          <w:sz w:val="24"/>
          <w:szCs w:val="24"/>
        </w:rPr>
        <w:t>FACS Clinical Issues Unit (CIU) delivers services, training and resources to imp</w:t>
      </w:r>
      <w:r w:rsidR="00D73992">
        <w:rPr>
          <w:rFonts w:ascii="Calibri" w:hAnsi="Calibri" w:cs="Calibri"/>
          <w:sz w:val="24"/>
          <w:szCs w:val="24"/>
        </w:rPr>
        <w:t>rove the capacity of community s</w:t>
      </w:r>
      <w:r w:rsidRPr="00FB0CED">
        <w:rPr>
          <w:rFonts w:ascii="Calibri" w:hAnsi="Calibri" w:cs="Calibri"/>
          <w:sz w:val="24"/>
          <w:szCs w:val="24"/>
        </w:rPr>
        <w:t xml:space="preserve">ervices </w:t>
      </w:r>
      <w:r w:rsidR="00436B73">
        <w:rPr>
          <w:rFonts w:ascii="Calibri" w:hAnsi="Calibri" w:cs="Calibri"/>
          <w:sz w:val="24"/>
          <w:szCs w:val="24"/>
        </w:rPr>
        <w:t>front</w:t>
      </w:r>
      <w:r w:rsidRPr="00FB0CED">
        <w:rPr>
          <w:rFonts w:ascii="Calibri" w:hAnsi="Calibri" w:cs="Calibri"/>
          <w:sz w:val="24"/>
          <w:szCs w:val="24"/>
        </w:rPr>
        <w:t xml:space="preserve">line workers to assess and manage cases where drug and alcohol misuse, mental illness or domestic violence </w:t>
      </w:r>
      <w:r w:rsidR="00436B73">
        <w:rPr>
          <w:rFonts w:ascii="Calibri" w:hAnsi="Calibri" w:cs="Calibri"/>
          <w:sz w:val="24"/>
          <w:szCs w:val="24"/>
        </w:rPr>
        <w:t>create</w:t>
      </w:r>
      <w:r w:rsidR="00355AE4">
        <w:rPr>
          <w:rFonts w:ascii="Calibri" w:hAnsi="Calibri" w:cs="Calibri"/>
          <w:sz w:val="24"/>
          <w:szCs w:val="24"/>
        </w:rPr>
        <w:t>s</w:t>
      </w:r>
      <w:r w:rsidR="00436B73" w:rsidRPr="00FB0CED">
        <w:rPr>
          <w:rFonts w:ascii="Calibri" w:hAnsi="Calibri" w:cs="Calibri"/>
          <w:sz w:val="24"/>
          <w:szCs w:val="24"/>
        </w:rPr>
        <w:t xml:space="preserve"> </w:t>
      </w:r>
      <w:r w:rsidRPr="00FB0CED">
        <w:rPr>
          <w:rFonts w:ascii="Calibri" w:hAnsi="Calibri" w:cs="Calibri"/>
          <w:sz w:val="24"/>
          <w:szCs w:val="24"/>
        </w:rPr>
        <w:t xml:space="preserve">a risk to the safety and/or </w:t>
      </w:r>
      <w:r w:rsidR="00316329">
        <w:rPr>
          <w:rFonts w:ascii="Calibri" w:hAnsi="Calibri" w:cs="Calibri"/>
          <w:sz w:val="24"/>
          <w:szCs w:val="24"/>
        </w:rPr>
        <w:t>wellbeing</w:t>
      </w:r>
      <w:r w:rsidRPr="00FB0CED">
        <w:rPr>
          <w:rFonts w:ascii="Calibri" w:hAnsi="Calibri" w:cs="Calibri"/>
          <w:sz w:val="24"/>
          <w:szCs w:val="24"/>
        </w:rPr>
        <w:t xml:space="preserve"> of chi</w:t>
      </w:r>
      <w:r w:rsidR="00D73992">
        <w:rPr>
          <w:rFonts w:ascii="Calibri" w:hAnsi="Calibri" w:cs="Calibri"/>
          <w:sz w:val="24"/>
          <w:szCs w:val="24"/>
        </w:rPr>
        <w:t>ldren and young people. In 2012</w:t>
      </w:r>
      <w:r w:rsidR="00436B73">
        <w:rPr>
          <w:rFonts w:ascii="Calibri" w:hAnsi="Calibri" w:cs="Calibri"/>
          <w:sz w:val="24"/>
          <w:szCs w:val="24"/>
        </w:rPr>
        <w:t>–</w:t>
      </w:r>
      <w:r w:rsidRPr="00FB0CED">
        <w:rPr>
          <w:rFonts w:ascii="Calibri" w:hAnsi="Calibri" w:cs="Calibri"/>
          <w:sz w:val="24"/>
          <w:szCs w:val="24"/>
        </w:rPr>
        <w:t xml:space="preserve">13, the </w:t>
      </w:r>
      <w:r w:rsidR="008742D2">
        <w:rPr>
          <w:rFonts w:ascii="Calibri" w:hAnsi="Calibri" w:cs="Calibri"/>
          <w:sz w:val="24"/>
          <w:szCs w:val="24"/>
        </w:rPr>
        <w:t>CIU</w:t>
      </w:r>
      <w:r w:rsidRPr="00FB0CED">
        <w:rPr>
          <w:rFonts w:ascii="Calibri" w:hAnsi="Calibri" w:cs="Calibri"/>
          <w:sz w:val="24"/>
          <w:szCs w:val="24"/>
        </w:rPr>
        <w:t xml:space="preserve"> undertook 3606 consultations and 142 training, information and/or consultation events. </w:t>
      </w:r>
      <w:r w:rsidR="00D73992">
        <w:rPr>
          <w:rFonts w:ascii="Calibri" w:hAnsi="Calibri" w:cs="Calibri"/>
          <w:sz w:val="24"/>
          <w:szCs w:val="24"/>
        </w:rPr>
        <w:t xml:space="preserve">Of these </w:t>
      </w:r>
      <w:r w:rsidRPr="00FB0CED">
        <w:rPr>
          <w:rFonts w:ascii="Calibri" w:hAnsi="Calibri" w:cs="Calibri"/>
          <w:sz w:val="24"/>
          <w:szCs w:val="24"/>
        </w:rPr>
        <w:t>consultations</w:t>
      </w:r>
      <w:r w:rsidR="00D73992">
        <w:rPr>
          <w:rFonts w:ascii="Calibri" w:hAnsi="Calibri" w:cs="Calibri"/>
          <w:sz w:val="24"/>
          <w:szCs w:val="24"/>
        </w:rPr>
        <w:t>, 24</w:t>
      </w:r>
      <w:r w:rsidR="00B4597F">
        <w:rPr>
          <w:rFonts w:ascii="Calibri" w:hAnsi="Calibri" w:cs="Calibri"/>
          <w:sz w:val="24"/>
          <w:szCs w:val="24"/>
        </w:rPr>
        <w:t xml:space="preserve"> per cent</w:t>
      </w:r>
      <w:r w:rsidRPr="00FB0CED">
        <w:rPr>
          <w:rFonts w:ascii="Calibri" w:hAnsi="Calibri" w:cs="Calibri"/>
          <w:sz w:val="24"/>
          <w:szCs w:val="24"/>
        </w:rPr>
        <w:t xml:space="preserve"> included domestic violence as a clinical issue. Training offered by CIU includes Engaging with Men who use Violence in the Home and safety planning in the context of domestic violence.</w:t>
      </w:r>
    </w:p>
    <w:p w:rsidR="00FB0CED" w:rsidRPr="00FB0CED" w:rsidRDefault="00FB0CED" w:rsidP="00FB0CED">
      <w:pPr>
        <w:rPr>
          <w:rFonts w:ascii="Calibri" w:hAnsi="Calibri" w:cs="Calibri"/>
          <w:sz w:val="24"/>
          <w:szCs w:val="24"/>
        </w:rPr>
      </w:pPr>
    </w:p>
    <w:p w:rsidR="00FB0CED" w:rsidRPr="00FB0CED" w:rsidRDefault="00D73992" w:rsidP="00FB0CED">
      <w:pPr>
        <w:rPr>
          <w:rFonts w:ascii="Calibri" w:hAnsi="Calibri" w:cs="Calibri"/>
          <w:sz w:val="24"/>
          <w:szCs w:val="24"/>
        </w:rPr>
      </w:pPr>
      <w:r>
        <w:rPr>
          <w:rFonts w:ascii="Calibri" w:hAnsi="Calibri" w:cs="Calibri"/>
          <w:sz w:val="24"/>
          <w:szCs w:val="24"/>
        </w:rPr>
        <w:t xml:space="preserve">The </w:t>
      </w:r>
      <w:r w:rsidR="00FB0CED" w:rsidRPr="00FB0CED">
        <w:rPr>
          <w:rFonts w:ascii="Calibri" w:hAnsi="Calibri" w:cs="Calibri"/>
          <w:sz w:val="24"/>
          <w:szCs w:val="24"/>
        </w:rPr>
        <w:t xml:space="preserve">NSW </w:t>
      </w:r>
      <w:r>
        <w:rPr>
          <w:rFonts w:ascii="Calibri" w:hAnsi="Calibri" w:cs="Calibri"/>
          <w:sz w:val="24"/>
          <w:szCs w:val="24"/>
        </w:rPr>
        <w:t xml:space="preserve">Government </w:t>
      </w:r>
      <w:r w:rsidR="00FB0CED" w:rsidRPr="00FB0CED">
        <w:rPr>
          <w:rFonts w:ascii="Calibri" w:hAnsi="Calibri" w:cs="Calibri"/>
          <w:sz w:val="24"/>
          <w:szCs w:val="24"/>
        </w:rPr>
        <w:t>Health Domestic Violence Routine Screening program occurs in four targeted services where the incidence, prevalence or impact of domestic violence is high: antenatal, mental health, drug and alcohol and early childhood health services.</w:t>
      </w:r>
      <w:r w:rsidR="007764A2">
        <w:rPr>
          <w:rFonts w:ascii="Calibri" w:hAnsi="Calibri" w:cs="Calibri"/>
          <w:sz w:val="24"/>
          <w:szCs w:val="24"/>
        </w:rPr>
        <w:t xml:space="preserve"> </w:t>
      </w:r>
      <w:r w:rsidR="00FB0CED" w:rsidRPr="00FB0CED">
        <w:rPr>
          <w:rFonts w:ascii="Calibri" w:hAnsi="Calibri" w:cs="Calibri"/>
          <w:sz w:val="24"/>
          <w:szCs w:val="24"/>
        </w:rPr>
        <w:t xml:space="preserve">The program is targeted </w:t>
      </w:r>
      <w:r w:rsidR="006C6346">
        <w:rPr>
          <w:rFonts w:ascii="Calibri" w:hAnsi="Calibri" w:cs="Calibri"/>
          <w:sz w:val="24"/>
          <w:szCs w:val="24"/>
        </w:rPr>
        <w:t>to</w:t>
      </w:r>
      <w:r w:rsidR="00FB0CED" w:rsidRPr="00FB0CED">
        <w:rPr>
          <w:rFonts w:ascii="Calibri" w:hAnsi="Calibri" w:cs="Calibri"/>
          <w:sz w:val="24"/>
          <w:szCs w:val="24"/>
        </w:rPr>
        <w:t xml:space="preserve"> all women attending antenatal and early childhood health services and women aged 16 years and over attending mental health and drug and alcohol services.</w:t>
      </w:r>
      <w:r w:rsidR="007764A2">
        <w:rPr>
          <w:rFonts w:ascii="Calibri" w:hAnsi="Calibri" w:cs="Calibri"/>
          <w:sz w:val="24"/>
          <w:szCs w:val="24"/>
        </w:rPr>
        <w:t xml:space="preserve"> </w:t>
      </w:r>
    </w:p>
    <w:p w:rsidR="00FB0CED" w:rsidRPr="00FB0CED" w:rsidRDefault="00FB0CED" w:rsidP="00FB0CED">
      <w:pPr>
        <w:rPr>
          <w:rFonts w:ascii="Calibri" w:hAnsi="Calibri" w:cs="Calibri"/>
          <w:sz w:val="24"/>
          <w:szCs w:val="24"/>
        </w:rPr>
      </w:pPr>
    </w:p>
    <w:p w:rsidR="00FB0CED" w:rsidRDefault="00FB0CED" w:rsidP="00FB0CED">
      <w:pPr>
        <w:rPr>
          <w:rFonts w:ascii="Calibri" w:hAnsi="Calibri" w:cs="Calibri"/>
          <w:sz w:val="24"/>
          <w:szCs w:val="24"/>
        </w:rPr>
      </w:pPr>
      <w:r w:rsidRPr="00FB0CED">
        <w:rPr>
          <w:rFonts w:ascii="Calibri" w:hAnsi="Calibri" w:cs="Calibri"/>
          <w:sz w:val="24"/>
          <w:szCs w:val="24"/>
        </w:rPr>
        <w:t>The NSW Domestic and Family Violence Funding Program, announced in October 2012, is providing $9.8 million over three years for domestic and family violence prevention measures. Strategic investments totalling $4.2 million are currently under contract. These include:</w:t>
      </w:r>
    </w:p>
    <w:p w:rsidR="00FB0CED" w:rsidRPr="00FB0CED" w:rsidRDefault="00525A54" w:rsidP="00436B73">
      <w:pPr>
        <w:pStyle w:val="ListBullet"/>
      </w:pPr>
      <w:r>
        <w:t>A</w:t>
      </w:r>
      <w:r w:rsidR="00FB0CED" w:rsidRPr="00FB0CED">
        <w:t xml:space="preserve"> men’s telephone c</w:t>
      </w:r>
      <w:r>
        <w:t>ounselling and referral service</w:t>
      </w:r>
    </w:p>
    <w:p w:rsidR="00FB0CED" w:rsidRPr="00FB0CED" w:rsidRDefault="00525A54" w:rsidP="00436B73">
      <w:pPr>
        <w:pStyle w:val="ListBullet"/>
      </w:pPr>
      <w:r>
        <w:t>A</w:t>
      </w:r>
      <w:r w:rsidR="00436B73" w:rsidRPr="00FB0CED">
        <w:t xml:space="preserve"> </w:t>
      </w:r>
      <w:r w:rsidR="00FB0CED" w:rsidRPr="00FB0CED">
        <w:t xml:space="preserve">sector training and development strategy with </w:t>
      </w:r>
      <w:r w:rsidR="00ED2006">
        <w:t>Technical and Further Education (</w:t>
      </w:r>
      <w:r w:rsidR="00FB0CED" w:rsidRPr="00FB0CED">
        <w:t>TAFE</w:t>
      </w:r>
      <w:r w:rsidR="00ED2006">
        <w:t>)</w:t>
      </w:r>
      <w:r w:rsidR="00FB0CED" w:rsidRPr="00FB0CED">
        <w:t xml:space="preserve"> NSW</w:t>
      </w:r>
    </w:p>
    <w:p w:rsidR="00FB0CED" w:rsidRPr="00FB0CED" w:rsidRDefault="00525A54" w:rsidP="00436B73">
      <w:pPr>
        <w:pStyle w:val="ListBullet"/>
      </w:pPr>
      <w:r>
        <w:t>A</w:t>
      </w:r>
      <w:r w:rsidR="00436B73" w:rsidRPr="00FB0CED">
        <w:t xml:space="preserve"> </w:t>
      </w:r>
      <w:r w:rsidR="00FB0CED" w:rsidRPr="00FB0CED">
        <w:t>pilot to reduce breaches of Apprehended Domestic Violence Orders in partnership with Legal Aid NSW</w:t>
      </w:r>
    </w:p>
    <w:p w:rsidR="00FB0CED" w:rsidRPr="00FB0CED" w:rsidRDefault="00525A54" w:rsidP="00436B73">
      <w:pPr>
        <w:pStyle w:val="ListBullet"/>
      </w:pPr>
      <w:r>
        <w:t>A</w:t>
      </w:r>
      <w:r w:rsidR="00436B73" w:rsidRPr="00FB0CED">
        <w:t xml:space="preserve"> </w:t>
      </w:r>
      <w:r w:rsidR="00FB0CED" w:rsidRPr="00FB0CED">
        <w:t>network to strengthen Men’s Behaviour Change Programs.</w:t>
      </w:r>
    </w:p>
    <w:p w:rsidR="000A1068" w:rsidRDefault="000A1068" w:rsidP="000A1068">
      <w:pPr>
        <w:rPr>
          <w:rFonts w:ascii="Calibri" w:hAnsi="Calibri" w:cs="Calibri"/>
          <w:sz w:val="24"/>
          <w:szCs w:val="24"/>
        </w:rPr>
      </w:pPr>
    </w:p>
    <w:p w:rsidR="00FB0CED" w:rsidRDefault="00FB0CED" w:rsidP="000A1068">
      <w:pPr>
        <w:rPr>
          <w:rFonts w:ascii="Calibri" w:hAnsi="Calibri" w:cs="Calibri"/>
          <w:sz w:val="24"/>
          <w:szCs w:val="24"/>
        </w:rPr>
      </w:pPr>
      <w:r w:rsidRPr="00FB0CED">
        <w:rPr>
          <w:rFonts w:ascii="Calibri" w:hAnsi="Calibri" w:cs="Calibri"/>
          <w:sz w:val="24"/>
          <w:szCs w:val="24"/>
        </w:rPr>
        <w:t xml:space="preserve">The Domestic and Family Violence Funding Program </w:t>
      </w:r>
      <w:proofErr w:type="gramStart"/>
      <w:r w:rsidRPr="00FB0CED">
        <w:rPr>
          <w:rFonts w:ascii="Calibri" w:hAnsi="Calibri" w:cs="Calibri"/>
          <w:sz w:val="24"/>
          <w:szCs w:val="24"/>
        </w:rPr>
        <w:t>is</w:t>
      </w:r>
      <w:proofErr w:type="gramEnd"/>
      <w:r w:rsidRPr="00FB0CED">
        <w:rPr>
          <w:rFonts w:ascii="Calibri" w:hAnsi="Calibri" w:cs="Calibri"/>
          <w:sz w:val="24"/>
          <w:szCs w:val="24"/>
        </w:rPr>
        <w:t xml:space="preserve"> also funding three prevention studies: </w:t>
      </w:r>
    </w:p>
    <w:p w:rsidR="00FB0CED" w:rsidRPr="00FB0CED" w:rsidRDefault="00FB0CED" w:rsidP="0008658B">
      <w:pPr>
        <w:pStyle w:val="ListBullet"/>
      </w:pPr>
      <w:r w:rsidRPr="00FB0CED">
        <w:t>Men and Boys’ Violence Prevention will determine the effectiveness of current primary prevention and early intervention initiatives to engage men and boys.</w:t>
      </w:r>
    </w:p>
    <w:p w:rsidR="00FB0CED" w:rsidRPr="00FB0CED" w:rsidRDefault="00FB0CED" w:rsidP="0008658B">
      <w:pPr>
        <w:pStyle w:val="ListBullet"/>
      </w:pPr>
      <w:r w:rsidRPr="00FB0CED">
        <w:t xml:space="preserve">Targeting At-Risk Groups and Communities will review the effectiveness of current interventions that target groups and communities known to be at higher risk of experiencing domestic and family violence or </w:t>
      </w:r>
      <w:r w:rsidR="0008658B">
        <w:t>facing</w:t>
      </w:r>
      <w:r w:rsidRPr="00FB0CED">
        <w:t xml:space="preserve"> barriers in accessing existing services.</w:t>
      </w:r>
    </w:p>
    <w:p w:rsidR="00FB0CED" w:rsidRPr="00FB0CED" w:rsidRDefault="00FB0CED" w:rsidP="0008658B">
      <w:pPr>
        <w:pStyle w:val="ListBullet"/>
        <w:suppressAutoHyphens/>
        <w:ind w:left="357" w:hanging="357"/>
      </w:pPr>
      <w:r w:rsidRPr="00FB0CED">
        <w:t xml:space="preserve">Domestic and Family Violence: Child-Centred Reponses will identify what services children who are affected by </w:t>
      </w:r>
      <w:r w:rsidR="0032247C">
        <w:t>domestic and family violence</w:t>
      </w:r>
      <w:r w:rsidRPr="00FB0CED">
        <w:t xml:space="preserve"> need, what is being done to support them, what models of service delivery are most effective, and what are the gaps.</w:t>
      </w:r>
      <w:r w:rsidR="007764A2">
        <w:t xml:space="preserve"> </w:t>
      </w:r>
      <w:r w:rsidRPr="00FB0CED">
        <w:t>The study will focus on children aged 0</w:t>
      </w:r>
      <w:r w:rsidR="004C2DB3">
        <w:t> </w:t>
      </w:r>
      <w:r w:rsidR="0003251A">
        <w:t>to</w:t>
      </w:r>
      <w:r w:rsidR="004C2DB3">
        <w:t> </w:t>
      </w:r>
      <w:r w:rsidRPr="00FB0CED">
        <w:t>8.</w:t>
      </w:r>
    </w:p>
    <w:p w:rsidR="00FB0CED" w:rsidRPr="00FB0CED" w:rsidRDefault="00FB0CED" w:rsidP="00FB0CED">
      <w:pPr>
        <w:rPr>
          <w:rFonts w:ascii="Calibri" w:hAnsi="Calibri" w:cs="Calibri"/>
          <w:sz w:val="24"/>
          <w:szCs w:val="24"/>
        </w:rPr>
      </w:pPr>
    </w:p>
    <w:p w:rsidR="00FB0CED" w:rsidRPr="00FB0CED" w:rsidRDefault="00FB0CED" w:rsidP="00FB0CED">
      <w:pPr>
        <w:rPr>
          <w:rFonts w:ascii="Calibri" w:hAnsi="Calibri" w:cs="Calibri"/>
          <w:sz w:val="24"/>
          <w:szCs w:val="24"/>
        </w:rPr>
      </w:pPr>
      <w:r w:rsidRPr="00FB0CED">
        <w:rPr>
          <w:rFonts w:ascii="Calibri" w:hAnsi="Calibri" w:cs="Calibri"/>
          <w:sz w:val="24"/>
          <w:szCs w:val="24"/>
        </w:rPr>
        <w:t>A new domestic violence justice strategy will make victims safer, hold perpetrators accountable and prevent domestic violence from recurring. The NSW Domestic Violence Jus</w:t>
      </w:r>
      <w:r w:rsidR="000A1068">
        <w:rPr>
          <w:rFonts w:ascii="Calibri" w:hAnsi="Calibri" w:cs="Calibri"/>
          <w:sz w:val="24"/>
          <w:szCs w:val="24"/>
        </w:rPr>
        <w:t>tice Strategy 2013</w:t>
      </w:r>
      <w:r w:rsidR="007C7D8E">
        <w:rPr>
          <w:rFonts w:ascii="Calibri" w:hAnsi="Calibri" w:cs="Calibri"/>
          <w:sz w:val="24"/>
          <w:szCs w:val="24"/>
        </w:rPr>
        <w:t>–</w:t>
      </w:r>
      <w:r w:rsidRPr="00FB0CED">
        <w:rPr>
          <w:rFonts w:ascii="Calibri" w:hAnsi="Calibri" w:cs="Calibri"/>
          <w:sz w:val="24"/>
          <w:szCs w:val="24"/>
        </w:rPr>
        <w:t xml:space="preserve">17 commits all justice agencies and victim support services to work together to provide an effective and integrated response to domestic violence. The strategy is led by </w:t>
      </w:r>
      <w:r w:rsidR="002C3200">
        <w:rPr>
          <w:rFonts w:ascii="Calibri" w:hAnsi="Calibri" w:cs="Calibri"/>
          <w:sz w:val="24"/>
          <w:szCs w:val="24"/>
        </w:rPr>
        <w:t>DAGJ</w:t>
      </w:r>
      <w:r w:rsidRPr="00FB0CED">
        <w:rPr>
          <w:rFonts w:ascii="Calibri" w:hAnsi="Calibri" w:cs="Calibri"/>
          <w:sz w:val="24"/>
          <w:szCs w:val="24"/>
        </w:rPr>
        <w:t xml:space="preserve"> and includes NSW Police, Legal Aid, </w:t>
      </w:r>
      <w:r w:rsidR="006E33FF">
        <w:rPr>
          <w:rFonts w:ascii="Calibri" w:hAnsi="Calibri" w:cs="Calibri"/>
          <w:sz w:val="24"/>
          <w:szCs w:val="24"/>
        </w:rPr>
        <w:t>FACS</w:t>
      </w:r>
      <w:r w:rsidRPr="00FB0CED">
        <w:rPr>
          <w:rFonts w:ascii="Calibri" w:hAnsi="Calibri" w:cs="Calibri"/>
          <w:sz w:val="24"/>
          <w:szCs w:val="24"/>
        </w:rPr>
        <w:t>, the NSW Judicial Commission and the Office of the Chief Magistrate.</w:t>
      </w:r>
    </w:p>
    <w:p w:rsidR="00FB0CED" w:rsidRPr="00FB0CED" w:rsidRDefault="00FB0CED" w:rsidP="00FB0CED">
      <w:pPr>
        <w:rPr>
          <w:rFonts w:ascii="Calibri" w:hAnsi="Calibri" w:cs="Calibri"/>
          <w:sz w:val="24"/>
          <w:szCs w:val="24"/>
        </w:rPr>
      </w:pPr>
    </w:p>
    <w:p w:rsidR="00FB0CED" w:rsidRPr="00FB0CED" w:rsidRDefault="00FB0CED" w:rsidP="00FB0CED">
      <w:pPr>
        <w:rPr>
          <w:rFonts w:ascii="Calibri" w:hAnsi="Calibri" w:cs="Calibri"/>
          <w:sz w:val="24"/>
          <w:szCs w:val="24"/>
        </w:rPr>
      </w:pPr>
      <w:r w:rsidRPr="00FB0CED">
        <w:rPr>
          <w:rFonts w:ascii="Calibri" w:hAnsi="Calibri" w:cs="Calibri"/>
          <w:sz w:val="24"/>
          <w:szCs w:val="24"/>
        </w:rPr>
        <w:t xml:space="preserve">Minimum standards for domestic violence behaviour change programs have also been introduced in NSW. The standards require government and </w:t>
      </w:r>
      <w:r w:rsidR="00C8305C">
        <w:rPr>
          <w:rFonts w:ascii="Calibri" w:hAnsi="Calibri" w:cs="Calibri"/>
          <w:sz w:val="24"/>
          <w:szCs w:val="24"/>
        </w:rPr>
        <w:t>community sector</w:t>
      </w:r>
      <w:r w:rsidRPr="00FB0CED">
        <w:rPr>
          <w:rFonts w:ascii="Calibri" w:hAnsi="Calibri" w:cs="Calibri"/>
          <w:sz w:val="24"/>
          <w:szCs w:val="24"/>
        </w:rPr>
        <w:t xml:space="preserve"> providers of domestic violence behaviour change programs to adopt best practice approaches, </w:t>
      </w:r>
      <w:r w:rsidR="0003251A">
        <w:rPr>
          <w:rFonts w:ascii="Calibri" w:hAnsi="Calibri" w:cs="Calibri"/>
          <w:sz w:val="24"/>
          <w:szCs w:val="24"/>
        </w:rPr>
        <w:t xml:space="preserve">in order </w:t>
      </w:r>
      <w:r w:rsidRPr="00FB0CED">
        <w:rPr>
          <w:rFonts w:ascii="Calibri" w:hAnsi="Calibri" w:cs="Calibri"/>
          <w:sz w:val="24"/>
          <w:szCs w:val="24"/>
        </w:rPr>
        <w:t xml:space="preserve">to ensure </w:t>
      </w:r>
      <w:r w:rsidR="001D6CF1">
        <w:rPr>
          <w:rFonts w:ascii="Calibri" w:hAnsi="Calibri" w:cs="Calibri"/>
          <w:sz w:val="24"/>
          <w:szCs w:val="24"/>
        </w:rPr>
        <w:t xml:space="preserve">that </w:t>
      </w:r>
      <w:r w:rsidRPr="00FB0CED">
        <w:rPr>
          <w:rFonts w:ascii="Calibri" w:hAnsi="Calibri" w:cs="Calibri"/>
          <w:sz w:val="24"/>
          <w:szCs w:val="24"/>
        </w:rPr>
        <w:t>the programs are safe and effective in changing the behaviour of perpetrators of domestic violence. The standards that apply relate to</w:t>
      </w:r>
      <w:r w:rsidR="001D6CF1">
        <w:rPr>
          <w:rFonts w:ascii="Calibri" w:hAnsi="Calibri" w:cs="Calibri"/>
          <w:sz w:val="24"/>
          <w:szCs w:val="24"/>
        </w:rPr>
        <w:t>:</w:t>
      </w:r>
      <w:r w:rsidRPr="00FB0CED">
        <w:rPr>
          <w:rFonts w:ascii="Calibri" w:hAnsi="Calibri" w:cs="Calibri"/>
          <w:sz w:val="24"/>
          <w:szCs w:val="24"/>
        </w:rPr>
        <w:t xml:space="preserve"> offender accountability; the training, supervision and qualifications of facilitators; sound program design; interagency collaboration; and cultural competency. While there is room for variation in the methods and approaches adopted by program providers, the minimum standards set benchmarks that apply to all programs. Introduction of the standards has been led by </w:t>
      </w:r>
      <w:r w:rsidR="002C3200">
        <w:rPr>
          <w:rFonts w:ascii="Calibri" w:hAnsi="Calibri" w:cs="Calibri"/>
          <w:sz w:val="24"/>
          <w:szCs w:val="24"/>
        </w:rPr>
        <w:t>DAGJ</w:t>
      </w:r>
      <w:r w:rsidRPr="00FB0CED">
        <w:rPr>
          <w:rFonts w:ascii="Calibri" w:hAnsi="Calibri" w:cs="Calibri"/>
          <w:sz w:val="24"/>
          <w:szCs w:val="24"/>
        </w:rPr>
        <w:t xml:space="preserve">. </w:t>
      </w:r>
    </w:p>
    <w:p w:rsidR="00FB0CED" w:rsidRPr="00FB0CED" w:rsidRDefault="00FB0CED" w:rsidP="00FB0CED">
      <w:pPr>
        <w:rPr>
          <w:rFonts w:ascii="Calibri" w:hAnsi="Calibri" w:cs="Calibri"/>
          <w:sz w:val="24"/>
          <w:szCs w:val="24"/>
        </w:rPr>
      </w:pPr>
    </w:p>
    <w:p w:rsidR="00FB0CED" w:rsidRDefault="00FB0CED" w:rsidP="00FB0CED">
      <w:pPr>
        <w:rPr>
          <w:rFonts w:ascii="Calibri" w:hAnsi="Calibri" w:cs="Calibri"/>
          <w:sz w:val="24"/>
          <w:szCs w:val="24"/>
        </w:rPr>
      </w:pPr>
      <w:r w:rsidRPr="00FB0CED">
        <w:rPr>
          <w:rFonts w:ascii="Calibri" w:hAnsi="Calibri" w:cs="Calibri"/>
          <w:sz w:val="24"/>
          <w:szCs w:val="24"/>
        </w:rPr>
        <w:t>Corrective Services NSW (CSNSW) is currently involved in providing programs aimed at preventing domestic violence</w:t>
      </w:r>
      <w:r w:rsidR="000A1068">
        <w:rPr>
          <w:rFonts w:ascii="Calibri" w:hAnsi="Calibri" w:cs="Calibri"/>
          <w:sz w:val="24"/>
          <w:szCs w:val="24"/>
        </w:rPr>
        <w:t>,</w:t>
      </w:r>
      <w:r w:rsidRPr="00FB0CED">
        <w:rPr>
          <w:rFonts w:ascii="Calibri" w:hAnsi="Calibri" w:cs="Calibri"/>
          <w:sz w:val="24"/>
          <w:szCs w:val="24"/>
        </w:rPr>
        <w:t xml:space="preserve"> including: </w:t>
      </w:r>
    </w:p>
    <w:p w:rsidR="00FB0CED" w:rsidRPr="00FB0CED" w:rsidRDefault="00FB0CED" w:rsidP="001D6CF1">
      <w:pPr>
        <w:pStyle w:val="ListBullet"/>
      </w:pPr>
      <w:r w:rsidRPr="00FB0CED">
        <w:t>Out of the Dark</w:t>
      </w:r>
      <w:r w:rsidR="00A5627C">
        <w:t>,</w:t>
      </w:r>
      <w:r w:rsidRPr="00FB0CED">
        <w:t xml:space="preserve"> a strengths-based program available to female offenders who have experienced family violence. The program is designed to help participants identify issues around domestic and family violence</w:t>
      </w:r>
      <w:r w:rsidR="001D6CF1">
        <w:t>,</w:t>
      </w:r>
      <w:r w:rsidRPr="00FB0CED">
        <w:t xml:space="preserve"> learn ways of preventing engagement in future family violence and avoid unhealthy relationships. </w:t>
      </w:r>
    </w:p>
    <w:p w:rsidR="00FB0CED" w:rsidRPr="00FB0CED" w:rsidRDefault="000A1068" w:rsidP="001D6CF1">
      <w:pPr>
        <w:pStyle w:val="ListBullet"/>
        <w:spacing w:before="60"/>
        <w:ind w:left="357" w:hanging="357"/>
        <w:contextualSpacing w:val="0"/>
      </w:pPr>
      <w:r>
        <w:t>Domestic Abuse Program (DAP)</w:t>
      </w:r>
      <w:r w:rsidR="00A5627C">
        <w:t>,</w:t>
      </w:r>
      <w:r w:rsidR="00FB0CED" w:rsidRPr="00FB0CED">
        <w:t xml:space="preserve"> a group </w:t>
      </w:r>
      <w:r>
        <w:t>program aimed at male offenders</w:t>
      </w:r>
      <w:r w:rsidR="00FB0CED" w:rsidRPr="00FB0CED">
        <w:t xml:space="preserve"> and designed to help them stop physical and other abuse against their partners and </w:t>
      </w:r>
      <w:r w:rsidR="001D6CF1">
        <w:t xml:space="preserve">to </w:t>
      </w:r>
      <w:r w:rsidR="00FB0CED" w:rsidRPr="00FB0CED">
        <w:t>improve the safety of partners and children. This program has been evaluated by th</w:t>
      </w:r>
      <w:r>
        <w:t>e University of New South Wales</w:t>
      </w:r>
      <w:r w:rsidR="00FB0CED" w:rsidRPr="00FB0CED">
        <w:t xml:space="preserve"> and also received national recognition </w:t>
      </w:r>
      <w:r>
        <w:t xml:space="preserve">at </w:t>
      </w:r>
      <w:r w:rsidR="00FB0CED" w:rsidRPr="00FB0CED">
        <w:t xml:space="preserve">the Australian Crime and Violence Prevention Awards </w:t>
      </w:r>
      <w:r>
        <w:t>in October 2011</w:t>
      </w:r>
      <w:r w:rsidR="001D6CF1">
        <w:t>,</w:t>
      </w:r>
      <w:r>
        <w:t xml:space="preserve"> where</w:t>
      </w:r>
      <w:r w:rsidR="00FB0CED" w:rsidRPr="00FB0CED">
        <w:t xml:space="preserve"> CSNSW </w:t>
      </w:r>
      <w:r>
        <w:t xml:space="preserve">was presented </w:t>
      </w:r>
      <w:r w:rsidR="00FB0CED" w:rsidRPr="00FB0CED">
        <w:t xml:space="preserve">with a National Certificate of Merit Honour. </w:t>
      </w:r>
    </w:p>
    <w:p w:rsidR="00FB0CED" w:rsidRPr="00FB0CED" w:rsidRDefault="00FB0CED" w:rsidP="000A1068">
      <w:pPr>
        <w:ind w:left="567" w:hanging="283"/>
        <w:rPr>
          <w:rFonts w:ascii="Calibri" w:hAnsi="Calibri" w:cs="Calibri"/>
          <w:sz w:val="24"/>
          <w:szCs w:val="24"/>
        </w:rPr>
      </w:pPr>
    </w:p>
    <w:p w:rsidR="00FB0CED" w:rsidRPr="00FB0CED" w:rsidRDefault="00FB0CED" w:rsidP="00FB0CED">
      <w:pPr>
        <w:rPr>
          <w:rFonts w:ascii="Calibri" w:hAnsi="Calibri" w:cs="Calibri"/>
          <w:sz w:val="24"/>
          <w:szCs w:val="24"/>
        </w:rPr>
      </w:pPr>
      <w:r w:rsidRPr="00FB0CED">
        <w:rPr>
          <w:rFonts w:ascii="Calibri" w:hAnsi="Calibri" w:cs="Calibri"/>
          <w:sz w:val="24"/>
          <w:szCs w:val="24"/>
        </w:rPr>
        <w:t xml:space="preserve">NSW continues to support families who are homeless or who are at risk of homelessness, including those escaping domestic violence. </w:t>
      </w:r>
    </w:p>
    <w:p w:rsidR="00FB0CED" w:rsidRPr="00FB0CED" w:rsidRDefault="00FB0CED" w:rsidP="00FB0CED">
      <w:pPr>
        <w:rPr>
          <w:rFonts w:ascii="Calibri" w:hAnsi="Calibri" w:cs="Calibri"/>
          <w:sz w:val="24"/>
          <w:szCs w:val="24"/>
        </w:rPr>
      </w:pPr>
    </w:p>
    <w:p w:rsidR="00FB0CED" w:rsidRPr="00FB0CED" w:rsidRDefault="00FB0CED" w:rsidP="00FB0CED">
      <w:pPr>
        <w:rPr>
          <w:rFonts w:ascii="Calibri" w:hAnsi="Calibri" w:cs="Calibri"/>
          <w:sz w:val="24"/>
          <w:szCs w:val="24"/>
        </w:rPr>
      </w:pPr>
      <w:r w:rsidRPr="00FB0CED">
        <w:rPr>
          <w:rFonts w:ascii="Calibri" w:hAnsi="Calibri" w:cs="Calibri"/>
          <w:sz w:val="24"/>
          <w:szCs w:val="24"/>
        </w:rPr>
        <w:t xml:space="preserve">Start </w:t>
      </w:r>
      <w:proofErr w:type="gramStart"/>
      <w:r w:rsidRPr="00FB0CED">
        <w:rPr>
          <w:rFonts w:ascii="Calibri" w:hAnsi="Calibri" w:cs="Calibri"/>
          <w:sz w:val="24"/>
          <w:szCs w:val="24"/>
        </w:rPr>
        <w:t>Safely</w:t>
      </w:r>
      <w:proofErr w:type="gramEnd"/>
      <w:r w:rsidRPr="00FB0CED">
        <w:rPr>
          <w:rFonts w:ascii="Calibri" w:hAnsi="Calibri" w:cs="Calibri"/>
          <w:sz w:val="24"/>
          <w:szCs w:val="24"/>
        </w:rPr>
        <w:t xml:space="preserve"> continues to provide short or medium-term financial assistance for up to 24 months to assist women and men who are homeless</w:t>
      </w:r>
      <w:r w:rsidR="000A1068">
        <w:rPr>
          <w:rFonts w:ascii="Calibri" w:hAnsi="Calibri" w:cs="Calibri"/>
          <w:sz w:val="24"/>
          <w:szCs w:val="24"/>
        </w:rPr>
        <w:t>,</w:t>
      </w:r>
      <w:r w:rsidRPr="00FB0CED">
        <w:rPr>
          <w:rFonts w:ascii="Calibri" w:hAnsi="Calibri" w:cs="Calibri"/>
          <w:sz w:val="24"/>
          <w:szCs w:val="24"/>
        </w:rPr>
        <w:t xml:space="preserve"> or at risk of homelessness, to escape domestic or family violence. The subsidy scheme is aimed at those who can demonstrate a capacity to afford the same private rental property at the end of the subsidy period. </w:t>
      </w:r>
    </w:p>
    <w:p w:rsidR="00FB0CED" w:rsidRPr="00FB0CED" w:rsidRDefault="00FB0CED" w:rsidP="00FB0CED">
      <w:pPr>
        <w:rPr>
          <w:rFonts w:ascii="Calibri" w:hAnsi="Calibri" w:cs="Calibri"/>
          <w:sz w:val="24"/>
          <w:szCs w:val="24"/>
        </w:rPr>
      </w:pPr>
    </w:p>
    <w:p w:rsidR="00FB0CED" w:rsidRPr="00FB0CED" w:rsidRDefault="00FB0CED" w:rsidP="00FB0CED">
      <w:pPr>
        <w:rPr>
          <w:rFonts w:ascii="Calibri" w:hAnsi="Calibri" w:cs="Calibri"/>
          <w:sz w:val="24"/>
          <w:szCs w:val="24"/>
        </w:rPr>
      </w:pPr>
      <w:r w:rsidRPr="00FB0CED">
        <w:rPr>
          <w:rFonts w:ascii="Calibri" w:hAnsi="Calibri" w:cs="Calibri"/>
          <w:sz w:val="24"/>
          <w:szCs w:val="24"/>
        </w:rPr>
        <w:t>SHS</w:t>
      </w:r>
      <w:r w:rsidR="0075472C">
        <w:rPr>
          <w:rFonts w:ascii="Calibri" w:hAnsi="Calibri" w:cs="Calibri"/>
          <w:sz w:val="24"/>
          <w:szCs w:val="24"/>
        </w:rPr>
        <w:t>s</w:t>
      </w:r>
      <w:r w:rsidRPr="00FB0CED">
        <w:rPr>
          <w:rFonts w:ascii="Calibri" w:hAnsi="Calibri" w:cs="Calibri"/>
          <w:sz w:val="24"/>
          <w:szCs w:val="24"/>
        </w:rPr>
        <w:t xml:space="preserve"> provide a wide range of accommodation and support services to people who are homeless or at risk of homelessness, including families in crisis, women and children affected by domestic violence, young people and single adults. The SHS integrated approach focuses on case management, accommodation and specialist support, such as counselling, health and legal services</w:t>
      </w:r>
      <w:r w:rsidR="00355AE4">
        <w:rPr>
          <w:rFonts w:ascii="Calibri" w:hAnsi="Calibri" w:cs="Calibri"/>
          <w:sz w:val="24"/>
          <w:szCs w:val="24"/>
        </w:rPr>
        <w:t xml:space="preserve"> and</w:t>
      </w:r>
      <w:r w:rsidRPr="00FB0CED">
        <w:rPr>
          <w:rFonts w:ascii="Calibri" w:hAnsi="Calibri" w:cs="Calibri"/>
          <w:sz w:val="24"/>
          <w:szCs w:val="24"/>
        </w:rPr>
        <w:t xml:space="preserve"> financial and employment assistance. In 2012–13, the </w:t>
      </w:r>
      <w:r w:rsidR="00D31C59">
        <w:rPr>
          <w:rFonts w:ascii="Calibri" w:hAnsi="Calibri" w:cs="Calibri"/>
          <w:sz w:val="24"/>
          <w:szCs w:val="24"/>
        </w:rPr>
        <w:t>Australian</w:t>
      </w:r>
      <w:r w:rsidR="00D31C59" w:rsidRPr="00FB0CED">
        <w:rPr>
          <w:rFonts w:ascii="Calibri" w:hAnsi="Calibri" w:cs="Calibri"/>
          <w:sz w:val="24"/>
          <w:szCs w:val="24"/>
        </w:rPr>
        <w:t xml:space="preserve"> </w:t>
      </w:r>
      <w:r w:rsidRPr="00FB0CED">
        <w:rPr>
          <w:rFonts w:ascii="Calibri" w:hAnsi="Calibri" w:cs="Calibri"/>
          <w:sz w:val="24"/>
          <w:szCs w:val="24"/>
        </w:rPr>
        <w:t>and NSW Governments jointly contributed $134 million to SHS providers across NSW.</w:t>
      </w:r>
    </w:p>
    <w:p w:rsidR="00FB0CED" w:rsidRPr="00FB0CED" w:rsidRDefault="00FB0CED" w:rsidP="00FB0CED">
      <w:pPr>
        <w:rPr>
          <w:rFonts w:ascii="Calibri" w:hAnsi="Calibri" w:cs="Calibri"/>
          <w:sz w:val="24"/>
          <w:szCs w:val="24"/>
        </w:rPr>
      </w:pPr>
    </w:p>
    <w:p w:rsidR="00FB0CED" w:rsidRPr="00FB0CED" w:rsidRDefault="00FB0CED" w:rsidP="00FB0CED">
      <w:pPr>
        <w:rPr>
          <w:rFonts w:ascii="Calibri" w:hAnsi="Calibri" w:cs="Calibri"/>
          <w:sz w:val="24"/>
          <w:szCs w:val="24"/>
        </w:rPr>
      </w:pPr>
      <w:r w:rsidRPr="00FB0CED">
        <w:rPr>
          <w:rFonts w:ascii="Calibri" w:hAnsi="Calibri" w:cs="Calibri"/>
          <w:sz w:val="24"/>
          <w:szCs w:val="24"/>
        </w:rPr>
        <w:t>Going Home Staying Home (GHSH) is a reform initiative that aims to make specialist homelessness services easier for clients to access and to achieve a better balance between early intervention, crisis and post</w:t>
      </w:r>
      <w:r w:rsidR="005458A9">
        <w:rPr>
          <w:rFonts w:ascii="Calibri" w:hAnsi="Calibri" w:cs="Calibri"/>
          <w:sz w:val="24"/>
          <w:szCs w:val="24"/>
        </w:rPr>
        <w:t>-</w:t>
      </w:r>
      <w:r w:rsidRPr="00FB0CED">
        <w:rPr>
          <w:rFonts w:ascii="Calibri" w:hAnsi="Calibri" w:cs="Calibri"/>
          <w:sz w:val="24"/>
          <w:szCs w:val="24"/>
        </w:rPr>
        <w:t>crisis support. The reform will ensure that resources are allocated based on need</w:t>
      </w:r>
      <w:r w:rsidR="00C32FAE">
        <w:rPr>
          <w:rFonts w:ascii="Calibri" w:hAnsi="Calibri" w:cs="Calibri"/>
          <w:sz w:val="24"/>
          <w:szCs w:val="24"/>
        </w:rPr>
        <w:t>. It</w:t>
      </w:r>
      <w:r w:rsidRPr="00FB0CED">
        <w:rPr>
          <w:rFonts w:ascii="Calibri" w:hAnsi="Calibri" w:cs="Calibri"/>
          <w:sz w:val="24"/>
          <w:szCs w:val="24"/>
        </w:rPr>
        <w:t xml:space="preserve"> will focus on the quality of services. The reform will be implemented from July 2014. </w:t>
      </w:r>
    </w:p>
    <w:p w:rsidR="00FB0CED" w:rsidRPr="006F7CAB" w:rsidRDefault="00B076FD" w:rsidP="003C414F">
      <w:pPr>
        <w:pStyle w:val="Heading4"/>
      </w:pPr>
      <w:r w:rsidRPr="006F7CAB">
        <w:t>Disability</w:t>
      </w:r>
    </w:p>
    <w:p w:rsidR="00FB0CED" w:rsidRPr="00FB0CED" w:rsidRDefault="00FB0CED" w:rsidP="00FB0CED">
      <w:pPr>
        <w:rPr>
          <w:rFonts w:ascii="Calibri" w:hAnsi="Calibri" w:cs="Calibri"/>
          <w:sz w:val="24"/>
          <w:szCs w:val="24"/>
        </w:rPr>
      </w:pPr>
      <w:r w:rsidRPr="00FB0CED">
        <w:rPr>
          <w:rFonts w:ascii="Calibri" w:hAnsi="Calibri" w:cs="Calibri"/>
          <w:sz w:val="24"/>
          <w:szCs w:val="24"/>
        </w:rPr>
        <w:t>FACS continues to improve services and support for children with a disability and their families</w:t>
      </w:r>
      <w:r w:rsidR="005458A9">
        <w:rPr>
          <w:rFonts w:ascii="Calibri" w:hAnsi="Calibri" w:cs="Calibri"/>
          <w:sz w:val="24"/>
          <w:szCs w:val="24"/>
        </w:rPr>
        <w:t>.</w:t>
      </w:r>
    </w:p>
    <w:p w:rsidR="00FB0CED" w:rsidRPr="00FB0CED" w:rsidRDefault="00FB0CED" w:rsidP="00FB0CED">
      <w:pPr>
        <w:rPr>
          <w:rFonts w:ascii="Calibri" w:hAnsi="Calibri" w:cs="Calibri"/>
          <w:sz w:val="24"/>
          <w:szCs w:val="24"/>
        </w:rPr>
      </w:pPr>
    </w:p>
    <w:p w:rsidR="00FB0CED" w:rsidRPr="00FB0CED" w:rsidRDefault="00FB0CED" w:rsidP="00FB0CED">
      <w:pPr>
        <w:rPr>
          <w:rFonts w:ascii="Calibri" w:hAnsi="Calibri" w:cs="Calibri"/>
          <w:sz w:val="24"/>
          <w:szCs w:val="24"/>
        </w:rPr>
      </w:pPr>
      <w:r w:rsidRPr="00FB0CED">
        <w:rPr>
          <w:rFonts w:ascii="Calibri" w:hAnsi="Calibri" w:cs="Calibri"/>
          <w:sz w:val="24"/>
          <w:szCs w:val="24"/>
        </w:rPr>
        <w:t xml:space="preserve">Through </w:t>
      </w:r>
      <w:r w:rsidR="000A1068">
        <w:rPr>
          <w:rFonts w:ascii="Calibri" w:hAnsi="Calibri" w:cs="Calibri"/>
          <w:sz w:val="24"/>
          <w:szCs w:val="24"/>
        </w:rPr>
        <w:t xml:space="preserve">strengthening supports for children 0–8 years and their families, </w:t>
      </w:r>
      <w:r w:rsidR="00C32FAE" w:rsidRPr="001C6A73">
        <w:rPr>
          <w:rFonts w:ascii="Calibri" w:hAnsi="Calibri"/>
          <w:sz w:val="24"/>
        </w:rPr>
        <w:t xml:space="preserve">FACS </w:t>
      </w:r>
      <w:r w:rsidR="00C32FAE">
        <w:rPr>
          <w:rFonts w:ascii="Calibri" w:hAnsi="Calibri"/>
          <w:sz w:val="24"/>
        </w:rPr>
        <w:t xml:space="preserve">ADHC </w:t>
      </w:r>
      <w:r w:rsidRPr="00FB0CED">
        <w:rPr>
          <w:rFonts w:ascii="Calibri" w:hAnsi="Calibri" w:cs="Calibri"/>
          <w:sz w:val="24"/>
          <w:szCs w:val="24"/>
        </w:rPr>
        <w:t xml:space="preserve">aims to improve the way that services are provided for children with disability and their families. </w:t>
      </w:r>
      <w:r w:rsidR="000A1068">
        <w:rPr>
          <w:rFonts w:ascii="Calibri" w:hAnsi="Calibri" w:cs="Calibri"/>
          <w:sz w:val="24"/>
          <w:szCs w:val="24"/>
        </w:rPr>
        <w:t xml:space="preserve">Growth funding of </w:t>
      </w:r>
      <w:r w:rsidRPr="00FB0CED">
        <w:rPr>
          <w:rFonts w:ascii="Calibri" w:hAnsi="Calibri" w:cs="Calibri"/>
          <w:sz w:val="24"/>
          <w:szCs w:val="24"/>
        </w:rPr>
        <w:t>$180 million over five years will expand the range, availability and quality of disability support for children with disability and their families. This means an additional 11</w:t>
      </w:r>
      <w:r w:rsidR="00CA0113">
        <w:rPr>
          <w:rFonts w:ascii="Calibri" w:hAnsi="Calibri" w:cs="Calibri"/>
          <w:sz w:val="24"/>
          <w:szCs w:val="24"/>
        </w:rPr>
        <w:t> </w:t>
      </w:r>
      <w:r w:rsidRPr="00FB0CED">
        <w:rPr>
          <w:rFonts w:ascii="Calibri" w:hAnsi="Calibri" w:cs="Calibri"/>
          <w:sz w:val="24"/>
          <w:szCs w:val="24"/>
        </w:rPr>
        <w:t>800 children, family and therapy places by 2016</w:t>
      </w:r>
      <w:r w:rsidR="00C32FAE">
        <w:rPr>
          <w:rFonts w:ascii="Calibri" w:hAnsi="Calibri" w:cs="Calibri"/>
          <w:sz w:val="24"/>
          <w:szCs w:val="24"/>
        </w:rPr>
        <w:t>,</w:t>
      </w:r>
      <w:r w:rsidRPr="00FB0CED">
        <w:rPr>
          <w:rFonts w:ascii="Calibri" w:hAnsi="Calibri" w:cs="Calibri"/>
          <w:sz w:val="24"/>
          <w:szCs w:val="24"/>
        </w:rPr>
        <w:t xml:space="preserve"> which will be delivered through </w:t>
      </w:r>
      <w:r w:rsidR="005E67E8">
        <w:rPr>
          <w:rFonts w:ascii="Calibri" w:hAnsi="Calibri" w:cs="Calibri"/>
          <w:sz w:val="24"/>
          <w:szCs w:val="24"/>
        </w:rPr>
        <w:t>community sector organisations</w:t>
      </w:r>
      <w:r w:rsidR="005E67E8" w:rsidRPr="00FB0CED">
        <w:rPr>
          <w:rFonts w:ascii="Calibri" w:hAnsi="Calibri" w:cs="Calibri"/>
          <w:sz w:val="24"/>
          <w:szCs w:val="24"/>
        </w:rPr>
        <w:t xml:space="preserve"> </w:t>
      </w:r>
      <w:r w:rsidRPr="00FB0CED">
        <w:rPr>
          <w:rFonts w:ascii="Calibri" w:hAnsi="Calibri" w:cs="Calibri"/>
          <w:sz w:val="24"/>
          <w:szCs w:val="24"/>
        </w:rPr>
        <w:t>in partnership with mainstream services. The majority of children aged 0</w:t>
      </w:r>
      <w:r w:rsidR="00945F81">
        <w:rPr>
          <w:rFonts w:ascii="Calibri" w:hAnsi="Calibri" w:cs="Calibri"/>
          <w:sz w:val="24"/>
          <w:szCs w:val="24"/>
        </w:rPr>
        <w:t xml:space="preserve"> to </w:t>
      </w:r>
      <w:r w:rsidRPr="00FB0CED">
        <w:rPr>
          <w:rFonts w:ascii="Calibri" w:hAnsi="Calibri" w:cs="Calibri"/>
          <w:sz w:val="24"/>
          <w:szCs w:val="24"/>
        </w:rPr>
        <w:t>8 will be supported in mainstream settings by the specialist system. One of the strategy’s key outcomes is that children and their families are supported to tailor assistance and services to their life and natural settings, with a focus on early intervention and prevention across the lifespan, especially at diagnosis and key transition points.</w:t>
      </w:r>
    </w:p>
    <w:p w:rsidR="00FB0CED" w:rsidRPr="00FB0CED" w:rsidRDefault="00FB0CED" w:rsidP="00FB0CED">
      <w:pPr>
        <w:rPr>
          <w:rFonts w:ascii="Calibri" w:hAnsi="Calibri" w:cs="Calibri"/>
          <w:sz w:val="24"/>
          <w:szCs w:val="24"/>
        </w:rPr>
      </w:pPr>
    </w:p>
    <w:p w:rsidR="00FB0CED" w:rsidRPr="00FB0CED" w:rsidRDefault="000A1068" w:rsidP="00FB0CED">
      <w:pPr>
        <w:rPr>
          <w:rFonts w:ascii="Calibri" w:hAnsi="Calibri" w:cs="Calibri"/>
          <w:sz w:val="24"/>
          <w:szCs w:val="24"/>
        </w:rPr>
      </w:pPr>
      <w:r>
        <w:rPr>
          <w:rFonts w:ascii="Calibri" w:hAnsi="Calibri" w:cs="Calibri"/>
          <w:sz w:val="24"/>
          <w:szCs w:val="24"/>
        </w:rPr>
        <w:t xml:space="preserve">In </w:t>
      </w:r>
      <w:r w:rsidR="00C32FAE">
        <w:rPr>
          <w:rFonts w:ascii="Calibri" w:hAnsi="Calibri" w:cs="Calibri"/>
          <w:sz w:val="24"/>
          <w:szCs w:val="24"/>
        </w:rPr>
        <w:t xml:space="preserve">the </w:t>
      </w:r>
      <w:r>
        <w:rPr>
          <w:rFonts w:ascii="Calibri" w:hAnsi="Calibri" w:cs="Calibri"/>
          <w:sz w:val="24"/>
          <w:szCs w:val="24"/>
        </w:rPr>
        <w:t>2012</w:t>
      </w:r>
      <w:r w:rsidR="00C32FAE">
        <w:rPr>
          <w:rFonts w:ascii="Calibri" w:hAnsi="Calibri" w:cs="Calibri"/>
          <w:sz w:val="24"/>
          <w:szCs w:val="24"/>
        </w:rPr>
        <w:t>–</w:t>
      </w:r>
      <w:r w:rsidR="00FB0CED" w:rsidRPr="00FB0CED">
        <w:rPr>
          <w:rFonts w:ascii="Calibri" w:hAnsi="Calibri" w:cs="Calibri"/>
          <w:sz w:val="24"/>
          <w:szCs w:val="24"/>
        </w:rPr>
        <w:t xml:space="preserve">13 financial </w:t>
      </w:r>
      <w:proofErr w:type="gramStart"/>
      <w:r w:rsidR="00FB0CED" w:rsidRPr="00FB0CED">
        <w:rPr>
          <w:rFonts w:ascii="Calibri" w:hAnsi="Calibri" w:cs="Calibri"/>
          <w:sz w:val="24"/>
          <w:szCs w:val="24"/>
        </w:rPr>
        <w:t>year</w:t>
      </w:r>
      <w:proofErr w:type="gramEnd"/>
      <w:r w:rsidR="00C32FAE">
        <w:rPr>
          <w:rFonts w:ascii="Calibri" w:hAnsi="Calibri" w:cs="Calibri"/>
          <w:sz w:val="24"/>
          <w:szCs w:val="24"/>
        </w:rPr>
        <w:t>,</w:t>
      </w:r>
      <w:r w:rsidR="00FB0CED" w:rsidRPr="00FB0CED">
        <w:rPr>
          <w:rFonts w:ascii="Calibri" w:hAnsi="Calibri" w:cs="Calibri"/>
          <w:sz w:val="24"/>
          <w:szCs w:val="24"/>
        </w:rPr>
        <w:t xml:space="preserve"> more than 190 disability staff attended an ADHC training course on working with people with an intellectual disability in, or at risk of contact with</w:t>
      </w:r>
      <w:r w:rsidR="00564F1C">
        <w:rPr>
          <w:rFonts w:ascii="Calibri" w:hAnsi="Calibri" w:cs="Calibri"/>
          <w:sz w:val="24"/>
          <w:szCs w:val="24"/>
        </w:rPr>
        <w:t>,</w:t>
      </w:r>
      <w:r w:rsidR="00FB0CED" w:rsidRPr="00FB0CED">
        <w:rPr>
          <w:rFonts w:ascii="Calibri" w:hAnsi="Calibri" w:cs="Calibri"/>
          <w:sz w:val="24"/>
          <w:szCs w:val="24"/>
        </w:rPr>
        <w:t xml:space="preserve"> the justice system. Children in this population have a very high risk of experiencing abuse and neglect</w:t>
      </w:r>
      <w:r w:rsidR="00A5627C">
        <w:rPr>
          <w:rFonts w:ascii="Calibri" w:hAnsi="Calibri" w:cs="Calibri"/>
          <w:sz w:val="24"/>
          <w:szCs w:val="24"/>
        </w:rPr>
        <w:t>,</w:t>
      </w:r>
      <w:r w:rsidR="00FB0CED" w:rsidRPr="00FB0CED">
        <w:rPr>
          <w:rFonts w:ascii="Calibri" w:hAnsi="Calibri" w:cs="Calibri"/>
          <w:sz w:val="24"/>
          <w:szCs w:val="24"/>
        </w:rPr>
        <w:t xml:space="preserve"> with parents with a disability and/or a mental illness</w:t>
      </w:r>
      <w:r w:rsidR="00A5627C">
        <w:rPr>
          <w:rFonts w:ascii="Calibri" w:hAnsi="Calibri" w:cs="Calibri"/>
          <w:sz w:val="24"/>
          <w:szCs w:val="24"/>
        </w:rPr>
        <w:t>,</w:t>
      </w:r>
      <w:r w:rsidR="00FB0CED" w:rsidRPr="00FB0CED">
        <w:rPr>
          <w:rFonts w:ascii="Calibri" w:hAnsi="Calibri" w:cs="Calibri"/>
          <w:sz w:val="24"/>
          <w:szCs w:val="24"/>
        </w:rPr>
        <w:t xml:space="preserve"> and have a high risk of contact with the child protection system.</w:t>
      </w:r>
      <w:r w:rsidR="007764A2">
        <w:rPr>
          <w:rFonts w:ascii="Calibri" w:hAnsi="Calibri" w:cs="Calibri"/>
          <w:sz w:val="24"/>
          <w:szCs w:val="24"/>
        </w:rPr>
        <w:t xml:space="preserve"> </w:t>
      </w:r>
      <w:r w:rsidR="00FB0CED" w:rsidRPr="00FB0CED">
        <w:rPr>
          <w:rFonts w:ascii="Calibri" w:hAnsi="Calibri" w:cs="Calibri"/>
          <w:sz w:val="24"/>
          <w:szCs w:val="24"/>
        </w:rPr>
        <w:t>Ea</w:t>
      </w:r>
      <w:r>
        <w:rPr>
          <w:rFonts w:ascii="Calibri" w:hAnsi="Calibri" w:cs="Calibri"/>
          <w:sz w:val="24"/>
          <w:szCs w:val="24"/>
        </w:rPr>
        <w:t>rly intervention and prevention and</w:t>
      </w:r>
      <w:r w:rsidR="00FB0CED" w:rsidRPr="00FB0CED">
        <w:rPr>
          <w:rFonts w:ascii="Calibri" w:hAnsi="Calibri" w:cs="Calibri"/>
          <w:sz w:val="24"/>
          <w:szCs w:val="24"/>
        </w:rPr>
        <w:t xml:space="preserve"> working with children at risk of contact with the justice system </w:t>
      </w:r>
      <w:r>
        <w:rPr>
          <w:rFonts w:ascii="Calibri" w:hAnsi="Calibri" w:cs="Calibri"/>
          <w:sz w:val="24"/>
          <w:szCs w:val="24"/>
        </w:rPr>
        <w:t>are</w:t>
      </w:r>
      <w:r w:rsidR="00FB0CED" w:rsidRPr="00FB0CED">
        <w:rPr>
          <w:rFonts w:ascii="Calibri" w:hAnsi="Calibri" w:cs="Calibri"/>
          <w:sz w:val="24"/>
          <w:szCs w:val="24"/>
        </w:rPr>
        <w:t xml:space="preserve"> key aspect</w:t>
      </w:r>
      <w:r>
        <w:rPr>
          <w:rFonts w:ascii="Calibri" w:hAnsi="Calibri" w:cs="Calibri"/>
          <w:sz w:val="24"/>
          <w:szCs w:val="24"/>
        </w:rPr>
        <w:t>s</w:t>
      </w:r>
      <w:r w:rsidR="00FB0CED" w:rsidRPr="00FB0CED">
        <w:rPr>
          <w:rFonts w:ascii="Calibri" w:hAnsi="Calibri" w:cs="Calibri"/>
          <w:sz w:val="24"/>
          <w:szCs w:val="24"/>
        </w:rPr>
        <w:t xml:space="preserve"> of the </w:t>
      </w:r>
      <w:r w:rsidR="00C32FAE" w:rsidRPr="00FB0CED">
        <w:rPr>
          <w:rFonts w:ascii="Calibri" w:hAnsi="Calibri" w:cs="Calibri"/>
          <w:sz w:val="24"/>
          <w:szCs w:val="24"/>
        </w:rPr>
        <w:t>two</w:t>
      </w:r>
      <w:r w:rsidR="00C32FAE">
        <w:rPr>
          <w:rFonts w:ascii="Calibri" w:hAnsi="Calibri" w:cs="Calibri"/>
          <w:sz w:val="24"/>
          <w:szCs w:val="24"/>
        </w:rPr>
        <w:t>-</w:t>
      </w:r>
      <w:r w:rsidR="00FB0CED" w:rsidRPr="00FB0CED">
        <w:rPr>
          <w:rFonts w:ascii="Calibri" w:hAnsi="Calibri" w:cs="Calibri"/>
          <w:sz w:val="24"/>
          <w:szCs w:val="24"/>
        </w:rPr>
        <w:t>day training course.</w:t>
      </w:r>
    </w:p>
    <w:p w:rsidR="00FB0CED" w:rsidRPr="00FB0CED" w:rsidRDefault="00FB0CED" w:rsidP="00FB0CED">
      <w:pPr>
        <w:rPr>
          <w:rFonts w:ascii="Calibri" w:hAnsi="Calibri" w:cs="Calibri"/>
          <w:sz w:val="24"/>
          <w:szCs w:val="24"/>
        </w:rPr>
      </w:pPr>
    </w:p>
    <w:p w:rsidR="00FB0CED" w:rsidRDefault="00FB0CED" w:rsidP="00FB0CED">
      <w:pPr>
        <w:rPr>
          <w:rFonts w:ascii="Calibri" w:hAnsi="Calibri" w:cs="Calibri"/>
          <w:sz w:val="24"/>
          <w:szCs w:val="24"/>
        </w:rPr>
      </w:pPr>
      <w:r w:rsidRPr="00FB0CED">
        <w:rPr>
          <w:rFonts w:ascii="Calibri" w:hAnsi="Calibri" w:cs="Calibri"/>
          <w:sz w:val="24"/>
          <w:szCs w:val="24"/>
        </w:rPr>
        <w:t xml:space="preserve">ADHC’s </w:t>
      </w:r>
      <w:proofErr w:type="spellStart"/>
      <w:r w:rsidRPr="00FB0CED">
        <w:rPr>
          <w:rFonts w:ascii="Calibri" w:hAnsi="Calibri" w:cs="Calibri"/>
          <w:sz w:val="24"/>
          <w:szCs w:val="24"/>
        </w:rPr>
        <w:t>Statewide</w:t>
      </w:r>
      <w:proofErr w:type="spellEnd"/>
      <w:r w:rsidRPr="00FB0CED">
        <w:rPr>
          <w:rFonts w:ascii="Calibri" w:hAnsi="Calibri" w:cs="Calibri"/>
          <w:sz w:val="24"/>
          <w:szCs w:val="24"/>
        </w:rPr>
        <w:t xml:space="preserve"> Behaviour Intervention Service and regional staff delivered a Play Therapy pilot for a range of children with behavioural difficulties, many of whom had experienced trauma associated with abuse and neglect. A research paper was published describing the positive results that were identified for the individual children.</w:t>
      </w:r>
      <w:r w:rsidR="007764A2">
        <w:rPr>
          <w:rFonts w:ascii="Calibri" w:hAnsi="Calibri" w:cs="Calibri"/>
          <w:sz w:val="24"/>
          <w:szCs w:val="24"/>
        </w:rPr>
        <w:t xml:space="preserve"> </w:t>
      </w:r>
    </w:p>
    <w:p w:rsidR="00564F1C" w:rsidRDefault="00564F1C" w:rsidP="002B607C">
      <w:pPr>
        <w:rPr>
          <w:rFonts w:ascii="Calibri" w:hAnsi="Calibri" w:cs="Calibri"/>
          <w:sz w:val="24"/>
          <w:szCs w:val="24"/>
        </w:rPr>
      </w:pPr>
    </w:p>
    <w:p w:rsidR="002B607C" w:rsidRDefault="002B607C" w:rsidP="002B607C">
      <w:pPr>
        <w:rPr>
          <w:rFonts w:ascii="Calibri" w:hAnsi="Calibri" w:cs="Calibri"/>
          <w:sz w:val="24"/>
          <w:szCs w:val="24"/>
        </w:rPr>
      </w:pPr>
      <w:r>
        <w:rPr>
          <w:rFonts w:ascii="Calibri" w:hAnsi="Calibri" w:cs="Calibri"/>
          <w:sz w:val="24"/>
          <w:szCs w:val="24"/>
        </w:rPr>
        <w:t>Th</w:t>
      </w:r>
      <w:r w:rsidR="00564F1C">
        <w:rPr>
          <w:rFonts w:ascii="Calibri" w:hAnsi="Calibri" w:cs="Calibri"/>
          <w:sz w:val="24"/>
          <w:szCs w:val="24"/>
        </w:rPr>
        <w:t>e following</w:t>
      </w:r>
      <w:r>
        <w:rPr>
          <w:rFonts w:ascii="Calibri" w:hAnsi="Calibri" w:cs="Calibri"/>
          <w:sz w:val="24"/>
          <w:szCs w:val="24"/>
        </w:rPr>
        <w:t xml:space="preserve"> case study illustrates some of the important mechanisms that are being implemented to support young people with disability to live safely and with a degree of independence.</w:t>
      </w:r>
    </w:p>
    <w:p w:rsidR="003C414F" w:rsidRDefault="003C414F">
      <w:pPr>
        <w:rPr>
          <w:rFonts w:ascii="Calibri" w:hAnsi="Calibri" w:cs="Calibri"/>
          <w:sz w:val="24"/>
          <w:szCs w:val="24"/>
        </w:rPr>
      </w:pPr>
      <w:r>
        <w:rPr>
          <w:rFonts w:ascii="Calibri" w:hAnsi="Calibri" w:cs="Calibri"/>
          <w:sz w:val="24"/>
          <w:szCs w:val="24"/>
        </w:rPr>
        <w:br w:type="page"/>
      </w:r>
    </w:p>
    <w:p w:rsidR="002B607C" w:rsidRDefault="002B607C" w:rsidP="002B607C">
      <w:pPr>
        <w:rPr>
          <w:rFonts w:ascii="Calibri" w:hAnsi="Calibri" w:cs="Calibri"/>
          <w:sz w:val="24"/>
          <w:szCs w:val="24"/>
        </w:rPr>
      </w:pPr>
    </w:p>
    <w:p w:rsidR="002B607C" w:rsidRPr="00AE7DB5" w:rsidRDefault="002B607C" w:rsidP="002B607C">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b/>
          <w:color w:val="006600"/>
          <w:sz w:val="24"/>
          <w:szCs w:val="24"/>
        </w:rPr>
      </w:pPr>
      <w:r w:rsidRPr="00AE7DB5">
        <w:rPr>
          <w:rFonts w:ascii="Calibri" w:hAnsi="Calibri" w:cs="Calibri"/>
          <w:b/>
          <w:color w:val="006600"/>
          <w:sz w:val="24"/>
          <w:szCs w:val="24"/>
        </w:rPr>
        <w:t>Toby’s struggle for a stable place in his community</w:t>
      </w:r>
    </w:p>
    <w:p w:rsidR="002B607C" w:rsidRDefault="002B607C" w:rsidP="002B607C">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p>
    <w:p w:rsidR="002B607C" w:rsidRDefault="002B607C" w:rsidP="002B607C">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r w:rsidRPr="0081104D">
        <w:rPr>
          <w:rFonts w:ascii="Calibri" w:hAnsi="Calibri" w:cs="Calibri"/>
          <w:sz w:val="24"/>
          <w:szCs w:val="24"/>
        </w:rPr>
        <w:t>Toby</w:t>
      </w:r>
      <w:r>
        <w:rPr>
          <w:rFonts w:ascii="Calibri" w:hAnsi="Calibri" w:cs="Calibri"/>
          <w:sz w:val="24"/>
          <w:szCs w:val="24"/>
        </w:rPr>
        <w:t xml:space="preserve"> (not his real name)</w:t>
      </w:r>
      <w:r w:rsidRPr="0081104D">
        <w:rPr>
          <w:rFonts w:ascii="Calibri" w:hAnsi="Calibri" w:cs="Calibri"/>
          <w:sz w:val="24"/>
          <w:szCs w:val="24"/>
        </w:rPr>
        <w:t xml:space="preserve"> is 16 years old and has an intellectual disability. He has also been diagnosed with epilepsy and organic psychotic illness. His family cut ties with him because of his violent behaviour, and he has spent time in a juvenile detention centre and an adolescent mental health unit. Toby’s mother has relinquished all care and signed over guardianship rights to the Public Guardian.</w:t>
      </w:r>
    </w:p>
    <w:p w:rsidR="002B607C" w:rsidRPr="0081104D" w:rsidRDefault="002B607C" w:rsidP="002B607C">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p>
    <w:p w:rsidR="002B607C" w:rsidRPr="0081104D" w:rsidRDefault="002B607C" w:rsidP="002B607C">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proofErr w:type="spellStart"/>
      <w:r w:rsidRPr="0081104D">
        <w:rPr>
          <w:rFonts w:ascii="Calibri" w:hAnsi="Calibri" w:cs="Calibri"/>
          <w:sz w:val="24"/>
          <w:szCs w:val="24"/>
        </w:rPr>
        <w:t>UnitingCare</w:t>
      </w:r>
      <w:proofErr w:type="spellEnd"/>
      <w:r w:rsidRPr="0081104D">
        <w:rPr>
          <w:rFonts w:ascii="Calibri" w:hAnsi="Calibri" w:cs="Calibri"/>
          <w:sz w:val="24"/>
          <w:szCs w:val="24"/>
        </w:rPr>
        <w:t xml:space="preserve"> Disability’s Extended Family Support has supported Toby since November 2012. </w:t>
      </w:r>
    </w:p>
    <w:p w:rsidR="002B607C" w:rsidRPr="00B13E18" w:rsidRDefault="002B607C" w:rsidP="002B607C">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r w:rsidRPr="0081104D">
        <w:rPr>
          <w:rFonts w:ascii="Calibri" w:hAnsi="Calibri" w:cs="Calibri"/>
          <w:sz w:val="24"/>
          <w:szCs w:val="24"/>
        </w:rPr>
        <w:t>Over the past few years, prior to any services coming on board, Toby had many admissions to adolescent mental health units as an inpatient for extended amounts of time. The instability in Toby’s home life has meant that</w:t>
      </w:r>
      <w:r w:rsidR="00916D23">
        <w:rPr>
          <w:rFonts w:ascii="Calibri" w:hAnsi="Calibri" w:cs="Calibri"/>
          <w:sz w:val="24"/>
          <w:szCs w:val="24"/>
        </w:rPr>
        <w:t>,</w:t>
      </w:r>
      <w:r w:rsidRPr="0081104D">
        <w:rPr>
          <w:rFonts w:ascii="Calibri" w:hAnsi="Calibri" w:cs="Calibri"/>
          <w:sz w:val="24"/>
          <w:szCs w:val="24"/>
        </w:rPr>
        <w:t xml:space="preserve"> at times</w:t>
      </w:r>
      <w:r w:rsidR="00916D23">
        <w:rPr>
          <w:rFonts w:ascii="Calibri" w:hAnsi="Calibri" w:cs="Calibri"/>
          <w:sz w:val="24"/>
          <w:szCs w:val="24"/>
        </w:rPr>
        <w:t>,</w:t>
      </w:r>
      <w:r w:rsidRPr="0081104D">
        <w:rPr>
          <w:rFonts w:ascii="Calibri" w:hAnsi="Calibri" w:cs="Calibri"/>
          <w:sz w:val="24"/>
          <w:szCs w:val="24"/>
        </w:rPr>
        <w:t xml:space="preserve"> he did not comply with taking medications</w:t>
      </w:r>
      <w:r>
        <w:rPr>
          <w:rFonts w:ascii="Calibri" w:hAnsi="Calibri" w:cs="Calibri"/>
          <w:sz w:val="24"/>
          <w:szCs w:val="24"/>
        </w:rPr>
        <w:t>, and he</w:t>
      </w:r>
      <w:r w:rsidRPr="0081104D">
        <w:rPr>
          <w:rFonts w:ascii="Calibri" w:hAnsi="Calibri" w:cs="Calibri"/>
          <w:sz w:val="24"/>
          <w:szCs w:val="24"/>
        </w:rPr>
        <w:t xml:space="preserve"> had no access to his medication on occasions in juvenile detention. This had a negative effect on his treatment and ability to engage with services. </w:t>
      </w:r>
      <w:r w:rsidR="00882F9E" w:rsidRPr="00882F9E">
        <w:rPr>
          <w:rFonts w:ascii="Calibri" w:hAnsi="Calibri" w:cs="Calibri"/>
          <w:sz w:val="24"/>
          <w:szCs w:val="24"/>
        </w:rPr>
        <w:t xml:space="preserve">Through Toby’s commitment to working with Extended </w:t>
      </w:r>
      <w:r w:rsidR="00AE5291">
        <w:rPr>
          <w:rFonts w:ascii="Calibri" w:hAnsi="Calibri" w:cs="Calibri"/>
          <w:sz w:val="24"/>
          <w:szCs w:val="24"/>
        </w:rPr>
        <w:t>F</w:t>
      </w:r>
      <w:r w:rsidR="00882F9E" w:rsidRPr="00882F9E">
        <w:rPr>
          <w:rFonts w:ascii="Calibri" w:hAnsi="Calibri" w:cs="Calibri"/>
          <w:sz w:val="24"/>
          <w:szCs w:val="24"/>
        </w:rPr>
        <w:t>amily Support, and the trust built through their persistent engagement, he has taken responsibility for his medications and has accepted help with his anger management.</w:t>
      </w:r>
    </w:p>
    <w:p w:rsidR="002B607C" w:rsidRPr="0081104D" w:rsidRDefault="002B607C" w:rsidP="002B607C">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p>
    <w:p w:rsidR="002B607C" w:rsidRDefault="002B607C" w:rsidP="002B607C">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r w:rsidRPr="0081104D">
        <w:rPr>
          <w:rFonts w:ascii="Calibri" w:hAnsi="Calibri" w:cs="Calibri"/>
          <w:sz w:val="24"/>
          <w:szCs w:val="24"/>
        </w:rPr>
        <w:t xml:space="preserve">Toby is living alone in </w:t>
      </w:r>
      <w:r>
        <w:rPr>
          <w:rFonts w:ascii="Calibri" w:hAnsi="Calibri" w:cs="Calibri"/>
          <w:sz w:val="24"/>
          <w:szCs w:val="24"/>
        </w:rPr>
        <w:t>a</w:t>
      </w:r>
      <w:r w:rsidRPr="0081104D">
        <w:rPr>
          <w:rFonts w:ascii="Calibri" w:hAnsi="Calibri" w:cs="Calibri"/>
          <w:sz w:val="24"/>
          <w:szCs w:val="24"/>
        </w:rPr>
        <w:t xml:space="preserve"> flat but is unable to manage independently. Many different housing options</w:t>
      </w:r>
      <w:r>
        <w:rPr>
          <w:rFonts w:ascii="Calibri" w:hAnsi="Calibri" w:cs="Calibri"/>
          <w:sz w:val="24"/>
          <w:szCs w:val="24"/>
        </w:rPr>
        <w:t>,</w:t>
      </w:r>
      <w:r w:rsidRPr="0081104D">
        <w:rPr>
          <w:rFonts w:ascii="Calibri" w:hAnsi="Calibri" w:cs="Calibri"/>
          <w:sz w:val="24"/>
          <w:szCs w:val="24"/>
        </w:rPr>
        <w:t xml:space="preserve"> such as refuges</w:t>
      </w:r>
      <w:r>
        <w:rPr>
          <w:rFonts w:ascii="Calibri" w:hAnsi="Calibri" w:cs="Calibri"/>
          <w:sz w:val="24"/>
          <w:szCs w:val="24"/>
        </w:rPr>
        <w:t>,</w:t>
      </w:r>
      <w:r w:rsidRPr="0081104D">
        <w:rPr>
          <w:rFonts w:ascii="Calibri" w:hAnsi="Calibri" w:cs="Calibri"/>
          <w:sz w:val="24"/>
          <w:szCs w:val="24"/>
        </w:rPr>
        <w:t xml:space="preserve"> are being explored, but it is very difficult to find suitable accommodation </w:t>
      </w:r>
      <w:r>
        <w:rPr>
          <w:rFonts w:ascii="Calibri" w:hAnsi="Calibri" w:cs="Calibri"/>
          <w:sz w:val="24"/>
          <w:szCs w:val="24"/>
        </w:rPr>
        <w:t>because of</w:t>
      </w:r>
      <w:r w:rsidRPr="0081104D">
        <w:rPr>
          <w:rFonts w:ascii="Calibri" w:hAnsi="Calibri" w:cs="Calibri"/>
          <w:sz w:val="24"/>
          <w:szCs w:val="24"/>
        </w:rPr>
        <w:t xml:space="preserve"> his history of violent behaviour. </w:t>
      </w:r>
      <w:proofErr w:type="spellStart"/>
      <w:r w:rsidRPr="0081104D">
        <w:rPr>
          <w:rFonts w:ascii="Calibri" w:hAnsi="Calibri" w:cs="Calibri"/>
          <w:sz w:val="24"/>
          <w:szCs w:val="24"/>
        </w:rPr>
        <w:t>UnitingCare</w:t>
      </w:r>
      <w:proofErr w:type="spellEnd"/>
      <w:r w:rsidRPr="0081104D">
        <w:rPr>
          <w:rFonts w:ascii="Calibri" w:hAnsi="Calibri" w:cs="Calibri"/>
          <w:sz w:val="24"/>
          <w:szCs w:val="24"/>
        </w:rPr>
        <w:t xml:space="preserve"> Disability has successfully negotiated with ADHC </w:t>
      </w:r>
      <w:r>
        <w:rPr>
          <w:rFonts w:ascii="Calibri" w:hAnsi="Calibri" w:cs="Calibri"/>
          <w:sz w:val="24"/>
          <w:szCs w:val="24"/>
        </w:rPr>
        <w:t xml:space="preserve">New South Wales, </w:t>
      </w:r>
      <w:r w:rsidRPr="0081104D">
        <w:rPr>
          <w:rFonts w:ascii="Calibri" w:hAnsi="Calibri" w:cs="Calibri"/>
          <w:sz w:val="24"/>
          <w:szCs w:val="24"/>
        </w:rPr>
        <w:t xml:space="preserve">and Toby now has a Supported Living Package which will provide funding and support to help him live in the community. </w:t>
      </w:r>
    </w:p>
    <w:p w:rsidR="002B607C" w:rsidRPr="0081104D" w:rsidRDefault="002B607C" w:rsidP="002B607C">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p>
    <w:p w:rsidR="002B607C" w:rsidRDefault="002B607C" w:rsidP="002B607C">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r w:rsidRPr="0081104D">
        <w:rPr>
          <w:rFonts w:ascii="Calibri" w:hAnsi="Calibri" w:cs="Calibri"/>
          <w:sz w:val="24"/>
          <w:szCs w:val="24"/>
        </w:rPr>
        <w:t>Toby was expelled from all past schools. However, with the support of respite care workers from the Extended Family Support Service</w:t>
      </w:r>
      <w:r w:rsidR="00FA4B7F">
        <w:rPr>
          <w:rFonts w:ascii="Calibri" w:hAnsi="Calibri" w:cs="Calibri"/>
          <w:sz w:val="24"/>
          <w:szCs w:val="24"/>
        </w:rPr>
        <w:t>,</w:t>
      </w:r>
      <w:r w:rsidRPr="0081104D">
        <w:rPr>
          <w:rFonts w:ascii="Calibri" w:hAnsi="Calibri" w:cs="Calibri"/>
          <w:sz w:val="24"/>
          <w:szCs w:val="24"/>
        </w:rPr>
        <w:t xml:space="preserve"> Toby has attended school during May and June 2013 for </w:t>
      </w:r>
      <w:r>
        <w:rPr>
          <w:rFonts w:ascii="Calibri" w:hAnsi="Calibri" w:cs="Calibri"/>
          <w:sz w:val="24"/>
          <w:szCs w:val="24"/>
        </w:rPr>
        <w:t>one</w:t>
      </w:r>
      <w:r w:rsidRPr="0081104D">
        <w:rPr>
          <w:rFonts w:ascii="Calibri" w:hAnsi="Calibri" w:cs="Calibri"/>
          <w:sz w:val="24"/>
          <w:szCs w:val="24"/>
        </w:rPr>
        <w:t xml:space="preserve"> hour each day, and the service is working with Toby and the school to increase this</w:t>
      </w:r>
      <w:r w:rsidR="00FA4B7F">
        <w:rPr>
          <w:rFonts w:ascii="Calibri" w:hAnsi="Calibri" w:cs="Calibri"/>
          <w:sz w:val="24"/>
          <w:szCs w:val="24"/>
        </w:rPr>
        <w:t xml:space="preserve"> </w:t>
      </w:r>
      <w:r w:rsidR="00FA4B7F" w:rsidRPr="0081104D">
        <w:rPr>
          <w:rFonts w:ascii="Calibri" w:hAnsi="Calibri" w:cs="Calibri"/>
          <w:sz w:val="24"/>
          <w:szCs w:val="24"/>
        </w:rPr>
        <w:t>gradually</w:t>
      </w:r>
      <w:r w:rsidRPr="0081104D">
        <w:rPr>
          <w:rFonts w:ascii="Calibri" w:hAnsi="Calibri" w:cs="Calibri"/>
          <w:sz w:val="24"/>
          <w:szCs w:val="24"/>
        </w:rPr>
        <w:t>.</w:t>
      </w:r>
    </w:p>
    <w:p w:rsidR="002B607C" w:rsidRPr="0081104D" w:rsidRDefault="002B607C" w:rsidP="002B607C">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p>
    <w:p w:rsidR="002B607C" w:rsidRDefault="002B607C" w:rsidP="002B607C">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r w:rsidRPr="0081104D">
        <w:rPr>
          <w:rFonts w:ascii="Calibri" w:hAnsi="Calibri" w:cs="Calibri"/>
          <w:sz w:val="24"/>
          <w:szCs w:val="24"/>
        </w:rPr>
        <w:t xml:space="preserve">Toby currently has a case manager with ADHC and with the adolescent mental health unit. He is complying with a community treatment order and receiving </w:t>
      </w:r>
      <w:r w:rsidR="00916D23">
        <w:rPr>
          <w:rFonts w:ascii="Calibri" w:hAnsi="Calibri" w:cs="Calibri"/>
          <w:sz w:val="24"/>
          <w:szCs w:val="24"/>
        </w:rPr>
        <w:t xml:space="preserve">a </w:t>
      </w:r>
      <w:r w:rsidRPr="0081104D">
        <w:rPr>
          <w:rFonts w:ascii="Calibri" w:hAnsi="Calibri" w:cs="Calibri"/>
          <w:sz w:val="24"/>
          <w:szCs w:val="24"/>
        </w:rPr>
        <w:t xml:space="preserve">fortnightly medication injection. His daily medications are also monitored by support staff to ensure compliance. </w:t>
      </w:r>
      <w:r>
        <w:rPr>
          <w:rFonts w:ascii="Calibri" w:hAnsi="Calibri" w:cs="Calibri"/>
          <w:sz w:val="24"/>
          <w:szCs w:val="24"/>
        </w:rPr>
        <w:t>He</w:t>
      </w:r>
      <w:r w:rsidRPr="0081104D">
        <w:rPr>
          <w:rFonts w:ascii="Calibri" w:hAnsi="Calibri" w:cs="Calibri"/>
          <w:sz w:val="24"/>
          <w:szCs w:val="24"/>
        </w:rPr>
        <w:t xml:space="preserve"> continues to engage well with the services involved. </w:t>
      </w:r>
    </w:p>
    <w:p w:rsidR="002B607C" w:rsidRPr="0081104D" w:rsidRDefault="002B607C" w:rsidP="002B607C">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p>
    <w:p w:rsidR="002B607C" w:rsidRPr="0081104D" w:rsidRDefault="002B607C" w:rsidP="002B607C">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r w:rsidRPr="0081104D">
        <w:rPr>
          <w:rFonts w:ascii="Calibri" w:hAnsi="Calibri" w:cs="Calibri"/>
          <w:sz w:val="24"/>
          <w:szCs w:val="24"/>
        </w:rPr>
        <w:t xml:space="preserve">The Extended Family Support Service is working with Toby to help him develop living skills and a routine in his daily activities. The workers have found out his interests and helped link him into activities such as football and joining a gym. They are working with Toby to set goals for his education, ongoing training and work options. Linking him to these activities also reduces boredom and </w:t>
      </w:r>
      <w:r>
        <w:rPr>
          <w:rFonts w:ascii="Calibri" w:hAnsi="Calibri" w:cs="Calibri"/>
          <w:sz w:val="24"/>
          <w:szCs w:val="24"/>
        </w:rPr>
        <w:t xml:space="preserve">the </w:t>
      </w:r>
      <w:r w:rsidRPr="0081104D">
        <w:rPr>
          <w:rFonts w:ascii="Calibri" w:hAnsi="Calibri" w:cs="Calibri"/>
          <w:sz w:val="24"/>
          <w:szCs w:val="24"/>
        </w:rPr>
        <w:t xml:space="preserve">negative influences of peers on his behaviour. </w:t>
      </w:r>
    </w:p>
    <w:p w:rsidR="002B607C" w:rsidRDefault="002B607C" w:rsidP="002B607C">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p>
    <w:p w:rsidR="002B607C" w:rsidRDefault="002B607C" w:rsidP="002B607C">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r w:rsidRPr="0081104D">
        <w:rPr>
          <w:rFonts w:ascii="Calibri" w:hAnsi="Calibri" w:cs="Calibri"/>
          <w:sz w:val="24"/>
          <w:szCs w:val="24"/>
        </w:rPr>
        <w:t xml:space="preserve">The program offered to Toby by the Extended Family Support Service has been successful in improving Toby’s behaviour </w:t>
      </w:r>
      <w:r>
        <w:rPr>
          <w:rFonts w:ascii="Calibri" w:hAnsi="Calibri" w:cs="Calibri"/>
          <w:sz w:val="24"/>
          <w:szCs w:val="24"/>
        </w:rPr>
        <w:t>because of</w:t>
      </w:r>
      <w:r w:rsidRPr="0081104D">
        <w:rPr>
          <w:rFonts w:ascii="Calibri" w:hAnsi="Calibri" w:cs="Calibri"/>
          <w:sz w:val="24"/>
          <w:szCs w:val="24"/>
        </w:rPr>
        <w:t xml:space="preserve"> the consistency in service provision</w:t>
      </w:r>
      <w:r>
        <w:rPr>
          <w:rFonts w:ascii="Calibri" w:hAnsi="Calibri" w:cs="Calibri"/>
          <w:sz w:val="24"/>
          <w:szCs w:val="24"/>
        </w:rPr>
        <w:t xml:space="preserve">, allowing </w:t>
      </w:r>
      <w:r w:rsidRPr="0081104D">
        <w:rPr>
          <w:rFonts w:ascii="Calibri" w:hAnsi="Calibri" w:cs="Calibri"/>
          <w:sz w:val="24"/>
          <w:szCs w:val="24"/>
        </w:rPr>
        <w:t xml:space="preserve">him </w:t>
      </w:r>
      <w:r>
        <w:rPr>
          <w:rFonts w:ascii="Calibri" w:hAnsi="Calibri" w:cs="Calibri"/>
          <w:sz w:val="24"/>
          <w:szCs w:val="24"/>
        </w:rPr>
        <w:t>to feel</w:t>
      </w:r>
      <w:r w:rsidRPr="0081104D">
        <w:rPr>
          <w:rFonts w:ascii="Calibri" w:hAnsi="Calibri" w:cs="Calibri"/>
          <w:sz w:val="24"/>
          <w:szCs w:val="24"/>
        </w:rPr>
        <w:t xml:space="preserve"> a sense of connectedness and support from services. </w:t>
      </w:r>
      <w:r w:rsidR="00882F9E" w:rsidRPr="00882F9E">
        <w:rPr>
          <w:rFonts w:ascii="Calibri" w:hAnsi="Calibri" w:cs="Calibri"/>
          <w:sz w:val="24"/>
          <w:szCs w:val="24"/>
        </w:rPr>
        <w:t xml:space="preserve">This relationship of trust has allowed Toby to access a wider range of support services and </w:t>
      </w:r>
      <w:r w:rsidR="00AE5291">
        <w:rPr>
          <w:rFonts w:ascii="Calibri" w:hAnsi="Calibri" w:cs="Calibri"/>
          <w:sz w:val="24"/>
          <w:szCs w:val="24"/>
        </w:rPr>
        <w:t xml:space="preserve">to </w:t>
      </w:r>
      <w:r w:rsidR="00882F9E" w:rsidRPr="00882F9E">
        <w:rPr>
          <w:rFonts w:ascii="Calibri" w:hAnsi="Calibri" w:cs="Calibri"/>
          <w:sz w:val="24"/>
          <w:szCs w:val="24"/>
        </w:rPr>
        <w:t>set his own goals for living independently.</w:t>
      </w:r>
    </w:p>
    <w:p w:rsidR="002B607C" w:rsidRPr="0081104D" w:rsidRDefault="002B607C" w:rsidP="002B607C">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p>
    <w:p w:rsidR="002B607C" w:rsidRPr="00C475E2" w:rsidRDefault="002B607C" w:rsidP="002B607C">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r w:rsidRPr="0081104D">
        <w:rPr>
          <w:rFonts w:ascii="Calibri" w:hAnsi="Calibri" w:cs="Calibri"/>
          <w:sz w:val="24"/>
          <w:szCs w:val="24"/>
        </w:rPr>
        <w:t xml:space="preserve">The high level of cross-sectoral collaboration has been a key factor. The services involved, including </w:t>
      </w:r>
      <w:proofErr w:type="spellStart"/>
      <w:r w:rsidRPr="0081104D">
        <w:rPr>
          <w:rFonts w:ascii="Calibri" w:hAnsi="Calibri" w:cs="Calibri"/>
          <w:sz w:val="24"/>
          <w:szCs w:val="24"/>
        </w:rPr>
        <w:t>UnitingCare</w:t>
      </w:r>
      <w:proofErr w:type="spellEnd"/>
      <w:r w:rsidRPr="0081104D">
        <w:rPr>
          <w:rFonts w:ascii="Calibri" w:hAnsi="Calibri" w:cs="Calibri"/>
          <w:sz w:val="24"/>
          <w:szCs w:val="24"/>
        </w:rPr>
        <w:t xml:space="preserve"> Disability, adolescent mental health and ADHC</w:t>
      </w:r>
      <w:r>
        <w:rPr>
          <w:rFonts w:ascii="Calibri" w:hAnsi="Calibri" w:cs="Calibri"/>
          <w:sz w:val="24"/>
          <w:szCs w:val="24"/>
        </w:rPr>
        <w:t>,</w:t>
      </w:r>
      <w:r w:rsidRPr="0081104D">
        <w:rPr>
          <w:rFonts w:ascii="Calibri" w:hAnsi="Calibri" w:cs="Calibri"/>
          <w:sz w:val="24"/>
          <w:szCs w:val="24"/>
        </w:rPr>
        <w:t xml:space="preserve"> have all worked collaboratively to ensure</w:t>
      </w:r>
      <w:r>
        <w:rPr>
          <w:rFonts w:ascii="Calibri" w:hAnsi="Calibri" w:cs="Calibri"/>
          <w:sz w:val="24"/>
          <w:szCs w:val="24"/>
        </w:rPr>
        <w:t xml:space="preserve"> that</w:t>
      </w:r>
      <w:r w:rsidRPr="0081104D">
        <w:rPr>
          <w:rFonts w:ascii="Calibri" w:hAnsi="Calibri" w:cs="Calibri"/>
          <w:sz w:val="24"/>
          <w:szCs w:val="24"/>
        </w:rPr>
        <w:t xml:space="preserve"> Toby’s needs are met. Toby’s Justice Health worker has also been instrumental in supporting him through charges and court appearances and liaising with services involved.</w:t>
      </w:r>
    </w:p>
    <w:p w:rsidR="002B607C" w:rsidRPr="00FB0CED" w:rsidRDefault="002B607C" w:rsidP="00FB0CED">
      <w:pPr>
        <w:rPr>
          <w:rFonts w:ascii="Calibri" w:hAnsi="Calibri" w:cs="Calibri"/>
          <w:sz w:val="24"/>
          <w:szCs w:val="24"/>
        </w:rPr>
      </w:pPr>
    </w:p>
    <w:p w:rsidR="00525A54" w:rsidRDefault="00525A54">
      <w:pPr>
        <w:rPr>
          <w:rFonts w:ascii="Calibri" w:hAnsi="Calibri" w:cs="Calibri"/>
          <w:i/>
          <w:sz w:val="24"/>
          <w:szCs w:val="24"/>
        </w:rPr>
      </w:pPr>
      <w:r>
        <w:rPr>
          <w:rFonts w:ascii="Calibri" w:hAnsi="Calibri" w:cs="Calibri"/>
          <w:i/>
          <w:sz w:val="24"/>
          <w:szCs w:val="24"/>
        </w:rPr>
        <w:br w:type="page"/>
      </w:r>
    </w:p>
    <w:p w:rsidR="00B076FD" w:rsidRPr="006F7CAB" w:rsidRDefault="00B076FD" w:rsidP="003C414F">
      <w:pPr>
        <w:pStyle w:val="Heading4"/>
      </w:pPr>
      <w:r w:rsidRPr="006F7CAB">
        <w:t>Health and Mental Health</w:t>
      </w:r>
    </w:p>
    <w:p w:rsidR="00FB0CED" w:rsidRPr="00FB0CED" w:rsidRDefault="00FB0CED" w:rsidP="00FB0CED">
      <w:pPr>
        <w:rPr>
          <w:rFonts w:ascii="Calibri" w:hAnsi="Calibri" w:cs="Calibri"/>
          <w:sz w:val="24"/>
          <w:szCs w:val="24"/>
        </w:rPr>
      </w:pPr>
      <w:r w:rsidRPr="00FB0CED">
        <w:rPr>
          <w:rFonts w:ascii="Calibri" w:hAnsi="Calibri" w:cs="Calibri"/>
          <w:sz w:val="24"/>
          <w:szCs w:val="24"/>
        </w:rPr>
        <w:t xml:space="preserve">NSW </w:t>
      </w:r>
      <w:r w:rsidR="00916D23">
        <w:rPr>
          <w:rFonts w:ascii="Calibri" w:hAnsi="Calibri" w:cs="Calibri"/>
          <w:sz w:val="24"/>
          <w:szCs w:val="24"/>
        </w:rPr>
        <w:t>c</w:t>
      </w:r>
      <w:r w:rsidRPr="00FB0CED">
        <w:rPr>
          <w:rFonts w:ascii="Calibri" w:hAnsi="Calibri" w:cs="Calibri"/>
          <w:sz w:val="24"/>
          <w:szCs w:val="24"/>
        </w:rPr>
        <w:t xml:space="preserve">ontinues to support families where parents or carers are experiencing mental health or drug and alcohol problems. </w:t>
      </w:r>
    </w:p>
    <w:p w:rsidR="00FB0CED" w:rsidRPr="00FB0CED" w:rsidRDefault="00FB0CED" w:rsidP="00FB0CED">
      <w:pPr>
        <w:rPr>
          <w:rFonts w:ascii="Calibri" w:hAnsi="Calibri" w:cs="Calibri"/>
          <w:sz w:val="24"/>
          <w:szCs w:val="24"/>
        </w:rPr>
      </w:pPr>
    </w:p>
    <w:p w:rsidR="00FB0CED" w:rsidRPr="00FB0CED" w:rsidRDefault="00FB0CED" w:rsidP="00FB0CED">
      <w:pPr>
        <w:rPr>
          <w:rFonts w:ascii="Calibri" w:hAnsi="Calibri" w:cs="Calibri"/>
          <w:sz w:val="24"/>
          <w:szCs w:val="24"/>
        </w:rPr>
      </w:pPr>
      <w:r w:rsidRPr="00FB0CED">
        <w:rPr>
          <w:rFonts w:ascii="Calibri" w:hAnsi="Calibri" w:cs="Calibri"/>
          <w:sz w:val="24"/>
          <w:szCs w:val="24"/>
        </w:rPr>
        <w:t>Keep them Safe</w:t>
      </w:r>
      <w:r w:rsidR="00450A9D">
        <w:rPr>
          <w:rFonts w:ascii="Calibri" w:hAnsi="Calibri" w:cs="Calibri"/>
          <w:sz w:val="24"/>
          <w:szCs w:val="24"/>
        </w:rPr>
        <w:t xml:space="preserve"> </w:t>
      </w:r>
      <w:r w:rsidR="00564F1C">
        <w:rPr>
          <w:rFonts w:ascii="Calibri" w:hAnsi="Calibri" w:cs="Calibri"/>
          <w:sz w:val="24"/>
          <w:szCs w:val="24"/>
        </w:rPr>
        <w:t>–</w:t>
      </w:r>
      <w:r w:rsidR="00450A9D">
        <w:rPr>
          <w:rFonts w:ascii="Calibri" w:hAnsi="Calibri" w:cs="Calibri"/>
          <w:sz w:val="24"/>
          <w:szCs w:val="24"/>
        </w:rPr>
        <w:t xml:space="preserve"> </w:t>
      </w:r>
      <w:r w:rsidRPr="00FB0CED">
        <w:rPr>
          <w:rFonts w:ascii="Calibri" w:hAnsi="Calibri" w:cs="Calibri"/>
          <w:sz w:val="24"/>
          <w:szCs w:val="24"/>
        </w:rPr>
        <w:t>Whole Family Teams (KTS</w:t>
      </w:r>
      <w:r w:rsidR="00564F1C">
        <w:rPr>
          <w:rFonts w:ascii="Calibri" w:hAnsi="Calibri" w:cs="Calibri"/>
          <w:sz w:val="24"/>
          <w:szCs w:val="24"/>
        </w:rPr>
        <w:t>–</w:t>
      </w:r>
      <w:r w:rsidRPr="00FB0CED">
        <w:rPr>
          <w:rFonts w:ascii="Calibri" w:hAnsi="Calibri" w:cs="Calibri"/>
          <w:sz w:val="24"/>
          <w:szCs w:val="24"/>
        </w:rPr>
        <w:t>WFT) aim to address the needs of wh</w:t>
      </w:r>
      <w:r w:rsidR="000A1068">
        <w:rPr>
          <w:rFonts w:ascii="Calibri" w:hAnsi="Calibri" w:cs="Calibri"/>
          <w:sz w:val="24"/>
          <w:szCs w:val="24"/>
        </w:rPr>
        <w:t xml:space="preserve">ole families where parents or </w:t>
      </w:r>
      <w:r w:rsidRPr="00FB0CED">
        <w:rPr>
          <w:rFonts w:ascii="Calibri" w:hAnsi="Calibri" w:cs="Calibri"/>
          <w:sz w:val="24"/>
          <w:szCs w:val="24"/>
        </w:rPr>
        <w:t xml:space="preserve">carers have mental health and/or drug and alcohol problems and there are child protection concerns. Four teams are being piloted until June 2014 in Lismore, Nowra, Newcastle and Gosford. Families are primarily referred to WFTs by </w:t>
      </w:r>
      <w:r w:rsidR="00352B6E">
        <w:rPr>
          <w:rFonts w:ascii="Calibri" w:hAnsi="Calibri" w:cs="Calibri"/>
          <w:sz w:val="24"/>
          <w:szCs w:val="24"/>
        </w:rPr>
        <w:t>CS</w:t>
      </w:r>
      <w:r w:rsidRPr="00FB0CED">
        <w:rPr>
          <w:rFonts w:ascii="Calibri" w:hAnsi="Calibri" w:cs="Calibri"/>
          <w:sz w:val="24"/>
          <w:szCs w:val="24"/>
        </w:rPr>
        <w:t xml:space="preserve"> and receive assertive, integrated specialist mental health, drug </w:t>
      </w:r>
      <w:r w:rsidR="00F621C4">
        <w:rPr>
          <w:rFonts w:ascii="Calibri" w:hAnsi="Calibri" w:cs="Calibri"/>
          <w:sz w:val="24"/>
          <w:szCs w:val="24"/>
        </w:rPr>
        <w:t>and</w:t>
      </w:r>
      <w:r w:rsidR="00F621C4" w:rsidRPr="00FB0CED">
        <w:rPr>
          <w:rFonts w:ascii="Calibri" w:hAnsi="Calibri" w:cs="Calibri"/>
          <w:sz w:val="24"/>
          <w:szCs w:val="24"/>
        </w:rPr>
        <w:t xml:space="preserve"> </w:t>
      </w:r>
      <w:r w:rsidRPr="00FB0CED">
        <w:rPr>
          <w:rFonts w:ascii="Calibri" w:hAnsi="Calibri" w:cs="Calibri"/>
          <w:sz w:val="24"/>
          <w:szCs w:val="24"/>
        </w:rPr>
        <w:t xml:space="preserve">alcohol and parenting interventions </w:t>
      </w:r>
      <w:r w:rsidR="000A1068">
        <w:rPr>
          <w:rFonts w:ascii="Calibri" w:hAnsi="Calibri" w:cs="Calibri"/>
          <w:sz w:val="24"/>
          <w:szCs w:val="24"/>
        </w:rPr>
        <w:t xml:space="preserve">in home and community settings. </w:t>
      </w:r>
      <w:r w:rsidRPr="00FB0CED">
        <w:rPr>
          <w:rFonts w:ascii="Calibri" w:hAnsi="Calibri" w:cs="Calibri"/>
          <w:sz w:val="24"/>
          <w:szCs w:val="24"/>
        </w:rPr>
        <w:t>Approximately 200 families were referred a</w:t>
      </w:r>
      <w:r w:rsidR="00E6723F">
        <w:rPr>
          <w:rFonts w:ascii="Calibri" w:hAnsi="Calibri" w:cs="Calibri"/>
          <w:sz w:val="24"/>
          <w:szCs w:val="24"/>
        </w:rPr>
        <w:t xml:space="preserve">cross the </w:t>
      </w:r>
      <w:r w:rsidR="00F621C4">
        <w:rPr>
          <w:rFonts w:ascii="Calibri" w:hAnsi="Calibri" w:cs="Calibri"/>
          <w:sz w:val="24"/>
          <w:szCs w:val="24"/>
        </w:rPr>
        <w:t xml:space="preserve">four </w:t>
      </w:r>
      <w:r w:rsidR="00E6723F">
        <w:rPr>
          <w:rFonts w:ascii="Calibri" w:hAnsi="Calibri" w:cs="Calibri"/>
          <w:sz w:val="24"/>
          <w:szCs w:val="24"/>
        </w:rPr>
        <w:t>pilot sites in 2012</w:t>
      </w:r>
      <w:r w:rsidR="00F621C4">
        <w:rPr>
          <w:rFonts w:ascii="Calibri" w:hAnsi="Calibri" w:cs="Calibri"/>
          <w:sz w:val="24"/>
          <w:szCs w:val="24"/>
        </w:rPr>
        <w:t>–</w:t>
      </w:r>
      <w:r w:rsidRPr="00FB0CED">
        <w:rPr>
          <w:rFonts w:ascii="Calibri" w:hAnsi="Calibri" w:cs="Calibri"/>
          <w:sz w:val="24"/>
          <w:szCs w:val="24"/>
        </w:rPr>
        <w:t xml:space="preserve">13. An evaluation is underway and due for completion </w:t>
      </w:r>
      <w:r w:rsidR="00F621C4">
        <w:rPr>
          <w:rFonts w:ascii="Calibri" w:hAnsi="Calibri" w:cs="Calibri"/>
          <w:sz w:val="24"/>
          <w:szCs w:val="24"/>
        </w:rPr>
        <w:t xml:space="preserve">in </w:t>
      </w:r>
      <w:r w:rsidRPr="00FB0CED">
        <w:rPr>
          <w:rFonts w:ascii="Calibri" w:hAnsi="Calibri" w:cs="Calibri"/>
          <w:sz w:val="24"/>
          <w:szCs w:val="24"/>
        </w:rPr>
        <w:t>June 2014.</w:t>
      </w:r>
    </w:p>
    <w:p w:rsidR="00FB0CED" w:rsidRPr="00FB0CED" w:rsidRDefault="00FB0CED" w:rsidP="00FB0CED">
      <w:pPr>
        <w:rPr>
          <w:rFonts w:ascii="Calibri" w:hAnsi="Calibri" w:cs="Calibri"/>
          <w:sz w:val="24"/>
          <w:szCs w:val="24"/>
        </w:rPr>
      </w:pPr>
    </w:p>
    <w:p w:rsidR="00FB0CED" w:rsidRPr="00FB0CED" w:rsidRDefault="00FB0CED" w:rsidP="00FB0CED">
      <w:pPr>
        <w:rPr>
          <w:rFonts w:ascii="Calibri" w:hAnsi="Calibri" w:cs="Calibri"/>
          <w:sz w:val="24"/>
          <w:szCs w:val="24"/>
        </w:rPr>
      </w:pPr>
      <w:r w:rsidRPr="00FB0CED">
        <w:rPr>
          <w:rFonts w:ascii="Calibri" w:hAnsi="Calibri" w:cs="Calibri"/>
          <w:sz w:val="24"/>
          <w:szCs w:val="24"/>
        </w:rPr>
        <w:t xml:space="preserve">SAFE START continues to provide all women with access to psychosocial assessment and depression screening as a component of routine antenatal and postnatal care. SAFE START </w:t>
      </w:r>
      <w:r w:rsidR="00E6723F">
        <w:rPr>
          <w:rFonts w:ascii="Calibri" w:hAnsi="Calibri" w:cs="Calibri"/>
          <w:sz w:val="24"/>
          <w:szCs w:val="24"/>
        </w:rPr>
        <w:t>aims to identify women, infants</w:t>
      </w:r>
      <w:r w:rsidRPr="00FB0CED">
        <w:rPr>
          <w:rFonts w:ascii="Calibri" w:hAnsi="Calibri" w:cs="Calibri"/>
          <w:sz w:val="24"/>
          <w:szCs w:val="24"/>
        </w:rPr>
        <w:t xml:space="preserve"> and their families who have psychosocial difficulties, including </w:t>
      </w:r>
      <w:r w:rsidR="004E0055">
        <w:rPr>
          <w:rFonts w:ascii="Calibri" w:hAnsi="Calibri" w:cs="Calibri"/>
          <w:sz w:val="24"/>
          <w:szCs w:val="24"/>
        </w:rPr>
        <w:t>post</w:t>
      </w:r>
      <w:r w:rsidRPr="00FB0CED">
        <w:rPr>
          <w:rFonts w:ascii="Calibri" w:hAnsi="Calibri" w:cs="Calibri"/>
          <w:sz w:val="24"/>
          <w:szCs w:val="24"/>
        </w:rPr>
        <w:t>natal depression</w:t>
      </w:r>
      <w:r w:rsidR="00F621C4">
        <w:rPr>
          <w:rFonts w:ascii="Calibri" w:hAnsi="Calibri" w:cs="Calibri"/>
          <w:sz w:val="24"/>
          <w:szCs w:val="24"/>
        </w:rPr>
        <w:t>,</w:t>
      </w:r>
      <w:r w:rsidRPr="00FB0CED">
        <w:rPr>
          <w:rFonts w:ascii="Calibri" w:hAnsi="Calibri" w:cs="Calibri"/>
          <w:sz w:val="24"/>
          <w:szCs w:val="24"/>
        </w:rPr>
        <w:t xml:space="preserve"> and offers appropriate care and support. </w:t>
      </w:r>
    </w:p>
    <w:p w:rsidR="00FB0CED" w:rsidRPr="00FB0CED" w:rsidRDefault="00FB0CED" w:rsidP="00FB0CED">
      <w:pPr>
        <w:rPr>
          <w:rFonts w:ascii="Calibri" w:hAnsi="Calibri" w:cs="Calibri"/>
          <w:sz w:val="24"/>
          <w:szCs w:val="24"/>
        </w:rPr>
      </w:pPr>
    </w:p>
    <w:p w:rsidR="00FB0CED" w:rsidRDefault="00FB0CED" w:rsidP="00FB0CED">
      <w:pPr>
        <w:rPr>
          <w:rFonts w:ascii="Calibri" w:hAnsi="Calibri" w:cs="Calibri"/>
          <w:sz w:val="24"/>
          <w:szCs w:val="24"/>
        </w:rPr>
      </w:pPr>
      <w:r w:rsidRPr="00FB0CED">
        <w:rPr>
          <w:rFonts w:ascii="Calibri" w:hAnsi="Calibri" w:cs="Calibri"/>
          <w:sz w:val="24"/>
          <w:szCs w:val="24"/>
        </w:rPr>
        <w:t>Giving Children a SAFE START online training</w:t>
      </w:r>
      <w:r w:rsidR="00E6723F">
        <w:rPr>
          <w:rFonts w:ascii="Calibri" w:hAnsi="Calibri" w:cs="Calibri"/>
          <w:sz w:val="24"/>
          <w:szCs w:val="24"/>
        </w:rPr>
        <w:t>,</w:t>
      </w:r>
      <w:r w:rsidRPr="00FB0CED">
        <w:rPr>
          <w:rFonts w:ascii="Calibri" w:hAnsi="Calibri" w:cs="Calibri"/>
          <w:sz w:val="24"/>
          <w:szCs w:val="24"/>
        </w:rPr>
        <w:t xml:space="preserve"> developed </w:t>
      </w:r>
      <w:r w:rsidR="00E6723F">
        <w:rPr>
          <w:rFonts w:ascii="Calibri" w:hAnsi="Calibri" w:cs="Calibri"/>
          <w:sz w:val="24"/>
          <w:szCs w:val="24"/>
        </w:rPr>
        <w:t>for the Mental Health and Drug and</w:t>
      </w:r>
      <w:r w:rsidRPr="00FB0CED">
        <w:rPr>
          <w:rFonts w:ascii="Calibri" w:hAnsi="Calibri" w:cs="Calibri"/>
          <w:sz w:val="24"/>
          <w:szCs w:val="24"/>
        </w:rPr>
        <w:t xml:space="preserve"> Alcohol Workforce</w:t>
      </w:r>
      <w:r w:rsidR="00E6723F">
        <w:rPr>
          <w:rFonts w:ascii="Calibri" w:hAnsi="Calibri" w:cs="Calibri"/>
          <w:sz w:val="24"/>
          <w:szCs w:val="24"/>
        </w:rPr>
        <w:t>,</w:t>
      </w:r>
      <w:r w:rsidRPr="00FB0CED">
        <w:rPr>
          <w:rFonts w:ascii="Calibri" w:hAnsi="Calibri" w:cs="Calibri"/>
          <w:sz w:val="24"/>
          <w:szCs w:val="24"/>
        </w:rPr>
        <w:t xml:space="preserve"> is now available at</w:t>
      </w:r>
      <w:r w:rsidR="00523BEE">
        <w:rPr>
          <w:rFonts w:ascii="Calibri" w:hAnsi="Calibri" w:cs="Calibri"/>
          <w:sz w:val="24"/>
          <w:szCs w:val="24"/>
        </w:rPr>
        <w:t xml:space="preserve"> the </w:t>
      </w:r>
      <w:hyperlink r:id="rId28" w:history="1">
        <w:r w:rsidR="00523BEE">
          <w:rPr>
            <w:rStyle w:val="Hyperlink"/>
            <w:rFonts w:ascii="Calibri" w:hAnsi="Calibri" w:cs="Calibri"/>
            <w:sz w:val="24"/>
            <w:szCs w:val="24"/>
          </w:rPr>
          <w:t>Safe Start</w:t>
        </w:r>
      </w:hyperlink>
      <w:r w:rsidR="00523BEE">
        <w:rPr>
          <w:rFonts w:ascii="Calibri" w:hAnsi="Calibri" w:cs="Calibri"/>
          <w:sz w:val="24"/>
          <w:szCs w:val="24"/>
        </w:rPr>
        <w:t xml:space="preserve"> website</w:t>
      </w:r>
      <w:r w:rsidRPr="00FB0CED">
        <w:rPr>
          <w:rFonts w:ascii="Calibri" w:hAnsi="Calibri" w:cs="Calibri"/>
          <w:sz w:val="24"/>
          <w:szCs w:val="24"/>
        </w:rPr>
        <w:t>. The program builds on the existing online SFE/SAFE START Assessment and Screening Training</w:t>
      </w:r>
      <w:r w:rsidR="00F621C4">
        <w:rPr>
          <w:rFonts w:ascii="Calibri" w:hAnsi="Calibri" w:cs="Calibri"/>
          <w:sz w:val="24"/>
          <w:szCs w:val="24"/>
        </w:rPr>
        <w:t>,</w:t>
      </w:r>
      <w:r w:rsidRPr="00FB0CED">
        <w:rPr>
          <w:rFonts w:ascii="Calibri" w:hAnsi="Calibri" w:cs="Calibri"/>
          <w:sz w:val="24"/>
          <w:szCs w:val="24"/>
        </w:rPr>
        <w:t xml:space="preserve"> and both p</w:t>
      </w:r>
      <w:r w:rsidR="00E6723F">
        <w:rPr>
          <w:rFonts w:ascii="Calibri" w:hAnsi="Calibri" w:cs="Calibri"/>
          <w:sz w:val="24"/>
          <w:szCs w:val="24"/>
        </w:rPr>
        <w:t>rograms are free to access for h</w:t>
      </w:r>
      <w:r w:rsidRPr="00FB0CED">
        <w:rPr>
          <w:rFonts w:ascii="Calibri" w:hAnsi="Calibri" w:cs="Calibri"/>
          <w:sz w:val="24"/>
          <w:szCs w:val="24"/>
        </w:rPr>
        <w:t>e</w:t>
      </w:r>
      <w:r w:rsidR="00E6723F">
        <w:rPr>
          <w:rFonts w:ascii="Calibri" w:hAnsi="Calibri" w:cs="Calibri"/>
          <w:sz w:val="24"/>
          <w:szCs w:val="24"/>
        </w:rPr>
        <w:t>alth and partner agencies</w:t>
      </w:r>
      <w:r w:rsidR="00F621C4">
        <w:rPr>
          <w:rFonts w:ascii="Calibri" w:hAnsi="Calibri" w:cs="Calibri"/>
          <w:sz w:val="24"/>
          <w:szCs w:val="24"/>
        </w:rPr>
        <w:t>, for example,</w:t>
      </w:r>
      <w:r w:rsidR="00E6723F">
        <w:rPr>
          <w:rFonts w:ascii="Calibri" w:hAnsi="Calibri" w:cs="Calibri"/>
          <w:sz w:val="24"/>
          <w:szCs w:val="24"/>
        </w:rPr>
        <w:t xml:space="preserve"> general </w:t>
      </w:r>
      <w:r w:rsidR="00F621C4">
        <w:rPr>
          <w:rFonts w:ascii="Calibri" w:hAnsi="Calibri" w:cs="Calibri"/>
          <w:sz w:val="24"/>
          <w:szCs w:val="24"/>
        </w:rPr>
        <w:t>practitioners</w:t>
      </w:r>
      <w:r w:rsidR="00E6723F">
        <w:rPr>
          <w:rFonts w:ascii="Calibri" w:hAnsi="Calibri" w:cs="Calibri"/>
          <w:sz w:val="24"/>
          <w:szCs w:val="24"/>
        </w:rPr>
        <w:t>, p</w:t>
      </w:r>
      <w:r w:rsidRPr="00FB0CED">
        <w:rPr>
          <w:rFonts w:ascii="Calibri" w:hAnsi="Calibri" w:cs="Calibri"/>
          <w:sz w:val="24"/>
          <w:szCs w:val="24"/>
        </w:rPr>
        <w:t>rivate s</w:t>
      </w:r>
      <w:r w:rsidR="00E6723F">
        <w:rPr>
          <w:rFonts w:ascii="Calibri" w:hAnsi="Calibri" w:cs="Calibri"/>
          <w:sz w:val="24"/>
          <w:szCs w:val="24"/>
        </w:rPr>
        <w:t xml:space="preserve">ervice providers, </w:t>
      </w:r>
      <w:r w:rsidR="005E67E8">
        <w:rPr>
          <w:rFonts w:ascii="Calibri" w:hAnsi="Calibri" w:cs="Calibri"/>
          <w:sz w:val="24"/>
          <w:szCs w:val="24"/>
        </w:rPr>
        <w:t>community sector organisation</w:t>
      </w:r>
      <w:r w:rsidR="00E6723F">
        <w:rPr>
          <w:rFonts w:ascii="Calibri" w:hAnsi="Calibri" w:cs="Calibri"/>
          <w:sz w:val="24"/>
          <w:szCs w:val="24"/>
        </w:rPr>
        <w:t>s and the tertiary e</w:t>
      </w:r>
      <w:r w:rsidRPr="00FB0CED">
        <w:rPr>
          <w:rFonts w:ascii="Calibri" w:hAnsi="Calibri" w:cs="Calibri"/>
          <w:sz w:val="24"/>
          <w:szCs w:val="24"/>
        </w:rPr>
        <w:t>ducation sector.</w:t>
      </w:r>
    </w:p>
    <w:p w:rsidR="00BD5D4E" w:rsidRDefault="00564F1C" w:rsidP="00751415">
      <w:pPr>
        <w:pStyle w:val="Heading3"/>
      </w:pPr>
      <w:bookmarkStart w:id="140" w:name="_Toc400007734"/>
      <w:r w:rsidRPr="00564F1C">
        <w:t>Northern Territory</w:t>
      </w:r>
      <w:bookmarkEnd w:id="140"/>
    </w:p>
    <w:p w:rsidR="00F86555" w:rsidRDefault="00F86555" w:rsidP="003C414F">
      <w:pPr>
        <w:pStyle w:val="Heading4"/>
      </w:pPr>
      <w:r>
        <w:t>Building Workforce Capacity and Expertise</w:t>
      </w:r>
    </w:p>
    <w:p w:rsidR="00F86555" w:rsidRDefault="000341A5" w:rsidP="00F86555">
      <w:pPr>
        <w:rPr>
          <w:rFonts w:ascii="Calibri" w:hAnsi="Calibri" w:cs="Calibri"/>
          <w:sz w:val="24"/>
          <w:szCs w:val="24"/>
        </w:rPr>
      </w:pPr>
      <w:r>
        <w:rPr>
          <w:rFonts w:ascii="Calibri" w:hAnsi="Calibri" w:cs="Calibri"/>
          <w:sz w:val="24"/>
          <w:szCs w:val="24"/>
        </w:rPr>
        <w:t>DCF</w:t>
      </w:r>
      <w:r w:rsidR="00F86555" w:rsidRPr="00F86555">
        <w:rPr>
          <w:rFonts w:ascii="Calibri" w:hAnsi="Calibri" w:cs="Calibri"/>
          <w:sz w:val="24"/>
          <w:szCs w:val="24"/>
        </w:rPr>
        <w:t xml:space="preserve"> provides a professional learning environment that includes:</w:t>
      </w:r>
    </w:p>
    <w:p w:rsidR="00F86555" w:rsidRPr="00E6723F" w:rsidRDefault="00B43142" w:rsidP="00564F1C">
      <w:pPr>
        <w:pStyle w:val="ListBullet"/>
      </w:pPr>
      <w:r>
        <w:t>f</w:t>
      </w:r>
      <w:r w:rsidRPr="00E6723F">
        <w:t>ace</w:t>
      </w:r>
      <w:r>
        <w:t>-</w:t>
      </w:r>
      <w:r w:rsidRPr="00E6723F">
        <w:t>to</w:t>
      </w:r>
      <w:r>
        <w:t>-</w:t>
      </w:r>
      <w:r w:rsidR="00F86555" w:rsidRPr="00E6723F">
        <w:t>face training delivered across the NT</w:t>
      </w:r>
      <w:r>
        <w:t>,</w:t>
      </w:r>
      <w:r w:rsidR="00F86555" w:rsidRPr="00E6723F">
        <w:t xml:space="preserve"> preparing practitioners for practice and developing their skills</w:t>
      </w:r>
    </w:p>
    <w:p w:rsidR="00F86555" w:rsidRPr="00E6723F" w:rsidRDefault="00B43142" w:rsidP="00B43142">
      <w:pPr>
        <w:pStyle w:val="ListBullet"/>
      </w:pPr>
      <w:r>
        <w:t>t</w:t>
      </w:r>
      <w:r w:rsidRPr="00E6723F">
        <w:t xml:space="preserve">he </w:t>
      </w:r>
      <w:r w:rsidR="00F86555" w:rsidRPr="00E6723F">
        <w:t>Learning Pathways Strategy</w:t>
      </w:r>
      <w:r w:rsidR="00C7757D">
        <w:t xml:space="preserve"> (LPS)</w:t>
      </w:r>
      <w:r>
        <w:t>,</w:t>
      </w:r>
      <w:r w:rsidR="00F86555" w:rsidRPr="00E6723F">
        <w:t xml:space="preserve"> which supports career progression through a range of </w:t>
      </w:r>
      <w:r w:rsidR="00561911">
        <w:t>VET</w:t>
      </w:r>
      <w:r w:rsidR="00F86555" w:rsidRPr="00E6723F">
        <w:t xml:space="preserve"> Qualifications</w:t>
      </w:r>
    </w:p>
    <w:p w:rsidR="00F86555" w:rsidRPr="00E6723F" w:rsidRDefault="00B43142" w:rsidP="00B43142">
      <w:pPr>
        <w:pStyle w:val="ListBullet"/>
      </w:pPr>
      <w:r>
        <w:t>a</w:t>
      </w:r>
      <w:r w:rsidRPr="00E6723F">
        <w:t xml:space="preserve"> </w:t>
      </w:r>
      <w:r w:rsidR="00F86555" w:rsidRPr="00E6723F">
        <w:t>Leadership and Management Framework</w:t>
      </w:r>
      <w:r>
        <w:t>,</w:t>
      </w:r>
      <w:r w:rsidR="00F86555" w:rsidRPr="00E6723F">
        <w:t xml:space="preserve"> which builds the capacity of managers through accredited and </w:t>
      </w:r>
      <w:r w:rsidR="001C2D76" w:rsidRPr="00E6723F">
        <w:t>non</w:t>
      </w:r>
      <w:r w:rsidR="001C2D76">
        <w:t>-</w:t>
      </w:r>
      <w:r w:rsidR="00F86555" w:rsidRPr="00E6723F">
        <w:t>accredited learning interventions and which has a specific focus on the complex domain of practice leadership</w:t>
      </w:r>
    </w:p>
    <w:p w:rsidR="00F86555" w:rsidRPr="00E6723F" w:rsidRDefault="00F86555" w:rsidP="00B43142">
      <w:pPr>
        <w:pStyle w:val="ListBullet"/>
      </w:pPr>
      <w:proofErr w:type="gramStart"/>
      <w:r w:rsidRPr="00E6723F">
        <w:t>e</w:t>
      </w:r>
      <w:r w:rsidR="00B43142">
        <w:t>-l</w:t>
      </w:r>
      <w:r w:rsidRPr="00E6723F">
        <w:t>earning</w:t>
      </w:r>
      <w:proofErr w:type="gramEnd"/>
      <w:r w:rsidRPr="00E6723F">
        <w:t xml:space="preserve"> products which provide </w:t>
      </w:r>
      <w:r w:rsidR="00F37806" w:rsidRPr="00E6723F">
        <w:t>just</w:t>
      </w:r>
      <w:r w:rsidR="00F37806">
        <w:t>-</w:t>
      </w:r>
      <w:r w:rsidR="00F37806" w:rsidRPr="00E6723F">
        <w:t>in</w:t>
      </w:r>
      <w:r w:rsidR="00F37806">
        <w:t>-</w:t>
      </w:r>
      <w:r w:rsidRPr="00E6723F">
        <w:t xml:space="preserve">time resources to orientate staff into the </w:t>
      </w:r>
      <w:r w:rsidR="004E0055">
        <w:t>d</w:t>
      </w:r>
      <w:r w:rsidR="004E0055" w:rsidRPr="00E6723F">
        <w:t xml:space="preserve">epartment </w:t>
      </w:r>
      <w:r w:rsidRPr="00E6723F">
        <w:t>and build practice skills.</w:t>
      </w:r>
      <w:r w:rsidR="007764A2">
        <w:t xml:space="preserve"> </w:t>
      </w:r>
      <w:r w:rsidRPr="00E6723F">
        <w:t>Learning is supported by a professional supervision and mentoring framework.</w:t>
      </w:r>
    </w:p>
    <w:p w:rsidR="00B43142" w:rsidRDefault="00B43142" w:rsidP="00F86555">
      <w:pPr>
        <w:rPr>
          <w:rFonts w:ascii="Calibri" w:hAnsi="Calibri" w:cs="Calibri"/>
          <w:sz w:val="24"/>
          <w:szCs w:val="24"/>
        </w:rPr>
      </w:pPr>
    </w:p>
    <w:p w:rsidR="00F86555" w:rsidRPr="00F86555" w:rsidRDefault="00F86555" w:rsidP="00F86555">
      <w:pPr>
        <w:rPr>
          <w:rFonts w:ascii="Calibri" w:hAnsi="Calibri" w:cs="Calibri"/>
          <w:sz w:val="24"/>
          <w:szCs w:val="24"/>
        </w:rPr>
      </w:pPr>
      <w:r w:rsidRPr="00F86555">
        <w:rPr>
          <w:rFonts w:ascii="Calibri" w:hAnsi="Calibri" w:cs="Calibri"/>
          <w:sz w:val="24"/>
          <w:szCs w:val="24"/>
        </w:rPr>
        <w:t xml:space="preserve">The findings presented in the </w:t>
      </w:r>
      <w:r w:rsidRPr="00957001">
        <w:rPr>
          <w:rFonts w:ascii="Calibri" w:hAnsi="Calibri" w:cs="Calibri"/>
          <w:sz w:val="24"/>
          <w:szCs w:val="24"/>
        </w:rPr>
        <w:t>Martin and Healy</w:t>
      </w:r>
      <w:r w:rsidR="00B43142" w:rsidRPr="00957001">
        <w:rPr>
          <w:rFonts w:ascii="Calibri" w:hAnsi="Calibri" w:cs="Calibri"/>
          <w:sz w:val="24"/>
          <w:szCs w:val="24"/>
        </w:rPr>
        <w:t xml:space="preserve"> (2010) </w:t>
      </w:r>
      <w:proofErr w:type="gramStart"/>
      <w:r w:rsidR="00B43142" w:rsidRPr="00957001">
        <w:rPr>
          <w:rFonts w:ascii="Calibri" w:hAnsi="Calibri" w:cs="Calibri"/>
          <w:sz w:val="24"/>
          <w:szCs w:val="24"/>
        </w:rPr>
        <w:t>report</w:t>
      </w:r>
      <w:r w:rsidRPr="00E6723F">
        <w:rPr>
          <w:rFonts w:ascii="Calibri" w:hAnsi="Calibri" w:cs="Calibri"/>
          <w:color w:val="FF0000"/>
          <w:sz w:val="24"/>
          <w:szCs w:val="24"/>
        </w:rPr>
        <w:t xml:space="preserve"> </w:t>
      </w:r>
      <w:r w:rsidRPr="00F86555">
        <w:rPr>
          <w:rFonts w:ascii="Calibri" w:hAnsi="Calibri" w:cs="Calibri"/>
          <w:sz w:val="24"/>
          <w:szCs w:val="24"/>
        </w:rPr>
        <w:t>underpin</w:t>
      </w:r>
      <w:proofErr w:type="gramEnd"/>
      <w:r w:rsidRPr="00F86555">
        <w:rPr>
          <w:rFonts w:ascii="Calibri" w:hAnsi="Calibri" w:cs="Calibri"/>
          <w:sz w:val="24"/>
          <w:szCs w:val="24"/>
        </w:rPr>
        <w:t xml:space="preserve"> the targeted recruitment strategy to identify, attract and retain skilled and qualified child protection workers. It also informs the </w:t>
      </w:r>
      <w:r w:rsidR="000341A5">
        <w:rPr>
          <w:rFonts w:ascii="Calibri" w:hAnsi="Calibri" w:cs="Calibri"/>
          <w:sz w:val="24"/>
          <w:szCs w:val="24"/>
        </w:rPr>
        <w:t>DCF</w:t>
      </w:r>
      <w:r w:rsidRPr="00F86555">
        <w:rPr>
          <w:rFonts w:ascii="Calibri" w:hAnsi="Calibri" w:cs="Calibri"/>
          <w:sz w:val="24"/>
          <w:szCs w:val="24"/>
        </w:rPr>
        <w:t xml:space="preserve"> Workforce and Learning Strategy and the agency’s workforce planning activities to build the capacity and capability of the Northern Territory community services workforce. The findings also contribute to the re-conceptualisation of jobs</w:t>
      </w:r>
      <w:r w:rsidR="00C41B99">
        <w:rPr>
          <w:rFonts w:ascii="Calibri" w:hAnsi="Calibri" w:cs="Calibri"/>
          <w:sz w:val="24"/>
          <w:szCs w:val="24"/>
        </w:rPr>
        <w:t>, including</w:t>
      </w:r>
      <w:r w:rsidRPr="00F86555">
        <w:rPr>
          <w:rFonts w:ascii="Calibri" w:hAnsi="Calibri" w:cs="Calibri"/>
          <w:sz w:val="24"/>
          <w:szCs w:val="24"/>
        </w:rPr>
        <w:t xml:space="preserve"> their design and the potential use of flexible work arrangements</w:t>
      </w:r>
      <w:r w:rsidR="008C4E24">
        <w:rPr>
          <w:rFonts w:ascii="Calibri" w:hAnsi="Calibri" w:cs="Calibri"/>
          <w:sz w:val="24"/>
          <w:szCs w:val="24"/>
        </w:rPr>
        <w:t>,</w:t>
      </w:r>
      <w:r w:rsidRPr="00F86555">
        <w:rPr>
          <w:rFonts w:ascii="Calibri" w:hAnsi="Calibri" w:cs="Calibri"/>
          <w:sz w:val="24"/>
          <w:szCs w:val="24"/>
        </w:rPr>
        <w:t xml:space="preserve"> to enable </w:t>
      </w:r>
      <w:r w:rsidR="00381A13">
        <w:rPr>
          <w:rFonts w:ascii="Calibri" w:hAnsi="Calibri" w:cs="Calibri"/>
          <w:sz w:val="24"/>
          <w:szCs w:val="24"/>
        </w:rPr>
        <w:t>DCF</w:t>
      </w:r>
      <w:r w:rsidRPr="00F86555">
        <w:rPr>
          <w:rFonts w:ascii="Calibri" w:hAnsi="Calibri" w:cs="Calibri"/>
          <w:sz w:val="24"/>
          <w:szCs w:val="24"/>
        </w:rPr>
        <w:t xml:space="preserve"> to become an employer of choice offering attractive employment.</w:t>
      </w:r>
    </w:p>
    <w:p w:rsidR="00BD5D4E" w:rsidRDefault="00F86555" w:rsidP="003C414F">
      <w:pPr>
        <w:pStyle w:val="Heading4"/>
      </w:pPr>
      <w:r>
        <w:t>Domestic and Family Violence</w:t>
      </w:r>
    </w:p>
    <w:p w:rsidR="00F86555" w:rsidRDefault="00F86555" w:rsidP="00E22217">
      <w:pPr>
        <w:rPr>
          <w:rFonts w:ascii="Calibri" w:hAnsi="Calibri" w:cs="Calibri"/>
          <w:sz w:val="24"/>
          <w:szCs w:val="24"/>
        </w:rPr>
      </w:pPr>
      <w:r w:rsidRPr="00F86555">
        <w:rPr>
          <w:rFonts w:ascii="Calibri" w:hAnsi="Calibri" w:cs="Calibri"/>
          <w:sz w:val="24"/>
          <w:szCs w:val="24"/>
        </w:rPr>
        <w:t xml:space="preserve">The Northern Territory is a member of the </w:t>
      </w:r>
      <w:r w:rsidR="00A44A38">
        <w:rPr>
          <w:rFonts w:ascii="Calibri" w:hAnsi="Calibri" w:cs="Calibri"/>
          <w:sz w:val="24"/>
          <w:szCs w:val="24"/>
        </w:rPr>
        <w:t>NCE</w:t>
      </w:r>
      <w:r w:rsidRPr="00F86555">
        <w:rPr>
          <w:rFonts w:ascii="Calibri" w:hAnsi="Calibri" w:cs="Calibri"/>
          <w:sz w:val="24"/>
          <w:szCs w:val="24"/>
        </w:rPr>
        <w:t xml:space="preserve"> and contributed financially to its establishment.</w:t>
      </w:r>
      <w:r w:rsidR="007764A2">
        <w:rPr>
          <w:rFonts w:ascii="Calibri" w:hAnsi="Calibri" w:cs="Calibri"/>
          <w:sz w:val="24"/>
          <w:szCs w:val="24"/>
        </w:rPr>
        <w:t xml:space="preserve"> </w:t>
      </w:r>
      <w:r w:rsidRPr="00F86555">
        <w:rPr>
          <w:rFonts w:ascii="Calibri" w:hAnsi="Calibri" w:cs="Calibri"/>
          <w:sz w:val="24"/>
          <w:szCs w:val="24"/>
        </w:rPr>
        <w:t>The NT’s Office of Women’s Policy continues to progress actions through the</w:t>
      </w:r>
      <w:r w:rsidR="003D5294">
        <w:rPr>
          <w:rFonts w:ascii="Calibri" w:hAnsi="Calibri" w:cs="Calibri"/>
          <w:sz w:val="24"/>
          <w:szCs w:val="24"/>
        </w:rPr>
        <w:t xml:space="preserve"> Select Council on Women’s Issues </w:t>
      </w:r>
      <w:r w:rsidR="00AC044C">
        <w:rPr>
          <w:rFonts w:ascii="Calibri" w:hAnsi="Calibri" w:cs="Calibri"/>
          <w:sz w:val="24"/>
          <w:szCs w:val="24"/>
        </w:rPr>
        <w:t>(</w:t>
      </w:r>
      <w:r w:rsidRPr="00F86555">
        <w:rPr>
          <w:rFonts w:ascii="Calibri" w:hAnsi="Calibri" w:cs="Calibri"/>
          <w:sz w:val="24"/>
          <w:szCs w:val="24"/>
        </w:rPr>
        <w:t>SCWI</w:t>
      </w:r>
      <w:r w:rsidR="00AC044C">
        <w:rPr>
          <w:rFonts w:ascii="Calibri" w:hAnsi="Calibri" w:cs="Calibri"/>
          <w:sz w:val="24"/>
          <w:szCs w:val="24"/>
        </w:rPr>
        <w:t>)</w:t>
      </w:r>
      <w:r w:rsidRPr="00F86555">
        <w:rPr>
          <w:rFonts w:ascii="Calibri" w:hAnsi="Calibri" w:cs="Calibri"/>
          <w:sz w:val="24"/>
          <w:szCs w:val="24"/>
        </w:rPr>
        <w:t xml:space="preserve"> National Working </w:t>
      </w:r>
      <w:r w:rsidR="005956F1">
        <w:rPr>
          <w:rFonts w:ascii="Calibri" w:hAnsi="Calibri" w:cs="Calibri"/>
          <w:sz w:val="24"/>
          <w:szCs w:val="24"/>
        </w:rPr>
        <w:t>G</w:t>
      </w:r>
      <w:r w:rsidRPr="00F86555">
        <w:rPr>
          <w:rFonts w:ascii="Calibri" w:hAnsi="Calibri" w:cs="Calibri"/>
          <w:sz w:val="24"/>
          <w:szCs w:val="24"/>
        </w:rPr>
        <w:t xml:space="preserve">roup in relation to the </w:t>
      </w:r>
      <w:r w:rsidR="00A44A38">
        <w:rPr>
          <w:rFonts w:ascii="Calibri" w:hAnsi="Calibri" w:cs="Calibri"/>
          <w:sz w:val="24"/>
          <w:szCs w:val="24"/>
        </w:rPr>
        <w:t>NCE</w:t>
      </w:r>
      <w:r w:rsidRPr="00F86555">
        <w:rPr>
          <w:rFonts w:ascii="Calibri" w:hAnsi="Calibri" w:cs="Calibri"/>
          <w:sz w:val="24"/>
          <w:szCs w:val="24"/>
        </w:rPr>
        <w:t>.</w:t>
      </w:r>
    </w:p>
    <w:p w:rsidR="001F5AF3" w:rsidRPr="00B14200" w:rsidRDefault="001F5AF3" w:rsidP="00E22217">
      <w:pPr>
        <w:rPr>
          <w:rFonts w:ascii="Calibri" w:hAnsi="Calibri" w:cs="Calibri"/>
          <w:sz w:val="24"/>
          <w:szCs w:val="24"/>
        </w:rPr>
      </w:pPr>
    </w:p>
    <w:p w:rsidR="00F86555" w:rsidRPr="00F86555" w:rsidRDefault="00F86555" w:rsidP="003C414F">
      <w:pPr>
        <w:pStyle w:val="Heading4"/>
      </w:pPr>
      <w:r w:rsidRPr="00F86555">
        <w:t>Health and</w:t>
      </w:r>
      <w:r w:rsidR="008E1E3B">
        <w:t xml:space="preserve"> </w:t>
      </w:r>
      <w:r w:rsidRPr="00F86555">
        <w:t>Mental Health</w:t>
      </w:r>
    </w:p>
    <w:p w:rsidR="00F86555" w:rsidRDefault="00F86555" w:rsidP="00E22217">
      <w:pPr>
        <w:rPr>
          <w:rFonts w:ascii="Calibri" w:hAnsi="Calibri" w:cs="Calibri"/>
          <w:sz w:val="24"/>
          <w:szCs w:val="24"/>
        </w:rPr>
      </w:pPr>
      <w:r w:rsidRPr="00F86555">
        <w:rPr>
          <w:rFonts w:ascii="Calibri" w:hAnsi="Calibri" w:cs="Calibri"/>
          <w:sz w:val="24"/>
          <w:szCs w:val="24"/>
        </w:rPr>
        <w:t>A health assessment, covering medical, dental, educational and</w:t>
      </w:r>
      <w:r w:rsidR="00C41B99">
        <w:rPr>
          <w:rFonts w:ascii="Calibri" w:hAnsi="Calibri" w:cs="Calibri"/>
          <w:sz w:val="24"/>
          <w:szCs w:val="24"/>
        </w:rPr>
        <w:t>,</w:t>
      </w:r>
      <w:r w:rsidRPr="00F86555">
        <w:rPr>
          <w:rFonts w:ascii="Calibri" w:hAnsi="Calibri" w:cs="Calibri"/>
          <w:sz w:val="24"/>
          <w:szCs w:val="24"/>
        </w:rPr>
        <w:t xml:space="preserve"> where necessary</w:t>
      </w:r>
      <w:r w:rsidR="00C41B99">
        <w:rPr>
          <w:rFonts w:ascii="Calibri" w:hAnsi="Calibri" w:cs="Calibri"/>
          <w:sz w:val="24"/>
          <w:szCs w:val="24"/>
        </w:rPr>
        <w:t>,</w:t>
      </w:r>
      <w:r w:rsidRPr="00F86555">
        <w:rPr>
          <w:rFonts w:ascii="Calibri" w:hAnsi="Calibri" w:cs="Calibri"/>
          <w:sz w:val="24"/>
          <w:szCs w:val="24"/>
        </w:rPr>
        <w:t xml:space="preserve"> psychological issues, is completed for all Northern Territory children within three months of </w:t>
      </w:r>
      <w:r w:rsidR="0019525C">
        <w:rPr>
          <w:rFonts w:ascii="Calibri" w:hAnsi="Calibri" w:cs="Calibri"/>
          <w:sz w:val="24"/>
          <w:szCs w:val="24"/>
        </w:rPr>
        <w:t xml:space="preserve">their </w:t>
      </w:r>
      <w:r w:rsidRPr="00F86555">
        <w:rPr>
          <w:rFonts w:ascii="Calibri" w:hAnsi="Calibri" w:cs="Calibri"/>
          <w:sz w:val="24"/>
          <w:szCs w:val="24"/>
        </w:rPr>
        <w:t>entering out-of-home care.</w:t>
      </w:r>
      <w:r w:rsidR="007764A2">
        <w:rPr>
          <w:rFonts w:ascii="Calibri" w:hAnsi="Calibri" w:cs="Calibri"/>
          <w:sz w:val="24"/>
          <w:szCs w:val="24"/>
        </w:rPr>
        <w:t xml:space="preserve"> </w:t>
      </w:r>
      <w:r w:rsidRPr="00F86555">
        <w:rPr>
          <w:rFonts w:ascii="Calibri" w:hAnsi="Calibri" w:cs="Calibri"/>
          <w:sz w:val="24"/>
          <w:szCs w:val="24"/>
        </w:rPr>
        <w:t>This assessment is used to identify any significant health needs</w:t>
      </w:r>
      <w:r w:rsidR="00C41B99">
        <w:rPr>
          <w:rFonts w:ascii="Calibri" w:hAnsi="Calibri" w:cs="Calibri"/>
          <w:sz w:val="24"/>
          <w:szCs w:val="24"/>
        </w:rPr>
        <w:t>,</w:t>
      </w:r>
      <w:r w:rsidRPr="00F86555">
        <w:rPr>
          <w:rFonts w:ascii="Calibri" w:hAnsi="Calibri" w:cs="Calibri"/>
          <w:sz w:val="24"/>
          <w:szCs w:val="24"/>
        </w:rPr>
        <w:t xml:space="preserve"> to provide baseline information for any future assessments and to develop a tailored care plan to meet the child’s needs</w:t>
      </w:r>
      <w:r>
        <w:rPr>
          <w:rFonts w:ascii="Calibri" w:hAnsi="Calibri" w:cs="Calibri"/>
          <w:sz w:val="24"/>
          <w:szCs w:val="24"/>
        </w:rPr>
        <w:t>.</w:t>
      </w:r>
    </w:p>
    <w:p w:rsidR="00F86555" w:rsidRDefault="00FB073E" w:rsidP="003C414F">
      <w:pPr>
        <w:pStyle w:val="Heading4"/>
      </w:pPr>
      <w:r>
        <w:t>Disability</w:t>
      </w:r>
    </w:p>
    <w:p w:rsidR="00F86555" w:rsidRPr="00F86555" w:rsidRDefault="000341A5" w:rsidP="00F86555">
      <w:pPr>
        <w:rPr>
          <w:rFonts w:ascii="Calibri" w:hAnsi="Calibri" w:cs="Calibri"/>
          <w:sz w:val="24"/>
          <w:szCs w:val="24"/>
        </w:rPr>
      </w:pPr>
      <w:r>
        <w:rPr>
          <w:rFonts w:ascii="Calibri" w:hAnsi="Calibri" w:cs="Calibri"/>
          <w:sz w:val="24"/>
          <w:szCs w:val="24"/>
        </w:rPr>
        <w:t>DCF</w:t>
      </w:r>
      <w:r w:rsidR="00F86555" w:rsidRPr="00F86555">
        <w:rPr>
          <w:rFonts w:ascii="Calibri" w:hAnsi="Calibri" w:cs="Calibri"/>
          <w:sz w:val="24"/>
          <w:szCs w:val="24"/>
        </w:rPr>
        <w:t xml:space="preserve"> and </w:t>
      </w:r>
      <w:r w:rsidR="00C41B99">
        <w:rPr>
          <w:rFonts w:ascii="Calibri" w:hAnsi="Calibri" w:cs="Calibri"/>
          <w:sz w:val="24"/>
          <w:szCs w:val="24"/>
        </w:rPr>
        <w:t xml:space="preserve">the </w:t>
      </w:r>
      <w:r w:rsidR="00F86555" w:rsidRPr="00F86555">
        <w:rPr>
          <w:rFonts w:ascii="Calibri" w:hAnsi="Calibri" w:cs="Calibri"/>
          <w:sz w:val="24"/>
          <w:szCs w:val="24"/>
        </w:rPr>
        <w:t xml:space="preserve">Department of Health’s Aged and Disability Program (Children’s Development Teams and Disability Service Teams) have commenced regular meetings to discuss </w:t>
      </w:r>
      <w:r w:rsidR="00C41B99" w:rsidRPr="00F86555">
        <w:rPr>
          <w:rFonts w:ascii="Calibri" w:hAnsi="Calibri" w:cs="Calibri"/>
          <w:sz w:val="24"/>
          <w:szCs w:val="24"/>
        </w:rPr>
        <w:t>place</w:t>
      </w:r>
      <w:r w:rsidR="00C41B99">
        <w:rPr>
          <w:rFonts w:ascii="Calibri" w:hAnsi="Calibri" w:cs="Calibri"/>
          <w:sz w:val="24"/>
          <w:szCs w:val="24"/>
        </w:rPr>
        <w:t>-</w:t>
      </w:r>
      <w:r w:rsidR="00F86555" w:rsidRPr="00F86555">
        <w:rPr>
          <w:rFonts w:ascii="Calibri" w:hAnsi="Calibri" w:cs="Calibri"/>
          <w:sz w:val="24"/>
          <w:szCs w:val="24"/>
        </w:rPr>
        <w:t>based interagency approaches to supporting children with disabilities who are identified as being at risk of contact with the child protection system.</w:t>
      </w:r>
    </w:p>
    <w:p w:rsidR="00F86555" w:rsidRPr="00F86555" w:rsidRDefault="00F86555" w:rsidP="00F86555">
      <w:pPr>
        <w:rPr>
          <w:rFonts w:ascii="Calibri" w:hAnsi="Calibri" w:cs="Calibri"/>
          <w:sz w:val="24"/>
          <w:szCs w:val="24"/>
        </w:rPr>
      </w:pPr>
    </w:p>
    <w:p w:rsidR="00F86555" w:rsidRDefault="000341A5" w:rsidP="00F86555">
      <w:pPr>
        <w:rPr>
          <w:rFonts w:ascii="Calibri" w:hAnsi="Calibri" w:cs="Calibri"/>
          <w:sz w:val="24"/>
          <w:szCs w:val="24"/>
        </w:rPr>
      </w:pPr>
      <w:r>
        <w:rPr>
          <w:rFonts w:ascii="Calibri" w:hAnsi="Calibri" w:cs="Calibri"/>
          <w:sz w:val="24"/>
          <w:szCs w:val="24"/>
        </w:rPr>
        <w:t>DCF</w:t>
      </w:r>
      <w:r w:rsidR="00F86555" w:rsidRPr="00F86555">
        <w:rPr>
          <w:rFonts w:ascii="Calibri" w:hAnsi="Calibri" w:cs="Calibri"/>
          <w:sz w:val="24"/>
          <w:szCs w:val="24"/>
        </w:rPr>
        <w:t xml:space="preserve"> and Department of Health utilise a shared client case management approach for clients in need of </w:t>
      </w:r>
      <w:r w:rsidR="00C41B99" w:rsidRPr="00F86555">
        <w:rPr>
          <w:rFonts w:ascii="Calibri" w:hAnsi="Calibri" w:cs="Calibri"/>
          <w:sz w:val="24"/>
          <w:szCs w:val="24"/>
        </w:rPr>
        <w:t>multi</w:t>
      </w:r>
      <w:r w:rsidR="00C41B99">
        <w:rPr>
          <w:rFonts w:ascii="Calibri" w:hAnsi="Calibri" w:cs="Calibri"/>
          <w:sz w:val="24"/>
          <w:szCs w:val="24"/>
        </w:rPr>
        <w:t>-</w:t>
      </w:r>
      <w:r w:rsidR="00F86555" w:rsidRPr="00F86555">
        <w:rPr>
          <w:rFonts w:ascii="Calibri" w:hAnsi="Calibri" w:cs="Calibri"/>
          <w:sz w:val="24"/>
          <w:szCs w:val="24"/>
        </w:rPr>
        <w:t xml:space="preserve">agency service responses through the shared case management framework. The Multi Agency Assessment and </w:t>
      </w:r>
      <w:r w:rsidR="00C41B99">
        <w:rPr>
          <w:rFonts w:ascii="Calibri" w:hAnsi="Calibri" w:cs="Calibri"/>
          <w:sz w:val="24"/>
          <w:szCs w:val="24"/>
        </w:rPr>
        <w:t>Co</w:t>
      </w:r>
      <w:r w:rsidR="00F86555" w:rsidRPr="00F86555">
        <w:rPr>
          <w:rFonts w:ascii="Calibri" w:hAnsi="Calibri" w:cs="Calibri"/>
          <w:sz w:val="24"/>
          <w:szCs w:val="24"/>
        </w:rPr>
        <w:t xml:space="preserve">ordination </w:t>
      </w:r>
      <w:r w:rsidR="00C41B99">
        <w:rPr>
          <w:rFonts w:ascii="Calibri" w:hAnsi="Calibri" w:cs="Calibri"/>
          <w:sz w:val="24"/>
          <w:szCs w:val="24"/>
        </w:rPr>
        <w:t>T</w:t>
      </w:r>
      <w:r w:rsidR="00F86555" w:rsidRPr="00F86555">
        <w:rPr>
          <w:rFonts w:ascii="Calibri" w:hAnsi="Calibri" w:cs="Calibri"/>
          <w:sz w:val="24"/>
          <w:szCs w:val="24"/>
        </w:rPr>
        <w:t xml:space="preserve">eam </w:t>
      </w:r>
      <w:proofErr w:type="gramStart"/>
      <w:r w:rsidR="00C41B99">
        <w:rPr>
          <w:rFonts w:ascii="Calibri" w:hAnsi="Calibri" w:cs="Calibri"/>
          <w:sz w:val="24"/>
          <w:szCs w:val="24"/>
        </w:rPr>
        <w:t>has</w:t>
      </w:r>
      <w:proofErr w:type="gramEnd"/>
      <w:r w:rsidR="00C41B99" w:rsidRPr="00F86555">
        <w:rPr>
          <w:rFonts w:ascii="Calibri" w:hAnsi="Calibri" w:cs="Calibri"/>
          <w:sz w:val="24"/>
          <w:szCs w:val="24"/>
        </w:rPr>
        <w:t xml:space="preserve"> </w:t>
      </w:r>
      <w:r w:rsidR="00F86555" w:rsidRPr="00F86555">
        <w:rPr>
          <w:rFonts w:ascii="Calibri" w:hAnsi="Calibri" w:cs="Calibri"/>
          <w:sz w:val="24"/>
          <w:szCs w:val="24"/>
        </w:rPr>
        <w:t>referral and coordination points to foster integrated service delivery for children and families with complex needs.</w:t>
      </w:r>
    </w:p>
    <w:p w:rsidR="00F86555" w:rsidRDefault="00F86555" w:rsidP="00F86555">
      <w:pPr>
        <w:rPr>
          <w:rFonts w:ascii="Calibri" w:hAnsi="Calibri" w:cs="Calibri"/>
          <w:sz w:val="24"/>
          <w:szCs w:val="24"/>
        </w:rPr>
      </w:pPr>
    </w:p>
    <w:p w:rsidR="00F86555" w:rsidRDefault="00F86555" w:rsidP="00F86555">
      <w:pPr>
        <w:rPr>
          <w:rFonts w:ascii="Calibri" w:hAnsi="Calibri" w:cs="Calibri"/>
          <w:sz w:val="24"/>
          <w:szCs w:val="24"/>
        </w:rPr>
      </w:pPr>
      <w:r w:rsidRPr="00F86555">
        <w:rPr>
          <w:rFonts w:ascii="Calibri" w:hAnsi="Calibri" w:cs="Calibri"/>
          <w:sz w:val="24"/>
          <w:szCs w:val="24"/>
        </w:rPr>
        <w:t xml:space="preserve">The reform of out-of-home care in the Northern Territory includes a review of existing service provision to children with disabilities in </w:t>
      </w:r>
      <w:r w:rsidR="008C4E24">
        <w:rPr>
          <w:rFonts w:ascii="Calibri" w:hAnsi="Calibri" w:cs="Calibri"/>
          <w:sz w:val="24"/>
          <w:szCs w:val="24"/>
        </w:rPr>
        <w:t>the care of the Chief Executive. T</w:t>
      </w:r>
      <w:r w:rsidRPr="00F86555">
        <w:rPr>
          <w:rFonts w:ascii="Calibri" w:hAnsi="Calibri" w:cs="Calibri"/>
          <w:sz w:val="24"/>
          <w:szCs w:val="24"/>
        </w:rPr>
        <w:t xml:space="preserve">his incorporates integrated casework services between government and </w:t>
      </w:r>
      <w:r w:rsidR="00C8305C">
        <w:rPr>
          <w:rFonts w:ascii="Calibri" w:hAnsi="Calibri" w:cs="Calibri"/>
          <w:sz w:val="24"/>
          <w:szCs w:val="24"/>
        </w:rPr>
        <w:t>community sector</w:t>
      </w:r>
      <w:r w:rsidRPr="00F86555">
        <w:rPr>
          <w:rFonts w:ascii="Calibri" w:hAnsi="Calibri" w:cs="Calibri"/>
          <w:sz w:val="24"/>
          <w:szCs w:val="24"/>
        </w:rPr>
        <w:t xml:space="preserve"> services from the commencement of placement through to transitioning from care.</w:t>
      </w:r>
    </w:p>
    <w:p w:rsidR="00BD5D4E" w:rsidRPr="00821556" w:rsidRDefault="00BD5D4E" w:rsidP="00533E84">
      <w:pPr>
        <w:pStyle w:val="Heading3"/>
      </w:pPr>
      <w:bookmarkStart w:id="141" w:name="_Toc400007735"/>
      <w:r w:rsidRPr="00821556">
        <w:t>Queensland</w:t>
      </w:r>
      <w:bookmarkEnd w:id="141"/>
    </w:p>
    <w:p w:rsidR="00890AEB" w:rsidRPr="00F63A38" w:rsidRDefault="00890AEB" w:rsidP="003C414F">
      <w:pPr>
        <w:pStyle w:val="Heading4"/>
      </w:pPr>
      <w:r w:rsidRPr="00F63A38">
        <w:t>Building Workforce Capacity</w:t>
      </w:r>
      <w:r w:rsidR="007764A2">
        <w:t xml:space="preserve"> </w:t>
      </w:r>
      <w:r w:rsidR="00FB073E">
        <w:t>and Expertise</w:t>
      </w:r>
    </w:p>
    <w:p w:rsidR="00890AEB" w:rsidRDefault="00890AEB" w:rsidP="00890AEB">
      <w:pPr>
        <w:rPr>
          <w:rFonts w:ascii="Calibri" w:hAnsi="Calibri" w:cs="Calibri"/>
          <w:sz w:val="24"/>
          <w:szCs w:val="24"/>
        </w:rPr>
      </w:pPr>
      <w:r w:rsidRPr="00044435">
        <w:rPr>
          <w:rFonts w:ascii="Calibri" w:hAnsi="Calibri" w:cs="Calibri"/>
          <w:sz w:val="24"/>
          <w:szCs w:val="24"/>
        </w:rPr>
        <w:t>Queensland</w:t>
      </w:r>
      <w:r w:rsidRPr="00F63A38">
        <w:rPr>
          <w:rFonts w:ascii="Calibri" w:hAnsi="Calibri" w:cs="Calibri"/>
          <w:b/>
          <w:sz w:val="24"/>
          <w:szCs w:val="24"/>
        </w:rPr>
        <w:t xml:space="preserve"> </w:t>
      </w:r>
      <w:r w:rsidRPr="00F63A38">
        <w:rPr>
          <w:rFonts w:ascii="Calibri" w:hAnsi="Calibri" w:cs="Calibri"/>
          <w:sz w:val="24"/>
          <w:szCs w:val="24"/>
        </w:rPr>
        <w:t xml:space="preserve">has a </w:t>
      </w:r>
      <w:proofErr w:type="spellStart"/>
      <w:r w:rsidRPr="00F63A38">
        <w:rPr>
          <w:rFonts w:ascii="Calibri" w:hAnsi="Calibri" w:cs="Calibri"/>
          <w:sz w:val="24"/>
          <w:szCs w:val="24"/>
        </w:rPr>
        <w:t>statewide</w:t>
      </w:r>
      <w:proofErr w:type="spellEnd"/>
      <w:r w:rsidRPr="00F63A38">
        <w:rPr>
          <w:rFonts w:ascii="Calibri" w:hAnsi="Calibri" w:cs="Calibri"/>
          <w:sz w:val="24"/>
          <w:szCs w:val="24"/>
        </w:rPr>
        <w:t xml:space="preserve"> network of Child Safety Training teams to increase not only the customised learning and development support to professional staff within child safety service centres, but also the response time to address identified needs. The </w:t>
      </w:r>
      <w:r w:rsidR="00731B7B">
        <w:rPr>
          <w:rFonts w:ascii="Calibri" w:hAnsi="Calibri" w:cs="Calibri"/>
          <w:sz w:val="24"/>
          <w:szCs w:val="24"/>
        </w:rPr>
        <w:t>re</w:t>
      </w:r>
      <w:r w:rsidRPr="00F63A38">
        <w:rPr>
          <w:rFonts w:ascii="Calibri" w:hAnsi="Calibri" w:cs="Calibri"/>
          <w:sz w:val="24"/>
          <w:szCs w:val="24"/>
        </w:rPr>
        <w:t>design of entry level training for professional officers to the current Essential Child Safety Officer program allows for regional delivery and increased access for staff to this program. Child Safety Training teams have also increased their capability to provide Learning Circles to staff within individual child safety service centres as a result of regionalisation.</w:t>
      </w:r>
    </w:p>
    <w:p w:rsidR="00890AEB" w:rsidRDefault="00890AEB" w:rsidP="00890AEB">
      <w:pPr>
        <w:rPr>
          <w:rFonts w:ascii="Calibri" w:hAnsi="Calibri" w:cs="Calibri"/>
          <w:sz w:val="24"/>
          <w:szCs w:val="24"/>
        </w:rPr>
      </w:pPr>
    </w:p>
    <w:p w:rsidR="00890AEB" w:rsidRPr="00F63A38" w:rsidRDefault="00393D1F" w:rsidP="00890AEB">
      <w:pPr>
        <w:rPr>
          <w:rFonts w:ascii="Calibri" w:hAnsi="Calibri" w:cs="Calibri"/>
          <w:sz w:val="24"/>
          <w:szCs w:val="24"/>
        </w:rPr>
      </w:pPr>
      <w:r w:rsidRPr="00393D1F">
        <w:rPr>
          <w:rFonts w:ascii="Calibri" w:hAnsi="Calibri" w:cs="Calibri"/>
          <w:sz w:val="24"/>
          <w:szCs w:val="24"/>
        </w:rPr>
        <w:t>As agreed by SCCDSAC in March 2013,</w:t>
      </w:r>
      <w:r>
        <w:rPr>
          <w:rFonts w:ascii="Calibri" w:hAnsi="Calibri" w:cs="Calibri"/>
          <w:sz w:val="24"/>
          <w:szCs w:val="24"/>
        </w:rPr>
        <w:t xml:space="preserve"> </w:t>
      </w:r>
      <w:r w:rsidR="00890AEB" w:rsidRPr="00F63A38">
        <w:rPr>
          <w:rFonts w:ascii="Calibri" w:hAnsi="Calibri" w:cs="Calibri"/>
          <w:sz w:val="24"/>
          <w:szCs w:val="24"/>
        </w:rPr>
        <w:t>Queensland has completed a review of the 2010 report</w:t>
      </w:r>
      <w:r w:rsidR="00731B7B">
        <w:rPr>
          <w:rFonts w:ascii="Calibri" w:hAnsi="Calibri" w:cs="Calibri"/>
          <w:sz w:val="24"/>
          <w:szCs w:val="24"/>
        </w:rPr>
        <w:t>,</w:t>
      </w:r>
      <w:r w:rsidR="00890AEB" w:rsidRPr="00F63A38">
        <w:rPr>
          <w:rFonts w:ascii="Calibri" w:hAnsi="Calibri" w:cs="Calibri"/>
          <w:sz w:val="24"/>
          <w:szCs w:val="24"/>
        </w:rPr>
        <w:t xml:space="preserve"> </w:t>
      </w:r>
      <w:r w:rsidR="00890AEB" w:rsidRPr="00F63A38">
        <w:rPr>
          <w:rFonts w:ascii="Calibri" w:hAnsi="Calibri" w:cs="Calibri"/>
          <w:i/>
          <w:sz w:val="24"/>
          <w:szCs w:val="24"/>
        </w:rPr>
        <w:t>Who Works in Community Services</w:t>
      </w:r>
      <w:r w:rsidR="00803B4D">
        <w:rPr>
          <w:rFonts w:ascii="Calibri" w:hAnsi="Calibri" w:cs="Calibri"/>
          <w:i/>
          <w:sz w:val="24"/>
          <w:szCs w:val="24"/>
        </w:rPr>
        <w:t>?</w:t>
      </w:r>
      <w:r w:rsidR="00890AEB" w:rsidRPr="00F63A38">
        <w:rPr>
          <w:rFonts w:ascii="Calibri" w:hAnsi="Calibri" w:cs="Calibri"/>
          <w:i/>
          <w:sz w:val="24"/>
          <w:szCs w:val="24"/>
        </w:rPr>
        <w:t xml:space="preserve"> A profile of Australian workforces in child protection, juvenile justice, disability services and general community services</w:t>
      </w:r>
      <w:r w:rsidR="00731B7B">
        <w:rPr>
          <w:rFonts w:ascii="Calibri" w:hAnsi="Calibri" w:cs="Calibri"/>
          <w:sz w:val="24"/>
          <w:szCs w:val="24"/>
        </w:rPr>
        <w:t xml:space="preserve"> (Martin &amp; Healy 2010)</w:t>
      </w:r>
      <w:r w:rsidR="00890AEB" w:rsidRPr="00F63A38">
        <w:rPr>
          <w:rFonts w:ascii="Calibri" w:hAnsi="Calibri" w:cs="Calibri"/>
          <w:i/>
          <w:sz w:val="24"/>
          <w:szCs w:val="24"/>
        </w:rPr>
        <w:t>.</w:t>
      </w:r>
      <w:r w:rsidR="00890AEB" w:rsidRPr="00F63A38">
        <w:rPr>
          <w:rFonts w:ascii="Calibri" w:hAnsi="Calibri" w:cs="Calibri"/>
          <w:sz w:val="24"/>
          <w:szCs w:val="24"/>
        </w:rPr>
        <w:t xml:space="preserve"> Key findings from this report have been summarised</w:t>
      </w:r>
      <w:r w:rsidR="00731B7B">
        <w:rPr>
          <w:rFonts w:ascii="Calibri" w:hAnsi="Calibri" w:cs="Calibri"/>
          <w:sz w:val="24"/>
          <w:szCs w:val="24"/>
        </w:rPr>
        <w:t>,</w:t>
      </w:r>
      <w:r w:rsidR="00890AEB" w:rsidRPr="00F63A38">
        <w:rPr>
          <w:rFonts w:ascii="Calibri" w:hAnsi="Calibri" w:cs="Calibri"/>
          <w:sz w:val="24"/>
          <w:szCs w:val="24"/>
        </w:rPr>
        <w:t xml:space="preserve"> with strategies for consi</w:t>
      </w:r>
      <w:r w:rsidR="007F41C8">
        <w:rPr>
          <w:rFonts w:ascii="Calibri" w:hAnsi="Calibri" w:cs="Calibri"/>
          <w:sz w:val="24"/>
          <w:szCs w:val="24"/>
        </w:rPr>
        <w:t>deration included to assist SCCDSAC</w:t>
      </w:r>
      <w:r w:rsidR="00731B7B">
        <w:rPr>
          <w:rFonts w:ascii="Calibri" w:hAnsi="Calibri" w:cs="Calibri"/>
          <w:sz w:val="24"/>
          <w:szCs w:val="24"/>
        </w:rPr>
        <w:t xml:space="preserve"> </w:t>
      </w:r>
      <w:r w:rsidR="00890AEB" w:rsidRPr="00F63A38">
        <w:rPr>
          <w:rFonts w:ascii="Calibri" w:hAnsi="Calibri" w:cs="Calibri"/>
          <w:sz w:val="24"/>
          <w:szCs w:val="24"/>
        </w:rPr>
        <w:t>in their discussion of future actions to enhance workforce capacity and expertise.</w:t>
      </w:r>
    </w:p>
    <w:p w:rsidR="00890AEB" w:rsidRDefault="00890AEB" w:rsidP="00890AEB">
      <w:pPr>
        <w:rPr>
          <w:rFonts w:ascii="Calibri" w:hAnsi="Calibri" w:cs="Calibri"/>
          <w:sz w:val="24"/>
          <w:szCs w:val="24"/>
        </w:rPr>
      </w:pPr>
    </w:p>
    <w:p w:rsidR="00890AEB" w:rsidRDefault="00890AEB" w:rsidP="00890AEB">
      <w:pPr>
        <w:rPr>
          <w:rFonts w:ascii="Calibri" w:hAnsi="Calibri" w:cs="Calibri"/>
          <w:sz w:val="24"/>
          <w:szCs w:val="24"/>
        </w:rPr>
      </w:pPr>
      <w:r w:rsidRPr="00F63A38">
        <w:rPr>
          <w:rFonts w:ascii="Calibri" w:hAnsi="Calibri" w:cs="Calibri"/>
          <w:sz w:val="24"/>
          <w:szCs w:val="24"/>
        </w:rPr>
        <w:t>The summary of key findings highlighted the impact of the</w:t>
      </w:r>
      <w:r w:rsidR="007F41C8">
        <w:rPr>
          <w:rFonts w:ascii="Calibri" w:hAnsi="Calibri" w:cs="Calibri"/>
          <w:sz w:val="24"/>
          <w:szCs w:val="24"/>
        </w:rPr>
        <w:t xml:space="preserve"> following</w:t>
      </w:r>
      <w:r w:rsidRPr="00F63A38">
        <w:rPr>
          <w:rFonts w:ascii="Calibri" w:hAnsi="Calibri" w:cs="Calibri"/>
          <w:sz w:val="24"/>
          <w:szCs w:val="24"/>
        </w:rPr>
        <w:t>:</w:t>
      </w:r>
    </w:p>
    <w:p w:rsidR="00890AEB" w:rsidRPr="00F63A38" w:rsidRDefault="00890AEB" w:rsidP="00731B7B">
      <w:pPr>
        <w:pStyle w:val="ListBullet"/>
      </w:pPr>
      <w:r w:rsidRPr="00F63A38">
        <w:t>demographic profiles of the four community services workforces</w:t>
      </w:r>
    </w:p>
    <w:p w:rsidR="00890AEB" w:rsidRPr="00F63A38" w:rsidRDefault="00890AEB" w:rsidP="00731B7B">
      <w:pPr>
        <w:pStyle w:val="ListBullet"/>
      </w:pPr>
      <w:r w:rsidRPr="00F63A38">
        <w:t>composition of the workforce structure</w:t>
      </w:r>
      <w:r w:rsidR="00731B7B">
        <w:t>,</w:t>
      </w:r>
      <w:r w:rsidRPr="00F63A38">
        <w:t xml:space="preserve"> including workers’ employment preferences and employment status within the four sectors</w:t>
      </w:r>
    </w:p>
    <w:p w:rsidR="00890AEB" w:rsidRPr="00F63A38" w:rsidRDefault="00890AEB" w:rsidP="00731B7B">
      <w:pPr>
        <w:pStyle w:val="ListBullet"/>
      </w:pPr>
      <w:r w:rsidRPr="00F63A38">
        <w:t>factors impacting on national drivers of recruitment and retention</w:t>
      </w:r>
      <w:r w:rsidR="007F41C8">
        <w:t>,</w:t>
      </w:r>
      <w:r w:rsidRPr="00F63A38">
        <w:t xml:space="preserve"> including difficulties in filling vacancies</w:t>
      </w:r>
    </w:p>
    <w:p w:rsidR="00890AEB" w:rsidRPr="00F63A38" w:rsidRDefault="00890AEB" w:rsidP="00731B7B">
      <w:pPr>
        <w:pStyle w:val="ListBullet"/>
      </w:pPr>
      <w:proofErr w:type="gramStart"/>
      <w:r w:rsidRPr="00F63A38">
        <w:t>implications</w:t>
      </w:r>
      <w:proofErr w:type="gramEnd"/>
      <w:r w:rsidRPr="00F63A38">
        <w:t xml:space="preserve"> of the key differences between the government and </w:t>
      </w:r>
      <w:r w:rsidR="00C8305C">
        <w:t>community sector</w:t>
      </w:r>
      <w:r w:rsidRPr="00F63A38">
        <w:t xml:space="preserve"> workforce profiles.</w:t>
      </w:r>
    </w:p>
    <w:p w:rsidR="00890AEB" w:rsidRPr="00F63A38" w:rsidRDefault="00890AEB" w:rsidP="00890AEB">
      <w:pPr>
        <w:rPr>
          <w:rFonts w:ascii="Calibri" w:hAnsi="Calibri" w:cs="Calibri"/>
          <w:sz w:val="24"/>
          <w:szCs w:val="24"/>
        </w:rPr>
      </w:pPr>
    </w:p>
    <w:p w:rsidR="00890AEB" w:rsidRPr="00F63A38" w:rsidRDefault="00890AEB" w:rsidP="00890AEB">
      <w:pPr>
        <w:rPr>
          <w:rFonts w:ascii="Calibri" w:hAnsi="Calibri" w:cs="Calibri"/>
          <w:sz w:val="24"/>
          <w:szCs w:val="24"/>
        </w:rPr>
      </w:pPr>
      <w:r w:rsidRPr="00F63A38">
        <w:rPr>
          <w:rFonts w:ascii="Calibri" w:hAnsi="Calibri" w:cs="Calibri"/>
          <w:sz w:val="24"/>
          <w:szCs w:val="24"/>
        </w:rPr>
        <w:t>The key issues identified in the Summary of the Workforce Profile Project are consistent with other workforce literature and child protection report findings</w:t>
      </w:r>
      <w:r w:rsidR="007F41C8">
        <w:rPr>
          <w:rFonts w:ascii="Calibri" w:hAnsi="Calibri" w:cs="Calibri"/>
          <w:sz w:val="24"/>
          <w:szCs w:val="24"/>
        </w:rPr>
        <w:t>,</w:t>
      </w:r>
      <w:r w:rsidRPr="00F63A38">
        <w:rPr>
          <w:rFonts w:ascii="Calibri" w:hAnsi="Calibri" w:cs="Calibri"/>
          <w:sz w:val="24"/>
          <w:szCs w:val="24"/>
        </w:rPr>
        <w:t xml:space="preserve"> such as the </w:t>
      </w:r>
      <w:r w:rsidRPr="00F63A38">
        <w:rPr>
          <w:rFonts w:ascii="Calibri" w:hAnsi="Calibri" w:cs="Calibri"/>
          <w:i/>
          <w:sz w:val="24"/>
          <w:szCs w:val="24"/>
        </w:rPr>
        <w:t>National Analysis of Workforce Trends in Statutory Child Protection</w:t>
      </w:r>
      <w:r w:rsidRPr="00F63A38">
        <w:rPr>
          <w:rFonts w:ascii="Calibri" w:hAnsi="Calibri" w:cs="Calibri"/>
          <w:sz w:val="24"/>
          <w:szCs w:val="24"/>
        </w:rPr>
        <w:t xml:space="preserve"> project</w:t>
      </w:r>
      <w:r w:rsidR="005F59D1">
        <w:rPr>
          <w:rFonts w:ascii="Calibri" w:hAnsi="Calibri" w:cs="Calibri"/>
          <w:sz w:val="24"/>
          <w:szCs w:val="24"/>
        </w:rPr>
        <w:t xml:space="preserve"> (McArthur &amp; Thomson, 2010)</w:t>
      </w:r>
      <w:r w:rsidRPr="00F63A38">
        <w:rPr>
          <w:rFonts w:ascii="Calibri" w:hAnsi="Calibri" w:cs="Calibri"/>
          <w:sz w:val="24"/>
          <w:szCs w:val="24"/>
        </w:rPr>
        <w:t xml:space="preserve">. This highlights </w:t>
      </w:r>
      <w:r w:rsidR="00765F7B">
        <w:rPr>
          <w:rFonts w:ascii="Calibri" w:hAnsi="Calibri" w:cs="Calibri"/>
          <w:sz w:val="24"/>
          <w:szCs w:val="24"/>
        </w:rPr>
        <w:t xml:space="preserve">the fact </w:t>
      </w:r>
      <w:r w:rsidRPr="00F63A38">
        <w:rPr>
          <w:rFonts w:ascii="Calibri" w:hAnsi="Calibri" w:cs="Calibri"/>
          <w:sz w:val="24"/>
          <w:szCs w:val="24"/>
        </w:rPr>
        <w:t xml:space="preserve">that many of the challenges facing the sector are long standing and complex. </w:t>
      </w:r>
      <w:r w:rsidRPr="00F63A38">
        <w:rPr>
          <w:rFonts w:ascii="Calibri" w:hAnsi="Calibri" w:cs="Calibri"/>
          <w:iCs/>
          <w:sz w:val="24"/>
          <w:szCs w:val="24"/>
          <w:lang w:val="en-US"/>
        </w:rPr>
        <w:t xml:space="preserve">The Summary Report also includes a list of strategies for consideration to address the issues identified in the </w:t>
      </w:r>
      <w:r w:rsidR="00C033C8" w:rsidRPr="004F5AB4">
        <w:rPr>
          <w:rFonts w:ascii="Calibri" w:hAnsi="Calibri" w:cs="Calibri"/>
          <w:sz w:val="24"/>
          <w:szCs w:val="24"/>
        </w:rPr>
        <w:t>Workforce Profiles project (</w:t>
      </w:r>
      <w:r w:rsidRPr="00F63A38">
        <w:rPr>
          <w:rFonts w:ascii="Calibri" w:hAnsi="Calibri" w:cs="Calibri"/>
          <w:iCs/>
          <w:sz w:val="24"/>
          <w:szCs w:val="24"/>
          <w:lang w:val="en-US"/>
        </w:rPr>
        <w:t>WPP</w:t>
      </w:r>
      <w:r w:rsidR="00C033C8">
        <w:rPr>
          <w:rFonts w:ascii="Calibri" w:hAnsi="Calibri" w:cs="Calibri"/>
          <w:iCs/>
          <w:sz w:val="24"/>
          <w:szCs w:val="24"/>
          <w:lang w:val="en-US"/>
        </w:rPr>
        <w:t>)</w:t>
      </w:r>
      <w:r w:rsidRPr="00F63A38">
        <w:rPr>
          <w:rFonts w:ascii="Calibri" w:hAnsi="Calibri" w:cs="Calibri"/>
          <w:iCs/>
          <w:sz w:val="24"/>
          <w:szCs w:val="24"/>
          <w:lang w:val="en-US"/>
        </w:rPr>
        <w:t xml:space="preserve"> report. These strategies are divided into three categories: recruitment, </w:t>
      </w:r>
      <w:proofErr w:type="spellStart"/>
      <w:r w:rsidRPr="00F63A38">
        <w:rPr>
          <w:rFonts w:ascii="Calibri" w:hAnsi="Calibri" w:cs="Calibri"/>
          <w:iCs/>
          <w:sz w:val="24"/>
          <w:szCs w:val="24"/>
          <w:lang w:val="en-US"/>
        </w:rPr>
        <w:t>upskilling</w:t>
      </w:r>
      <w:proofErr w:type="spellEnd"/>
      <w:r w:rsidRPr="00F63A38">
        <w:rPr>
          <w:rFonts w:ascii="Calibri" w:hAnsi="Calibri" w:cs="Calibri"/>
          <w:iCs/>
          <w:sz w:val="24"/>
          <w:szCs w:val="24"/>
          <w:lang w:val="en-US"/>
        </w:rPr>
        <w:t xml:space="preserve"> and retention. </w:t>
      </w:r>
      <w:r w:rsidRPr="00F63A38">
        <w:rPr>
          <w:rFonts w:ascii="Calibri" w:hAnsi="Calibri" w:cs="Calibri"/>
          <w:iCs/>
          <w:sz w:val="24"/>
          <w:szCs w:val="24"/>
        </w:rPr>
        <w:t xml:space="preserve">These strategies align with actions being progressed under the Second Action Plan and </w:t>
      </w:r>
      <w:r w:rsidRPr="00F63A38">
        <w:rPr>
          <w:rFonts w:ascii="Calibri" w:hAnsi="Calibri" w:cs="Calibri"/>
          <w:iCs/>
          <w:sz w:val="24"/>
          <w:szCs w:val="24"/>
          <w:lang w:val="en-US"/>
        </w:rPr>
        <w:t xml:space="preserve">are </w:t>
      </w:r>
      <w:r w:rsidR="00765F7B">
        <w:rPr>
          <w:rFonts w:ascii="Calibri" w:hAnsi="Calibri" w:cs="Calibri"/>
          <w:iCs/>
          <w:sz w:val="24"/>
          <w:szCs w:val="24"/>
          <w:lang w:val="en-US"/>
        </w:rPr>
        <w:t xml:space="preserve">also </w:t>
      </w:r>
      <w:r w:rsidRPr="00F63A38">
        <w:rPr>
          <w:rFonts w:ascii="Calibri" w:hAnsi="Calibri" w:cs="Calibri"/>
          <w:iCs/>
          <w:sz w:val="24"/>
          <w:szCs w:val="24"/>
          <w:lang w:val="en-US"/>
        </w:rPr>
        <w:t>intended to</w:t>
      </w:r>
      <w:r w:rsidR="007F41C8">
        <w:rPr>
          <w:rFonts w:ascii="Calibri" w:hAnsi="Calibri" w:cs="Calibri"/>
          <w:iCs/>
          <w:sz w:val="24"/>
          <w:szCs w:val="24"/>
          <w:lang w:val="en-US"/>
        </w:rPr>
        <w:t xml:space="preserve"> </w:t>
      </w:r>
      <w:r w:rsidRPr="00F63A38">
        <w:rPr>
          <w:rFonts w:ascii="Calibri" w:hAnsi="Calibri" w:cs="Calibri"/>
          <w:iCs/>
          <w:sz w:val="24"/>
          <w:szCs w:val="24"/>
          <w:lang w:val="en-US"/>
        </w:rPr>
        <w:t xml:space="preserve">inform </w:t>
      </w:r>
      <w:r w:rsidR="007F41C8">
        <w:rPr>
          <w:rFonts w:ascii="Calibri" w:hAnsi="Calibri" w:cs="Calibri"/>
          <w:iCs/>
          <w:sz w:val="24"/>
          <w:szCs w:val="24"/>
          <w:lang w:val="en-US"/>
        </w:rPr>
        <w:t>SCCDSAC</w:t>
      </w:r>
      <w:r w:rsidRPr="00F63A38">
        <w:rPr>
          <w:rFonts w:ascii="Calibri" w:hAnsi="Calibri" w:cs="Calibri"/>
          <w:iCs/>
          <w:sz w:val="24"/>
          <w:szCs w:val="24"/>
          <w:lang w:val="en-US"/>
        </w:rPr>
        <w:t xml:space="preserve"> discussions on any future actions to enhance the community services workforce.</w:t>
      </w:r>
    </w:p>
    <w:p w:rsidR="00EC216D" w:rsidRPr="003C414F" w:rsidRDefault="00EC216D" w:rsidP="003C414F">
      <w:pPr>
        <w:pStyle w:val="Heading4"/>
        <w:rPr>
          <w:lang w:val="en-AU"/>
        </w:rPr>
      </w:pPr>
      <w:r w:rsidRPr="00EC216D">
        <w:t>Domestic and Family Violence</w:t>
      </w:r>
    </w:p>
    <w:p w:rsidR="00EC216D" w:rsidRPr="00EC216D" w:rsidRDefault="00EC216D" w:rsidP="00EC216D">
      <w:pPr>
        <w:rPr>
          <w:rFonts w:ascii="Calibri" w:hAnsi="Calibri" w:cs="Calibri"/>
          <w:sz w:val="24"/>
          <w:szCs w:val="24"/>
        </w:rPr>
      </w:pPr>
      <w:r w:rsidRPr="00EC216D">
        <w:rPr>
          <w:rFonts w:ascii="Calibri" w:hAnsi="Calibri" w:cs="Calibri"/>
          <w:sz w:val="24"/>
          <w:szCs w:val="24"/>
        </w:rPr>
        <w:t xml:space="preserve">The </w:t>
      </w:r>
      <w:r w:rsidRPr="007F41C8">
        <w:rPr>
          <w:rFonts w:ascii="Calibri" w:hAnsi="Calibri" w:cs="Calibri"/>
          <w:sz w:val="24"/>
          <w:szCs w:val="24"/>
        </w:rPr>
        <w:t>Queensland Government</w:t>
      </w:r>
      <w:r w:rsidR="00655703">
        <w:rPr>
          <w:rFonts w:ascii="Calibri" w:hAnsi="Calibri" w:cs="Calibri"/>
          <w:sz w:val="24"/>
          <w:szCs w:val="24"/>
        </w:rPr>
        <w:t>,</w:t>
      </w:r>
      <w:r w:rsidRPr="007F41C8">
        <w:rPr>
          <w:rFonts w:ascii="Calibri" w:hAnsi="Calibri" w:cs="Calibri"/>
          <w:sz w:val="24"/>
          <w:szCs w:val="24"/>
        </w:rPr>
        <w:t xml:space="preserve"> through </w:t>
      </w:r>
      <w:r w:rsidR="00655703" w:rsidRPr="00856FA8">
        <w:rPr>
          <w:rFonts w:ascii="Calibri" w:hAnsi="Calibri"/>
          <w:sz w:val="24"/>
        </w:rPr>
        <w:t>DCCSDS</w:t>
      </w:r>
      <w:r w:rsidR="00655703">
        <w:rPr>
          <w:rFonts w:ascii="Calibri" w:hAnsi="Calibri" w:cs="Calibri"/>
          <w:sz w:val="24"/>
          <w:szCs w:val="24"/>
        </w:rPr>
        <w:t>,</w:t>
      </w:r>
      <w:r w:rsidRPr="00EC216D">
        <w:rPr>
          <w:rFonts w:ascii="Calibri" w:hAnsi="Calibri" w:cs="Calibri"/>
          <w:b/>
          <w:sz w:val="24"/>
          <w:szCs w:val="24"/>
        </w:rPr>
        <w:t xml:space="preserve"> </w:t>
      </w:r>
      <w:r w:rsidRPr="00EC216D">
        <w:rPr>
          <w:rFonts w:ascii="Calibri" w:hAnsi="Calibri" w:cs="Calibri"/>
          <w:sz w:val="24"/>
          <w:szCs w:val="24"/>
        </w:rPr>
        <w:t>provides</w:t>
      </w:r>
      <w:r w:rsidRPr="00EC216D">
        <w:rPr>
          <w:rFonts w:ascii="Calibri" w:hAnsi="Calibri" w:cs="Calibri"/>
          <w:b/>
          <w:sz w:val="24"/>
          <w:szCs w:val="24"/>
        </w:rPr>
        <w:t xml:space="preserve"> </w:t>
      </w:r>
      <w:r w:rsidRPr="00EC216D">
        <w:rPr>
          <w:rFonts w:ascii="Calibri" w:hAnsi="Calibri" w:cs="Calibri"/>
          <w:sz w:val="24"/>
          <w:szCs w:val="24"/>
        </w:rPr>
        <w:t>in-kind contributions to the NCE through the Queensland Centre for Domestic and Family Violence Research (CDFVR). The CDFVR is assisting the NCE to establish the research agenda.</w:t>
      </w:r>
    </w:p>
    <w:p w:rsidR="003B003F" w:rsidRPr="003C414F" w:rsidRDefault="003C414F" w:rsidP="003C414F">
      <w:pPr>
        <w:pStyle w:val="Heading4"/>
        <w:rPr>
          <w:lang w:val="en-AU"/>
        </w:rPr>
      </w:pPr>
      <w:r>
        <w:t>Health and Mental Health</w:t>
      </w:r>
    </w:p>
    <w:p w:rsidR="00EC216D" w:rsidRDefault="00EC216D" w:rsidP="00BD5D4E">
      <w:pPr>
        <w:rPr>
          <w:rFonts w:ascii="Calibri" w:hAnsi="Calibri" w:cs="Calibri"/>
          <w:sz w:val="24"/>
          <w:szCs w:val="24"/>
        </w:rPr>
      </w:pPr>
      <w:r w:rsidRPr="007F41C8">
        <w:rPr>
          <w:rFonts w:ascii="Calibri" w:hAnsi="Calibri" w:cs="Calibri"/>
          <w:sz w:val="24"/>
          <w:szCs w:val="24"/>
        </w:rPr>
        <w:t>DCCSDS</w:t>
      </w:r>
      <w:r w:rsidRPr="00EC216D">
        <w:rPr>
          <w:rFonts w:ascii="Calibri" w:hAnsi="Calibri" w:cs="Calibri"/>
          <w:b/>
          <w:sz w:val="24"/>
          <w:szCs w:val="24"/>
        </w:rPr>
        <w:t xml:space="preserve"> </w:t>
      </w:r>
      <w:r w:rsidRPr="00EC216D">
        <w:rPr>
          <w:rFonts w:ascii="Calibri" w:hAnsi="Calibri" w:cs="Calibri"/>
          <w:sz w:val="24"/>
          <w:szCs w:val="24"/>
        </w:rPr>
        <w:t xml:space="preserve">leads the </w:t>
      </w:r>
      <w:r w:rsidR="004D1133">
        <w:rPr>
          <w:rFonts w:ascii="Calibri" w:hAnsi="Calibri" w:cs="Calibri"/>
          <w:sz w:val="24"/>
          <w:szCs w:val="24"/>
        </w:rPr>
        <w:t>Child Health Passport</w:t>
      </w:r>
      <w:r w:rsidRPr="00EC216D">
        <w:rPr>
          <w:rFonts w:ascii="Calibri" w:hAnsi="Calibri" w:cs="Calibri"/>
          <w:sz w:val="24"/>
          <w:szCs w:val="24"/>
        </w:rPr>
        <w:t xml:space="preserve"> initiative</w:t>
      </w:r>
      <w:r w:rsidR="00655703">
        <w:rPr>
          <w:rFonts w:ascii="Calibri" w:hAnsi="Calibri" w:cs="Calibri"/>
          <w:sz w:val="24"/>
          <w:szCs w:val="24"/>
        </w:rPr>
        <w:t>,</w:t>
      </w:r>
      <w:r w:rsidRPr="00EC216D">
        <w:rPr>
          <w:rFonts w:ascii="Calibri" w:hAnsi="Calibri" w:cs="Calibri"/>
          <w:sz w:val="24"/>
          <w:szCs w:val="24"/>
        </w:rPr>
        <w:t xml:space="preserve"> which enables a child’s carer to meet the health needs of children and young people in their care. Queensland Health </w:t>
      </w:r>
      <w:r w:rsidR="001C552D">
        <w:rPr>
          <w:rFonts w:ascii="Calibri" w:hAnsi="Calibri" w:cs="Calibri"/>
          <w:sz w:val="24"/>
          <w:szCs w:val="24"/>
        </w:rPr>
        <w:t>s</w:t>
      </w:r>
      <w:r w:rsidRPr="00EC216D">
        <w:rPr>
          <w:rFonts w:ascii="Calibri" w:hAnsi="Calibri" w:cs="Calibri"/>
          <w:sz w:val="24"/>
          <w:szCs w:val="24"/>
        </w:rPr>
        <w:t xml:space="preserve">ervices may contribute to the </w:t>
      </w:r>
      <w:r w:rsidR="004D1133">
        <w:rPr>
          <w:rFonts w:ascii="Calibri" w:hAnsi="Calibri" w:cs="Calibri"/>
          <w:sz w:val="24"/>
          <w:szCs w:val="24"/>
        </w:rPr>
        <w:t>Child Health Passport</w:t>
      </w:r>
      <w:r w:rsidRPr="00EC216D">
        <w:rPr>
          <w:rFonts w:ascii="Calibri" w:hAnsi="Calibri" w:cs="Calibri"/>
          <w:sz w:val="24"/>
          <w:szCs w:val="24"/>
        </w:rPr>
        <w:t xml:space="preserve"> initiative through the provision of health information and health assessm</w:t>
      </w:r>
      <w:r w:rsidR="007F41C8">
        <w:rPr>
          <w:rFonts w:ascii="Calibri" w:hAnsi="Calibri" w:cs="Calibri"/>
          <w:sz w:val="24"/>
          <w:szCs w:val="24"/>
        </w:rPr>
        <w:t xml:space="preserve">ents. As at </w:t>
      </w:r>
      <w:r w:rsidR="00EE58B4">
        <w:rPr>
          <w:rFonts w:ascii="Calibri" w:hAnsi="Calibri" w:cs="Calibri"/>
          <w:sz w:val="24"/>
          <w:szCs w:val="24"/>
        </w:rPr>
        <w:t>30 June</w:t>
      </w:r>
      <w:r w:rsidR="007F41C8">
        <w:rPr>
          <w:rFonts w:ascii="Calibri" w:hAnsi="Calibri" w:cs="Calibri"/>
          <w:sz w:val="24"/>
          <w:szCs w:val="24"/>
        </w:rPr>
        <w:t xml:space="preserve"> 2013, 96.</w:t>
      </w:r>
      <w:r w:rsidR="00EE58B4">
        <w:rPr>
          <w:rFonts w:ascii="Calibri" w:hAnsi="Calibri" w:cs="Calibri"/>
          <w:sz w:val="24"/>
          <w:szCs w:val="24"/>
        </w:rPr>
        <w:t xml:space="preserve">3 </w:t>
      </w:r>
      <w:r w:rsidR="00B4597F">
        <w:rPr>
          <w:rFonts w:ascii="Calibri" w:hAnsi="Calibri" w:cs="Calibri"/>
          <w:sz w:val="24"/>
          <w:szCs w:val="24"/>
        </w:rPr>
        <w:t>per cent</w:t>
      </w:r>
      <w:r w:rsidR="007F41C8">
        <w:rPr>
          <w:rFonts w:ascii="Calibri" w:hAnsi="Calibri" w:cs="Calibri"/>
          <w:sz w:val="24"/>
          <w:szCs w:val="24"/>
        </w:rPr>
        <w:t xml:space="preserve"> </w:t>
      </w:r>
      <w:r w:rsidRPr="00EC216D">
        <w:rPr>
          <w:rFonts w:ascii="Calibri" w:hAnsi="Calibri" w:cs="Calibri"/>
          <w:sz w:val="24"/>
          <w:szCs w:val="24"/>
        </w:rPr>
        <w:t xml:space="preserve">of children living away from home and subject to a child protection order had a </w:t>
      </w:r>
      <w:r w:rsidR="004D1133">
        <w:rPr>
          <w:rFonts w:ascii="Calibri" w:hAnsi="Calibri" w:cs="Calibri"/>
          <w:sz w:val="24"/>
          <w:szCs w:val="24"/>
        </w:rPr>
        <w:t>Child Health Passport</w:t>
      </w:r>
      <w:r w:rsidRPr="00EC216D">
        <w:rPr>
          <w:rFonts w:ascii="Calibri" w:hAnsi="Calibri" w:cs="Calibri"/>
          <w:sz w:val="24"/>
          <w:szCs w:val="24"/>
        </w:rPr>
        <w:t xml:space="preserve"> commenced or recommenced. This is an improved respo</w:t>
      </w:r>
      <w:r w:rsidR="007F41C8">
        <w:rPr>
          <w:rFonts w:ascii="Calibri" w:hAnsi="Calibri" w:cs="Calibri"/>
          <w:sz w:val="24"/>
          <w:szCs w:val="24"/>
        </w:rPr>
        <w:t>nse from 30 June 2012</w:t>
      </w:r>
      <w:r w:rsidR="00655703">
        <w:rPr>
          <w:rFonts w:ascii="Calibri" w:hAnsi="Calibri" w:cs="Calibri"/>
          <w:sz w:val="24"/>
          <w:szCs w:val="24"/>
        </w:rPr>
        <w:t>,</w:t>
      </w:r>
      <w:r w:rsidR="007F41C8">
        <w:rPr>
          <w:rFonts w:ascii="Calibri" w:hAnsi="Calibri" w:cs="Calibri"/>
          <w:sz w:val="24"/>
          <w:szCs w:val="24"/>
        </w:rPr>
        <w:t xml:space="preserve"> when 94.2</w:t>
      </w:r>
      <w:r w:rsidR="00B4597F">
        <w:rPr>
          <w:rFonts w:ascii="Calibri" w:hAnsi="Calibri" w:cs="Calibri"/>
          <w:sz w:val="24"/>
          <w:szCs w:val="24"/>
        </w:rPr>
        <w:t xml:space="preserve"> per cent</w:t>
      </w:r>
      <w:r w:rsidR="007F41C8">
        <w:rPr>
          <w:rFonts w:ascii="Calibri" w:hAnsi="Calibri" w:cs="Calibri"/>
          <w:sz w:val="24"/>
          <w:szCs w:val="24"/>
        </w:rPr>
        <w:t xml:space="preserve"> </w:t>
      </w:r>
      <w:r w:rsidRPr="00EC216D">
        <w:rPr>
          <w:rFonts w:ascii="Calibri" w:hAnsi="Calibri" w:cs="Calibri"/>
          <w:sz w:val="24"/>
          <w:szCs w:val="24"/>
        </w:rPr>
        <w:t xml:space="preserve">of eligible children had a </w:t>
      </w:r>
      <w:r w:rsidR="004D1133">
        <w:rPr>
          <w:rFonts w:ascii="Calibri" w:hAnsi="Calibri" w:cs="Calibri"/>
          <w:sz w:val="24"/>
          <w:szCs w:val="24"/>
        </w:rPr>
        <w:t>Child Health Passport</w:t>
      </w:r>
      <w:r w:rsidRPr="00EC216D">
        <w:rPr>
          <w:rFonts w:ascii="Calibri" w:hAnsi="Calibri" w:cs="Calibri"/>
          <w:sz w:val="24"/>
          <w:szCs w:val="24"/>
        </w:rPr>
        <w:t xml:space="preserve"> commenced or recommenced.</w:t>
      </w:r>
    </w:p>
    <w:p w:rsidR="00D50EB6" w:rsidRPr="003C414F" w:rsidRDefault="00D50EB6" w:rsidP="003C414F">
      <w:pPr>
        <w:pStyle w:val="Heading4"/>
        <w:rPr>
          <w:lang w:val="en-AU"/>
        </w:rPr>
      </w:pPr>
      <w:r w:rsidRPr="00D50EB6">
        <w:t>Disability</w:t>
      </w:r>
    </w:p>
    <w:p w:rsidR="00D50EB6" w:rsidRPr="00D50EB6" w:rsidRDefault="00D50EB6" w:rsidP="00D50EB6">
      <w:pPr>
        <w:rPr>
          <w:rFonts w:ascii="Calibri" w:hAnsi="Calibri" w:cs="Calibri"/>
          <w:sz w:val="24"/>
          <w:szCs w:val="24"/>
        </w:rPr>
      </w:pPr>
      <w:r w:rsidRPr="00044435">
        <w:rPr>
          <w:rFonts w:ascii="Calibri" w:hAnsi="Calibri" w:cs="Calibri"/>
          <w:sz w:val="24"/>
          <w:szCs w:val="24"/>
        </w:rPr>
        <w:t>DCCSDS</w:t>
      </w:r>
      <w:r w:rsidRPr="00D50EB6">
        <w:rPr>
          <w:rFonts w:ascii="Calibri" w:hAnsi="Calibri" w:cs="Calibri"/>
          <w:b/>
          <w:sz w:val="24"/>
          <w:szCs w:val="24"/>
        </w:rPr>
        <w:t xml:space="preserve"> </w:t>
      </w:r>
      <w:r w:rsidRPr="00D50EB6">
        <w:rPr>
          <w:rFonts w:ascii="Calibri" w:hAnsi="Calibri" w:cs="Calibri"/>
          <w:sz w:val="24"/>
          <w:szCs w:val="24"/>
        </w:rPr>
        <w:t xml:space="preserve">has led consultations across Queensland Government agencies to </w:t>
      </w:r>
      <w:r w:rsidR="00EB3BBB">
        <w:rPr>
          <w:rFonts w:ascii="Calibri" w:hAnsi="Calibri" w:cs="Calibri"/>
          <w:sz w:val="24"/>
          <w:szCs w:val="24"/>
        </w:rPr>
        <w:t>contribute to the</w:t>
      </w:r>
      <w:r w:rsidRPr="00D50EB6">
        <w:rPr>
          <w:rFonts w:ascii="Calibri" w:hAnsi="Calibri" w:cs="Calibri"/>
          <w:sz w:val="24"/>
          <w:szCs w:val="24"/>
        </w:rPr>
        <w:t xml:space="preserve"> develop</w:t>
      </w:r>
      <w:r w:rsidR="00EB3BBB">
        <w:rPr>
          <w:rFonts w:ascii="Calibri" w:hAnsi="Calibri" w:cs="Calibri"/>
          <w:sz w:val="24"/>
          <w:szCs w:val="24"/>
        </w:rPr>
        <w:t>ment of</w:t>
      </w:r>
      <w:r w:rsidRPr="00D50EB6">
        <w:rPr>
          <w:rFonts w:ascii="Calibri" w:hAnsi="Calibri" w:cs="Calibri"/>
          <w:sz w:val="24"/>
          <w:szCs w:val="24"/>
        </w:rPr>
        <w:t xml:space="preserve"> principles to guide the interface between the NDIS and mainstream services, including Child Safety, in preparation for the </w:t>
      </w:r>
      <w:r w:rsidR="001C552D">
        <w:rPr>
          <w:rFonts w:ascii="Calibri" w:hAnsi="Calibri" w:cs="Calibri"/>
          <w:sz w:val="24"/>
          <w:szCs w:val="24"/>
        </w:rPr>
        <w:t>commencement</w:t>
      </w:r>
      <w:r w:rsidR="001C552D" w:rsidRPr="00D50EB6">
        <w:rPr>
          <w:rFonts w:ascii="Calibri" w:hAnsi="Calibri" w:cs="Calibri"/>
          <w:sz w:val="24"/>
          <w:szCs w:val="24"/>
        </w:rPr>
        <w:t xml:space="preserve"> </w:t>
      </w:r>
      <w:r w:rsidRPr="00D50EB6">
        <w:rPr>
          <w:rFonts w:ascii="Calibri" w:hAnsi="Calibri" w:cs="Calibri"/>
          <w:sz w:val="24"/>
          <w:szCs w:val="24"/>
        </w:rPr>
        <w:t xml:space="preserve">of </w:t>
      </w:r>
      <w:r w:rsidR="00EB3BBB">
        <w:rPr>
          <w:rFonts w:ascii="Calibri" w:hAnsi="Calibri" w:cs="Calibri"/>
          <w:sz w:val="24"/>
          <w:szCs w:val="24"/>
        </w:rPr>
        <w:t>the NDIS</w:t>
      </w:r>
      <w:r w:rsidRPr="00D50EB6">
        <w:rPr>
          <w:rFonts w:ascii="Calibri" w:hAnsi="Calibri" w:cs="Calibri"/>
          <w:sz w:val="24"/>
          <w:szCs w:val="24"/>
        </w:rPr>
        <w:t xml:space="preserve"> in Queensland</w:t>
      </w:r>
      <w:r w:rsidR="00A97354">
        <w:rPr>
          <w:rFonts w:ascii="Calibri" w:hAnsi="Calibri" w:cs="Calibri"/>
          <w:sz w:val="24"/>
          <w:szCs w:val="24"/>
        </w:rPr>
        <w:t xml:space="preserve"> </w:t>
      </w:r>
      <w:r w:rsidRPr="00D50EB6">
        <w:rPr>
          <w:rFonts w:ascii="Calibri" w:hAnsi="Calibri" w:cs="Calibri"/>
          <w:sz w:val="24"/>
          <w:szCs w:val="24"/>
        </w:rPr>
        <w:t>from</w:t>
      </w:r>
      <w:r w:rsidR="00A97354">
        <w:rPr>
          <w:rFonts w:ascii="Calibri" w:hAnsi="Calibri" w:cs="Calibri"/>
          <w:sz w:val="24"/>
          <w:szCs w:val="24"/>
        </w:rPr>
        <w:t xml:space="preserve"> </w:t>
      </w:r>
      <w:r w:rsidRPr="00D50EB6">
        <w:rPr>
          <w:rFonts w:ascii="Calibri" w:hAnsi="Calibri" w:cs="Calibri"/>
          <w:sz w:val="24"/>
          <w:szCs w:val="24"/>
        </w:rPr>
        <w:t>July</w:t>
      </w:r>
      <w:r w:rsidR="00A97354">
        <w:rPr>
          <w:rFonts w:ascii="Calibri" w:hAnsi="Calibri" w:cs="Calibri"/>
          <w:sz w:val="24"/>
          <w:szCs w:val="24"/>
        </w:rPr>
        <w:t xml:space="preserve"> </w:t>
      </w:r>
      <w:r w:rsidRPr="00D50EB6">
        <w:rPr>
          <w:rFonts w:ascii="Calibri" w:hAnsi="Calibri" w:cs="Calibri"/>
          <w:sz w:val="24"/>
          <w:szCs w:val="24"/>
        </w:rPr>
        <w:t>2016.</w:t>
      </w:r>
    </w:p>
    <w:p w:rsidR="00EC216D" w:rsidRDefault="00EC216D" w:rsidP="00BD5D4E">
      <w:pPr>
        <w:rPr>
          <w:rFonts w:ascii="Calibri" w:hAnsi="Calibri" w:cs="Calibri"/>
          <w:sz w:val="24"/>
          <w:szCs w:val="24"/>
        </w:rPr>
      </w:pPr>
    </w:p>
    <w:p w:rsidR="00D50EB6" w:rsidRDefault="00D50EB6" w:rsidP="00BD5D4E">
      <w:pPr>
        <w:rPr>
          <w:rFonts w:ascii="Calibri" w:hAnsi="Calibri" w:cs="Calibri"/>
          <w:sz w:val="24"/>
          <w:szCs w:val="24"/>
        </w:rPr>
      </w:pPr>
      <w:r w:rsidRPr="00044435">
        <w:rPr>
          <w:rFonts w:ascii="Calibri" w:hAnsi="Calibri" w:cs="Calibri"/>
          <w:sz w:val="24"/>
          <w:szCs w:val="24"/>
        </w:rPr>
        <w:t>DCCSDS</w:t>
      </w:r>
      <w:r w:rsidRPr="00D50EB6">
        <w:rPr>
          <w:rFonts w:ascii="Calibri" w:hAnsi="Calibri" w:cs="Calibri"/>
          <w:b/>
          <w:sz w:val="24"/>
          <w:szCs w:val="24"/>
        </w:rPr>
        <w:t xml:space="preserve"> </w:t>
      </w:r>
      <w:r w:rsidRPr="00D50EB6">
        <w:rPr>
          <w:rFonts w:ascii="Calibri" w:hAnsi="Calibri" w:cs="Calibri"/>
          <w:sz w:val="24"/>
          <w:szCs w:val="24"/>
        </w:rPr>
        <w:t>continues to provide the Evolve Behaviour Support Services (EBSS) to children and young people in care who have a disability and severe psychological and behaviour support needs. EBSS</w:t>
      </w:r>
      <w:r w:rsidR="00655703">
        <w:rPr>
          <w:rFonts w:ascii="Calibri" w:hAnsi="Calibri" w:cs="Calibri"/>
          <w:sz w:val="24"/>
          <w:szCs w:val="24"/>
        </w:rPr>
        <w:t>s</w:t>
      </w:r>
      <w:r w:rsidRPr="00D50EB6">
        <w:rPr>
          <w:rFonts w:ascii="Calibri" w:hAnsi="Calibri" w:cs="Calibri"/>
          <w:sz w:val="24"/>
          <w:szCs w:val="24"/>
        </w:rPr>
        <w:t xml:space="preserve"> also provide specialist disability assessments for children with a disability entering the child protection system. The focus of EBSS</w:t>
      </w:r>
      <w:r w:rsidR="00655703">
        <w:rPr>
          <w:rFonts w:ascii="Calibri" w:hAnsi="Calibri" w:cs="Calibri"/>
          <w:sz w:val="24"/>
          <w:szCs w:val="24"/>
        </w:rPr>
        <w:t>s</w:t>
      </w:r>
      <w:r w:rsidRPr="00D50EB6">
        <w:rPr>
          <w:rFonts w:ascii="Calibri" w:hAnsi="Calibri" w:cs="Calibri"/>
          <w:sz w:val="24"/>
          <w:szCs w:val="24"/>
        </w:rPr>
        <w:t xml:space="preserve"> is to work with the child, carers, family, school and other support services to respond to the child’s challenging behaviours. The Evaluation of </w:t>
      </w:r>
      <w:r w:rsidR="00F338EA">
        <w:rPr>
          <w:rFonts w:ascii="Calibri" w:hAnsi="Calibri" w:cs="Calibri"/>
          <w:sz w:val="24"/>
          <w:szCs w:val="24"/>
        </w:rPr>
        <w:t>EBSS</w:t>
      </w:r>
      <w:r w:rsidRPr="00D50EB6">
        <w:rPr>
          <w:rFonts w:ascii="Calibri" w:hAnsi="Calibri" w:cs="Calibri"/>
          <w:sz w:val="24"/>
          <w:szCs w:val="24"/>
        </w:rPr>
        <w:t xml:space="preserve"> 2012 found a significant improvement in the overall wellbeing of children and young people with a disabi</w:t>
      </w:r>
      <w:r w:rsidR="007F41C8">
        <w:rPr>
          <w:rFonts w:ascii="Calibri" w:hAnsi="Calibri" w:cs="Calibri"/>
          <w:sz w:val="24"/>
          <w:szCs w:val="24"/>
        </w:rPr>
        <w:t>lity involved in the program</w:t>
      </w:r>
      <w:r w:rsidRPr="00D50EB6">
        <w:rPr>
          <w:rFonts w:ascii="Calibri" w:hAnsi="Calibri" w:cs="Calibri"/>
          <w:sz w:val="24"/>
          <w:szCs w:val="24"/>
        </w:rPr>
        <w:t>.</w:t>
      </w:r>
    </w:p>
    <w:p w:rsidR="00D50EB6" w:rsidRDefault="00D50EB6" w:rsidP="00BD5D4E">
      <w:pPr>
        <w:rPr>
          <w:rFonts w:ascii="Calibri" w:hAnsi="Calibri" w:cs="Calibri"/>
          <w:sz w:val="24"/>
          <w:szCs w:val="24"/>
        </w:rPr>
      </w:pPr>
    </w:p>
    <w:p w:rsidR="00D50EB6" w:rsidRPr="00D50EB6" w:rsidRDefault="00D50EB6" w:rsidP="00D50EB6">
      <w:pPr>
        <w:rPr>
          <w:rFonts w:ascii="Calibri" w:hAnsi="Calibri" w:cs="Calibri"/>
          <w:sz w:val="24"/>
          <w:szCs w:val="24"/>
        </w:rPr>
      </w:pPr>
      <w:r w:rsidRPr="00D50EB6">
        <w:rPr>
          <w:rFonts w:ascii="Calibri" w:hAnsi="Calibri" w:cs="Calibri"/>
          <w:sz w:val="24"/>
          <w:szCs w:val="24"/>
        </w:rPr>
        <w:t>The Evolve Early Intervention initiative supports children with a disability who are at risk of relinquishment to the child protection system. This service provides positive behaviour support, family support a</w:t>
      </w:r>
      <w:r w:rsidR="007F41C8">
        <w:rPr>
          <w:rFonts w:ascii="Calibri" w:hAnsi="Calibri" w:cs="Calibri"/>
          <w:sz w:val="24"/>
          <w:szCs w:val="24"/>
        </w:rPr>
        <w:t>nd education and training to</w:t>
      </w:r>
      <w:r w:rsidRPr="00D50EB6">
        <w:rPr>
          <w:rFonts w:ascii="Calibri" w:hAnsi="Calibri" w:cs="Calibri"/>
          <w:sz w:val="24"/>
          <w:szCs w:val="24"/>
        </w:rPr>
        <w:t xml:space="preserve"> carers, family, school and other services supporting the child to </w:t>
      </w:r>
      <w:r w:rsidR="007F41C8">
        <w:rPr>
          <w:rFonts w:ascii="Calibri" w:hAnsi="Calibri" w:cs="Calibri"/>
          <w:sz w:val="24"/>
          <w:szCs w:val="24"/>
        </w:rPr>
        <w:t>assist in responses</w:t>
      </w:r>
      <w:r w:rsidRPr="00D50EB6">
        <w:rPr>
          <w:rFonts w:ascii="Calibri" w:hAnsi="Calibri" w:cs="Calibri"/>
          <w:sz w:val="24"/>
          <w:szCs w:val="24"/>
        </w:rPr>
        <w:t xml:space="preserve"> to the child’s challenging behaviours. The Evaluation of </w:t>
      </w:r>
      <w:r w:rsidR="00F338EA">
        <w:rPr>
          <w:rFonts w:ascii="Calibri" w:hAnsi="Calibri" w:cs="Calibri"/>
          <w:sz w:val="24"/>
          <w:szCs w:val="24"/>
        </w:rPr>
        <w:t>EBSS</w:t>
      </w:r>
      <w:r w:rsidRPr="00D50EB6">
        <w:rPr>
          <w:rFonts w:ascii="Calibri" w:hAnsi="Calibri" w:cs="Calibri"/>
          <w:sz w:val="24"/>
          <w:szCs w:val="24"/>
        </w:rPr>
        <w:t xml:space="preserve"> 2012 demonstrated that the program resulted in </w:t>
      </w:r>
      <w:r w:rsidR="007F41C8">
        <w:rPr>
          <w:rFonts w:ascii="Calibri" w:hAnsi="Calibri" w:cs="Calibri"/>
          <w:sz w:val="24"/>
          <w:szCs w:val="24"/>
        </w:rPr>
        <w:t xml:space="preserve">a </w:t>
      </w:r>
      <w:r w:rsidRPr="00D50EB6">
        <w:rPr>
          <w:rFonts w:ascii="Calibri" w:hAnsi="Calibri" w:cs="Calibri"/>
          <w:sz w:val="24"/>
          <w:szCs w:val="24"/>
        </w:rPr>
        <w:t>reduction in challen</w:t>
      </w:r>
      <w:r w:rsidR="007F41C8">
        <w:rPr>
          <w:rFonts w:ascii="Calibri" w:hAnsi="Calibri" w:cs="Calibri"/>
          <w:sz w:val="24"/>
          <w:szCs w:val="24"/>
        </w:rPr>
        <w:t>ging behaviours and</w:t>
      </w:r>
      <w:r w:rsidRPr="00D50EB6">
        <w:rPr>
          <w:rFonts w:ascii="Calibri" w:hAnsi="Calibri" w:cs="Calibri"/>
          <w:sz w:val="24"/>
          <w:szCs w:val="24"/>
        </w:rPr>
        <w:t xml:space="preserve"> </w:t>
      </w:r>
      <w:r w:rsidR="004D1133">
        <w:rPr>
          <w:rFonts w:ascii="Calibri" w:hAnsi="Calibri" w:cs="Calibri"/>
          <w:sz w:val="24"/>
          <w:szCs w:val="24"/>
        </w:rPr>
        <w:t xml:space="preserve">in </w:t>
      </w:r>
      <w:r w:rsidRPr="00D50EB6">
        <w:rPr>
          <w:rFonts w:ascii="Calibri" w:hAnsi="Calibri" w:cs="Calibri"/>
          <w:sz w:val="24"/>
          <w:szCs w:val="24"/>
        </w:rPr>
        <w:t xml:space="preserve">harm to self and others. </w:t>
      </w:r>
    </w:p>
    <w:p w:rsidR="00D50EB6" w:rsidRPr="00D50EB6" w:rsidRDefault="00D50EB6" w:rsidP="00D50EB6">
      <w:pPr>
        <w:rPr>
          <w:rFonts w:ascii="Calibri" w:hAnsi="Calibri" w:cs="Calibri"/>
          <w:sz w:val="24"/>
          <w:szCs w:val="24"/>
        </w:rPr>
      </w:pPr>
    </w:p>
    <w:p w:rsidR="00D50EB6" w:rsidRDefault="00D50EB6" w:rsidP="00D50EB6">
      <w:pPr>
        <w:rPr>
          <w:rFonts w:ascii="Calibri" w:hAnsi="Calibri" w:cs="Calibri"/>
          <w:sz w:val="24"/>
          <w:szCs w:val="24"/>
        </w:rPr>
      </w:pPr>
      <w:r w:rsidRPr="007F41C8">
        <w:rPr>
          <w:rFonts w:ascii="Calibri" w:hAnsi="Calibri" w:cs="Calibri"/>
          <w:sz w:val="24"/>
          <w:szCs w:val="24"/>
        </w:rPr>
        <w:t>DCCSDS</w:t>
      </w:r>
      <w:r w:rsidRPr="00D50EB6">
        <w:rPr>
          <w:rFonts w:ascii="Calibri" w:hAnsi="Calibri" w:cs="Calibri"/>
          <w:sz w:val="24"/>
          <w:szCs w:val="24"/>
        </w:rPr>
        <w:t xml:space="preserve"> has developed an early identification assessment tool, in consultation with the Centre for Excellence in Behaviour Support</w:t>
      </w:r>
      <w:r w:rsidR="00AF4636">
        <w:rPr>
          <w:rFonts w:ascii="Calibri" w:hAnsi="Calibri" w:cs="Calibri"/>
          <w:sz w:val="24"/>
          <w:szCs w:val="24"/>
        </w:rPr>
        <w:t xml:space="preserve"> (now known as the Centre for Clinical Innovation and Behaviour Support)</w:t>
      </w:r>
      <w:r w:rsidRPr="00D50EB6">
        <w:rPr>
          <w:rFonts w:ascii="Calibri" w:hAnsi="Calibri" w:cs="Calibri"/>
          <w:sz w:val="24"/>
          <w:szCs w:val="24"/>
        </w:rPr>
        <w:t xml:space="preserve">, to identify families of children with a disability who require additional support to continue to care for </w:t>
      </w:r>
      <w:r w:rsidR="00ED2006">
        <w:rPr>
          <w:rFonts w:ascii="Calibri" w:hAnsi="Calibri" w:cs="Calibri"/>
          <w:sz w:val="24"/>
          <w:szCs w:val="24"/>
        </w:rPr>
        <w:t>a</w:t>
      </w:r>
      <w:r w:rsidR="00ED2006" w:rsidRPr="00D50EB6">
        <w:rPr>
          <w:rFonts w:ascii="Calibri" w:hAnsi="Calibri" w:cs="Calibri"/>
          <w:sz w:val="24"/>
          <w:szCs w:val="24"/>
        </w:rPr>
        <w:t xml:space="preserve"> </w:t>
      </w:r>
      <w:r w:rsidRPr="00D50EB6">
        <w:rPr>
          <w:rFonts w:ascii="Calibri" w:hAnsi="Calibri" w:cs="Calibri"/>
          <w:sz w:val="24"/>
          <w:szCs w:val="24"/>
        </w:rPr>
        <w:t>child at home. It is anticipated that this assessment tool will be implemented as a trial in 2013</w:t>
      </w:r>
      <w:r w:rsidR="00ED2006">
        <w:rPr>
          <w:rFonts w:ascii="Calibri" w:hAnsi="Calibri" w:cs="Calibri"/>
          <w:sz w:val="24"/>
          <w:szCs w:val="24"/>
        </w:rPr>
        <w:t>–</w:t>
      </w:r>
      <w:r w:rsidRPr="00D50EB6">
        <w:rPr>
          <w:rFonts w:ascii="Calibri" w:hAnsi="Calibri" w:cs="Calibri"/>
          <w:sz w:val="24"/>
          <w:szCs w:val="24"/>
        </w:rPr>
        <w:t>2014</w:t>
      </w:r>
      <w:r w:rsidR="00ED2006">
        <w:rPr>
          <w:rFonts w:ascii="Calibri" w:hAnsi="Calibri" w:cs="Calibri"/>
          <w:sz w:val="24"/>
          <w:szCs w:val="24"/>
        </w:rPr>
        <w:t>,</w:t>
      </w:r>
      <w:r w:rsidRPr="00D50EB6">
        <w:rPr>
          <w:rFonts w:ascii="Calibri" w:hAnsi="Calibri" w:cs="Calibri"/>
          <w:sz w:val="24"/>
          <w:szCs w:val="24"/>
        </w:rPr>
        <w:t xml:space="preserve"> with assistance from the University of Queensland to assess the validity and reliability of the tool.</w:t>
      </w:r>
      <w:r w:rsidR="007764A2">
        <w:rPr>
          <w:rFonts w:ascii="Calibri" w:hAnsi="Calibri" w:cs="Calibri"/>
          <w:sz w:val="24"/>
          <w:szCs w:val="24"/>
        </w:rPr>
        <w:t xml:space="preserve"> </w:t>
      </w:r>
      <w:r w:rsidRPr="00D50EB6">
        <w:rPr>
          <w:rFonts w:ascii="Calibri" w:hAnsi="Calibri" w:cs="Calibri"/>
          <w:sz w:val="24"/>
          <w:szCs w:val="24"/>
        </w:rPr>
        <w:t xml:space="preserve">Supports will be provided to these families using a holistic and </w:t>
      </w:r>
      <w:r w:rsidR="00ED2006" w:rsidRPr="00D50EB6">
        <w:rPr>
          <w:rFonts w:ascii="Calibri" w:hAnsi="Calibri" w:cs="Calibri"/>
          <w:sz w:val="24"/>
          <w:szCs w:val="24"/>
        </w:rPr>
        <w:t>family</w:t>
      </w:r>
      <w:r w:rsidR="00ED2006">
        <w:rPr>
          <w:rFonts w:ascii="Calibri" w:hAnsi="Calibri" w:cs="Calibri"/>
          <w:sz w:val="24"/>
          <w:szCs w:val="24"/>
        </w:rPr>
        <w:t>-</w:t>
      </w:r>
      <w:r w:rsidRPr="00D50EB6">
        <w:rPr>
          <w:rFonts w:ascii="Calibri" w:hAnsi="Calibri" w:cs="Calibri"/>
          <w:sz w:val="24"/>
          <w:szCs w:val="24"/>
        </w:rPr>
        <w:t>centred approach</w:t>
      </w:r>
      <w:r w:rsidR="00ED2006">
        <w:rPr>
          <w:rFonts w:ascii="Calibri" w:hAnsi="Calibri" w:cs="Calibri"/>
          <w:sz w:val="24"/>
          <w:szCs w:val="24"/>
        </w:rPr>
        <w:t>,</w:t>
      </w:r>
      <w:r w:rsidRPr="00D50EB6">
        <w:rPr>
          <w:rFonts w:ascii="Calibri" w:hAnsi="Calibri" w:cs="Calibri"/>
          <w:sz w:val="24"/>
          <w:szCs w:val="24"/>
        </w:rPr>
        <w:t xml:space="preserve"> as outlined in the Evolve Early Intervention Service manual.</w:t>
      </w:r>
    </w:p>
    <w:p w:rsidR="00BD5D4E" w:rsidRPr="00821556" w:rsidRDefault="00BD5D4E" w:rsidP="0090326F">
      <w:pPr>
        <w:pStyle w:val="Heading3"/>
      </w:pPr>
      <w:bookmarkStart w:id="142" w:name="_Toc400007736"/>
      <w:r w:rsidRPr="00821556">
        <w:t>South Australia</w:t>
      </w:r>
      <w:bookmarkEnd w:id="142"/>
    </w:p>
    <w:p w:rsidR="00890AEB" w:rsidRDefault="00890AEB" w:rsidP="003C414F">
      <w:pPr>
        <w:pStyle w:val="Heading4"/>
      </w:pPr>
      <w:r w:rsidRPr="001B38EA">
        <w:t>Building W</w:t>
      </w:r>
      <w:r>
        <w:t>orkforce Capacity and Expertise</w:t>
      </w:r>
    </w:p>
    <w:p w:rsidR="00DF6E63" w:rsidRDefault="00DF6E63" w:rsidP="00890AEB">
      <w:pPr>
        <w:rPr>
          <w:rFonts w:ascii="Calibri" w:hAnsi="Calibri" w:cs="Calibri"/>
          <w:sz w:val="24"/>
          <w:szCs w:val="24"/>
        </w:rPr>
      </w:pPr>
      <w:r>
        <w:rPr>
          <w:rFonts w:ascii="Calibri" w:hAnsi="Calibri" w:cs="Calibri"/>
          <w:sz w:val="24"/>
          <w:szCs w:val="24"/>
        </w:rPr>
        <w:t>DECD</w:t>
      </w:r>
      <w:r w:rsidRPr="00DF6E63">
        <w:rPr>
          <w:rFonts w:ascii="Calibri" w:hAnsi="Calibri" w:cs="Calibri"/>
          <w:sz w:val="24"/>
          <w:szCs w:val="24"/>
        </w:rPr>
        <w:t xml:space="preserve"> (Families SA) is undertaking a major Service Redesign. As part of this, a new practice approach (Solution Based Casework) is being implemented. This approach involves an emphasis on working more collaboratively with </w:t>
      </w:r>
      <w:r w:rsidR="0047483B" w:rsidRPr="00DF6E63">
        <w:rPr>
          <w:rFonts w:ascii="Calibri" w:hAnsi="Calibri" w:cs="Calibri"/>
          <w:sz w:val="24"/>
          <w:szCs w:val="24"/>
        </w:rPr>
        <w:t>families</w:t>
      </w:r>
      <w:r w:rsidRPr="00DF6E63">
        <w:rPr>
          <w:rFonts w:ascii="Calibri" w:hAnsi="Calibri" w:cs="Calibri"/>
          <w:sz w:val="24"/>
          <w:szCs w:val="24"/>
        </w:rPr>
        <w:t xml:space="preserve"> to seek solutions to problems and developing skills and competencies to assist them to provide safe and nurturing environments. </w:t>
      </w:r>
      <w:r w:rsidR="0047483B">
        <w:rPr>
          <w:rFonts w:ascii="Calibri" w:hAnsi="Calibri" w:cs="Calibri"/>
          <w:sz w:val="24"/>
          <w:szCs w:val="24"/>
        </w:rPr>
        <w:t>I</w:t>
      </w:r>
      <w:r w:rsidRPr="00DF6E63">
        <w:rPr>
          <w:rFonts w:ascii="Calibri" w:hAnsi="Calibri" w:cs="Calibri"/>
          <w:sz w:val="24"/>
          <w:szCs w:val="24"/>
        </w:rPr>
        <w:t xml:space="preserve">mplementation is being supported through the provision of training to all staff across the agency to ensure </w:t>
      </w:r>
      <w:r w:rsidR="0047483B">
        <w:rPr>
          <w:rFonts w:ascii="Calibri" w:hAnsi="Calibri" w:cs="Calibri"/>
          <w:sz w:val="24"/>
          <w:szCs w:val="24"/>
        </w:rPr>
        <w:t xml:space="preserve">that </w:t>
      </w:r>
      <w:r w:rsidRPr="00DF6E63">
        <w:rPr>
          <w:rFonts w:ascii="Calibri" w:hAnsi="Calibri" w:cs="Calibri"/>
          <w:sz w:val="24"/>
          <w:szCs w:val="24"/>
        </w:rPr>
        <w:t>the approach permeates all aspects of practice and policy making.</w:t>
      </w:r>
    </w:p>
    <w:p w:rsidR="00DF6E63" w:rsidRDefault="00DF6E63" w:rsidP="00890AEB">
      <w:pPr>
        <w:rPr>
          <w:rFonts w:ascii="Calibri" w:hAnsi="Calibri" w:cs="Calibri"/>
          <w:sz w:val="24"/>
          <w:szCs w:val="24"/>
        </w:rPr>
      </w:pPr>
    </w:p>
    <w:p w:rsidR="00DF6E63" w:rsidRPr="00DF6E63" w:rsidRDefault="002C3200" w:rsidP="00DF6E63">
      <w:pPr>
        <w:rPr>
          <w:rFonts w:ascii="Calibri" w:hAnsi="Calibri" w:cs="Calibri"/>
          <w:sz w:val="24"/>
          <w:szCs w:val="24"/>
        </w:rPr>
      </w:pPr>
      <w:r>
        <w:rPr>
          <w:rFonts w:ascii="Calibri" w:hAnsi="Calibri" w:cs="Calibri"/>
          <w:sz w:val="24"/>
          <w:szCs w:val="24"/>
        </w:rPr>
        <w:t>DASSA</w:t>
      </w:r>
      <w:r w:rsidR="00890AEB" w:rsidRPr="008006B4">
        <w:rPr>
          <w:rFonts w:ascii="Calibri" w:hAnsi="Calibri" w:cs="Calibri"/>
          <w:sz w:val="24"/>
          <w:szCs w:val="24"/>
        </w:rPr>
        <w:t xml:space="preserve"> </w:t>
      </w:r>
      <w:r w:rsidR="00DF6E63" w:rsidRPr="00DF6E63">
        <w:rPr>
          <w:rFonts w:ascii="Calibri" w:hAnsi="Calibri" w:cs="Calibri"/>
          <w:sz w:val="24"/>
          <w:szCs w:val="24"/>
        </w:rPr>
        <w:t xml:space="preserve">has worked with </w:t>
      </w:r>
      <w:r w:rsidR="00CC16F4">
        <w:rPr>
          <w:rFonts w:ascii="Calibri" w:hAnsi="Calibri" w:cs="Calibri"/>
          <w:sz w:val="24"/>
          <w:szCs w:val="24"/>
        </w:rPr>
        <w:t>ACCP</w:t>
      </w:r>
      <w:r w:rsidR="00DF6E63" w:rsidRPr="00DF6E63">
        <w:rPr>
          <w:rFonts w:ascii="Calibri" w:hAnsi="Calibri" w:cs="Calibri"/>
          <w:sz w:val="24"/>
          <w:szCs w:val="24"/>
        </w:rPr>
        <w:t xml:space="preserve"> to develop a modified version of the national Child and Family Sensitive Practice for more extensive implementation across its services. This is currently a component of DASSA’s Child and Family Sensitive </w:t>
      </w:r>
      <w:r w:rsidR="00C25B01">
        <w:rPr>
          <w:rFonts w:ascii="Calibri" w:hAnsi="Calibri" w:cs="Calibri"/>
          <w:sz w:val="24"/>
          <w:szCs w:val="24"/>
        </w:rPr>
        <w:t xml:space="preserve">Practice </w:t>
      </w:r>
      <w:r w:rsidR="00DF6E63" w:rsidRPr="00DF6E63">
        <w:rPr>
          <w:rFonts w:ascii="Calibri" w:hAnsi="Calibri" w:cs="Calibri"/>
          <w:sz w:val="24"/>
          <w:szCs w:val="24"/>
        </w:rPr>
        <w:t xml:space="preserve">Service Development Plan. The Child and Family Sensitive Practice Service Development Plan </w:t>
      </w:r>
      <w:proofErr w:type="gramStart"/>
      <w:r w:rsidR="00DF6E63" w:rsidRPr="00DF6E63">
        <w:rPr>
          <w:rFonts w:ascii="Calibri" w:hAnsi="Calibri" w:cs="Calibri"/>
          <w:sz w:val="24"/>
          <w:szCs w:val="24"/>
        </w:rPr>
        <w:t>incorporates</w:t>
      </w:r>
      <w:proofErr w:type="gramEnd"/>
      <w:r w:rsidR="00DF6E63" w:rsidRPr="00DF6E63">
        <w:rPr>
          <w:rFonts w:ascii="Calibri" w:hAnsi="Calibri" w:cs="Calibri"/>
          <w:sz w:val="24"/>
          <w:szCs w:val="24"/>
        </w:rPr>
        <w:t xml:space="preserve"> staff training, credentialing and supervision, and data collection.</w:t>
      </w:r>
      <w:r w:rsidR="00A973E8">
        <w:rPr>
          <w:rFonts w:ascii="Calibri" w:hAnsi="Calibri" w:cs="Calibri"/>
          <w:sz w:val="24"/>
          <w:szCs w:val="24"/>
        </w:rPr>
        <w:t xml:space="preserve"> </w:t>
      </w:r>
      <w:r w:rsidR="00DF6E63" w:rsidRPr="00DF6E63">
        <w:rPr>
          <w:rFonts w:ascii="Calibri" w:hAnsi="Calibri" w:cs="Calibri"/>
          <w:sz w:val="24"/>
          <w:szCs w:val="24"/>
        </w:rPr>
        <w:t>It includes:</w:t>
      </w:r>
    </w:p>
    <w:p w:rsidR="00DF6E63" w:rsidRPr="00DF6E63" w:rsidRDefault="00DF6E63" w:rsidP="0047483B">
      <w:pPr>
        <w:pStyle w:val="ListBullet"/>
      </w:pPr>
      <w:r w:rsidRPr="00DF6E63">
        <w:t xml:space="preserve">explicit reference to Child and Family Sensitive Practice in DASSA’s formal Model of Care </w:t>
      </w:r>
    </w:p>
    <w:p w:rsidR="00DF6E63" w:rsidRPr="00DF6E63" w:rsidRDefault="00DF6E63" w:rsidP="0047483B">
      <w:pPr>
        <w:pStyle w:val="ListBullet"/>
      </w:pPr>
      <w:r w:rsidRPr="00DF6E63">
        <w:t xml:space="preserve">preparation of a training plan for Family Sensitive Practice </w:t>
      </w:r>
      <w:r w:rsidR="00A8762A">
        <w:t>for</w:t>
      </w:r>
      <w:r w:rsidRPr="00DF6E63">
        <w:t xml:space="preserve"> clinical staff members and managers/supervisors</w:t>
      </w:r>
    </w:p>
    <w:p w:rsidR="00DF6E63" w:rsidRPr="00DF6E63" w:rsidRDefault="00DF6E63" w:rsidP="0047483B">
      <w:pPr>
        <w:pStyle w:val="ListBullet"/>
      </w:pPr>
      <w:r w:rsidRPr="00DF6E63">
        <w:t>establishment of a forum for formalising shared training between DASSA and Families SA, on an annual basis</w:t>
      </w:r>
    </w:p>
    <w:p w:rsidR="00DF6E63" w:rsidRPr="00DF6E63" w:rsidRDefault="00DF6E63" w:rsidP="0047483B">
      <w:pPr>
        <w:pStyle w:val="ListBullet"/>
      </w:pPr>
      <w:r w:rsidRPr="00DF6E63">
        <w:t>establishment of Child Safe and Friendly environments within relevant clinical areas</w:t>
      </w:r>
    </w:p>
    <w:p w:rsidR="00DF6E63" w:rsidRDefault="00DF6E63" w:rsidP="0047483B">
      <w:pPr>
        <w:pStyle w:val="ListBullet"/>
      </w:pPr>
      <w:proofErr w:type="gramStart"/>
      <w:r w:rsidRPr="00DF6E63">
        <w:t>advancing</w:t>
      </w:r>
      <w:proofErr w:type="gramEnd"/>
      <w:r w:rsidRPr="00DF6E63">
        <w:t xml:space="preserve"> t</w:t>
      </w:r>
      <w:r w:rsidR="0047483B">
        <w:t>he collection of data on depende</w:t>
      </w:r>
      <w:r w:rsidRPr="00DF6E63">
        <w:t xml:space="preserve">nts of clients on the </w:t>
      </w:r>
      <w:r w:rsidR="0047483B" w:rsidRPr="00DF6E63">
        <w:t>organisation’s</w:t>
      </w:r>
      <w:r w:rsidRPr="00DF6E63">
        <w:t xml:space="preserve"> client information system.</w:t>
      </w:r>
      <w:r w:rsidR="00617FCC">
        <w:t xml:space="preserve"> </w:t>
      </w:r>
    </w:p>
    <w:p w:rsidR="00DF6E63" w:rsidRDefault="00DF6E63" w:rsidP="00DF6E63">
      <w:pPr>
        <w:ind w:left="426" w:hanging="426"/>
        <w:rPr>
          <w:rFonts w:ascii="Calibri" w:hAnsi="Calibri" w:cs="Calibri"/>
          <w:sz w:val="24"/>
          <w:szCs w:val="24"/>
        </w:rPr>
      </w:pPr>
    </w:p>
    <w:p w:rsidR="00890AEB" w:rsidRPr="008006B4" w:rsidRDefault="00617FCC" w:rsidP="0047483B">
      <w:pPr>
        <w:rPr>
          <w:rFonts w:ascii="Calibri" w:hAnsi="Calibri" w:cs="Calibri"/>
          <w:sz w:val="24"/>
          <w:szCs w:val="24"/>
        </w:rPr>
      </w:pPr>
      <w:r>
        <w:rPr>
          <w:rFonts w:ascii="Calibri" w:hAnsi="Calibri" w:cs="Calibri"/>
          <w:sz w:val="24"/>
          <w:szCs w:val="24"/>
        </w:rPr>
        <w:t>This plan</w:t>
      </w:r>
      <w:r w:rsidR="00890AEB" w:rsidRPr="008006B4">
        <w:rPr>
          <w:rFonts w:ascii="Calibri" w:hAnsi="Calibri" w:cs="Calibri"/>
          <w:sz w:val="24"/>
          <w:szCs w:val="24"/>
        </w:rPr>
        <w:t xml:space="preserve"> is currently </w:t>
      </w:r>
      <w:r>
        <w:rPr>
          <w:rFonts w:ascii="Calibri" w:hAnsi="Calibri" w:cs="Calibri"/>
          <w:sz w:val="24"/>
          <w:szCs w:val="24"/>
        </w:rPr>
        <w:t>being reviewed</w:t>
      </w:r>
      <w:r w:rsidR="00890AEB" w:rsidRPr="008006B4">
        <w:rPr>
          <w:rFonts w:ascii="Calibri" w:hAnsi="Calibri" w:cs="Calibri"/>
          <w:sz w:val="24"/>
          <w:szCs w:val="24"/>
        </w:rPr>
        <w:t xml:space="preserve"> in the light of recommendations of a report commissioned from the National Centre for Education and Training on Addiction</w:t>
      </w:r>
      <w:r w:rsidR="00DF6E63">
        <w:rPr>
          <w:rFonts w:ascii="Calibri" w:hAnsi="Calibri" w:cs="Calibri"/>
          <w:sz w:val="24"/>
          <w:szCs w:val="24"/>
        </w:rPr>
        <w:t>. This report</w:t>
      </w:r>
      <w:r w:rsidR="00890AEB" w:rsidRPr="008006B4">
        <w:rPr>
          <w:rFonts w:ascii="Calibri" w:hAnsi="Calibri" w:cs="Calibri"/>
          <w:sz w:val="24"/>
          <w:szCs w:val="24"/>
        </w:rPr>
        <w:t xml:space="preserve"> explores prevention</w:t>
      </w:r>
      <w:r w:rsidR="00D60DC2">
        <w:rPr>
          <w:rFonts w:ascii="Calibri" w:hAnsi="Calibri" w:cs="Calibri"/>
          <w:sz w:val="24"/>
          <w:szCs w:val="24"/>
        </w:rPr>
        <w:t>,</w:t>
      </w:r>
      <w:r w:rsidR="00890AEB" w:rsidRPr="008006B4">
        <w:rPr>
          <w:rFonts w:ascii="Calibri" w:hAnsi="Calibri" w:cs="Calibri"/>
          <w:sz w:val="24"/>
          <w:szCs w:val="24"/>
        </w:rPr>
        <w:t xml:space="preserve"> early intervention resources and strategies for working with clients of drug and alcohol services who </w:t>
      </w:r>
      <w:r>
        <w:rPr>
          <w:rFonts w:ascii="Calibri" w:hAnsi="Calibri" w:cs="Calibri"/>
          <w:sz w:val="24"/>
          <w:szCs w:val="24"/>
        </w:rPr>
        <w:t xml:space="preserve">are parents/carers of children </w:t>
      </w:r>
      <w:r w:rsidR="00D95CC8">
        <w:rPr>
          <w:rFonts w:ascii="Calibri" w:hAnsi="Calibri" w:cs="Calibri"/>
          <w:sz w:val="24"/>
          <w:szCs w:val="24"/>
        </w:rPr>
        <w:t>8</w:t>
      </w:r>
      <w:r w:rsidR="00D95CC8" w:rsidRPr="008006B4">
        <w:rPr>
          <w:rFonts w:ascii="Calibri" w:hAnsi="Calibri" w:cs="Calibri"/>
          <w:sz w:val="24"/>
          <w:szCs w:val="24"/>
        </w:rPr>
        <w:t xml:space="preserve"> </w:t>
      </w:r>
      <w:r w:rsidR="00890AEB" w:rsidRPr="008006B4">
        <w:rPr>
          <w:rFonts w:ascii="Calibri" w:hAnsi="Calibri" w:cs="Calibri"/>
          <w:sz w:val="24"/>
          <w:szCs w:val="24"/>
        </w:rPr>
        <w:t xml:space="preserve">years and under. </w:t>
      </w:r>
    </w:p>
    <w:p w:rsidR="00890AEB" w:rsidRPr="008006B4" w:rsidRDefault="00890AEB" w:rsidP="00890AEB">
      <w:pPr>
        <w:rPr>
          <w:rFonts w:ascii="Calibri" w:hAnsi="Calibri" w:cs="Calibri"/>
          <w:sz w:val="24"/>
          <w:szCs w:val="24"/>
        </w:rPr>
      </w:pPr>
    </w:p>
    <w:p w:rsidR="00890AEB" w:rsidRDefault="0058576F" w:rsidP="00890AEB">
      <w:pPr>
        <w:rPr>
          <w:rFonts w:ascii="Calibri" w:hAnsi="Calibri" w:cs="Calibri"/>
          <w:sz w:val="24"/>
          <w:szCs w:val="24"/>
        </w:rPr>
      </w:pPr>
      <w:r>
        <w:rPr>
          <w:rFonts w:ascii="Calibri" w:hAnsi="Calibri" w:cs="Calibri"/>
          <w:sz w:val="24"/>
          <w:szCs w:val="24"/>
        </w:rPr>
        <w:t xml:space="preserve">DECD </w:t>
      </w:r>
      <w:r w:rsidR="00D95CC8">
        <w:rPr>
          <w:rFonts w:ascii="Calibri" w:hAnsi="Calibri" w:cs="Calibri"/>
          <w:sz w:val="24"/>
          <w:szCs w:val="24"/>
        </w:rPr>
        <w:t>(</w:t>
      </w:r>
      <w:r w:rsidR="00890AEB" w:rsidRPr="008006B4">
        <w:rPr>
          <w:rFonts w:ascii="Calibri" w:hAnsi="Calibri" w:cs="Calibri"/>
          <w:sz w:val="24"/>
          <w:szCs w:val="24"/>
        </w:rPr>
        <w:t>Families SA</w:t>
      </w:r>
      <w:r w:rsidR="00D95CC8">
        <w:rPr>
          <w:rFonts w:ascii="Calibri" w:hAnsi="Calibri" w:cs="Calibri"/>
          <w:sz w:val="24"/>
          <w:szCs w:val="24"/>
        </w:rPr>
        <w:t>)</w:t>
      </w:r>
      <w:r w:rsidR="0083420A">
        <w:rPr>
          <w:rFonts w:ascii="Calibri" w:hAnsi="Calibri" w:cs="Calibri"/>
          <w:sz w:val="24"/>
          <w:szCs w:val="24"/>
        </w:rPr>
        <w:t>’s</w:t>
      </w:r>
      <w:r w:rsidR="00890AEB" w:rsidRPr="008006B4">
        <w:rPr>
          <w:rFonts w:ascii="Calibri" w:hAnsi="Calibri" w:cs="Calibri"/>
          <w:sz w:val="24"/>
          <w:szCs w:val="24"/>
        </w:rPr>
        <w:t xml:space="preserve"> </w:t>
      </w:r>
      <w:proofErr w:type="gramStart"/>
      <w:r w:rsidR="00890AEB" w:rsidRPr="008006B4">
        <w:rPr>
          <w:rFonts w:ascii="Calibri" w:hAnsi="Calibri" w:cs="Calibri"/>
          <w:sz w:val="24"/>
          <w:szCs w:val="24"/>
        </w:rPr>
        <w:t>Newly</w:t>
      </w:r>
      <w:proofErr w:type="gramEnd"/>
      <w:r w:rsidR="00890AEB" w:rsidRPr="008006B4">
        <w:rPr>
          <w:rFonts w:ascii="Calibri" w:hAnsi="Calibri" w:cs="Calibri"/>
          <w:sz w:val="24"/>
          <w:szCs w:val="24"/>
        </w:rPr>
        <w:t xml:space="preserve"> Emerging Communities Responsive Framework includes a program of training in cultural sensitivity for key locations</w:t>
      </w:r>
      <w:r w:rsidR="00AF57CE">
        <w:rPr>
          <w:rFonts w:ascii="Calibri" w:hAnsi="Calibri" w:cs="Calibri"/>
          <w:sz w:val="24"/>
          <w:szCs w:val="24"/>
        </w:rPr>
        <w:t>,</w:t>
      </w:r>
      <w:r w:rsidR="00890AEB" w:rsidRPr="008006B4">
        <w:rPr>
          <w:rFonts w:ascii="Calibri" w:hAnsi="Calibri" w:cs="Calibri"/>
          <w:sz w:val="24"/>
          <w:szCs w:val="24"/>
        </w:rPr>
        <w:t xml:space="preserve"> </w:t>
      </w:r>
      <w:r w:rsidR="00D60DC2">
        <w:rPr>
          <w:rFonts w:ascii="Calibri" w:hAnsi="Calibri" w:cs="Calibri"/>
          <w:sz w:val="24"/>
          <w:szCs w:val="24"/>
        </w:rPr>
        <w:t>in addition to</w:t>
      </w:r>
      <w:r w:rsidR="00890AEB" w:rsidRPr="008006B4">
        <w:rPr>
          <w:rFonts w:ascii="Calibri" w:hAnsi="Calibri" w:cs="Calibri"/>
          <w:sz w:val="24"/>
          <w:szCs w:val="24"/>
        </w:rPr>
        <w:t xml:space="preserve"> foundational and professional development education.</w:t>
      </w:r>
    </w:p>
    <w:p w:rsidR="00DF6E63" w:rsidRPr="00AF57CE" w:rsidRDefault="00DF6E63" w:rsidP="003C414F">
      <w:pPr>
        <w:pStyle w:val="Heading4"/>
      </w:pPr>
      <w:r w:rsidRPr="00AF57CE">
        <w:t>Domestic and Family Violence</w:t>
      </w:r>
    </w:p>
    <w:p w:rsidR="00DF6E63" w:rsidRPr="00DF6E63" w:rsidRDefault="00DF6E63" w:rsidP="00DF6E63">
      <w:pPr>
        <w:rPr>
          <w:rFonts w:ascii="Calibri" w:hAnsi="Calibri" w:cs="Calibri"/>
          <w:sz w:val="24"/>
          <w:szCs w:val="24"/>
        </w:rPr>
      </w:pPr>
      <w:r w:rsidRPr="00DF6E63">
        <w:rPr>
          <w:rFonts w:ascii="Calibri" w:hAnsi="Calibri" w:cs="Calibri"/>
          <w:sz w:val="24"/>
          <w:szCs w:val="24"/>
        </w:rPr>
        <w:t>The Family Safety Framework</w:t>
      </w:r>
      <w:r w:rsidR="00AF57CE">
        <w:rPr>
          <w:rFonts w:ascii="Calibri" w:hAnsi="Calibri" w:cs="Calibri"/>
          <w:sz w:val="24"/>
          <w:szCs w:val="24"/>
        </w:rPr>
        <w:t>,</w:t>
      </w:r>
      <w:r w:rsidRPr="00DF6E63">
        <w:rPr>
          <w:rFonts w:ascii="Calibri" w:hAnsi="Calibri" w:cs="Calibri"/>
          <w:sz w:val="24"/>
          <w:szCs w:val="24"/>
        </w:rPr>
        <w:t xml:space="preserve"> led by the Office for Women, is being rolled out across South Australia. This framework provides a strategic and proactive way of addressing domestic violence in South Australia</w:t>
      </w:r>
      <w:r w:rsidR="00AF57CE">
        <w:rPr>
          <w:rFonts w:ascii="Calibri" w:hAnsi="Calibri" w:cs="Calibri"/>
          <w:sz w:val="24"/>
          <w:szCs w:val="24"/>
        </w:rPr>
        <w:t xml:space="preserve">, </w:t>
      </w:r>
      <w:r w:rsidRPr="00DF6E63">
        <w:rPr>
          <w:rFonts w:ascii="Calibri" w:hAnsi="Calibri" w:cs="Calibri"/>
          <w:sz w:val="24"/>
          <w:szCs w:val="24"/>
        </w:rPr>
        <w:t>centred around ensuring that families most at risk of violence are provided with services in a structured and systematic way, through agencies sharing information about high</w:t>
      </w:r>
      <w:r w:rsidR="00AF57CE">
        <w:rPr>
          <w:rFonts w:ascii="Calibri" w:hAnsi="Calibri" w:cs="Calibri"/>
          <w:sz w:val="24"/>
          <w:szCs w:val="24"/>
        </w:rPr>
        <w:t>-</w:t>
      </w:r>
      <w:r w:rsidRPr="00DF6E63">
        <w:rPr>
          <w:rFonts w:ascii="Calibri" w:hAnsi="Calibri" w:cs="Calibri"/>
          <w:sz w:val="24"/>
          <w:szCs w:val="24"/>
        </w:rPr>
        <w:t xml:space="preserve">risk families and taking responsibility for supporting these families to navigate the service system. Housing SA is currently in the process of training all service delivery staff to enable them to undertake a Common Risk Assessment, to identify customers who are at high risk of serious harm. </w:t>
      </w:r>
    </w:p>
    <w:p w:rsidR="00DF6E63" w:rsidRPr="00DF6E63" w:rsidRDefault="00DF6E63" w:rsidP="00DF6E63">
      <w:pPr>
        <w:rPr>
          <w:rFonts w:ascii="Calibri" w:hAnsi="Calibri" w:cs="Calibri"/>
          <w:sz w:val="24"/>
          <w:szCs w:val="24"/>
        </w:rPr>
      </w:pPr>
    </w:p>
    <w:p w:rsidR="001F5AF3" w:rsidRPr="00AF57CE" w:rsidRDefault="00DF6E63" w:rsidP="00DF6E63">
      <w:pPr>
        <w:rPr>
          <w:rFonts w:ascii="Calibri" w:hAnsi="Calibri" w:cs="Calibri"/>
          <w:sz w:val="24"/>
          <w:szCs w:val="24"/>
        </w:rPr>
      </w:pPr>
      <w:r w:rsidRPr="00DF6E63">
        <w:rPr>
          <w:rFonts w:ascii="Calibri" w:hAnsi="Calibri" w:cs="Calibri"/>
          <w:sz w:val="24"/>
          <w:szCs w:val="24"/>
        </w:rPr>
        <w:t>The Staying Home Staying Safe Program</w:t>
      </w:r>
      <w:r w:rsidR="00B079B0">
        <w:rPr>
          <w:rFonts w:ascii="Calibri" w:hAnsi="Calibri" w:cs="Calibri"/>
          <w:sz w:val="24"/>
          <w:szCs w:val="24"/>
        </w:rPr>
        <w:t>,</w:t>
      </w:r>
      <w:r w:rsidRPr="00DF6E63">
        <w:rPr>
          <w:rFonts w:ascii="Calibri" w:hAnsi="Calibri" w:cs="Calibri"/>
          <w:sz w:val="24"/>
          <w:szCs w:val="24"/>
        </w:rPr>
        <w:t xml:space="preserve"> administered through Victims Support Services, provides a tailored response to allow women to remain home safely</w:t>
      </w:r>
      <w:r w:rsidR="00B079B0">
        <w:rPr>
          <w:rFonts w:ascii="Calibri" w:hAnsi="Calibri" w:cs="Calibri"/>
          <w:sz w:val="24"/>
          <w:szCs w:val="24"/>
        </w:rPr>
        <w:t>.</w:t>
      </w:r>
      <w:r w:rsidRPr="00DF6E63">
        <w:rPr>
          <w:rFonts w:ascii="Calibri" w:hAnsi="Calibri" w:cs="Calibri"/>
          <w:sz w:val="24"/>
          <w:szCs w:val="24"/>
        </w:rPr>
        <w:t xml:space="preserve"> This program aims to reduce homelessness for women and children who have experienced domestic or family violence. It assists them to remain in their own home</w:t>
      </w:r>
      <w:r w:rsidR="00AF57CE">
        <w:rPr>
          <w:rFonts w:ascii="Calibri" w:hAnsi="Calibri" w:cs="Calibri"/>
          <w:sz w:val="24"/>
          <w:szCs w:val="24"/>
        </w:rPr>
        <w:t>s</w:t>
      </w:r>
      <w:r w:rsidRPr="00DF6E63">
        <w:rPr>
          <w:rFonts w:ascii="Calibri" w:hAnsi="Calibri" w:cs="Calibri"/>
          <w:sz w:val="24"/>
          <w:szCs w:val="24"/>
        </w:rPr>
        <w:t>, to enable continued connectedness with their communities, schools and support systems. It provides safety planning assistance, linkages with support services, home safety audits and tailored home security packages</w:t>
      </w:r>
      <w:r w:rsidR="00AF57CE">
        <w:rPr>
          <w:rFonts w:ascii="Calibri" w:hAnsi="Calibri" w:cs="Calibri"/>
          <w:sz w:val="24"/>
          <w:szCs w:val="24"/>
        </w:rPr>
        <w:t>,</w:t>
      </w:r>
      <w:r w:rsidRPr="00DF6E63">
        <w:rPr>
          <w:rFonts w:ascii="Calibri" w:hAnsi="Calibri" w:cs="Calibri"/>
          <w:sz w:val="24"/>
          <w:szCs w:val="24"/>
        </w:rPr>
        <w:t xml:space="preserve"> including installation of locks, sensor lights and alarms.</w:t>
      </w:r>
    </w:p>
    <w:p w:rsidR="003A75BA" w:rsidRDefault="008006B4" w:rsidP="003C414F">
      <w:pPr>
        <w:pStyle w:val="Heading4"/>
      </w:pPr>
      <w:r>
        <w:t>Health and</w:t>
      </w:r>
      <w:r w:rsidR="003A75BA" w:rsidRPr="003A75BA">
        <w:t xml:space="preserve"> Mental Health </w:t>
      </w:r>
    </w:p>
    <w:p w:rsidR="003A75BA" w:rsidRPr="003A75BA" w:rsidRDefault="00AB65E9" w:rsidP="003A75BA">
      <w:pPr>
        <w:rPr>
          <w:rFonts w:ascii="Calibri" w:hAnsi="Calibri" w:cs="Calibri"/>
          <w:sz w:val="24"/>
          <w:szCs w:val="24"/>
        </w:rPr>
      </w:pPr>
      <w:r>
        <w:rPr>
          <w:rFonts w:ascii="Calibri" w:hAnsi="Calibri" w:cs="Calibri"/>
          <w:sz w:val="24"/>
          <w:szCs w:val="24"/>
        </w:rPr>
        <w:t>DECD (</w:t>
      </w:r>
      <w:r w:rsidR="003A75BA" w:rsidRPr="003A75BA">
        <w:rPr>
          <w:rFonts w:ascii="Calibri" w:hAnsi="Calibri" w:cs="Calibri"/>
          <w:sz w:val="24"/>
          <w:szCs w:val="24"/>
        </w:rPr>
        <w:t>Families SA) Residential Care and</w:t>
      </w:r>
      <w:r w:rsidR="007764A2">
        <w:rPr>
          <w:rFonts w:ascii="Calibri" w:hAnsi="Calibri" w:cs="Calibri"/>
          <w:sz w:val="24"/>
          <w:szCs w:val="24"/>
        </w:rPr>
        <w:t xml:space="preserve"> </w:t>
      </w:r>
      <w:r w:rsidR="003A75BA" w:rsidRPr="003A75BA">
        <w:rPr>
          <w:rFonts w:ascii="Calibri" w:hAnsi="Calibri" w:cs="Calibri"/>
          <w:sz w:val="24"/>
          <w:szCs w:val="24"/>
        </w:rPr>
        <w:t>The Second Stor</w:t>
      </w:r>
      <w:r w:rsidR="00617FCC">
        <w:rPr>
          <w:rFonts w:ascii="Calibri" w:hAnsi="Calibri" w:cs="Calibri"/>
          <w:sz w:val="24"/>
          <w:szCs w:val="24"/>
        </w:rPr>
        <w:t xml:space="preserve">y </w:t>
      </w:r>
      <w:r w:rsidR="00D95CC8">
        <w:rPr>
          <w:rFonts w:ascii="Calibri" w:hAnsi="Calibri" w:cs="Calibri"/>
          <w:sz w:val="24"/>
          <w:szCs w:val="24"/>
        </w:rPr>
        <w:t xml:space="preserve">(TSS) </w:t>
      </w:r>
      <w:r w:rsidR="00617FCC">
        <w:rPr>
          <w:rFonts w:ascii="Calibri" w:hAnsi="Calibri" w:cs="Calibri"/>
          <w:sz w:val="24"/>
          <w:szCs w:val="24"/>
        </w:rPr>
        <w:t>Youth Health Service have</w:t>
      </w:r>
      <w:r w:rsidR="003A75BA" w:rsidRPr="003A75BA">
        <w:rPr>
          <w:rFonts w:ascii="Calibri" w:hAnsi="Calibri" w:cs="Calibri"/>
          <w:sz w:val="24"/>
          <w:szCs w:val="24"/>
        </w:rPr>
        <w:t xml:space="preserve"> developed a new service agreement to ensure that all young people living in residential care have a case management plan with TSS and receive a comprehensive adolescent health assessment. It includes referrals for annual health checks and related care and ensures </w:t>
      </w:r>
      <w:r w:rsidR="00D95CC8">
        <w:rPr>
          <w:rFonts w:ascii="Calibri" w:hAnsi="Calibri" w:cs="Calibri"/>
          <w:sz w:val="24"/>
          <w:szCs w:val="24"/>
        </w:rPr>
        <w:t xml:space="preserve">that </w:t>
      </w:r>
      <w:r w:rsidR="003A75BA" w:rsidRPr="003A75BA">
        <w:rPr>
          <w:rFonts w:ascii="Calibri" w:hAnsi="Calibri" w:cs="Calibri"/>
          <w:sz w:val="24"/>
          <w:szCs w:val="24"/>
        </w:rPr>
        <w:t xml:space="preserve">each young person is engaged with TSS upon </w:t>
      </w:r>
      <w:r w:rsidR="00A8762A">
        <w:rPr>
          <w:rFonts w:ascii="Calibri" w:hAnsi="Calibri" w:cs="Calibri"/>
          <w:sz w:val="24"/>
          <w:szCs w:val="24"/>
        </w:rPr>
        <w:t>his or her</w:t>
      </w:r>
      <w:r w:rsidR="003A75BA" w:rsidRPr="003A75BA">
        <w:rPr>
          <w:rFonts w:ascii="Calibri" w:hAnsi="Calibri" w:cs="Calibri"/>
          <w:sz w:val="24"/>
          <w:szCs w:val="24"/>
        </w:rPr>
        <w:t xml:space="preserve"> exit from residential care. It incorporates a robust evaluation process that is focused on key performance indicators. Information regarding health histories and status will be shared between the two agencies and held in the Families SA centralised client information system.</w:t>
      </w:r>
    </w:p>
    <w:p w:rsidR="003A75BA" w:rsidRPr="003A75BA" w:rsidRDefault="003A75BA" w:rsidP="003A75BA">
      <w:pPr>
        <w:rPr>
          <w:rFonts w:ascii="Calibri" w:hAnsi="Calibri" w:cs="Calibri"/>
          <w:sz w:val="24"/>
          <w:szCs w:val="24"/>
        </w:rPr>
      </w:pPr>
    </w:p>
    <w:p w:rsidR="003A75BA" w:rsidRDefault="003A75BA" w:rsidP="003A75BA">
      <w:pPr>
        <w:rPr>
          <w:rFonts w:ascii="Calibri" w:hAnsi="Calibri" w:cs="Calibri"/>
          <w:sz w:val="24"/>
          <w:szCs w:val="24"/>
        </w:rPr>
      </w:pPr>
      <w:r w:rsidRPr="003A75BA">
        <w:rPr>
          <w:rFonts w:ascii="Calibri" w:hAnsi="Calibri" w:cs="Calibri"/>
          <w:sz w:val="24"/>
          <w:szCs w:val="24"/>
        </w:rPr>
        <w:t xml:space="preserve">SA Health and </w:t>
      </w:r>
      <w:r w:rsidR="0058576F">
        <w:rPr>
          <w:rFonts w:ascii="Calibri" w:hAnsi="Calibri" w:cs="Calibri"/>
          <w:sz w:val="24"/>
          <w:szCs w:val="24"/>
        </w:rPr>
        <w:t xml:space="preserve">DECD </w:t>
      </w:r>
      <w:r w:rsidR="009E62BB">
        <w:rPr>
          <w:rFonts w:ascii="Calibri" w:hAnsi="Calibri" w:cs="Calibri"/>
          <w:sz w:val="24"/>
          <w:szCs w:val="24"/>
        </w:rPr>
        <w:t>(</w:t>
      </w:r>
      <w:r w:rsidRPr="003A75BA">
        <w:rPr>
          <w:rFonts w:ascii="Calibri" w:hAnsi="Calibri" w:cs="Calibri"/>
          <w:sz w:val="24"/>
          <w:szCs w:val="24"/>
        </w:rPr>
        <w:t>Families SA</w:t>
      </w:r>
      <w:r w:rsidR="009E62BB">
        <w:rPr>
          <w:rFonts w:ascii="Calibri" w:hAnsi="Calibri" w:cs="Calibri"/>
          <w:sz w:val="24"/>
          <w:szCs w:val="24"/>
        </w:rPr>
        <w:t>)</w:t>
      </w:r>
      <w:r w:rsidRPr="003A75BA">
        <w:rPr>
          <w:rFonts w:ascii="Calibri" w:hAnsi="Calibri" w:cs="Calibri"/>
          <w:sz w:val="24"/>
          <w:szCs w:val="24"/>
        </w:rPr>
        <w:t xml:space="preserve"> are collaborating to implement the National Clinical Assessment Framework across all health networks.</w:t>
      </w:r>
      <w:r w:rsidR="007764A2">
        <w:rPr>
          <w:rFonts w:ascii="Calibri" w:hAnsi="Calibri" w:cs="Calibri"/>
          <w:sz w:val="24"/>
          <w:szCs w:val="24"/>
        </w:rPr>
        <w:t xml:space="preserve"> </w:t>
      </w:r>
      <w:r w:rsidRPr="003A75BA">
        <w:rPr>
          <w:rFonts w:ascii="Calibri" w:hAnsi="Calibri" w:cs="Calibri"/>
          <w:sz w:val="24"/>
          <w:szCs w:val="24"/>
        </w:rPr>
        <w:t>Clinical tools and the Health Standards for Children and Young People under the Guardianship of the Minis</w:t>
      </w:r>
      <w:r w:rsidR="00617FCC">
        <w:rPr>
          <w:rFonts w:ascii="Calibri" w:hAnsi="Calibri" w:cs="Calibri"/>
          <w:sz w:val="24"/>
          <w:szCs w:val="24"/>
        </w:rPr>
        <w:t>ter have</w:t>
      </w:r>
      <w:r w:rsidRPr="003A75BA">
        <w:rPr>
          <w:rFonts w:ascii="Calibri" w:hAnsi="Calibri" w:cs="Calibri"/>
          <w:sz w:val="24"/>
          <w:szCs w:val="24"/>
        </w:rPr>
        <w:t xml:space="preserve"> been reviewed</w:t>
      </w:r>
      <w:r w:rsidR="007764A2">
        <w:rPr>
          <w:rFonts w:ascii="Calibri" w:hAnsi="Calibri" w:cs="Calibri"/>
          <w:sz w:val="24"/>
          <w:szCs w:val="24"/>
        </w:rPr>
        <w:t xml:space="preserve"> </w:t>
      </w:r>
      <w:r w:rsidRPr="003A75BA">
        <w:rPr>
          <w:rFonts w:ascii="Calibri" w:hAnsi="Calibri" w:cs="Calibri"/>
          <w:sz w:val="24"/>
          <w:szCs w:val="24"/>
        </w:rPr>
        <w:t xml:space="preserve">to ensure </w:t>
      </w:r>
      <w:r w:rsidR="00D95CC8">
        <w:rPr>
          <w:rFonts w:ascii="Calibri" w:hAnsi="Calibri" w:cs="Calibri"/>
          <w:sz w:val="24"/>
          <w:szCs w:val="24"/>
        </w:rPr>
        <w:t xml:space="preserve">that </w:t>
      </w:r>
      <w:r w:rsidRPr="003A75BA">
        <w:rPr>
          <w:rFonts w:ascii="Calibri" w:hAnsi="Calibri" w:cs="Calibri"/>
          <w:sz w:val="24"/>
          <w:szCs w:val="24"/>
        </w:rPr>
        <w:t>the key elements of the new clinical assessment framework are incorporated and that ongoing</w:t>
      </w:r>
      <w:r w:rsidR="008D3BEC">
        <w:rPr>
          <w:rFonts w:ascii="Calibri" w:hAnsi="Calibri" w:cs="Calibri"/>
          <w:sz w:val="24"/>
          <w:szCs w:val="24"/>
        </w:rPr>
        <w:t xml:space="preserve"> monitoring and</w:t>
      </w:r>
      <w:r w:rsidRPr="003A75BA">
        <w:rPr>
          <w:rFonts w:ascii="Calibri" w:hAnsi="Calibri" w:cs="Calibri"/>
          <w:sz w:val="24"/>
          <w:szCs w:val="24"/>
        </w:rPr>
        <w:t xml:space="preserve"> review </w:t>
      </w:r>
      <w:r w:rsidR="008D3BEC">
        <w:rPr>
          <w:rFonts w:ascii="Calibri" w:hAnsi="Calibri" w:cs="Calibri"/>
          <w:sz w:val="24"/>
          <w:szCs w:val="24"/>
        </w:rPr>
        <w:t>occurs regarding</w:t>
      </w:r>
      <w:r w:rsidR="008D3BEC" w:rsidRPr="003A75BA">
        <w:rPr>
          <w:rFonts w:ascii="Calibri" w:hAnsi="Calibri" w:cs="Calibri"/>
          <w:sz w:val="24"/>
          <w:szCs w:val="24"/>
        </w:rPr>
        <w:t xml:space="preserve"> </w:t>
      </w:r>
      <w:r w:rsidRPr="003A75BA">
        <w:rPr>
          <w:rFonts w:ascii="Calibri" w:hAnsi="Calibri" w:cs="Calibri"/>
          <w:sz w:val="24"/>
          <w:szCs w:val="24"/>
        </w:rPr>
        <w:t>the child’s health status.</w:t>
      </w:r>
    </w:p>
    <w:p w:rsidR="003A75BA" w:rsidRDefault="003A75BA" w:rsidP="003A75BA">
      <w:pPr>
        <w:rPr>
          <w:rFonts w:ascii="Calibri" w:hAnsi="Calibri" w:cs="Calibri"/>
          <w:sz w:val="24"/>
          <w:szCs w:val="24"/>
        </w:rPr>
      </w:pPr>
    </w:p>
    <w:p w:rsidR="008006B4" w:rsidRPr="008006B4" w:rsidRDefault="008006B4" w:rsidP="008006B4">
      <w:pPr>
        <w:rPr>
          <w:rFonts w:ascii="Calibri" w:hAnsi="Calibri" w:cs="Calibri"/>
          <w:sz w:val="24"/>
          <w:szCs w:val="24"/>
        </w:rPr>
      </w:pPr>
      <w:r w:rsidRPr="008006B4">
        <w:rPr>
          <w:rFonts w:ascii="Calibri" w:hAnsi="Calibri" w:cs="Calibri"/>
          <w:sz w:val="24"/>
          <w:szCs w:val="24"/>
        </w:rPr>
        <w:t>Residential Care has developed strong interagency relationships to explore options to better meet the mental health needs of children and young people in their care. A service has been established for those with extremely complex needs</w:t>
      </w:r>
      <w:r w:rsidR="008D3BEC">
        <w:rPr>
          <w:rFonts w:ascii="Calibri" w:hAnsi="Calibri" w:cs="Calibri"/>
          <w:sz w:val="24"/>
          <w:szCs w:val="24"/>
        </w:rPr>
        <w:t>. This</w:t>
      </w:r>
      <w:r w:rsidRPr="008006B4">
        <w:rPr>
          <w:rFonts w:ascii="Calibri" w:hAnsi="Calibri" w:cs="Calibri"/>
          <w:sz w:val="24"/>
          <w:szCs w:val="24"/>
        </w:rPr>
        <w:t xml:space="preserve"> provides a care team comprising senior clinical staff from CAMHS and the Women’s and Children’s Hospital (WCH). Consulting services and support are provided in addition to direct therapeutic interventions where appropriate.</w:t>
      </w:r>
      <w:r w:rsidR="007764A2">
        <w:rPr>
          <w:rFonts w:ascii="Calibri" w:hAnsi="Calibri" w:cs="Calibri"/>
          <w:sz w:val="24"/>
          <w:szCs w:val="24"/>
        </w:rPr>
        <w:t xml:space="preserve"> </w:t>
      </w:r>
      <w:r w:rsidRPr="008006B4">
        <w:rPr>
          <w:rFonts w:ascii="Calibri" w:hAnsi="Calibri" w:cs="Calibri"/>
          <w:sz w:val="24"/>
          <w:szCs w:val="24"/>
        </w:rPr>
        <w:t xml:space="preserve">This will become part of a newly developed Therapeutic Residential Care </w:t>
      </w:r>
      <w:r w:rsidR="00757F58">
        <w:rPr>
          <w:rFonts w:ascii="Calibri" w:hAnsi="Calibri" w:cs="Calibri"/>
          <w:sz w:val="24"/>
          <w:szCs w:val="24"/>
        </w:rPr>
        <w:t xml:space="preserve">(TRC) </w:t>
      </w:r>
      <w:r w:rsidRPr="008006B4">
        <w:rPr>
          <w:rFonts w:ascii="Calibri" w:hAnsi="Calibri" w:cs="Calibri"/>
          <w:sz w:val="24"/>
          <w:szCs w:val="24"/>
        </w:rPr>
        <w:t>service area.</w:t>
      </w:r>
    </w:p>
    <w:p w:rsidR="008006B4" w:rsidRPr="008006B4" w:rsidRDefault="008006B4" w:rsidP="008006B4">
      <w:pPr>
        <w:rPr>
          <w:rFonts w:ascii="Calibri" w:hAnsi="Calibri" w:cs="Calibri"/>
          <w:sz w:val="24"/>
          <w:szCs w:val="24"/>
        </w:rPr>
      </w:pPr>
    </w:p>
    <w:p w:rsidR="008006B4" w:rsidRPr="008006B4" w:rsidRDefault="008D3BEC" w:rsidP="008006B4">
      <w:pPr>
        <w:rPr>
          <w:rFonts w:ascii="Calibri" w:hAnsi="Calibri" w:cs="Calibri"/>
          <w:sz w:val="24"/>
          <w:szCs w:val="24"/>
        </w:rPr>
      </w:pPr>
      <w:r>
        <w:rPr>
          <w:rFonts w:ascii="Calibri" w:hAnsi="Calibri" w:cs="Calibri"/>
          <w:sz w:val="24"/>
          <w:szCs w:val="24"/>
        </w:rPr>
        <w:t>T</w:t>
      </w:r>
      <w:r w:rsidR="008006B4" w:rsidRPr="008006B4">
        <w:rPr>
          <w:rFonts w:ascii="Calibri" w:hAnsi="Calibri" w:cs="Calibri"/>
          <w:sz w:val="24"/>
          <w:szCs w:val="24"/>
        </w:rPr>
        <w:t xml:space="preserve">he </w:t>
      </w:r>
      <w:r w:rsidR="008006B4" w:rsidRPr="00F71BC2">
        <w:rPr>
          <w:rFonts w:ascii="Calibri" w:hAnsi="Calibri" w:cs="Calibri"/>
          <w:i/>
          <w:sz w:val="24"/>
          <w:szCs w:val="24"/>
        </w:rPr>
        <w:t>South Australian Suicide Prevention Strategy 2012</w:t>
      </w:r>
      <w:r w:rsidR="00D95CC8" w:rsidRPr="00F71BC2">
        <w:rPr>
          <w:rFonts w:ascii="Calibri" w:hAnsi="Calibri" w:cs="Calibri"/>
          <w:i/>
          <w:sz w:val="24"/>
          <w:szCs w:val="24"/>
        </w:rPr>
        <w:t>–</w:t>
      </w:r>
      <w:r w:rsidR="00F71BC2">
        <w:rPr>
          <w:rFonts w:ascii="Calibri" w:hAnsi="Calibri" w:cs="Calibri"/>
          <w:i/>
          <w:sz w:val="24"/>
          <w:szCs w:val="24"/>
        </w:rPr>
        <w:t>20</w:t>
      </w:r>
      <w:r w:rsidR="008006B4" w:rsidRPr="00F71BC2">
        <w:rPr>
          <w:rFonts w:ascii="Calibri" w:hAnsi="Calibri" w:cs="Calibri"/>
          <w:i/>
          <w:sz w:val="24"/>
          <w:szCs w:val="24"/>
        </w:rPr>
        <w:t>16</w:t>
      </w:r>
      <w:r w:rsidRPr="008D3BEC">
        <w:t xml:space="preserve"> </w:t>
      </w:r>
      <w:r w:rsidRPr="00AF57CE">
        <w:rPr>
          <w:rFonts w:ascii="Calibri" w:hAnsi="Calibri" w:cs="Calibri"/>
          <w:sz w:val="24"/>
          <w:szCs w:val="24"/>
        </w:rPr>
        <w:t>prioritises access for children and young people in care to comprehensive and multidisciplinary mental health services.</w:t>
      </w:r>
      <w:r w:rsidR="008006B4" w:rsidRPr="008006B4">
        <w:rPr>
          <w:rFonts w:ascii="Calibri" w:hAnsi="Calibri" w:cs="Calibri"/>
          <w:sz w:val="24"/>
          <w:szCs w:val="24"/>
        </w:rPr>
        <w:t xml:space="preserve"> </w:t>
      </w:r>
      <w:r>
        <w:rPr>
          <w:rFonts w:ascii="Calibri" w:hAnsi="Calibri" w:cs="Calibri"/>
          <w:sz w:val="24"/>
          <w:szCs w:val="24"/>
        </w:rPr>
        <w:t>A</w:t>
      </w:r>
      <w:r w:rsidR="008006B4" w:rsidRPr="008006B4">
        <w:rPr>
          <w:rFonts w:ascii="Calibri" w:hAnsi="Calibri" w:cs="Calibri"/>
          <w:sz w:val="24"/>
          <w:szCs w:val="24"/>
        </w:rPr>
        <w:t xml:space="preserve"> Ministerial Suicide Prevention Advisory Committee </w:t>
      </w:r>
      <w:r>
        <w:rPr>
          <w:rFonts w:ascii="Calibri" w:hAnsi="Calibri" w:cs="Calibri"/>
          <w:sz w:val="24"/>
          <w:szCs w:val="24"/>
        </w:rPr>
        <w:t xml:space="preserve">was established </w:t>
      </w:r>
      <w:r w:rsidR="008006B4" w:rsidRPr="008006B4">
        <w:rPr>
          <w:rFonts w:ascii="Calibri" w:hAnsi="Calibri" w:cs="Calibri"/>
          <w:sz w:val="24"/>
          <w:szCs w:val="24"/>
        </w:rPr>
        <w:t>in September 2012</w:t>
      </w:r>
      <w:r>
        <w:rPr>
          <w:rFonts w:ascii="Calibri" w:hAnsi="Calibri" w:cs="Calibri"/>
          <w:sz w:val="24"/>
          <w:szCs w:val="24"/>
        </w:rPr>
        <w:t xml:space="preserve"> and includes</w:t>
      </w:r>
      <w:r w:rsidR="008006B4" w:rsidRPr="008006B4">
        <w:rPr>
          <w:rFonts w:ascii="Calibri" w:hAnsi="Calibri" w:cs="Calibri"/>
          <w:sz w:val="24"/>
          <w:szCs w:val="24"/>
        </w:rPr>
        <w:t xml:space="preserve"> </w:t>
      </w:r>
      <w:r w:rsidR="00D95CC8" w:rsidRPr="008006B4">
        <w:rPr>
          <w:rFonts w:ascii="Calibri" w:hAnsi="Calibri" w:cs="Calibri"/>
          <w:sz w:val="24"/>
          <w:szCs w:val="24"/>
        </w:rPr>
        <w:t>cross</w:t>
      </w:r>
      <w:r w:rsidR="00D95CC8">
        <w:rPr>
          <w:rFonts w:ascii="Calibri" w:hAnsi="Calibri" w:cs="Calibri"/>
          <w:sz w:val="24"/>
          <w:szCs w:val="24"/>
        </w:rPr>
        <w:t>-</w:t>
      </w:r>
      <w:r>
        <w:rPr>
          <w:rFonts w:ascii="Calibri" w:hAnsi="Calibri" w:cs="Calibri"/>
          <w:sz w:val="24"/>
          <w:szCs w:val="24"/>
        </w:rPr>
        <w:t>government</w:t>
      </w:r>
      <w:r w:rsidRPr="008006B4">
        <w:rPr>
          <w:rFonts w:ascii="Calibri" w:hAnsi="Calibri" w:cs="Calibri"/>
          <w:sz w:val="24"/>
          <w:szCs w:val="24"/>
        </w:rPr>
        <w:t xml:space="preserve"> </w:t>
      </w:r>
      <w:r w:rsidR="008006B4" w:rsidRPr="008006B4">
        <w:rPr>
          <w:rFonts w:ascii="Calibri" w:hAnsi="Calibri" w:cs="Calibri"/>
          <w:sz w:val="24"/>
          <w:szCs w:val="24"/>
        </w:rPr>
        <w:t>representation</w:t>
      </w:r>
      <w:r>
        <w:rPr>
          <w:rFonts w:ascii="Calibri" w:hAnsi="Calibri" w:cs="Calibri"/>
          <w:sz w:val="24"/>
          <w:szCs w:val="24"/>
        </w:rPr>
        <w:t xml:space="preserve"> from</w:t>
      </w:r>
      <w:r w:rsidR="008006B4" w:rsidRPr="008006B4">
        <w:rPr>
          <w:rFonts w:ascii="Calibri" w:hAnsi="Calibri" w:cs="Calibri"/>
          <w:sz w:val="24"/>
          <w:szCs w:val="24"/>
        </w:rPr>
        <w:t xml:space="preserve"> </w:t>
      </w:r>
      <w:r w:rsidR="00AF57CE">
        <w:rPr>
          <w:rFonts w:ascii="Calibri" w:hAnsi="Calibri" w:cs="Calibri"/>
          <w:sz w:val="24"/>
          <w:szCs w:val="24"/>
        </w:rPr>
        <w:t>DECD</w:t>
      </w:r>
      <w:r w:rsidR="008006B4" w:rsidRPr="008006B4">
        <w:rPr>
          <w:rFonts w:ascii="Calibri" w:hAnsi="Calibri" w:cs="Calibri"/>
          <w:sz w:val="24"/>
          <w:szCs w:val="24"/>
        </w:rPr>
        <w:t xml:space="preserve">, </w:t>
      </w:r>
      <w:r w:rsidR="000341A5">
        <w:rPr>
          <w:rFonts w:ascii="Calibri" w:hAnsi="Calibri" w:cs="Calibri"/>
          <w:sz w:val="24"/>
          <w:szCs w:val="24"/>
        </w:rPr>
        <w:t>DCSI</w:t>
      </w:r>
      <w:r w:rsidR="00617FCC">
        <w:rPr>
          <w:rFonts w:ascii="Calibri" w:hAnsi="Calibri" w:cs="Calibri"/>
          <w:sz w:val="24"/>
          <w:szCs w:val="24"/>
        </w:rPr>
        <w:t xml:space="preserve"> and the</w:t>
      </w:r>
      <w:r w:rsidR="008006B4" w:rsidRPr="008006B4">
        <w:rPr>
          <w:rFonts w:ascii="Calibri" w:hAnsi="Calibri" w:cs="Calibri"/>
          <w:sz w:val="24"/>
          <w:szCs w:val="24"/>
        </w:rPr>
        <w:t xml:space="preserve"> SA Police</w:t>
      </w:r>
      <w:r w:rsidR="00617FCC">
        <w:rPr>
          <w:rFonts w:ascii="Calibri" w:hAnsi="Calibri" w:cs="Calibri"/>
          <w:sz w:val="24"/>
          <w:szCs w:val="24"/>
        </w:rPr>
        <w:t>,</w:t>
      </w:r>
      <w:r w:rsidR="008006B4" w:rsidRPr="008006B4">
        <w:rPr>
          <w:rFonts w:ascii="Calibri" w:hAnsi="Calibri" w:cs="Calibri"/>
          <w:sz w:val="24"/>
          <w:szCs w:val="24"/>
        </w:rPr>
        <w:t xml:space="preserve"> </w:t>
      </w:r>
      <w:r>
        <w:rPr>
          <w:rFonts w:ascii="Calibri" w:hAnsi="Calibri" w:cs="Calibri"/>
          <w:sz w:val="24"/>
          <w:szCs w:val="24"/>
        </w:rPr>
        <w:t>in addition to non-government</w:t>
      </w:r>
      <w:r w:rsidR="008006B4" w:rsidRPr="008006B4">
        <w:rPr>
          <w:rFonts w:ascii="Calibri" w:hAnsi="Calibri" w:cs="Calibri"/>
          <w:sz w:val="24"/>
          <w:szCs w:val="24"/>
        </w:rPr>
        <w:t>, consumer and carer representati</w:t>
      </w:r>
      <w:r>
        <w:rPr>
          <w:rFonts w:ascii="Calibri" w:hAnsi="Calibri" w:cs="Calibri"/>
          <w:sz w:val="24"/>
          <w:szCs w:val="24"/>
        </w:rPr>
        <w:t>ves</w:t>
      </w:r>
      <w:r w:rsidR="008006B4" w:rsidRPr="008006B4">
        <w:rPr>
          <w:rFonts w:ascii="Calibri" w:hAnsi="Calibri" w:cs="Calibri"/>
          <w:sz w:val="24"/>
          <w:szCs w:val="24"/>
        </w:rPr>
        <w:t>. An annual inventory of all actions being implemented across SA in accordance with the strategy is being undertaken.</w:t>
      </w:r>
    </w:p>
    <w:p w:rsidR="008006B4" w:rsidRPr="008006B4" w:rsidRDefault="008006B4" w:rsidP="008006B4">
      <w:pPr>
        <w:rPr>
          <w:rFonts w:ascii="Calibri" w:hAnsi="Calibri" w:cs="Calibri"/>
          <w:sz w:val="24"/>
          <w:szCs w:val="24"/>
        </w:rPr>
      </w:pPr>
    </w:p>
    <w:p w:rsidR="008006B4" w:rsidRPr="008006B4" w:rsidRDefault="00617FCC" w:rsidP="008006B4">
      <w:pPr>
        <w:rPr>
          <w:rFonts w:ascii="Calibri" w:hAnsi="Calibri" w:cs="Calibri"/>
          <w:sz w:val="24"/>
          <w:szCs w:val="24"/>
        </w:rPr>
      </w:pPr>
      <w:r w:rsidRPr="00617FCC">
        <w:rPr>
          <w:rFonts w:ascii="Calibri" w:hAnsi="Calibri" w:cs="Calibri"/>
          <w:sz w:val="24"/>
          <w:szCs w:val="24"/>
        </w:rPr>
        <w:t>A</w:t>
      </w:r>
      <w:r w:rsidR="008006B4" w:rsidRPr="00617FCC">
        <w:rPr>
          <w:rFonts w:ascii="Calibri" w:hAnsi="Calibri" w:cs="Calibri"/>
          <w:sz w:val="24"/>
          <w:szCs w:val="24"/>
        </w:rPr>
        <w:t xml:space="preserve"> Youth Mental Health </w:t>
      </w:r>
      <w:r w:rsidR="003A0617">
        <w:rPr>
          <w:rFonts w:ascii="Calibri" w:hAnsi="Calibri" w:cs="Calibri"/>
          <w:sz w:val="24"/>
          <w:szCs w:val="24"/>
        </w:rPr>
        <w:t>model of care</w:t>
      </w:r>
      <w:r w:rsidR="008006B4" w:rsidRPr="00617FCC">
        <w:rPr>
          <w:rFonts w:ascii="Calibri" w:hAnsi="Calibri" w:cs="Calibri"/>
          <w:sz w:val="24"/>
          <w:szCs w:val="24"/>
        </w:rPr>
        <w:t xml:space="preserve"> </w:t>
      </w:r>
      <w:r w:rsidR="008006B4" w:rsidRPr="008006B4">
        <w:rPr>
          <w:rFonts w:ascii="Calibri" w:hAnsi="Calibri" w:cs="Calibri"/>
          <w:sz w:val="24"/>
          <w:szCs w:val="24"/>
        </w:rPr>
        <w:t>is being developed for young people aged 16</w:t>
      </w:r>
      <w:r w:rsidR="00945F81">
        <w:rPr>
          <w:rFonts w:ascii="Calibri" w:hAnsi="Calibri" w:cs="Calibri"/>
          <w:sz w:val="24"/>
          <w:szCs w:val="24"/>
        </w:rPr>
        <w:t xml:space="preserve"> to </w:t>
      </w:r>
      <w:r w:rsidR="008006B4" w:rsidRPr="008006B4">
        <w:rPr>
          <w:rFonts w:ascii="Calibri" w:hAnsi="Calibri" w:cs="Calibri"/>
          <w:sz w:val="24"/>
          <w:szCs w:val="24"/>
        </w:rPr>
        <w:t>24 with emerging and established mental health disorders</w:t>
      </w:r>
      <w:r w:rsidR="00D95CC8">
        <w:rPr>
          <w:rFonts w:ascii="Calibri" w:hAnsi="Calibri" w:cs="Calibri"/>
          <w:sz w:val="24"/>
          <w:szCs w:val="24"/>
        </w:rPr>
        <w:t>,</w:t>
      </w:r>
      <w:r w:rsidR="008006B4" w:rsidRPr="008006B4">
        <w:rPr>
          <w:rFonts w:ascii="Calibri" w:hAnsi="Calibri" w:cs="Calibri"/>
          <w:sz w:val="24"/>
          <w:szCs w:val="24"/>
        </w:rPr>
        <w:t xml:space="preserve"> to guide the provision of comprehensive, integrated and developmentally appropriate services. Young people under the Guardianship</w:t>
      </w:r>
      <w:r w:rsidR="007764A2">
        <w:rPr>
          <w:rFonts w:ascii="Calibri" w:hAnsi="Calibri" w:cs="Calibri"/>
          <w:sz w:val="24"/>
          <w:szCs w:val="24"/>
        </w:rPr>
        <w:t xml:space="preserve"> </w:t>
      </w:r>
      <w:r w:rsidR="008006B4" w:rsidRPr="008006B4">
        <w:rPr>
          <w:rFonts w:ascii="Calibri" w:hAnsi="Calibri" w:cs="Calibri"/>
          <w:sz w:val="24"/>
          <w:szCs w:val="24"/>
        </w:rPr>
        <w:t>of the Minister (and post care) are identified as a key group, as are young people who are Aboriginal or T</w:t>
      </w:r>
      <w:r>
        <w:rPr>
          <w:rFonts w:ascii="Calibri" w:hAnsi="Calibri" w:cs="Calibri"/>
          <w:sz w:val="24"/>
          <w:szCs w:val="24"/>
        </w:rPr>
        <w:t xml:space="preserve">orres Strait Islander or from </w:t>
      </w:r>
      <w:r w:rsidR="002C3200">
        <w:rPr>
          <w:rFonts w:ascii="Calibri" w:hAnsi="Calibri" w:cs="Calibri"/>
          <w:sz w:val="24"/>
          <w:szCs w:val="24"/>
        </w:rPr>
        <w:t>CALD</w:t>
      </w:r>
      <w:r w:rsidR="008006B4" w:rsidRPr="008006B4">
        <w:rPr>
          <w:rFonts w:ascii="Calibri" w:hAnsi="Calibri" w:cs="Calibri"/>
          <w:sz w:val="24"/>
          <w:szCs w:val="24"/>
        </w:rPr>
        <w:t xml:space="preserve"> backgrounds.</w:t>
      </w:r>
    </w:p>
    <w:p w:rsidR="00044435" w:rsidRDefault="00E96545" w:rsidP="003C414F">
      <w:pPr>
        <w:pStyle w:val="Heading4"/>
      </w:pPr>
      <w:r>
        <w:t>Disability</w:t>
      </w:r>
    </w:p>
    <w:p w:rsidR="00A60A89" w:rsidRDefault="00B079B0" w:rsidP="00BD5D4E">
      <w:pPr>
        <w:rPr>
          <w:rFonts w:ascii="Calibri" w:hAnsi="Calibri" w:cs="Calibri"/>
          <w:sz w:val="24"/>
          <w:szCs w:val="24"/>
        </w:rPr>
      </w:pPr>
      <w:r>
        <w:rPr>
          <w:rFonts w:ascii="Calibri" w:hAnsi="Calibri" w:cs="Calibri"/>
          <w:sz w:val="24"/>
          <w:szCs w:val="24"/>
        </w:rPr>
        <w:t>The</w:t>
      </w:r>
      <w:r w:rsidR="00AF57CE">
        <w:rPr>
          <w:rFonts w:ascii="Calibri" w:hAnsi="Calibri" w:cs="Calibri"/>
          <w:sz w:val="24"/>
          <w:szCs w:val="24"/>
        </w:rPr>
        <w:t xml:space="preserve"> </w:t>
      </w:r>
      <w:r w:rsidR="00617FCC" w:rsidRPr="00617FCC">
        <w:rPr>
          <w:rFonts w:ascii="Calibri" w:hAnsi="Calibri" w:cs="Calibri"/>
          <w:sz w:val="24"/>
          <w:szCs w:val="24"/>
        </w:rPr>
        <w:t xml:space="preserve">Protocol for Collaboration between Families SA, Disability Services and Disability SA </w:t>
      </w:r>
      <w:r w:rsidR="008D3BEC" w:rsidRPr="008D3BEC">
        <w:rPr>
          <w:rFonts w:ascii="Calibri" w:hAnsi="Calibri" w:cs="Calibri"/>
          <w:sz w:val="24"/>
          <w:szCs w:val="24"/>
        </w:rPr>
        <w:t>has been reviewed by practitioners and policy development areas within each organisation. The new Protocol provides improved clarity of roles and responsibilities to guide practice for childr</w:t>
      </w:r>
      <w:r>
        <w:rPr>
          <w:rFonts w:ascii="Calibri" w:hAnsi="Calibri" w:cs="Calibri"/>
          <w:sz w:val="24"/>
          <w:szCs w:val="24"/>
        </w:rPr>
        <w:t>en with disabilities in the out-of-</w:t>
      </w:r>
      <w:r w:rsidR="008D3BEC" w:rsidRPr="008D3BEC">
        <w:rPr>
          <w:rFonts w:ascii="Calibri" w:hAnsi="Calibri" w:cs="Calibri"/>
          <w:sz w:val="24"/>
          <w:szCs w:val="24"/>
        </w:rPr>
        <w:t>home care system.</w:t>
      </w:r>
    </w:p>
    <w:p w:rsidR="00BD5D4E" w:rsidRPr="00821556" w:rsidRDefault="00BD5D4E" w:rsidP="008B547E">
      <w:pPr>
        <w:pStyle w:val="Heading3"/>
      </w:pPr>
      <w:bookmarkStart w:id="143" w:name="_Toc400007737"/>
      <w:r w:rsidRPr="00821556">
        <w:t>Tasmania</w:t>
      </w:r>
      <w:bookmarkEnd w:id="143"/>
    </w:p>
    <w:p w:rsidR="00543FB7" w:rsidRPr="003C414F" w:rsidRDefault="00543FB7" w:rsidP="003C414F">
      <w:pPr>
        <w:pStyle w:val="Heading4"/>
        <w:rPr>
          <w:lang w:val="en-AU"/>
        </w:rPr>
      </w:pPr>
      <w:r w:rsidRPr="00C94CE3">
        <w:t>Building W</w:t>
      </w:r>
      <w:r w:rsidR="003C414F">
        <w:t>orkforce Capacity and Expertise</w:t>
      </w:r>
    </w:p>
    <w:p w:rsidR="00543FB7" w:rsidRPr="00C94CE3" w:rsidRDefault="0087199E" w:rsidP="00543FB7">
      <w:pPr>
        <w:rPr>
          <w:rFonts w:ascii="Calibri" w:hAnsi="Calibri" w:cs="Calibri"/>
          <w:sz w:val="24"/>
          <w:szCs w:val="24"/>
        </w:rPr>
      </w:pPr>
      <w:r w:rsidRPr="00663B14">
        <w:rPr>
          <w:rFonts w:ascii="Calibri" w:hAnsi="Calibri"/>
          <w:sz w:val="24"/>
          <w:szCs w:val="24"/>
        </w:rPr>
        <w:t>The development of a CYS</w:t>
      </w:r>
      <w:r w:rsidR="002D2233">
        <w:rPr>
          <w:rFonts w:ascii="Calibri" w:hAnsi="Calibri"/>
          <w:sz w:val="24"/>
          <w:szCs w:val="24"/>
        </w:rPr>
        <w:t>-</w:t>
      </w:r>
      <w:r w:rsidRPr="00663B14">
        <w:rPr>
          <w:rFonts w:ascii="Calibri" w:hAnsi="Calibri"/>
          <w:sz w:val="24"/>
          <w:szCs w:val="24"/>
        </w:rPr>
        <w:t>wide training continuum is underway and is being continually refined.</w:t>
      </w:r>
      <w:r w:rsidR="00A43557">
        <w:rPr>
          <w:rFonts w:ascii="Calibri" w:hAnsi="Calibri"/>
          <w:sz w:val="24"/>
          <w:szCs w:val="24"/>
        </w:rPr>
        <w:t xml:space="preserve"> </w:t>
      </w:r>
      <w:r w:rsidRPr="00663B14">
        <w:rPr>
          <w:rFonts w:ascii="Calibri" w:hAnsi="Calibri"/>
          <w:sz w:val="24"/>
          <w:szCs w:val="24"/>
        </w:rPr>
        <w:t xml:space="preserve">The workforce development area of the </w:t>
      </w:r>
      <w:r w:rsidR="008514A0">
        <w:rPr>
          <w:rFonts w:ascii="Calibri" w:hAnsi="Calibri"/>
          <w:sz w:val="24"/>
          <w:szCs w:val="24"/>
        </w:rPr>
        <w:t>QIWD</w:t>
      </w:r>
      <w:r w:rsidRPr="00663B14">
        <w:rPr>
          <w:rFonts w:ascii="Calibri" w:hAnsi="Calibri"/>
          <w:sz w:val="24"/>
          <w:szCs w:val="24"/>
        </w:rPr>
        <w:t xml:space="preserve"> team </w:t>
      </w:r>
      <w:r w:rsidR="009C3022">
        <w:rPr>
          <w:rFonts w:ascii="Calibri" w:hAnsi="Calibri"/>
          <w:sz w:val="24"/>
          <w:szCs w:val="24"/>
        </w:rPr>
        <w:t>has</w:t>
      </w:r>
      <w:r w:rsidRPr="00663B14">
        <w:rPr>
          <w:rFonts w:ascii="Calibri" w:hAnsi="Calibri"/>
          <w:sz w:val="24"/>
          <w:szCs w:val="24"/>
        </w:rPr>
        <w:t xml:space="preserve"> been working closely with other </w:t>
      </w:r>
      <w:r w:rsidR="00C8305C">
        <w:rPr>
          <w:rFonts w:ascii="Calibri" w:hAnsi="Calibri"/>
          <w:sz w:val="24"/>
          <w:szCs w:val="24"/>
        </w:rPr>
        <w:t>community sector</w:t>
      </w:r>
      <w:r w:rsidRPr="00663B14">
        <w:rPr>
          <w:rFonts w:ascii="Calibri" w:hAnsi="Calibri"/>
          <w:sz w:val="24"/>
          <w:szCs w:val="24"/>
        </w:rPr>
        <w:t xml:space="preserve"> training organisations, such as Berry Street and Dr Dorothy Scott of </w:t>
      </w:r>
      <w:proofErr w:type="spellStart"/>
      <w:r w:rsidRPr="00663B14">
        <w:rPr>
          <w:rFonts w:ascii="Calibri" w:hAnsi="Calibri"/>
          <w:sz w:val="24"/>
          <w:szCs w:val="24"/>
        </w:rPr>
        <w:t>Bracton</w:t>
      </w:r>
      <w:proofErr w:type="spellEnd"/>
      <w:r w:rsidRPr="00663B14">
        <w:rPr>
          <w:rFonts w:ascii="Calibri" w:hAnsi="Calibri"/>
          <w:sz w:val="24"/>
          <w:szCs w:val="24"/>
        </w:rPr>
        <w:t xml:space="preserve"> Consulting Services, in order to offer joint training opportunities across the program areas as much as possible. This will capitalise on training and education from all areas to increase </w:t>
      </w:r>
      <w:r>
        <w:rPr>
          <w:rFonts w:ascii="Calibri" w:hAnsi="Calibri"/>
          <w:sz w:val="24"/>
          <w:szCs w:val="24"/>
        </w:rPr>
        <w:t xml:space="preserve">the </w:t>
      </w:r>
      <w:r w:rsidRPr="00663B14">
        <w:rPr>
          <w:rFonts w:ascii="Calibri" w:hAnsi="Calibri"/>
          <w:sz w:val="24"/>
          <w:szCs w:val="24"/>
        </w:rPr>
        <w:t xml:space="preserve">knowledge and skills of staff </w:t>
      </w:r>
      <w:r>
        <w:rPr>
          <w:rFonts w:ascii="Calibri" w:hAnsi="Calibri"/>
          <w:sz w:val="24"/>
          <w:szCs w:val="24"/>
        </w:rPr>
        <w:t xml:space="preserve">in order </w:t>
      </w:r>
      <w:r w:rsidRPr="00663B14">
        <w:rPr>
          <w:rFonts w:ascii="Calibri" w:hAnsi="Calibri"/>
          <w:sz w:val="24"/>
          <w:szCs w:val="24"/>
        </w:rPr>
        <w:t>to improve child and family</w:t>
      </w:r>
      <w:r w:rsidR="009C3022">
        <w:rPr>
          <w:rFonts w:ascii="Calibri" w:hAnsi="Calibri"/>
          <w:sz w:val="24"/>
          <w:szCs w:val="24"/>
        </w:rPr>
        <w:t>-</w:t>
      </w:r>
      <w:r w:rsidRPr="00663B14">
        <w:rPr>
          <w:rFonts w:ascii="Calibri" w:hAnsi="Calibri"/>
          <w:sz w:val="24"/>
          <w:szCs w:val="24"/>
        </w:rPr>
        <w:t>sensitive practice.</w:t>
      </w:r>
    </w:p>
    <w:p w:rsidR="00543FB7" w:rsidRDefault="00543FB7" w:rsidP="00543FB7">
      <w:pPr>
        <w:rPr>
          <w:rFonts w:ascii="Calibri" w:hAnsi="Calibri" w:cs="Calibri"/>
          <w:sz w:val="24"/>
          <w:szCs w:val="24"/>
        </w:rPr>
      </w:pPr>
    </w:p>
    <w:p w:rsidR="00543FB7" w:rsidRPr="00C94CE3" w:rsidRDefault="00543FB7" w:rsidP="00543FB7">
      <w:pPr>
        <w:rPr>
          <w:rFonts w:ascii="Calibri" w:hAnsi="Calibri" w:cs="Calibri"/>
          <w:sz w:val="24"/>
          <w:szCs w:val="24"/>
        </w:rPr>
      </w:pPr>
      <w:r w:rsidRPr="00C94CE3">
        <w:rPr>
          <w:rFonts w:ascii="Calibri" w:hAnsi="Calibri" w:cs="Calibri"/>
          <w:sz w:val="24"/>
          <w:szCs w:val="24"/>
        </w:rPr>
        <w:t xml:space="preserve">As part of this process, a strong working relationship has been fostered with the University </w:t>
      </w:r>
      <w:proofErr w:type="gramStart"/>
      <w:r w:rsidRPr="00C94CE3">
        <w:rPr>
          <w:rFonts w:ascii="Calibri" w:hAnsi="Calibri" w:cs="Calibri"/>
          <w:sz w:val="24"/>
          <w:szCs w:val="24"/>
        </w:rPr>
        <w:t>of</w:t>
      </w:r>
      <w:proofErr w:type="gramEnd"/>
      <w:r w:rsidRPr="00C94CE3">
        <w:rPr>
          <w:rFonts w:ascii="Calibri" w:hAnsi="Calibri" w:cs="Calibri"/>
          <w:sz w:val="24"/>
          <w:szCs w:val="24"/>
        </w:rPr>
        <w:t xml:space="preserve"> Tasmania (UTAS)</w:t>
      </w:r>
      <w:r w:rsidR="005C27CF">
        <w:rPr>
          <w:rFonts w:ascii="Calibri" w:hAnsi="Calibri" w:cs="Calibri"/>
          <w:sz w:val="24"/>
          <w:szCs w:val="24"/>
        </w:rPr>
        <w:t>,</w:t>
      </w:r>
      <w:r w:rsidRPr="00C94CE3">
        <w:rPr>
          <w:rFonts w:ascii="Calibri" w:hAnsi="Calibri" w:cs="Calibri"/>
          <w:sz w:val="24"/>
          <w:szCs w:val="24"/>
        </w:rPr>
        <w:t xml:space="preserve"> in a concerted effort to look at methods of attracting new graduates to the CYS area.</w:t>
      </w:r>
      <w:r w:rsidR="007764A2">
        <w:rPr>
          <w:rFonts w:ascii="Calibri" w:hAnsi="Calibri" w:cs="Calibri"/>
          <w:sz w:val="24"/>
          <w:szCs w:val="24"/>
        </w:rPr>
        <w:t xml:space="preserve"> </w:t>
      </w:r>
      <w:r w:rsidRPr="00C94CE3">
        <w:rPr>
          <w:rFonts w:ascii="Calibri" w:hAnsi="Calibri" w:cs="Calibri"/>
          <w:sz w:val="24"/>
          <w:szCs w:val="24"/>
        </w:rPr>
        <w:t>A specific degree which would lead into Professional Honours in CYS has been developed</w:t>
      </w:r>
      <w:r w:rsidR="005C27CF">
        <w:rPr>
          <w:rFonts w:ascii="Calibri" w:hAnsi="Calibri" w:cs="Calibri"/>
          <w:sz w:val="24"/>
          <w:szCs w:val="24"/>
        </w:rPr>
        <w:t>,</w:t>
      </w:r>
      <w:r w:rsidRPr="00C94CE3">
        <w:rPr>
          <w:rFonts w:ascii="Calibri" w:hAnsi="Calibri" w:cs="Calibri"/>
          <w:sz w:val="24"/>
          <w:szCs w:val="24"/>
        </w:rPr>
        <w:t xml:space="preserve"> with enrolments being sought to commence study </w:t>
      </w:r>
      <w:r w:rsidR="005C27CF">
        <w:rPr>
          <w:rFonts w:ascii="Calibri" w:hAnsi="Calibri" w:cs="Calibri"/>
          <w:sz w:val="24"/>
          <w:szCs w:val="24"/>
        </w:rPr>
        <w:t xml:space="preserve">in </w:t>
      </w:r>
      <w:r w:rsidRPr="00C94CE3">
        <w:rPr>
          <w:rFonts w:ascii="Calibri" w:hAnsi="Calibri" w:cs="Calibri"/>
          <w:sz w:val="24"/>
          <w:szCs w:val="24"/>
        </w:rPr>
        <w:t>September 2013.</w:t>
      </w:r>
      <w:r w:rsidR="007764A2">
        <w:rPr>
          <w:rFonts w:ascii="Calibri" w:hAnsi="Calibri" w:cs="Calibri"/>
          <w:sz w:val="24"/>
          <w:szCs w:val="24"/>
        </w:rPr>
        <w:t xml:space="preserve"> </w:t>
      </w:r>
      <w:r w:rsidRPr="00C94CE3">
        <w:rPr>
          <w:rFonts w:ascii="Calibri" w:hAnsi="Calibri" w:cs="Calibri"/>
          <w:sz w:val="24"/>
          <w:szCs w:val="24"/>
        </w:rPr>
        <w:t xml:space="preserve">It is anticipated that the units </w:t>
      </w:r>
      <w:r w:rsidR="005C27CF">
        <w:rPr>
          <w:rFonts w:ascii="Calibri" w:hAnsi="Calibri" w:cs="Calibri"/>
          <w:sz w:val="24"/>
          <w:szCs w:val="24"/>
        </w:rPr>
        <w:t>which</w:t>
      </w:r>
      <w:r w:rsidR="005C27CF" w:rsidRPr="00C94CE3">
        <w:rPr>
          <w:rFonts w:ascii="Calibri" w:hAnsi="Calibri" w:cs="Calibri"/>
          <w:sz w:val="24"/>
          <w:szCs w:val="24"/>
        </w:rPr>
        <w:t xml:space="preserve"> </w:t>
      </w:r>
      <w:r w:rsidRPr="00C94CE3">
        <w:rPr>
          <w:rFonts w:ascii="Calibri" w:hAnsi="Calibri" w:cs="Calibri"/>
          <w:sz w:val="24"/>
          <w:szCs w:val="24"/>
        </w:rPr>
        <w:t>make up the course would</w:t>
      </w:r>
      <w:r w:rsidR="005C27CF">
        <w:rPr>
          <w:rFonts w:ascii="Calibri" w:hAnsi="Calibri" w:cs="Calibri"/>
          <w:sz w:val="24"/>
          <w:szCs w:val="24"/>
        </w:rPr>
        <w:t xml:space="preserve"> both</w:t>
      </w:r>
      <w:r w:rsidRPr="00C94CE3">
        <w:rPr>
          <w:rFonts w:ascii="Calibri" w:hAnsi="Calibri" w:cs="Calibri"/>
          <w:sz w:val="24"/>
          <w:szCs w:val="24"/>
        </w:rPr>
        <w:t xml:space="preserve"> attract existing staff who wish to </w:t>
      </w:r>
      <w:proofErr w:type="spellStart"/>
      <w:r w:rsidR="005C27CF">
        <w:rPr>
          <w:rFonts w:ascii="Calibri" w:hAnsi="Calibri" w:cs="Calibri"/>
          <w:sz w:val="24"/>
          <w:szCs w:val="24"/>
        </w:rPr>
        <w:t>up</w:t>
      </w:r>
      <w:r w:rsidRPr="00C94CE3">
        <w:rPr>
          <w:rFonts w:ascii="Calibri" w:hAnsi="Calibri" w:cs="Calibri"/>
          <w:sz w:val="24"/>
          <w:szCs w:val="24"/>
        </w:rPr>
        <w:t>skill</w:t>
      </w:r>
      <w:proofErr w:type="spellEnd"/>
      <w:r w:rsidRPr="00C94CE3">
        <w:rPr>
          <w:rFonts w:ascii="Calibri" w:hAnsi="Calibri" w:cs="Calibri"/>
          <w:sz w:val="24"/>
          <w:szCs w:val="24"/>
        </w:rPr>
        <w:t xml:space="preserve"> (as wel</w:t>
      </w:r>
      <w:r w:rsidR="00617FCC">
        <w:rPr>
          <w:rFonts w:ascii="Calibri" w:hAnsi="Calibri" w:cs="Calibri"/>
          <w:sz w:val="24"/>
          <w:szCs w:val="24"/>
        </w:rPr>
        <w:t xml:space="preserve">l as staff from the </w:t>
      </w:r>
      <w:r w:rsidR="005E67E8">
        <w:rPr>
          <w:rFonts w:ascii="Calibri" w:hAnsi="Calibri" w:cs="Calibri"/>
          <w:sz w:val="24"/>
          <w:szCs w:val="24"/>
        </w:rPr>
        <w:t>community</w:t>
      </w:r>
      <w:r w:rsidR="00617FCC">
        <w:rPr>
          <w:rFonts w:ascii="Calibri" w:hAnsi="Calibri" w:cs="Calibri"/>
          <w:sz w:val="24"/>
          <w:szCs w:val="24"/>
        </w:rPr>
        <w:t xml:space="preserve"> sector)</w:t>
      </w:r>
      <w:r w:rsidRPr="00C94CE3">
        <w:rPr>
          <w:rFonts w:ascii="Calibri" w:hAnsi="Calibri" w:cs="Calibri"/>
          <w:sz w:val="24"/>
          <w:szCs w:val="24"/>
        </w:rPr>
        <w:t xml:space="preserve"> and also act as an avenue for greater recruitment opportunities for new graduates.</w:t>
      </w:r>
      <w:r w:rsidR="007764A2">
        <w:rPr>
          <w:rFonts w:ascii="Calibri" w:hAnsi="Calibri" w:cs="Calibri"/>
          <w:sz w:val="24"/>
          <w:szCs w:val="24"/>
        </w:rPr>
        <w:t xml:space="preserve"> </w:t>
      </w:r>
      <w:r w:rsidRPr="00C94CE3">
        <w:rPr>
          <w:rFonts w:ascii="Calibri" w:hAnsi="Calibri" w:cs="Calibri"/>
          <w:sz w:val="24"/>
          <w:szCs w:val="24"/>
        </w:rPr>
        <w:t>The development of this course has been carefully considered</w:t>
      </w:r>
      <w:r w:rsidR="005C27CF">
        <w:rPr>
          <w:rFonts w:ascii="Calibri" w:hAnsi="Calibri" w:cs="Calibri"/>
          <w:sz w:val="24"/>
          <w:szCs w:val="24"/>
        </w:rPr>
        <w:t>,</w:t>
      </w:r>
      <w:r w:rsidRPr="00C94CE3">
        <w:rPr>
          <w:rFonts w:ascii="Calibri" w:hAnsi="Calibri" w:cs="Calibri"/>
          <w:sz w:val="24"/>
          <w:szCs w:val="24"/>
        </w:rPr>
        <w:t xml:space="preserve"> and the units that are being delivered and developed are closely aligned with the core competencies for CYS staff across the areas.</w:t>
      </w:r>
      <w:r w:rsidR="007764A2">
        <w:rPr>
          <w:rFonts w:ascii="Calibri" w:hAnsi="Calibri" w:cs="Calibri"/>
          <w:sz w:val="24"/>
          <w:szCs w:val="24"/>
        </w:rPr>
        <w:t xml:space="preserve"> </w:t>
      </w:r>
    </w:p>
    <w:p w:rsidR="00543FB7" w:rsidRDefault="00543FB7" w:rsidP="00543FB7">
      <w:pPr>
        <w:rPr>
          <w:rFonts w:ascii="Calibri" w:hAnsi="Calibri" w:cs="Calibri"/>
          <w:sz w:val="24"/>
          <w:szCs w:val="24"/>
        </w:rPr>
      </w:pPr>
    </w:p>
    <w:p w:rsidR="00543FB7" w:rsidRDefault="00543FB7" w:rsidP="00543FB7">
      <w:pPr>
        <w:rPr>
          <w:rFonts w:ascii="Calibri" w:hAnsi="Calibri" w:cs="Calibri"/>
          <w:sz w:val="24"/>
          <w:szCs w:val="24"/>
        </w:rPr>
      </w:pPr>
      <w:proofErr w:type="gramStart"/>
      <w:r w:rsidRPr="00C94CE3">
        <w:rPr>
          <w:rFonts w:ascii="Calibri" w:hAnsi="Calibri" w:cs="Calibri"/>
          <w:sz w:val="24"/>
          <w:szCs w:val="24"/>
        </w:rPr>
        <w:t>Signs of Safety training is</w:t>
      </w:r>
      <w:proofErr w:type="gramEnd"/>
      <w:r w:rsidRPr="00C94CE3">
        <w:rPr>
          <w:rFonts w:ascii="Calibri" w:hAnsi="Calibri" w:cs="Calibri"/>
          <w:sz w:val="24"/>
          <w:szCs w:val="24"/>
        </w:rPr>
        <w:t xml:space="preserve"> a priority for CYS</w:t>
      </w:r>
      <w:r w:rsidR="005C27CF">
        <w:rPr>
          <w:rFonts w:ascii="Calibri" w:hAnsi="Calibri" w:cs="Calibri"/>
          <w:sz w:val="24"/>
          <w:szCs w:val="24"/>
        </w:rPr>
        <w:t>,</w:t>
      </w:r>
      <w:r w:rsidRPr="00C94CE3">
        <w:rPr>
          <w:rFonts w:ascii="Calibri" w:hAnsi="Calibri" w:cs="Calibri"/>
          <w:sz w:val="24"/>
          <w:szCs w:val="24"/>
        </w:rPr>
        <w:t xml:space="preserve"> with awareness training sessions being delivered during the first three months of 2013.</w:t>
      </w:r>
      <w:r w:rsidR="007764A2">
        <w:rPr>
          <w:rFonts w:ascii="Calibri" w:hAnsi="Calibri" w:cs="Calibri"/>
          <w:sz w:val="24"/>
          <w:szCs w:val="24"/>
        </w:rPr>
        <w:t xml:space="preserve"> </w:t>
      </w:r>
      <w:r w:rsidRPr="00C94CE3">
        <w:rPr>
          <w:rFonts w:ascii="Calibri" w:hAnsi="Calibri" w:cs="Calibri"/>
          <w:sz w:val="24"/>
          <w:szCs w:val="24"/>
        </w:rPr>
        <w:t>CYS is formally adopting the framework</w:t>
      </w:r>
      <w:r w:rsidR="005C27CF">
        <w:rPr>
          <w:rFonts w:ascii="Calibri" w:hAnsi="Calibri" w:cs="Calibri"/>
          <w:sz w:val="24"/>
          <w:szCs w:val="24"/>
        </w:rPr>
        <w:t>,</w:t>
      </w:r>
      <w:r w:rsidRPr="00C94CE3">
        <w:rPr>
          <w:rFonts w:ascii="Calibri" w:hAnsi="Calibri" w:cs="Calibri"/>
          <w:sz w:val="24"/>
          <w:szCs w:val="24"/>
        </w:rPr>
        <w:t xml:space="preserve"> and resources are being made available to support a systematic and deliberate implementation. </w:t>
      </w:r>
      <w:proofErr w:type="gramStart"/>
      <w:r w:rsidRPr="00C94CE3">
        <w:rPr>
          <w:rFonts w:ascii="Calibri" w:hAnsi="Calibri" w:cs="Calibri"/>
          <w:sz w:val="24"/>
          <w:szCs w:val="24"/>
        </w:rPr>
        <w:t>Signs of Safety actively promotes</w:t>
      </w:r>
      <w:proofErr w:type="gramEnd"/>
      <w:r w:rsidRPr="00C94CE3">
        <w:rPr>
          <w:rFonts w:ascii="Calibri" w:hAnsi="Calibri" w:cs="Calibri"/>
          <w:sz w:val="24"/>
          <w:szCs w:val="24"/>
        </w:rPr>
        <w:t xml:space="preserve"> a framework of case practice that demands greater engagement with families where safety concerns exist, </w:t>
      </w:r>
      <w:r w:rsidR="005C27CF" w:rsidRPr="00C94CE3">
        <w:rPr>
          <w:rFonts w:ascii="Calibri" w:hAnsi="Calibri" w:cs="Calibri"/>
          <w:sz w:val="24"/>
          <w:szCs w:val="24"/>
        </w:rPr>
        <w:t>whil</w:t>
      </w:r>
      <w:r w:rsidR="005C27CF">
        <w:rPr>
          <w:rFonts w:ascii="Calibri" w:hAnsi="Calibri" w:cs="Calibri"/>
          <w:sz w:val="24"/>
          <w:szCs w:val="24"/>
        </w:rPr>
        <w:t>e</w:t>
      </w:r>
      <w:r w:rsidR="005C27CF" w:rsidRPr="00C94CE3">
        <w:rPr>
          <w:rFonts w:ascii="Calibri" w:hAnsi="Calibri" w:cs="Calibri"/>
          <w:sz w:val="24"/>
          <w:szCs w:val="24"/>
        </w:rPr>
        <w:t xml:space="preserve"> </w:t>
      </w:r>
      <w:r w:rsidRPr="00C94CE3">
        <w:rPr>
          <w:rFonts w:ascii="Calibri" w:hAnsi="Calibri" w:cs="Calibri"/>
          <w:sz w:val="24"/>
          <w:szCs w:val="24"/>
        </w:rPr>
        <w:t>providing families with greater opportunities to work with Child Protection practitioners and other community services to build demonstrable safety measures around children.</w:t>
      </w:r>
    </w:p>
    <w:p w:rsidR="00543FB7" w:rsidRDefault="00543FB7" w:rsidP="00543FB7">
      <w:pPr>
        <w:rPr>
          <w:rFonts w:ascii="Calibri" w:hAnsi="Calibri" w:cs="Calibri"/>
          <w:sz w:val="24"/>
          <w:szCs w:val="24"/>
        </w:rPr>
      </w:pPr>
    </w:p>
    <w:p w:rsidR="00543FB7" w:rsidRPr="00C94CE3" w:rsidRDefault="00543FB7" w:rsidP="00543FB7">
      <w:pPr>
        <w:rPr>
          <w:rFonts w:ascii="Calibri" w:hAnsi="Calibri" w:cs="Calibri"/>
          <w:sz w:val="24"/>
          <w:szCs w:val="24"/>
        </w:rPr>
      </w:pPr>
      <w:r w:rsidRPr="00C94CE3">
        <w:rPr>
          <w:rFonts w:ascii="Calibri" w:hAnsi="Calibri" w:cs="Calibri"/>
          <w:sz w:val="24"/>
          <w:szCs w:val="24"/>
        </w:rPr>
        <w:t>As part of the work undertaken with UTAS, a CYS survey of qualifications was undertaken in the first thr</w:t>
      </w:r>
      <w:r w:rsidR="00617FCC">
        <w:rPr>
          <w:rFonts w:ascii="Calibri" w:hAnsi="Calibri" w:cs="Calibri"/>
          <w:sz w:val="24"/>
          <w:szCs w:val="24"/>
        </w:rPr>
        <w:t>ee months of 2013.</w:t>
      </w:r>
      <w:r w:rsidR="007764A2">
        <w:rPr>
          <w:rFonts w:ascii="Calibri" w:hAnsi="Calibri" w:cs="Calibri"/>
          <w:sz w:val="24"/>
          <w:szCs w:val="24"/>
        </w:rPr>
        <w:t xml:space="preserve"> </w:t>
      </w:r>
      <w:r w:rsidR="005C27CF">
        <w:rPr>
          <w:rFonts w:ascii="Calibri" w:hAnsi="Calibri" w:cs="Calibri"/>
          <w:sz w:val="24"/>
          <w:szCs w:val="24"/>
        </w:rPr>
        <w:t>W</w:t>
      </w:r>
      <w:r w:rsidR="005C27CF" w:rsidRPr="00C94CE3">
        <w:rPr>
          <w:rFonts w:ascii="Calibri" w:hAnsi="Calibri" w:cs="Calibri"/>
          <w:sz w:val="24"/>
          <w:szCs w:val="24"/>
        </w:rPr>
        <w:t>hil</w:t>
      </w:r>
      <w:r w:rsidR="005C27CF">
        <w:rPr>
          <w:rFonts w:ascii="Calibri" w:hAnsi="Calibri" w:cs="Calibri"/>
          <w:sz w:val="24"/>
          <w:szCs w:val="24"/>
        </w:rPr>
        <w:t>e</w:t>
      </w:r>
      <w:r w:rsidR="005C27CF" w:rsidRPr="00C94CE3">
        <w:rPr>
          <w:rFonts w:ascii="Calibri" w:hAnsi="Calibri" w:cs="Calibri"/>
          <w:sz w:val="24"/>
          <w:szCs w:val="24"/>
        </w:rPr>
        <w:t xml:space="preserve"> </w:t>
      </w:r>
      <w:r w:rsidRPr="00C94CE3">
        <w:rPr>
          <w:rFonts w:ascii="Calibri" w:hAnsi="Calibri" w:cs="Calibri"/>
          <w:sz w:val="24"/>
          <w:szCs w:val="24"/>
        </w:rPr>
        <w:t>difficult to capture,</w:t>
      </w:r>
      <w:r w:rsidR="00CD0FD8">
        <w:rPr>
          <w:rFonts w:ascii="Calibri" w:hAnsi="Calibri" w:cs="Calibri"/>
          <w:sz w:val="24"/>
          <w:szCs w:val="24"/>
        </w:rPr>
        <w:t xml:space="preserve"> the outcomes</w:t>
      </w:r>
      <w:r w:rsidRPr="00C94CE3">
        <w:rPr>
          <w:rFonts w:ascii="Calibri" w:hAnsi="Calibri" w:cs="Calibri"/>
          <w:sz w:val="24"/>
          <w:szCs w:val="24"/>
        </w:rPr>
        <w:t xml:space="preserve"> informed the work and areas of focus for QIWD and the University</w:t>
      </w:r>
      <w:r w:rsidR="00CD0FD8">
        <w:rPr>
          <w:rFonts w:ascii="Calibri" w:hAnsi="Calibri" w:cs="Calibri"/>
          <w:sz w:val="24"/>
          <w:szCs w:val="24"/>
        </w:rPr>
        <w:t xml:space="preserve"> and </w:t>
      </w:r>
      <w:r w:rsidR="002D71A9">
        <w:rPr>
          <w:rFonts w:ascii="Calibri" w:hAnsi="Calibri" w:cs="Calibri"/>
          <w:sz w:val="24"/>
          <w:szCs w:val="24"/>
        </w:rPr>
        <w:t xml:space="preserve">led </w:t>
      </w:r>
      <w:r w:rsidR="00CD0FD8">
        <w:rPr>
          <w:rFonts w:ascii="Calibri" w:hAnsi="Calibri" w:cs="Calibri"/>
          <w:sz w:val="24"/>
          <w:szCs w:val="24"/>
        </w:rPr>
        <w:t>to</w:t>
      </w:r>
      <w:r w:rsidRPr="00C94CE3">
        <w:rPr>
          <w:rFonts w:ascii="Calibri" w:hAnsi="Calibri" w:cs="Calibri"/>
          <w:sz w:val="24"/>
          <w:szCs w:val="24"/>
        </w:rPr>
        <w:t xml:space="preserve"> discussion</w:t>
      </w:r>
      <w:r w:rsidR="00CD0FD8">
        <w:rPr>
          <w:rFonts w:ascii="Calibri" w:hAnsi="Calibri" w:cs="Calibri"/>
          <w:sz w:val="24"/>
          <w:szCs w:val="24"/>
        </w:rPr>
        <w:t>s</w:t>
      </w:r>
      <w:r w:rsidRPr="00C94CE3">
        <w:rPr>
          <w:rFonts w:ascii="Calibri" w:hAnsi="Calibri" w:cs="Calibri"/>
          <w:sz w:val="24"/>
          <w:szCs w:val="24"/>
        </w:rPr>
        <w:t xml:space="preserve"> related to areas of the current training continuum </w:t>
      </w:r>
      <w:r w:rsidR="002D71A9">
        <w:rPr>
          <w:rFonts w:ascii="Calibri" w:hAnsi="Calibri" w:cs="Calibri"/>
          <w:sz w:val="24"/>
          <w:szCs w:val="24"/>
        </w:rPr>
        <w:t>where</w:t>
      </w:r>
      <w:r w:rsidR="002D71A9" w:rsidRPr="00C94CE3">
        <w:rPr>
          <w:rFonts w:ascii="Calibri" w:hAnsi="Calibri" w:cs="Calibri"/>
          <w:sz w:val="24"/>
          <w:szCs w:val="24"/>
        </w:rPr>
        <w:t xml:space="preserve"> </w:t>
      </w:r>
      <w:r w:rsidRPr="00C94CE3">
        <w:rPr>
          <w:rFonts w:ascii="Calibri" w:hAnsi="Calibri" w:cs="Calibri"/>
          <w:sz w:val="24"/>
          <w:szCs w:val="24"/>
        </w:rPr>
        <w:t>the University could assist in development and</w:t>
      </w:r>
      <w:r w:rsidR="002D71A9">
        <w:rPr>
          <w:rFonts w:ascii="Calibri" w:hAnsi="Calibri" w:cs="Calibri"/>
          <w:sz w:val="24"/>
          <w:szCs w:val="24"/>
        </w:rPr>
        <w:t xml:space="preserve"> which</w:t>
      </w:r>
      <w:r w:rsidR="00CD0FD8">
        <w:rPr>
          <w:rFonts w:ascii="Calibri" w:hAnsi="Calibri" w:cs="Calibri"/>
          <w:sz w:val="24"/>
          <w:szCs w:val="24"/>
        </w:rPr>
        <w:t>,</w:t>
      </w:r>
      <w:r w:rsidRPr="00C94CE3">
        <w:rPr>
          <w:rFonts w:ascii="Calibri" w:hAnsi="Calibri" w:cs="Calibri"/>
          <w:sz w:val="24"/>
          <w:szCs w:val="24"/>
        </w:rPr>
        <w:t xml:space="preserve"> in the long term</w:t>
      </w:r>
      <w:r w:rsidR="00CD0FD8">
        <w:rPr>
          <w:rFonts w:ascii="Calibri" w:hAnsi="Calibri" w:cs="Calibri"/>
          <w:sz w:val="24"/>
          <w:szCs w:val="24"/>
        </w:rPr>
        <w:t>,</w:t>
      </w:r>
      <w:r w:rsidRPr="00C94CE3">
        <w:rPr>
          <w:rFonts w:ascii="Calibri" w:hAnsi="Calibri" w:cs="Calibri"/>
          <w:sz w:val="24"/>
          <w:szCs w:val="24"/>
        </w:rPr>
        <w:t xml:space="preserve"> </w:t>
      </w:r>
      <w:r w:rsidR="002D71A9">
        <w:rPr>
          <w:rFonts w:ascii="Calibri" w:hAnsi="Calibri" w:cs="Calibri"/>
          <w:sz w:val="24"/>
          <w:szCs w:val="24"/>
        </w:rPr>
        <w:t xml:space="preserve">it could </w:t>
      </w:r>
      <w:r w:rsidRPr="00C94CE3">
        <w:rPr>
          <w:rFonts w:ascii="Calibri" w:hAnsi="Calibri" w:cs="Calibri"/>
          <w:sz w:val="24"/>
          <w:szCs w:val="24"/>
        </w:rPr>
        <w:t>formally accredit.</w:t>
      </w:r>
    </w:p>
    <w:p w:rsidR="00543FB7" w:rsidRDefault="00543FB7" w:rsidP="00543FB7">
      <w:pPr>
        <w:rPr>
          <w:rFonts w:ascii="Calibri" w:hAnsi="Calibri" w:cs="Calibri"/>
          <w:sz w:val="24"/>
          <w:szCs w:val="24"/>
        </w:rPr>
      </w:pPr>
    </w:p>
    <w:p w:rsidR="00543FB7" w:rsidRPr="00C94CE3" w:rsidRDefault="00543FB7" w:rsidP="00543FB7">
      <w:pPr>
        <w:rPr>
          <w:rFonts w:ascii="Calibri" w:hAnsi="Calibri" w:cs="Calibri"/>
          <w:sz w:val="24"/>
          <w:szCs w:val="24"/>
        </w:rPr>
      </w:pPr>
      <w:r w:rsidRPr="00C94CE3">
        <w:rPr>
          <w:rFonts w:ascii="Calibri" w:hAnsi="Calibri" w:cs="Calibri"/>
          <w:sz w:val="24"/>
          <w:szCs w:val="24"/>
        </w:rPr>
        <w:t>Significant investment has been directed toward</w:t>
      </w:r>
      <w:r w:rsidR="004E0055">
        <w:rPr>
          <w:rFonts w:ascii="Calibri" w:hAnsi="Calibri" w:cs="Calibri"/>
          <w:sz w:val="24"/>
          <w:szCs w:val="24"/>
        </w:rPr>
        <w:t>s</w:t>
      </w:r>
      <w:r w:rsidRPr="00C94CE3">
        <w:rPr>
          <w:rFonts w:ascii="Calibri" w:hAnsi="Calibri" w:cs="Calibri"/>
          <w:sz w:val="24"/>
          <w:szCs w:val="24"/>
        </w:rPr>
        <w:t xml:space="preserve"> the recruitment, induction and </w:t>
      </w:r>
      <w:r w:rsidR="00F47E80">
        <w:rPr>
          <w:rFonts w:ascii="Calibri" w:hAnsi="Calibri" w:cs="Calibri"/>
          <w:sz w:val="24"/>
          <w:szCs w:val="24"/>
        </w:rPr>
        <w:t>‘</w:t>
      </w:r>
      <w:r w:rsidRPr="00C94CE3">
        <w:rPr>
          <w:rFonts w:ascii="Calibri" w:hAnsi="Calibri" w:cs="Calibri"/>
          <w:sz w:val="24"/>
          <w:szCs w:val="24"/>
        </w:rPr>
        <w:t>on boarding</w:t>
      </w:r>
      <w:r w:rsidR="00F47E80">
        <w:rPr>
          <w:rFonts w:ascii="Calibri" w:hAnsi="Calibri" w:cs="Calibri"/>
          <w:sz w:val="24"/>
          <w:szCs w:val="24"/>
        </w:rPr>
        <w:t>’</w:t>
      </w:r>
      <w:r w:rsidRPr="00C94CE3">
        <w:rPr>
          <w:rFonts w:ascii="Calibri" w:hAnsi="Calibri" w:cs="Calibri"/>
          <w:sz w:val="24"/>
          <w:szCs w:val="24"/>
        </w:rPr>
        <w:t xml:space="preserve"> of staff new to the Child Protection and Community Youth Justice system</w:t>
      </w:r>
      <w:r w:rsidR="00F47E80">
        <w:rPr>
          <w:rFonts w:ascii="Calibri" w:hAnsi="Calibri" w:cs="Calibri"/>
          <w:sz w:val="24"/>
          <w:szCs w:val="24"/>
        </w:rPr>
        <w:t>,</w:t>
      </w:r>
      <w:r w:rsidRPr="00C94CE3">
        <w:rPr>
          <w:rFonts w:ascii="Calibri" w:hAnsi="Calibri" w:cs="Calibri"/>
          <w:sz w:val="24"/>
          <w:szCs w:val="24"/>
        </w:rPr>
        <w:t xml:space="preserve"> with QIWD representatives involved in every aspect.</w:t>
      </w:r>
      <w:r w:rsidR="007764A2">
        <w:rPr>
          <w:rFonts w:ascii="Calibri" w:hAnsi="Calibri" w:cs="Calibri"/>
          <w:sz w:val="24"/>
          <w:szCs w:val="24"/>
        </w:rPr>
        <w:t xml:space="preserve"> </w:t>
      </w:r>
    </w:p>
    <w:p w:rsidR="00A60A89" w:rsidRPr="003C414F" w:rsidRDefault="003C414F" w:rsidP="003C414F">
      <w:pPr>
        <w:pStyle w:val="Heading4"/>
        <w:rPr>
          <w:lang w:val="en-AU"/>
        </w:rPr>
      </w:pPr>
      <w:r>
        <w:t>Domestic and Family Violence</w:t>
      </w:r>
    </w:p>
    <w:p w:rsidR="00A60A89" w:rsidRPr="00A60A89" w:rsidRDefault="00A60A89" w:rsidP="00A60A89">
      <w:pPr>
        <w:rPr>
          <w:rFonts w:ascii="Calibri" w:hAnsi="Calibri" w:cs="Calibri"/>
          <w:sz w:val="24"/>
          <w:szCs w:val="24"/>
        </w:rPr>
      </w:pPr>
      <w:r w:rsidRPr="00A60A89">
        <w:rPr>
          <w:rFonts w:ascii="Calibri" w:hAnsi="Calibri" w:cs="Calibri"/>
          <w:sz w:val="24"/>
          <w:szCs w:val="24"/>
        </w:rPr>
        <w:t xml:space="preserve">In partnership with other lead government agencies in Tasmania, </w:t>
      </w:r>
      <w:r w:rsidR="00CD0FD8">
        <w:rPr>
          <w:rFonts w:ascii="Calibri" w:hAnsi="Calibri" w:cs="Calibri"/>
          <w:sz w:val="24"/>
          <w:szCs w:val="24"/>
        </w:rPr>
        <w:t>DHHS</w:t>
      </w:r>
      <w:r w:rsidRPr="00A60A89">
        <w:rPr>
          <w:rFonts w:ascii="Calibri" w:hAnsi="Calibri" w:cs="Calibri"/>
          <w:sz w:val="24"/>
          <w:szCs w:val="24"/>
        </w:rPr>
        <w:t xml:space="preserve"> contributes fiscally to the </w:t>
      </w:r>
      <w:r w:rsidR="00CD0FD8">
        <w:rPr>
          <w:rFonts w:ascii="Calibri" w:hAnsi="Calibri" w:cs="Calibri"/>
          <w:sz w:val="24"/>
          <w:szCs w:val="24"/>
        </w:rPr>
        <w:t>NCE</w:t>
      </w:r>
      <w:r w:rsidRPr="00A60A89">
        <w:rPr>
          <w:rFonts w:ascii="Calibri" w:hAnsi="Calibri" w:cs="Calibri"/>
          <w:sz w:val="24"/>
          <w:szCs w:val="24"/>
        </w:rPr>
        <w:t>.</w:t>
      </w:r>
    </w:p>
    <w:p w:rsidR="00A60A89" w:rsidRDefault="00A60A89" w:rsidP="00A60A89">
      <w:pPr>
        <w:rPr>
          <w:rFonts w:ascii="Calibri" w:hAnsi="Calibri" w:cs="Calibri"/>
          <w:sz w:val="24"/>
          <w:szCs w:val="24"/>
        </w:rPr>
      </w:pPr>
    </w:p>
    <w:p w:rsidR="00A60A89" w:rsidRPr="00A60A89" w:rsidRDefault="00CD0FD8" w:rsidP="00A60A89">
      <w:pPr>
        <w:rPr>
          <w:rFonts w:ascii="Calibri" w:hAnsi="Calibri" w:cs="Calibri"/>
          <w:sz w:val="24"/>
          <w:szCs w:val="24"/>
        </w:rPr>
      </w:pPr>
      <w:r>
        <w:rPr>
          <w:rFonts w:ascii="Calibri" w:hAnsi="Calibri" w:cs="Calibri"/>
          <w:sz w:val="24"/>
          <w:szCs w:val="24"/>
        </w:rPr>
        <w:t>CYS (DHHS) is represented on</w:t>
      </w:r>
      <w:r w:rsidR="00A60A89" w:rsidRPr="00A60A89">
        <w:rPr>
          <w:rFonts w:ascii="Calibri" w:hAnsi="Calibri" w:cs="Calibri"/>
          <w:sz w:val="24"/>
          <w:szCs w:val="24"/>
        </w:rPr>
        <w:t xml:space="preserve"> </w:t>
      </w:r>
      <w:r w:rsidR="0001307F">
        <w:rPr>
          <w:rFonts w:ascii="Calibri" w:hAnsi="Calibri" w:cs="Calibri"/>
          <w:sz w:val="24"/>
          <w:szCs w:val="24"/>
        </w:rPr>
        <w:t xml:space="preserve">the </w:t>
      </w:r>
      <w:r w:rsidR="0001307F" w:rsidRPr="0001307F">
        <w:rPr>
          <w:rFonts w:ascii="Calibri" w:hAnsi="Calibri" w:cs="Calibri"/>
          <w:sz w:val="24"/>
          <w:szCs w:val="24"/>
        </w:rPr>
        <w:t>Department of Premier and Cabinet</w:t>
      </w:r>
      <w:r w:rsidR="0001307F">
        <w:rPr>
          <w:rFonts w:ascii="Calibri" w:hAnsi="Calibri" w:cs="Calibri"/>
          <w:sz w:val="24"/>
          <w:szCs w:val="24"/>
        </w:rPr>
        <w:t>’s (</w:t>
      </w:r>
      <w:r w:rsidR="00F338EA">
        <w:rPr>
          <w:rFonts w:ascii="Calibri" w:hAnsi="Calibri" w:cs="Calibri"/>
          <w:sz w:val="24"/>
          <w:szCs w:val="24"/>
        </w:rPr>
        <w:t>DPAC</w:t>
      </w:r>
      <w:r w:rsidR="0001307F">
        <w:rPr>
          <w:rFonts w:ascii="Calibri" w:hAnsi="Calibri" w:cs="Calibri"/>
          <w:sz w:val="24"/>
          <w:szCs w:val="24"/>
        </w:rPr>
        <w:t>)</w:t>
      </w:r>
      <w:r w:rsidR="00A60A89" w:rsidRPr="00A60A89">
        <w:rPr>
          <w:rFonts w:ascii="Calibri" w:hAnsi="Calibri" w:cs="Calibri"/>
          <w:sz w:val="24"/>
          <w:szCs w:val="24"/>
        </w:rPr>
        <w:t xml:space="preserve"> Inter-Departmental Committee (IDC) for the</w:t>
      </w:r>
      <w:r>
        <w:rPr>
          <w:rFonts w:ascii="Calibri" w:hAnsi="Calibri" w:cs="Calibri"/>
          <w:sz w:val="24"/>
          <w:szCs w:val="24"/>
        </w:rPr>
        <w:t xml:space="preserve"> National Plan</w:t>
      </w:r>
      <w:r w:rsidR="00F47E80">
        <w:rPr>
          <w:rFonts w:ascii="Calibri" w:hAnsi="Calibri" w:cs="Calibri"/>
          <w:sz w:val="24"/>
          <w:szCs w:val="24"/>
        </w:rPr>
        <w:t xml:space="preserve"> to Reduce Violence against Women and their Children</w:t>
      </w:r>
      <w:r>
        <w:rPr>
          <w:rFonts w:ascii="Calibri" w:hAnsi="Calibri" w:cs="Calibri"/>
          <w:sz w:val="24"/>
          <w:szCs w:val="24"/>
        </w:rPr>
        <w:t>. DHHS is also represented on</w:t>
      </w:r>
      <w:r w:rsidR="00A60A89" w:rsidRPr="00A60A89">
        <w:rPr>
          <w:rFonts w:ascii="Calibri" w:hAnsi="Calibri" w:cs="Calibri"/>
          <w:sz w:val="24"/>
          <w:szCs w:val="24"/>
        </w:rPr>
        <w:t xml:space="preserve"> the broader community Consultative Committee which draws from both the government and </w:t>
      </w:r>
      <w:r w:rsidR="00C8305C">
        <w:rPr>
          <w:rFonts w:ascii="Calibri" w:hAnsi="Calibri" w:cs="Calibri"/>
          <w:sz w:val="24"/>
          <w:szCs w:val="24"/>
        </w:rPr>
        <w:t>community</w:t>
      </w:r>
      <w:r w:rsidR="00A60A89" w:rsidRPr="00A60A89">
        <w:rPr>
          <w:rFonts w:ascii="Calibri" w:hAnsi="Calibri" w:cs="Calibri"/>
          <w:sz w:val="24"/>
          <w:szCs w:val="24"/>
        </w:rPr>
        <w:t xml:space="preserve"> sector</w:t>
      </w:r>
      <w:r w:rsidR="00FB21DB">
        <w:rPr>
          <w:rFonts w:ascii="Calibri" w:hAnsi="Calibri" w:cs="Calibri"/>
          <w:sz w:val="24"/>
          <w:szCs w:val="24"/>
        </w:rPr>
        <w:t>s</w:t>
      </w:r>
      <w:r w:rsidRPr="00CD0FD8">
        <w:t xml:space="preserve"> </w:t>
      </w:r>
      <w:r w:rsidRPr="00CD0FD8">
        <w:rPr>
          <w:rFonts w:ascii="Calibri" w:hAnsi="Calibri" w:cs="Calibri"/>
          <w:sz w:val="24"/>
          <w:szCs w:val="24"/>
        </w:rPr>
        <w:t>and</w:t>
      </w:r>
      <w:r w:rsidR="009C3022">
        <w:rPr>
          <w:rFonts w:ascii="Calibri" w:hAnsi="Calibri" w:cs="Calibri"/>
          <w:sz w:val="24"/>
          <w:szCs w:val="24"/>
        </w:rPr>
        <w:t xml:space="preserve"> so</w:t>
      </w:r>
      <w:r w:rsidRPr="00CD0FD8">
        <w:rPr>
          <w:rFonts w:ascii="Calibri" w:hAnsi="Calibri" w:cs="Calibri"/>
          <w:sz w:val="24"/>
          <w:szCs w:val="24"/>
        </w:rPr>
        <w:t xml:space="preserve"> works with both government and </w:t>
      </w:r>
      <w:r w:rsidR="00F47E80">
        <w:rPr>
          <w:rFonts w:ascii="Calibri" w:hAnsi="Calibri" w:cs="Calibri"/>
          <w:sz w:val="24"/>
          <w:szCs w:val="24"/>
        </w:rPr>
        <w:t xml:space="preserve">the </w:t>
      </w:r>
      <w:r w:rsidRPr="00CD0FD8">
        <w:rPr>
          <w:rFonts w:ascii="Calibri" w:hAnsi="Calibri" w:cs="Calibri"/>
          <w:sz w:val="24"/>
          <w:szCs w:val="24"/>
        </w:rPr>
        <w:t>community sector in progressing priorit</w:t>
      </w:r>
      <w:r>
        <w:rPr>
          <w:rFonts w:ascii="Calibri" w:hAnsi="Calibri" w:cs="Calibri"/>
          <w:sz w:val="24"/>
          <w:szCs w:val="24"/>
        </w:rPr>
        <w:t>y areas under the National Plan</w:t>
      </w:r>
      <w:r w:rsidR="00A60A89" w:rsidRPr="00A60A89">
        <w:rPr>
          <w:rFonts w:ascii="Calibri" w:hAnsi="Calibri" w:cs="Calibri"/>
          <w:sz w:val="24"/>
          <w:szCs w:val="24"/>
        </w:rPr>
        <w:t xml:space="preserve">. </w:t>
      </w:r>
    </w:p>
    <w:p w:rsidR="00A60A89" w:rsidRDefault="00A60A89" w:rsidP="00A60A89">
      <w:pPr>
        <w:rPr>
          <w:rFonts w:ascii="Calibri" w:hAnsi="Calibri" w:cs="Calibri"/>
          <w:sz w:val="24"/>
          <w:szCs w:val="24"/>
        </w:rPr>
      </w:pPr>
    </w:p>
    <w:p w:rsidR="00A60A89" w:rsidRPr="00A60A89" w:rsidRDefault="00A60A89" w:rsidP="00A60A89">
      <w:pPr>
        <w:rPr>
          <w:rFonts w:ascii="Calibri" w:hAnsi="Calibri" w:cs="Calibri"/>
          <w:sz w:val="24"/>
          <w:szCs w:val="24"/>
        </w:rPr>
      </w:pPr>
      <w:r w:rsidRPr="00A60A89">
        <w:rPr>
          <w:rFonts w:ascii="Calibri" w:hAnsi="Calibri" w:cs="Calibri"/>
          <w:sz w:val="24"/>
          <w:szCs w:val="24"/>
        </w:rPr>
        <w:t>The recent establishment of the NCE is seen as an opportunity to provide states with a centralised repository for data</w:t>
      </w:r>
      <w:r w:rsidR="00F47E80">
        <w:rPr>
          <w:rFonts w:ascii="Calibri" w:hAnsi="Calibri" w:cs="Calibri"/>
          <w:sz w:val="24"/>
          <w:szCs w:val="24"/>
        </w:rPr>
        <w:t xml:space="preserve"> and</w:t>
      </w:r>
      <w:r w:rsidR="00F47E80" w:rsidRPr="00A60A89">
        <w:rPr>
          <w:rFonts w:ascii="Calibri" w:hAnsi="Calibri" w:cs="Calibri"/>
          <w:sz w:val="24"/>
          <w:szCs w:val="24"/>
        </w:rPr>
        <w:t xml:space="preserve"> </w:t>
      </w:r>
      <w:r w:rsidRPr="00A60A89">
        <w:rPr>
          <w:rFonts w:ascii="Calibri" w:hAnsi="Calibri" w:cs="Calibri"/>
          <w:sz w:val="24"/>
          <w:szCs w:val="24"/>
        </w:rPr>
        <w:t xml:space="preserve">analysis of domestic/family violence research and to initiate research as directed and agreed upon by </w:t>
      </w:r>
      <w:r w:rsidR="00F47E80">
        <w:rPr>
          <w:rFonts w:ascii="Calibri" w:hAnsi="Calibri" w:cs="Calibri"/>
          <w:sz w:val="24"/>
          <w:szCs w:val="24"/>
        </w:rPr>
        <w:t>s</w:t>
      </w:r>
      <w:r w:rsidR="00F47E80" w:rsidRPr="00A60A89">
        <w:rPr>
          <w:rFonts w:ascii="Calibri" w:hAnsi="Calibri" w:cs="Calibri"/>
          <w:sz w:val="24"/>
          <w:szCs w:val="24"/>
        </w:rPr>
        <w:t>tates</w:t>
      </w:r>
      <w:r w:rsidRPr="00A60A89">
        <w:rPr>
          <w:rFonts w:ascii="Calibri" w:hAnsi="Calibri" w:cs="Calibri"/>
          <w:sz w:val="24"/>
          <w:szCs w:val="24"/>
        </w:rPr>
        <w:t>.</w:t>
      </w:r>
    </w:p>
    <w:p w:rsidR="00A60A89" w:rsidRDefault="00A60A89" w:rsidP="00BD5D4E">
      <w:pPr>
        <w:rPr>
          <w:rFonts w:ascii="Calibri" w:hAnsi="Calibri" w:cs="Calibri"/>
          <w:sz w:val="24"/>
          <w:szCs w:val="24"/>
        </w:rPr>
      </w:pPr>
    </w:p>
    <w:p w:rsidR="00007264" w:rsidRPr="00007264" w:rsidRDefault="00007264" w:rsidP="00007264">
      <w:pPr>
        <w:rPr>
          <w:rFonts w:ascii="Calibri" w:hAnsi="Calibri" w:cs="Calibri"/>
          <w:sz w:val="24"/>
          <w:szCs w:val="24"/>
        </w:rPr>
      </w:pPr>
      <w:r w:rsidRPr="00007264">
        <w:rPr>
          <w:rFonts w:ascii="Calibri" w:hAnsi="Calibri" w:cs="Calibri"/>
          <w:sz w:val="24"/>
          <w:szCs w:val="24"/>
        </w:rPr>
        <w:t xml:space="preserve">In partnership with other lead government agencies, </w:t>
      </w:r>
      <w:r w:rsidR="00CD0FD8">
        <w:rPr>
          <w:rFonts w:ascii="Calibri" w:hAnsi="Calibri" w:cs="Calibri"/>
          <w:sz w:val="24"/>
          <w:szCs w:val="24"/>
        </w:rPr>
        <w:t>DHHS</w:t>
      </w:r>
      <w:r w:rsidRPr="00007264">
        <w:rPr>
          <w:rFonts w:ascii="Calibri" w:hAnsi="Calibri" w:cs="Calibri"/>
          <w:sz w:val="24"/>
          <w:szCs w:val="24"/>
        </w:rPr>
        <w:t xml:space="preserve"> is a key partner in the whole-of-government response to addressing domestic/family violence in Tasmania, known as Safe at Home.</w:t>
      </w:r>
    </w:p>
    <w:p w:rsidR="00007264" w:rsidRPr="00007264" w:rsidRDefault="00007264" w:rsidP="00007264">
      <w:pPr>
        <w:rPr>
          <w:rFonts w:ascii="Calibri" w:hAnsi="Calibri" w:cs="Calibri"/>
          <w:sz w:val="24"/>
          <w:szCs w:val="24"/>
        </w:rPr>
      </w:pPr>
    </w:p>
    <w:p w:rsidR="00007264" w:rsidRPr="00007264" w:rsidRDefault="00007264" w:rsidP="00007264">
      <w:pPr>
        <w:rPr>
          <w:rFonts w:ascii="Calibri" w:hAnsi="Calibri" w:cs="Calibri"/>
          <w:sz w:val="24"/>
          <w:szCs w:val="24"/>
        </w:rPr>
      </w:pPr>
      <w:r w:rsidRPr="00007264">
        <w:rPr>
          <w:rFonts w:ascii="Calibri" w:hAnsi="Calibri" w:cs="Calibri"/>
          <w:sz w:val="24"/>
          <w:szCs w:val="24"/>
        </w:rPr>
        <w:t>DHHS</w:t>
      </w:r>
      <w:r w:rsidR="00CD0FD8">
        <w:rPr>
          <w:rFonts w:ascii="Calibri" w:hAnsi="Calibri" w:cs="Calibri"/>
          <w:sz w:val="24"/>
          <w:szCs w:val="24"/>
        </w:rPr>
        <w:t>,</w:t>
      </w:r>
      <w:r w:rsidRPr="00007264">
        <w:rPr>
          <w:rFonts w:ascii="Calibri" w:hAnsi="Calibri" w:cs="Calibri"/>
          <w:sz w:val="24"/>
          <w:szCs w:val="24"/>
        </w:rPr>
        <w:t xml:space="preserve"> in partnership with other programs and departments across the sector</w:t>
      </w:r>
      <w:r w:rsidR="00CD0FD8">
        <w:rPr>
          <w:rFonts w:ascii="Calibri" w:hAnsi="Calibri" w:cs="Calibri"/>
          <w:sz w:val="24"/>
          <w:szCs w:val="24"/>
        </w:rPr>
        <w:t>,</w:t>
      </w:r>
      <w:r w:rsidRPr="00007264">
        <w:rPr>
          <w:rFonts w:ascii="Calibri" w:hAnsi="Calibri" w:cs="Calibri"/>
          <w:sz w:val="24"/>
          <w:szCs w:val="24"/>
        </w:rPr>
        <w:t xml:space="preserve"> has contributed to the Tasmanian Implementation Plan and </w:t>
      </w:r>
      <w:r w:rsidRPr="002E6D14">
        <w:rPr>
          <w:rFonts w:ascii="Calibri" w:hAnsi="Calibri" w:cs="Calibri"/>
          <w:i/>
          <w:sz w:val="24"/>
          <w:szCs w:val="24"/>
        </w:rPr>
        <w:t xml:space="preserve">Taking Action: Tasmania’s Primary Prevention Strategy to Reduce Violence </w:t>
      </w:r>
      <w:proofErr w:type="gramStart"/>
      <w:r w:rsidRPr="002E6D14">
        <w:rPr>
          <w:rFonts w:ascii="Calibri" w:hAnsi="Calibri" w:cs="Calibri"/>
          <w:i/>
          <w:sz w:val="24"/>
          <w:szCs w:val="24"/>
        </w:rPr>
        <w:t>Against</w:t>
      </w:r>
      <w:proofErr w:type="gramEnd"/>
      <w:r w:rsidRPr="002E6D14">
        <w:rPr>
          <w:rFonts w:ascii="Calibri" w:hAnsi="Calibri" w:cs="Calibri"/>
          <w:i/>
          <w:sz w:val="24"/>
          <w:szCs w:val="24"/>
        </w:rPr>
        <w:t xml:space="preserve"> Women and Children 2012</w:t>
      </w:r>
      <w:r w:rsidR="00F47E80" w:rsidRPr="002E6D14">
        <w:rPr>
          <w:rFonts w:ascii="Calibri" w:hAnsi="Calibri" w:cs="Calibri"/>
          <w:i/>
          <w:sz w:val="24"/>
          <w:szCs w:val="24"/>
        </w:rPr>
        <w:t>–</w:t>
      </w:r>
      <w:r w:rsidRPr="002E6D14">
        <w:rPr>
          <w:rFonts w:ascii="Calibri" w:hAnsi="Calibri" w:cs="Calibri"/>
          <w:i/>
          <w:sz w:val="24"/>
          <w:szCs w:val="24"/>
        </w:rPr>
        <w:t>2022</w:t>
      </w:r>
      <w:r w:rsidRPr="00007264">
        <w:rPr>
          <w:rFonts w:ascii="Calibri" w:hAnsi="Calibri" w:cs="Calibri"/>
          <w:sz w:val="24"/>
          <w:szCs w:val="24"/>
        </w:rPr>
        <w:t>.</w:t>
      </w:r>
    </w:p>
    <w:p w:rsidR="00007264" w:rsidRDefault="00007264" w:rsidP="00007264">
      <w:pPr>
        <w:rPr>
          <w:rFonts w:ascii="Calibri" w:hAnsi="Calibri" w:cs="Calibri"/>
          <w:sz w:val="24"/>
          <w:szCs w:val="24"/>
        </w:rPr>
      </w:pPr>
    </w:p>
    <w:p w:rsidR="00C94CE3" w:rsidRDefault="00007264" w:rsidP="00007264">
      <w:pPr>
        <w:rPr>
          <w:rFonts w:ascii="Calibri" w:hAnsi="Calibri" w:cs="Calibri"/>
          <w:sz w:val="24"/>
          <w:szCs w:val="24"/>
        </w:rPr>
      </w:pPr>
      <w:r w:rsidRPr="00007264">
        <w:rPr>
          <w:rFonts w:ascii="Calibri" w:hAnsi="Calibri" w:cs="Calibri"/>
          <w:sz w:val="24"/>
          <w:szCs w:val="24"/>
        </w:rPr>
        <w:t xml:space="preserve">Mapping </w:t>
      </w:r>
      <w:r w:rsidR="00F47E80">
        <w:rPr>
          <w:rFonts w:ascii="Calibri" w:hAnsi="Calibri" w:cs="Calibri"/>
          <w:sz w:val="24"/>
          <w:szCs w:val="24"/>
        </w:rPr>
        <w:t xml:space="preserve">of </w:t>
      </w:r>
      <w:r w:rsidRPr="00007264">
        <w:rPr>
          <w:rFonts w:ascii="Calibri" w:hAnsi="Calibri" w:cs="Calibri"/>
          <w:sz w:val="24"/>
          <w:szCs w:val="24"/>
        </w:rPr>
        <w:t>service provision to children and the continuum of care across access points into family violence services</w:t>
      </w:r>
      <w:r w:rsidR="00CD0FD8">
        <w:rPr>
          <w:rFonts w:ascii="Calibri" w:hAnsi="Calibri" w:cs="Calibri"/>
          <w:sz w:val="24"/>
          <w:szCs w:val="24"/>
        </w:rPr>
        <w:t xml:space="preserve"> is also being undertaken</w:t>
      </w:r>
      <w:r w:rsidRPr="00007264">
        <w:rPr>
          <w:rFonts w:ascii="Calibri" w:hAnsi="Calibri" w:cs="Calibri"/>
          <w:sz w:val="24"/>
          <w:szCs w:val="24"/>
        </w:rPr>
        <w:t>.</w:t>
      </w:r>
    </w:p>
    <w:p w:rsidR="003F5789" w:rsidRDefault="003F5789" w:rsidP="00007264">
      <w:pPr>
        <w:rPr>
          <w:rFonts w:ascii="Calibri" w:hAnsi="Calibri" w:cs="Calibri"/>
          <w:sz w:val="24"/>
          <w:szCs w:val="24"/>
        </w:rPr>
      </w:pPr>
    </w:p>
    <w:p w:rsidR="003F5789" w:rsidRPr="003F5789" w:rsidRDefault="003F5789" w:rsidP="003F5789">
      <w:pPr>
        <w:rPr>
          <w:rFonts w:ascii="Calibri" w:hAnsi="Calibri" w:cs="Calibri"/>
          <w:sz w:val="24"/>
          <w:szCs w:val="24"/>
        </w:rPr>
      </w:pPr>
      <w:r w:rsidRPr="003F5789">
        <w:rPr>
          <w:rFonts w:ascii="Calibri" w:hAnsi="Calibri" w:cs="Calibri"/>
          <w:sz w:val="24"/>
          <w:szCs w:val="24"/>
        </w:rPr>
        <w:t>The Children and Young Persons Program (CHYPP) of the FVCSS within DHHS is part of the Tasmanian Government’s response to addressing family violence within the community and its impacts on children. CHYPP is a specialist therapeutic service for the amelioration and resolution of trauma due to impacts of domestic and family violence.</w:t>
      </w:r>
    </w:p>
    <w:p w:rsidR="003F5789" w:rsidRPr="003F5789" w:rsidRDefault="003F5789" w:rsidP="003F5789">
      <w:pPr>
        <w:rPr>
          <w:rFonts w:ascii="Calibri" w:hAnsi="Calibri" w:cs="Calibri"/>
          <w:sz w:val="24"/>
          <w:szCs w:val="24"/>
        </w:rPr>
      </w:pPr>
    </w:p>
    <w:p w:rsidR="003F5789" w:rsidRPr="003F5789" w:rsidRDefault="003F5789" w:rsidP="003F5789">
      <w:pPr>
        <w:rPr>
          <w:rFonts w:ascii="Calibri" w:hAnsi="Calibri" w:cs="Calibri"/>
          <w:sz w:val="24"/>
          <w:szCs w:val="24"/>
        </w:rPr>
      </w:pPr>
      <w:r w:rsidRPr="003F5789">
        <w:rPr>
          <w:rFonts w:ascii="Calibri" w:hAnsi="Calibri" w:cs="Calibri"/>
          <w:sz w:val="24"/>
          <w:szCs w:val="24"/>
        </w:rPr>
        <w:t>CHYPP has been a leader in the sharing of knowledge, skills and practices in working with children who have experienced trauma as a result of domestic and family violence.</w:t>
      </w:r>
    </w:p>
    <w:p w:rsidR="003F5789" w:rsidRPr="003F5789" w:rsidRDefault="003F5789" w:rsidP="003F5789">
      <w:pPr>
        <w:rPr>
          <w:rFonts w:ascii="Calibri" w:hAnsi="Calibri" w:cs="Calibri"/>
          <w:sz w:val="24"/>
          <w:szCs w:val="24"/>
        </w:rPr>
      </w:pPr>
    </w:p>
    <w:p w:rsidR="003F5789" w:rsidRDefault="003F5789" w:rsidP="003F5789">
      <w:pPr>
        <w:rPr>
          <w:rFonts w:ascii="Calibri" w:hAnsi="Calibri" w:cs="Calibri"/>
          <w:sz w:val="24"/>
          <w:szCs w:val="24"/>
        </w:rPr>
      </w:pPr>
      <w:r w:rsidRPr="003F5789">
        <w:rPr>
          <w:rFonts w:ascii="Calibri" w:hAnsi="Calibri" w:cs="Calibri"/>
          <w:sz w:val="24"/>
          <w:szCs w:val="24"/>
        </w:rPr>
        <w:t>Across the state, CHYPP has been instrumental in the establishment of children trauma networks, drawing peer practitioners together to share best practice and generating contemporary literature and research in relation to working with children who have experienced trauma and their families.</w:t>
      </w:r>
    </w:p>
    <w:p w:rsidR="00A60A89" w:rsidRPr="003C414F" w:rsidRDefault="003C414F" w:rsidP="003C414F">
      <w:pPr>
        <w:pStyle w:val="Heading4"/>
        <w:rPr>
          <w:lang w:val="en-AU"/>
        </w:rPr>
      </w:pPr>
      <w:r>
        <w:t>Health and Mental Health</w:t>
      </w:r>
    </w:p>
    <w:p w:rsidR="00A60A89" w:rsidRPr="00A60A89" w:rsidRDefault="00A60A89" w:rsidP="00A60A89">
      <w:pPr>
        <w:rPr>
          <w:rFonts w:ascii="Calibri" w:hAnsi="Calibri" w:cs="Calibri"/>
          <w:sz w:val="24"/>
          <w:szCs w:val="24"/>
        </w:rPr>
      </w:pPr>
      <w:r w:rsidRPr="00A60A89">
        <w:rPr>
          <w:rFonts w:ascii="Calibri" w:hAnsi="Calibri" w:cs="Calibri"/>
          <w:sz w:val="24"/>
          <w:szCs w:val="24"/>
        </w:rPr>
        <w:t>The H</w:t>
      </w:r>
      <w:r w:rsidR="00CD0FD8">
        <w:rPr>
          <w:rFonts w:ascii="Calibri" w:hAnsi="Calibri" w:cs="Calibri"/>
          <w:sz w:val="24"/>
          <w:szCs w:val="24"/>
        </w:rPr>
        <w:t>earts</w:t>
      </w:r>
      <w:r w:rsidRPr="00A60A89">
        <w:rPr>
          <w:rFonts w:ascii="Calibri" w:hAnsi="Calibri" w:cs="Calibri"/>
          <w:sz w:val="24"/>
          <w:szCs w:val="24"/>
        </w:rPr>
        <w:t xml:space="preserve"> P</w:t>
      </w:r>
      <w:r w:rsidR="00CD0FD8">
        <w:rPr>
          <w:rFonts w:ascii="Calibri" w:hAnsi="Calibri" w:cs="Calibri"/>
          <w:sz w:val="24"/>
          <w:szCs w:val="24"/>
        </w:rPr>
        <w:t>roject</w:t>
      </w:r>
      <w:r w:rsidRPr="00A60A89">
        <w:rPr>
          <w:rFonts w:ascii="Calibri" w:hAnsi="Calibri" w:cs="Calibri"/>
          <w:sz w:val="24"/>
          <w:szCs w:val="24"/>
        </w:rPr>
        <w:t xml:space="preserve"> 2011</w:t>
      </w:r>
      <w:r w:rsidR="00F47E80">
        <w:rPr>
          <w:rFonts w:ascii="Calibri" w:hAnsi="Calibri" w:cs="Calibri"/>
          <w:sz w:val="24"/>
          <w:szCs w:val="24"/>
        </w:rPr>
        <w:t>–</w:t>
      </w:r>
      <w:r w:rsidRPr="00A60A89">
        <w:rPr>
          <w:rFonts w:ascii="Calibri" w:hAnsi="Calibri" w:cs="Calibri"/>
          <w:sz w:val="24"/>
          <w:szCs w:val="24"/>
        </w:rPr>
        <w:t>2015 is a multi</w:t>
      </w:r>
      <w:r w:rsidR="00F47E80">
        <w:rPr>
          <w:rFonts w:ascii="Calibri" w:hAnsi="Calibri" w:cs="Calibri"/>
          <w:sz w:val="24"/>
          <w:szCs w:val="24"/>
        </w:rPr>
        <w:t>-</w:t>
      </w:r>
      <w:r w:rsidRPr="00A60A89">
        <w:rPr>
          <w:rFonts w:ascii="Calibri" w:hAnsi="Calibri" w:cs="Calibri"/>
          <w:sz w:val="24"/>
          <w:szCs w:val="24"/>
        </w:rPr>
        <w:t>a</w:t>
      </w:r>
      <w:r w:rsidR="00CD0FD8">
        <w:rPr>
          <w:rFonts w:ascii="Calibri" w:hAnsi="Calibri" w:cs="Calibri"/>
          <w:sz w:val="24"/>
          <w:szCs w:val="24"/>
        </w:rPr>
        <w:t>gency, m</w:t>
      </w:r>
      <w:r w:rsidRPr="00A60A89">
        <w:rPr>
          <w:rFonts w:ascii="Calibri" w:hAnsi="Calibri" w:cs="Calibri"/>
          <w:sz w:val="24"/>
          <w:szCs w:val="24"/>
        </w:rPr>
        <w:t>ultidisciplinary</w:t>
      </w:r>
      <w:r w:rsidR="0022520D">
        <w:rPr>
          <w:rFonts w:ascii="Calibri" w:hAnsi="Calibri" w:cs="Calibri"/>
          <w:sz w:val="24"/>
          <w:szCs w:val="24"/>
        </w:rPr>
        <w:t>,</w:t>
      </w:r>
      <w:r w:rsidRPr="00A60A89">
        <w:rPr>
          <w:rFonts w:ascii="Calibri" w:hAnsi="Calibri" w:cs="Calibri"/>
          <w:sz w:val="24"/>
          <w:szCs w:val="24"/>
        </w:rPr>
        <w:t xml:space="preserve"> collaborative effort to improve outcomes </w:t>
      </w:r>
      <w:r w:rsidR="00F47E80">
        <w:rPr>
          <w:rFonts w:ascii="Calibri" w:hAnsi="Calibri" w:cs="Calibri"/>
          <w:sz w:val="24"/>
          <w:szCs w:val="24"/>
        </w:rPr>
        <w:t xml:space="preserve">for, </w:t>
      </w:r>
      <w:r w:rsidRPr="00A60A89">
        <w:rPr>
          <w:rFonts w:ascii="Calibri" w:hAnsi="Calibri" w:cs="Calibri"/>
          <w:sz w:val="24"/>
          <w:szCs w:val="24"/>
        </w:rPr>
        <w:t>and support the health and wel</w:t>
      </w:r>
      <w:r w:rsidR="00CD0FD8">
        <w:rPr>
          <w:rFonts w:ascii="Calibri" w:hAnsi="Calibri" w:cs="Calibri"/>
          <w:sz w:val="24"/>
          <w:szCs w:val="24"/>
        </w:rPr>
        <w:t>lbeing needs of</w:t>
      </w:r>
      <w:r w:rsidR="00F47E80">
        <w:rPr>
          <w:rFonts w:ascii="Calibri" w:hAnsi="Calibri" w:cs="Calibri"/>
          <w:sz w:val="24"/>
          <w:szCs w:val="24"/>
        </w:rPr>
        <w:t>,</w:t>
      </w:r>
      <w:r w:rsidR="00CD0FD8">
        <w:rPr>
          <w:rFonts w:ascii="Calibri" w:hAnsi="Calibri" w:cs="Calibri"/>
          <w:sz w:val="24"/>
          <w:szCs w:val="24"/>
        </w:rPr>
        <w:t xml:space="preserve"> children in out-of-</w:t>
      </w:r>
      <w:r w:rsidRPr="00A60A89">
        <w:rPr>
          <w:rFonts w:ascii="Calibri" w:hAnsi="Calibri" w:cs="Calibri"/>
          <w:sz w:val="24"/>
          <w:szCs w:val="24"/>
        </w:rPr>
        <w:t>home care</w:t>
      </w:r>
      <w:r w:rsidR="00CD0FD8">
        <w:rPr>
          <w:rFonts w:ascii="Calibri" w:hAnsi="Calibri" w:cs="Calibri"/>
          <w:sz w:val="24"/>
          <w:szCs w:val="24"/>
        </w:rPr>
        <w:t>.</w:t>
      </w:r>
      <w:r w:rsidRPr="00A60A89">
        <w:rPr>
          <w:rFonts w:ascii="Calibri" w:hAnsi="Calibri" w:cs="Calibri"/>
          <w:sz w:val="24"/>
          <w:szCs w:val="24"/>
        </w:rPr>
        <w:t xml:space="preserve"> This has been found to be a very useful strategy to improve communication and link services required for </w:t>
      </w:r>
      <w:r w:rsidR="00F47E80">
        <w:rPr>
          <w:rFonts w:ascii="Calibri" w:hAnsi="Calibri" w:cs="Calibri"/>
          <w:sz w:val="24"/>
          <w:szCs w:val="24"/>
        </w:rPr>
        <w:t xml:space="preserve">addressing the </w:t>
      </w:r>
      <w:r w:rsidRPr="00A60A89">
        <w:rPr>
          <w:rFonts w:ascii="Calibri" w:hAnsi="Calibri" w:cs="Calibri"/>
          <w:sz w:val="24"/>
          <w:szCs w:val="24"/>
        </w:rPr>
        <w:t xml:space="preserve">complex needs of these vulnerable children. </w:t>
      </w:r>
    </w:p>
    <w:p w:rsidR="00A60A89" w:rsidRDefault="00A60A89" w:rsidP="00A60A89">
      <w:pPr>
        <w:rPr>
          <w:rFonts w:ascii="Calibri" w:hAnsi="Calibri" w:cs="Calibri"/>
          <w:sz w:val="24"/>
          <w:szCs w:val="24"/>
        </w:rPr>
      </w:pPr>
    </w:p>
    <w:p w:rsidR="00A60A89" w:rsidRPr="00A60A89" w:rsidRDefault="00A60A89" w:rsidP="00A60A89">
      <w:pPr>
        <w:rPr>
          <w:rFonts w:ascii="Calibri" w:hAnsi="Calibri" w:cs="Calibri"/>
          <w:sz w:val="24"/>
          <w:szCs w:val="24"/>
        </w:rPr>
      </w:pPr>
      <w:r w:rsidRPr="00A60A89">
        <w:rPr>
          <w:rFonts w:ascii="Calibri" w:hAnsi="Calibri" w:cs="Calibri"/>
          <w:sz w:val="24"/>
          <w:szCs w:val="24"/>
        </w:rPr>
        <w:t xml:space="preserve">An </w:t>
      </w:r>
      <w:r w:rsidR="00CD0FD8">
        <w:rPr>
          <w:rFonts w:ascii="Calibri" w:hAnsi="Calibri" w:cs="Calibri"/>
          <w:sz w:val="24"/>
          <w:szCs w:val="24"/>
        </w:rPr>
        <w:t>out-of-home care</w:t>
      </w:r>
      <w:r w:rsidRPr="00A60A89">
        <w:rPr>
          <w:rFonts w:ascii="Calibri" w:hAnsi="Calibri" w:cs="Calibri"/>
          <w:sz w:val="24"/>
          <w:szCs w:val="24"/>
        </w:rPr>
        <w:t xml:space="preserve"> clinic was set up in 2011 to undertake health and wellbeing screening assessments and follow-up for all children </w:t>
      </w:r>
      <w:r w:rsidR="00945F81">
        <w:rPr>
          <w:rFonts w:ascii="Calibri" w:hAnsi="Calibri" w:cs="Calibri"/>
          <w:sz w:val="24"/>
          <w:szCs w:val="24"/>
        </w:rPr>
        <w:t xml:space="preserve">aged </w:t>
      </w:r>
      <w:r w:rsidRPr="00A60A89">
        <w:rPr>
          <w:rFonts w:ascii="Calibri" w:hAnsi="Calibri" w:cs="Calibri"/>
          <w:sz w:val="24"/>
          <w:szCs w:val="24"/>
        </w:rPr>
        <w:t>0</w:t>
      </w:r>
      <w:r w:rsidR="00945F81">
        <w:rPr>
          <w:rFonts w:ascii="Calibri" w:hAnsi="Calibri" w:cs="Calibri"/>
          <w:sz w:val="24"/>
          <w:szCs w:val="24"/>
        </w:rPr>
        <w:t xml:space="preserve"> to </w:t>
      </w:r>
      <w:r w:rsidRPr="00A60A89">
        <w:rPr>
          <w:rFonts w:ascii="Calibri" w:hAnsi="Calibri" w:cs="Calibri"/>
          <w:sz w:val="24"/>
          <w:szCs w:val="24"/>
        </w:rPr>
        <w:t>14 years in Southern Tasmania. This is run by the Community Paediatric team</w:t>
      </w:r>
      <w:r w:rsidR="00F47E80">
        <w:rPr>
          <w:rFonts w:ascii="Calibri" w:hAnsi="Calibri" w:cs="Calibri"/>
          <w:sz w:val="24"/>
          <w:szCs w:val="24"/>
        </w:rPr>
        <w:t>,</w:t>
      </w:r>
      <w:r w:rsidRPr="00A60A89">
        <w:rPr>
          <w:rFonts w:ascii="Calibri" w:hAnsi="Calibri" w:cs="Calibri"/>
          <w:sz w:val="24"/>
          <w:szCs w:val="24"/>
        </w:rPr>
        <w:t xml:space="preserve"> </w:t>
      </w:r>
      <w:r w:rsidR="00CD0FD8">
        <w:rPr>
          <w:rFonts w:ascii="Calibri" w:hAnsi="Calibri" w:cs="Calibri"/>
          <w:sz w:val="24"/>
          <w:szCs w:val="24"/>
        </w:rPr>
        <w:t>comprising</w:t>
      </w:r>
      <w:r w:rsidRPr="00A60A89">
        <w:rPr>
          <w:rFonts w:ascii="Calibri" w:hAnsi="Calibri" w:cs="Calibri"/>
          <w:sz w:val="24"/>
          <w:szCs w:val="24"/>
        </w:rPr>
        <w:t xml:space="preserve"> a Community Paediatrician and a Community Paediatric registrar.</w:t>
      </w:r>
    </w:p>
    <w:p w:rsidR="00A60A89" w:rsidRDefault="00A60A89" w:rsidP="00A60A89">
      <w:pPr>
        <w:rPr>
          <w:rFonts w:ascii="Calibri" w:hAnsi="Calibri" w:cs="Calibri"/>
          <w:sz w:val="24"/>
          <w:szCs w:val="24"/>
        </w:rPr>
      </w:pPr>
    </w:p>
    <w:p w:rsidR="00A60A89" w:rsidRPr="00A60A89" w:rsidRDefault="00A60A89" w:rsidP="00A60A89">
      <w:pPr>
        <w:rPr>
          <w:rFonts w:ascii="Calibri" w:hAnsi="Calibri" w:cs="Calibri"/>
          <w:sz w:val="24"/>
          <w:szCs w:val="24"/>
        </w:rPr>
      </w:pPr>
      <w:r w:rsidRPr="00A60A89">
        <w:rPr>
          <w:rFonts w:ascii="Calibri" w:hAnsi="Calibri" w:cs="Calibri"/>
          <w:sz w:val="24"/>
          <w:szCs w:val="24"/>
        </w:rPr>
        <w:t>To date</w:t>
      </w:r>
      <w:r w:rsidR="00CD0FD8">
        <w:rPr>
          <w:rFonts w:ascii="Calibri" w:hAnsi="Calibri" w:cs="Calibri"/>
          <w:sz w:val="24"/>
          <w:szCs w:val="24"/>
        </w:rPr>
        <w:t>,</w:t>
      </w:r>
      <w:r w:rsidRPr="00A60A89">
        <w:rPr>
          <w:rFonts w:ascii="Calibri" w:hAnsi="Calibri" w:cs="Calibri"/>
          <w:sz w:val="24"/>
          <w:szCs w:val="24"/>
        </w:rPr>
        <w:t xml:space="preserve"> the initial assessments for all children under state guardianship who do not already have a </w:t>
      </w:r>
      <w:r w:rsidR="00AB258D">
        <w:rPr>
          <w:rFonts w:ascii="Calibri" w:hAnsi="Calibri" w:cs="Calibri"/>
          <w:sz w:val="24"/>
          <w:szCs w:val="24"/>
        </w:rPr>
        <w:t>p</w:t>
      </w:r>
      <w:r w:rsidRPr="00A60A89">
        <w:rPr>
          <w:rFonts w:ascii="Calibri" w:hAnsi="Calibri" w:cs="Calibri"/>
          <w:sz w:val="24"/>
          <w:szCs w:val="24"/>
        </w:rPr>
        <w:t xml:space="preserve">aediatrician have been completed. Annual </w:t>
      </w:r>
      <w:r w:rsidR="00BB0638" w:rsidRPr="00A60A89">
        <w:rPr>
          <w:rFonts w:ascii="Calibri" w:hAnsi="Calibri" w:cs="Calibri"/>
          <w:sz w:val="24"/>
          <w:szCs w:val="24"/>
        </w:rPr>
        <w:t>follow</w:t>
      </w:r>
      <w:r w:rsidR="00BB0638">
        <w:rPr>
          <w:rFonts w:ascii="Calibri" w:hAnsi="Calibri" w:cs="Calibri"/>
          <w:sz w:val="24"/>
          <w:szCs w:val="24"/>
        </w:rPr>
        <w:t>-</w:t>
      </w:r>
      <w:r w:rsidRPr="00A60A89">
        <w:rPr>
          <w:rFonts w:ascii="Calibri" w:hAnsi="Calibri" w:cs="Calibri"/>
          <w:sz w:val="24"/>
          <w:szCs w:val="24"/>
        </w:rPr>
        <w:t>up of these children is now underway</w:t>
      </w:r>
      <w:r w:rsidR="00BB0638">
        <w:rPr>
          <w:rFonts w:ascii="Calibri" w:hAnsi="Calibri" w:cs="Calibri"/>
          <w:sz w:val="24"/>
          <w:szCs w:val="24"/>
        </w:rPr>
        <w:t>,</w:t>
      </w:r>
      <w:r w:rsidRPr="00A60A89">
        <w:rPr>
          <w:rFonts w:ascii="Calibri" w:hAnsi="Calibri" w:cs="Calibri"/>
          <w:sz w:val="24"/>
          <w:szCs w:val="24"/>
        </w:rPr>
        <w:t xml:space="preserve"> and initial assessments for the children who have entered care in 2013 are being undertaken.</w:t>
      </w:r>
    </w:p>
    <w:p w:rsidR="00A60A89" w:rsidRDefault="00A60A89" w:rsidP="00A60A89">
      <w:pPr>
        <w:rPr>
          <w:rFonts w:ascii="Calibri" w:hAnsi="Calibri" w:cs="Calibri"/>
          <w:sz w:val="24"/>
          <w:szCs w:val="24"/>
        </w:rPr>
      </w:pPr>
    </w:p>
    <w:p w:rsidR="00A60A89" w:rsidRPr="00A60A89" w:rsidRDefault="00CD0FD8" w:rsidP="00A60A89">
      <w:pPr>
        <w:rPr>
          <w:rFonts w:ascii="Calibri" w:hAnsi="Calibri" w:cs="Calibri"/>
          <w:sz w:val="24"/>
          <w:szCs w:val="24"/>
        </w:rPr>
      </w:pPr>
      <w:r>
        <w:rPr>
          <w:rFonts w:ascii="Calibri" w:hAnsi="Calibri" w:cs="Calibri"/>
          <w:sz w:val="24"/>
          <w:szCs w:val="24"/>
        </w:rPr>
        <w:t>Assessments for young p</w:t>
      </w:r>
      <w:r w:rsidR="00A60A89" w:rsidRPr="00A60A89">
        <w:rPr>
          <w:rFonts w:ascii="Calibri" w:hAnsi="Calibri" w:cs="Calibri"/>
          <w:sz w:val="24"/>
          <w:szCs w:val="24"/>
        </w:rPr>
        <w:t>eople in care (14</w:t>
      </w:r>
      <w:r w:rsidR="00BB0638">
        <w:rPr>
          <w:rFonts w:ascii="Calibri" w:hAnsi="Calibri" w:cs="Calibri"/>
          <w:sz w:val="24"/>
          <w:szCs w:val="24"/>
        </w:rPr>
        <w:t>–</w:t>
      </w:r>
      <w:r w:rsidR="00A60A89" w:rsidRPr="00A60A89">
        <w:rPr>
          <w:rFonts w:ascii="Calibri" w:hAnsi="Calibri" w:cs="Calibri"/>
          <w:sz w:val="24"/>
          <w:szCs w:val="24"/>
        </w:rPr>
        <w:t>17</w:t>
      </w:r>
      <w:r w:rsidR="00BB0638">
        <w:rPr>
          <w:rFonts w:ascii="Calibri" w:hAnsi="Calibri" w:cs="Calibri"/>
          <w:sz w:val="24"/>
          <w:szCs w:val="24"/>
        </w:rPr>
        <w:t xml:space="preserve"> </w:t>
      </w:r>
      <w:r w:rsidR="00A60A89" w:rsidRPr="00A60A89">
        <w:rPr>
          <w:rFonts w:ascii="Calibri" w:hAnsi="Calibri" w:cs="Calibri"/>
          <w:sz w:val="24"/>
          <w:szCs w:val="24"/>
        </w:rPr>
        <w:t>y</w:t>
      </w:r>
      <w:r w:rsidR="00BB0638">
        <w:rPr>
          <w:rFonts w:ascii="Calibri" w:hAnsi="Calibri" w:cs="Calibri"/>
          <w:sz w:val="24"/>
          <w:szCs w:val="24"/>
        </w:rPr>
        <w:t>ea</w:t>
      </w:r>
      <w:r w:rsidR="00A60A89" w:rsidRPr="00A60A89">
        <w:rPr>
          <w:rFonts w:ascii="Calibri" w:hAnsi="Calibri" w:cs="Calibri"/>
          <w:sz w:val="24"/>
          <w:szCs w:val="24"/>
        </w:rPr>
        <w:t>rs) are being coordinated through the Youth Health services available in Hobart</w:t>
      </w:r>
      <w:r w:rsidR="00CA0113">
        <w:rPr>
          <w:rFonts w:ascii="Calibri" w:hAnsi="Calibri" w:cs="Calibri"/>
          <w:sz w:val="24"/>
          <w:szCs w:val="24"/>
        </w:rPr>
        <w:t>—</w:t>
      </w:r>
      <w:r w:rsidR="00A60A89" w:rsidRPr="00A60A89">
        <w:rPr>
          <w:rFonts w:ascii="Calibri" w:hAnsi="Calibri" w:cs="Calibri"/>
          <w:sz w:val="24"/>
          <w:szCs w:val="24"/>
        </w:rPr>
        <w:t>Pulse and HEADSPACE. If there are significant concerns and an identified need for paediatrician input for complex medical and psychosocial reasons (</w:t>
      </w:r>
      <w:r w:rsidR="00BB0638">
        <w:rPr>
          <w:rFonts w:ascii="Calibri" w:hAnsi="Calibri" w:cs="Calibri"/>
          <w:sz w:val="24"/>
          <w:szCs w:val="24"/>
        </w:rPr>
        <w:t>for example,</w:t>
      </w:r>
      <w:r w:rsidR="00A60A89" w:rsidRPr="00A60A89">
        <w:rPr>
          <w:rFonts w:ascii="Calibri" w:hAnsi="Calibri" w:cs="Calibri"/>
          <w:sz w:val="24"/>
          <w:szCs w:val="24"/>
        </w:rPr>
        <w:t xml:space="preserve"> children in </w:t>
      </w:r>
      <w:r w:rsidR="00757F58">
        <w:rPr>
          <w:rFonts w:ascii="Calibri" w:hAnsi="Calibri" w:cs="Calibri"/>
          <w:sz w:val="24"/>
          <w:szCs w:val="24"/>
        </w:rPr>
        <w:t>TRC</w:t>
      </w:r>
      <w:r w:rsidR="00A60A89" w:rsidRPr="00A60A89">
        <w:rPr>
          <w:rFonts w:ascii="Calibri" w:hAnsi="Calibri" w:cs="Calibri"/>
          <w:sz w:val="24"/>
          <w:szCs w:val="24"/>
        </w:rPr>
        <w:t>)</w:t>
      </w:r>
      <w:r>
        <w:rPr>
          <w:rFonts w:ascii="Calibri" w:hAnsi="Calibri" w:cs="Calibri"/>
          <w:sz w:val="24"/>
          <w:szCs w:val="24"/>
        </w:rPr>
        <w:t>,</w:t>
      </w:r>
      <w:r w:rsidR="00A60A89" w:rsidRPr="00A60A89">
        <w:rPr>
          <w:rFonts w:ascii="Calibri" w:hAnsi="Calibri" w:cs="Calibri"/>
          <w:sz w:val="24"/>
          <w:szCs w:val="24"/>
        </w:rPr>
        <w:t xml:space="preserve"> these young people will be seen in the </w:t>
      </w:r>
      <w:r>
        <w:rPr>
          <w:rFonts w:ascii="Calibri" w:hAnsi="Calibri" w:cs="Calibri"/>
          <w:sz w:val="24"/>
          <w:szCs w:val="24"/>
        </w:rPr>
        <w:t>out-of-home care</w:t>
      </w:r>
      <w:r w:rsidR="00A60A89" w:rsidRPr="00A60A89">
        <w:rPr>
          <w:rFonts w:ascii="Calibri" w:hAnsi="Calibri" w:cs="Calibri"/>
          <w:sz w:val="24"/>
          <w:szCs w:val="24"/>
        </w:rPr>
        <w:t xml:space="preserve"> clinic by the Community Paediatric team.</w:t>
      </w:r>
    </w:p>
    <w:p w:rsidR="00A60A89" w:rsidRDefault="00A60A89" w:rsidP="00A60A89">
      <w:pPr>
        <w:rPr>
          <w:rFonts w:ascii="Calibri" w:hAnsi="Calibri" w:cs="Calibri"/>
          <w:sz w:val="24"/>
          <w:szCs w:val="24"/>
        </w:rPr>
      </w:pPr>
    </w:p>
    <w:p w:rsidR="00A60A89" w:rsidRPr="00A60A89" w:rsidRDefault="00A60A89" w:rsidP="00A60A89">
      <w:pPr>
        <w:rPr>
          <w:rFonts w:ascii="Calibri" w:hAnsi="Calibri" w:cs="Calibri"/>
          <w:sz w:val="24"/>
          <w:szCs w:val="24"/>
        </w:rPr>
      </w:pPr>
      <w:r w:rsidRPr="00A60A89">
        <w:rPr>
          <w:rFonts w:ascii="Calibri" w:hAnsi="Calibri" w:cs="Calibri"/>
          <w:sz w:val="24"/>
          <w:szCs w:val="24"/>
        </w:rPr>
        <w:t xml:space="preserve">To improve access to the </w:t>
      </w:r>
      <w:r w:rsidR="00CD0FD8">
        <w:rPr>
          <w:rFonts w:ascii="Calibri" w:hAnsi="Calibri" w:cs="Calibri"/>
          <w:sz w:val="24"/>
          <w:szCs w:val="24"/>
        </w:rPr>
        <w:t>out-of-home care</w:t>
      </w:r>
      <w:r w:rsidRPr="00A60A89">
        <w:rPr>
          <w:rFonts w:ascii="Calibri" w:hAnsi="Calibri" w:cs="Calibri"/>
          <w:sz w:val="24"/>
          <w:szCs w:val="24"/>
        </w:rPr>
        <w:t xml:space="preserve"> clinic</w:t>
      </w:r>
      <w:r w:rsidR="00CD0FD8">
        <w:rPr>
          <w:rFonts w:ascii="Calibri" w:hAnsi="Calibri" w:cs="Calibri"/>
          <w:sz w:val="24"/>
          <w:szCs w:val="24"/>
        </w:rPr>
        <w:t>,</w:t>
      </w:r>
      <w:r w:rsidRPr="00A60A89">
        <w:rPr>
          <w:rFonts w:ascii="Calibri" w:hAnsi="Calibri" w:cs="Calibri"/>
          <w:sz w:val="24"/>
          <w:szCs w:val="24"/>
        </w:rPr>
        <w:t xml:space="preserve"> an outreach clinic at the Bridgewater </w:t>
      </w:r>
      <w:r w:rsidR="00533153">
        <w:rPr>
          <w:rFonts w:ascii="Calibri" w:hAnsi="Calibri" w:cs="Calibri"/>
          <w:sz w:val="24"/>
          <w:szCs w:val="24"/>
        </w:rPr>
        <w:t>CFC</w:t>
      </w:r>
      <w:r w:rsidR="00CD0FD8">
        <w:rPr>
          <w:rFonts w:ascii="Calibri" w:hAnsi="Calibri" w:cs="Calibri"/>
          <w:sz w:val="24"/>
          <w:szCs w:val="24"/>
        </w:rPr>
        <w:t xml:space="preserve"> has</w:t>
      </w:r>
      <w:r w:rsidRPr="00A60A89">
        <w:rPr>
          <w:rFonts w:ascii="Calibri" w:hAnsi="Calibri" w:cs="Calibri"/>
          <w:sz w:val="24"/>
          <w:szCs w:val="24"/>
        </w:rPr>
        <w:t xml:space="preserve"> commenced on a weekly basis. As this has been found to be useful for the local community</w:t>
      </w:r>
      <w:r w:rsidR="00CD0FD8">
        <w:rPr>
          <w:rFonts w:ascii="Calibri" w:hAnsi="Calibri" w:cs="Calibri"/>
          <w:sz w:val="24"/>
          <w:szCs w:val="24"/>
        </w:rPr>
        <w:t>,</w:t>
      </w:r>
      <w:r w:rsidRPr="00A60A89">
        <w:rPr>
          <w:rFonts w:ascii="Calibri" w:hAnsi="Calibri" w:cs="Calibri"/>
          <w:sz w:val="24"/>
          <w:szCs w:val="24"/>
        </w:rPr>
        <w:t xml:space="preserve"> options </w:t>
      </w:r>
      <w:r w:rsidR="00BB0638">
        <w:rPr>
          <w:rFonts w:ascii="Calibri" w:hAnsi="Calibri" w:cs="Calibri"/>
          <w:sz w:val="24"/>
          <w:szCs w:val="24"/>
        </w:rPr>
        <w:t>for</w:t>
      </w:r>
      <w:r w:rsidR="00BB0638" w:rsidRPr="00A60A89">
        <w:rPr>
          <w:rFonts w:ascii="Calibri" w:hAnsi="Calibri" w:cs="Calibri"/>
          <w:sz w:val="24"/>
          <w:szCs w:val="24"/>
        </w:rPr>
        <w:t xml:space="preserve"> </w:t>
      </w:r>
      <w:r w:rsidRPr="00A60A89">
        <w:rPr>
          <w:rFonts w:ascii="Calibri" w:hAnsi="Calibri" w:cs="Calibri"/>
          <w:sz w:val="24"/>
          <w:szCs w:val="24"/>
        </w:rPr>
        <w:t>another outreach clinic in Huonville</w:t>
      </w:r>
      <w:r w:rsidR="00BB0638">
        <w:rPr>
          <w:rFonts w:ascii="Calibri" w:hAnsi="Calibri" w:cs="Calibri"/>
          <w:sz w:val="24"/>
          <w:szCs w:val="24"/>
        </w:rPr>
        <w:t>,</w:t>
      </w:r>
      <w:r w:rsidRPr="00A60A89">
        <w:rPr>
          <w:rFonts w:ascii="Calibri" w:hAnsi="Calibri" w:cs="Calibri"/>
          <w:sz w:val="24"/>
          <w:szCs w:val="24"/>
        </w:rPr>
        <w:t xml:space="preserve"> commencing in 2014</w:t>
      </w:r>
      <w:r w:rsidR="00BB0638">
        <w:rPr>
          <w:rFonts w:ascii="Calibri" w:hAnsi="Calibri" w:cs="Calibri"/>
          <w:sz w:val="24"/>
          <w:szCs w:val="24"/>
        </w:rPr>
        <w:t>,</w:t>
      </w:r>
      <w:r w:rsidRPr="00A60A89">
        <w:rPr>
          <w:rFonts w:ascii="Calibri" w:hAnsi="Calibri" w:cs="Calibri"/>
          <w:sz w:val="24"/>
          <w:szCs w:val="24"/>
        </w:rPr>
        <w:t xml:space="preserve"> are being explored.</w:t>
      </w:r>
    </w:p>
    <w:p w:rsidR="00A60A89" w:rsidRDefault="00A60A89" w:rsidP="00A60A89">
      <w:pPr>
        <w:rPr>
          <w:rFonts w:ascii="Calibri" w:hAnsi="Calibri" w:cs="Calibri"/>
          <w:sz w:val="24"/>
          <w:szCs w:val="24"/>
        </w:rPr>
      </w:pPr>
    </w:p>
    <w:p w:rsidR="00A60A89" w:rsidRPr="00A60A89" w:rsidRDefault="00A60A89" w:rsidP="00A60A89">
      <w:pPr>
        <w:rPr>
          <w:rFonts w:ascii="Calibri" w:hAnsi="Calibri" w:cs="Calibri"/>
          <w:sz w:val="24"/>
          <w:szCs w:val="24"/>
        </w:rPr>
      </w:pPr>
      <w:r w:rsidRPr="00A60A89">
        <w:rPr>
          <w:rFonts w:ascii="Calibri" w:hAnsi="Calibri" w:cs="Calibri"/>
          <w:sz w:val="24"/>
          <w:szCs w:val="24"/>
        </w:rPr>
        <w:t xml:space="preserve">The role of the Child Protection Liaison Officer has significantly enhanced the collaborative efforts between </w:t>
      </w:r>
      <w:r w:rsidR="00E557BA">
        <w:rPr>
          <w:rFonts w:ascii="Calibri" w:hAnsi="Calibri" w:cs="Calibri"/>
          <w:sz w:val="24"/>
          <w:szCs w:val="24"/>
        </w:rPr>
        <w:t>health services</w:t>
      </w:r>
      <w:r w:rsidRPr="00A60A89">
        <w:rPr>
          <w:rFonts w:ascii="Calibri" w:hAnsi="Calibri" w:cs="Calibri"/>
          <w:sz w:val="24"/>
          <w:szCs w:val="24"/>
        </w:rPr>
        <w:t xml:space="preserve"> and child protection.</w:t>
      </w:r>
    </w:p>
    <w:p w:rsidR="00A60A89" w:rsidRDefault="00A60A89" w:rsidP="00A60A89">
      <w:pPr>
        <w:rPr>
          <w:rFonts w:ascii="Calibri" w:hAnsi="Calibri" w:cs="Calibri"/>
          <w:sz w:val="24"/>
          <w:szCs w:val="24"/>
        </w:rPr>
      </w:pPr>
    </w:p>
    <w:p w:rsidR="00A60A89" w:rsidRPr="00A60A89" w:rsidRDefault="00A60A89" w:rsidP="00A60A89">
      <w:pPr>
        <w:rPr>
          <w:rFonts w:ascii="Calibri" w:hAnsi="Calibri" w:cs="Calibri"/>
          <w:sz w:val="24"/>
          <w:szCs w:val="24"/>
        </w:rPr>
      </w:pPr>
      <w:r w:rsidRPr="00A60A89">
        <w:rPr>
          <w:rFonts w:ascii="Calibri" w:hAnsi="Calibri" w:cs="Calibri"/>
          <w:sz w:val="24"/>
          <w:szCs w:val="24"/>
        </w:rPr>
        <w:t>Data linkage work undertaken by the Performance and Evaluation Unit within CYS has enabled public hospitals</w:t>
      </w:r>
      <w:r w:rsidR="00BB0638">
        <w:rPr>
          <w:rFonts w:ascii="Calibri" w:hAnsi="Calibri" w:cs="Calibri"/>
          <w:sz w:val="24"/>
          <w:szCs w:val="24"/>
        </w:rPr>
        <w:t>’</w:t>
      </w:r>
      <w:r w:rsidRPr="00A60A89">
        <w:rPr>
          <w:rFonts w:ascii="Calibri" w:hAnsi="Calibri" w:cs="Calibri"/>
          <w:sz w:val="24"/>
          <w:szCs w:val="24"/>
        </w:rPr>
        <w:t xml:space="preserve"> histories to be tracked for </w:t>
      </w:r>
      <w:r w:rsidR="00BB0638">
        <w:rPr>
          <w:rFonts w:ascii="Calibri" w:hAnsi="Calibri" w:cs="Calibri"/>
          <w:sz w:val="24"/>
          <w:szCs w:val="24"/>
        </w:rPr>
        <w:t xml:space="preserve">records of </w:t>
      </w:r>
      <w:r w:rsidRPr="00A60A89">
        <w:rPr>
          <w:rFonts w:ascii="Calibri" w:hAnsi="Calibri" w:cs="Calibri"/>
          <w:sz w:val="24"/>
          <w:szCs w:val="24"/>
        </w:rPr>
        <w:t>individual children on orders.</w:t>
      </w:r>
    </w:p>
    <w:p w:rsidR="00A60A89" w:rsidRDefault="00A60A89" w:rsidP="00BD5D4E">
      <w:pPr>
        <w:rPr>
          <w:rFonts w:ascii="Calibri" w:hAnsi="Calibri" w:cs="Calibri"/>
          <w:sz w:val="24"/>
          <w:szCs w:val="24"/>
        </w:rPr>
      </w:pPr>
    </w:p>
    <w:p w:rsidR="00007264" w:rsidRDefault="00007264" w:rsidP="00007264">
      <w:pPr>
        <w:rPr>
          <w:rFonts w:ascii="Calibri" w:hAnsi="Calibri" w:cs="Calibri"/>
          <w:sz w:val="24"/>
          <w:szCs w:val="24"/>
        </w:rPr>
      </w:pPr>
      <w:r w:rsidRPr="00007264">
        <w:rPr>
          <w:rFonts w:ascii="Calibri" w:hAnsi="Calibri" w:cs="Calibri"/>
          <w:sz w:val="24"/>
          <w:szCs w:val="24"/>
        </w:rPr>
        <w:t xml:space="preserve">CYS is linking data from the Department of Education, Tasmanian Public Hospitals, Oral Health Services Tasmania and the Australian Childhood Immunisation Register </w:t>
      </w:r>
      <w:r w:rsidR="0022520D">
        <w:rPr>
          <w:rFonts w:ascii="Calibri" w:hAnsi="Calibri" w:cs="Calibri"/>
          <w:sz w:val="24"/>
          <w:szCs w:val="24"/>
        </w:rPr>
        <w:t>relating to</w:t>
      </w:r>
      <w:r w:rsidR="0022520D" w:rsidRPr="00007264">
        <w:rPr>
          <w:rFonts w:ascii="Calibri" w:hAnsi="Calibri" w:cs="Calibri"/>
          <w:sz w:val="24"/>
          <w:szCs w:val="24"/>
        </w:rPr>
        <w:t xml:space="preserve"> </w:t>
      </w:r>
      <w:r w:rsidRPr="00007264">
        <w:rPr>
          <w:rFonts w:ascii="Calibri" w:hAnsi="Calibri" w:cs="Calibri"/>
          <w:sz w:val="24"/>
          <w:szCs w:val="24"/>
        </w:rPr>
        <w:t xml:space="preserve">children under care and protection orders, as well as within CYS between </w:t>
      </w:r>
      <w:r w:rsidR="009019B1" w:rsidRPr="00D542E9">
        <w:rPr>
          <w:rFonts w:ascii="Calibri" w:hAnsi="Calibri"/>
          <w:sz w:val="24"/>
        </w:rPr>
        <w:t>CPS</w:t>
      </w:r>
      <w:r w:rsidRPr="00007264">
        <w:rPr>
          <w:rFonts w:ascii="Calibri" w:hAnsi="Calibri" w:cs="Calibri"/>
          <w:sz w:val="24"/>
          <w:szCs w:val="24"/>
        </w:rPr>
        <w:t xml:space="preserve">, Youth Justice Services, </w:t>
      </w:r>
      <w:proofErr w:type="spellStart"/>
      <w:r w:rsidRPr="00007264">
        <w:rPr>
          <w:rFonts w:ascii="Calibri" w:hAnsi="Calibri" w:cs="Calibri"/>
          <w:sz w:val="24"/>
          <w:szCs w:val="24"/>
        </w:rPr>
        <w:t>CHaPS</w:t>
      </w:r>
      <w:proofErr w:type="spellEnd"/>
      <w:r w:rsidRPr="00007264">
        <w:rPr>
          <w:rFonts w:ascii="Calibri" w:hAnsi="Calibri" w:cs="Calibri"/>
          <w:sz w:val="24"/>
          <w:szCs w:val="24"/>
        </w:rPr>
        <w:t xml:space="preserve"> and </w:t>
      </w:r>
      <w:r w:rsidR="002E6D14">
        <w:rPr>
          <w:rFonts w:ascii="Calibri" w:hAnsi="Calibri" w:cs="Calibri"/>
          <w:sz w:val="24"/>
          <w:szCs w:val="24"/>
        </w:rPr>
        <w:t xml:space="preserve">the </w:t>
      </w:r>
      <w:r w:rsidR="00631492" w:rsidRPr="009906C1">
        <w:rPr>
          <w:rFonts w:ascii="Calibri" w:eastAsia="MS Mincho" w:hAnsi="Calibri" w:cs="Arial"/>
          <w:sz w:val="24"/>
          <w:szCs w:val="24"/>
          <w:lang w:eastAsia="ja-JP"/>
        </w:rPr>
        <w:t>FVCSS</w:t>
      </w:r>
      <w:r w:rsidRPr="00007264">
        <w:rPr>
          <w:rFonts w:ascii="Calibri" w:hAnsi="Calibri" w:cs="Calibri"/>
          <w:sz w:val="24"/>
          <w:szCs w:val="24"/>
        </w:rPr>
        <w:t>.</w:t>
      </w:r>
      <w:r w:rsidR="00CD0FD8">
        <w:rPr>
          <w:rFonts w:ascii="Calibri" w:hAnsi="Calibri" w:cs="Calibri"/>
          <w:sz w:val="24"/>
          <w:szCs w:val="24"/>
        </w:rPr>
        <w:t xml:space="preserve"> Child protection w</w:t>
      </w:r>
      <w:r w:rsidRPr="00007264">
        <w:rPr>
          <w:rFonts w:ascii="Calibri" w:hAnsi="Calibri" w:cs="Calibri"/>
          <w:sz w:val="24"/>
          <w:szCs w:val="24"/>
        </w:rPr>
        <w:t xml:space="preserve">orkers are able to access this information through an </w:t>
      </w:r>
      <w:r w:rsidR="00BB0638">
        <w:rPr>
          <w:rFonts w:ascii="Calibri" w:hAnsi="Calibri" w:cs="Calibri"/>
          <w:sz w:val="24"/>
          <w:szCs w:val="24"/>
        </w:rPr>
        <w:t>’</w:t>
      </w:r>
      <w:r w:rsidRPr="00007264">
        <w:rPr>
          <w:rFonts w:ascii="Calibri" w:hAnsi="Calibri" w:cs="Calibri"/>
          <w:sz w:val="24"/>
          <w:szCs w:val="24"/>
        </w:rPr>
        <w:t>Individual Profile Report</w:t>
      </w:r>
      <w:r w:rsidR="00BB0638">
        <w:rPr>
          <w:rFonts w:ascii="Calibri" w:hAnsi="Calibri" w:cs="Calibri"/>
          <w:sz w:val="24"/>
          <w:szCs w:val="24"/>
        </w:rPr>
        <w:t>‘,</w:t>
      </w:r>
      <w:r w:rsidR="00BB0638" w:rsidRPr="00007264">
        <w:rPr>
          <w:rFonts w:ascii="Calibri" w:hAnsi="Calibri" w:cs="Calibri"/>
          <w:sz w:val="24"/>
          <w:szCs w:val="24"/>
        </w:rPr>
        <w:t xml:space="preserve"> </w:t>
      </w:r>
      <w:r w:rsidRPr="00007264">
        <w:rPr>
          <w:rFonts w:ascii="Calibri" w:hAnsi="Calibri" w:cs="Calibri"/>
          <w:sz w:val="24"/>
          <w:szCs w:val="24"/>
        </w:rPr>
        <w:t xml:space="preserve">which summarises a child’s involvement with each of these services, including a visual timeline of </w:t>
      </w:r>
      <w:r w:rsidR="00307A98">
        <w:rPr>
          <w:rFonts w:ascii="Calibri" w:hAnsi="Calibri" w:cs="Calibri"/>
          <w:sz w:val="24"/>
          <w:szCs w:val="24"/>
        </w:rPr>
        <w:t>her or his</w:t>
      </w:r>
      <w:r w:rsidR="00BB0638" w:rsidRPr="00007264">
        <w:rPr>
          <w:rFonts w:ascii="Calibri" w:hAnsi="Calibri" w:cs="Calibri"/>
          <w:sz w:val="24"/>
          <w:szCs w:val="24"/>
        </w:rPr>
        <w:t xml:space="preserve"> </w:t>
      </w:r>
      <w:r w:rsidRPr="00007264">
        <w:rPr>
          <w:rFonts w:ascii="Calibri" w:hAnsi="Calibri" w:cs="Calibri"/>
          <w:sz w:val="24"/>
          <w:szCs w:val="24"/>
        </w:rPr>
        <w:t>involvement.</w:t>
      </w:r>
    </w:p>
    <w:p w:rsidR="00007264" w:rsidRDefault="00007264" w:rsidP="00007264">
      <w:pPr>
        <w:rPr>
          <w:rFonts w:ascii="Calibri" w:hAnsi="Calibri" w:cs="Calibri"/>
          <w:sz w:val="24"/>
          <w:szCs w:val="24"/>
        </w:rPr>
      </w:pPr>
    </w:p>
    <w:p w:rsidR="00007264" w:rsidRPr="00007264" w:rsidRDefault="00007264" w:rsidP="00007264">
      <w:pPr>
        <w:rPr>
          <w:rFonts w:ascii="Calibri" w:hAnsi="Calibri" w:cs="Calibri"/>
          <w:sz w:val="24"/>
          <w:szCs w:val="24"/>
        </w:rPr>
      </w:pPr>
      <w:r w:rsidRPr="00007264">
        <w:rPr>
          <w:rFonts w:ascii="Calibri" w:hAnsi="Calibri" w:cs="Calibri"/>
          <w:sz w:val="24"/>
          <w:szCs w:val="24"/>
        </w:rPr>
        <w:t xml:space="preserve">The </w:t>
      </w:r>
      <w:proofErr w:type="spellStart"/>
      <w:r w:rsidRPr="00007264">
        <w:rPr>
          <w:rFonts w:ascii="Calibri" w:hAnsi="Calibri" w:cs="Calibri"/>
          <w:sz w:val="24"/>
          <w:szCs w:val="24"/>
        </w:rPr>
        <w:t>CHaPS</w:t>
      </w:r>
      <w:r w:rsidR="00B376ED">
        <w:rPr>
          <w:rFonts w:ascii="Calibri" w:hAnsi="Calibri" w:cs="Calibri"/>
          <w:sz w:val="24"/>
          <w:szCs w:val="24"/>
        </w:rPr>
        <w:t>s</w:t>
      </w:r>
      <w:proofErr w:type="spellEnd"/>
      <w:r w:rsidRPr="00007264">
        <w:rPr>
          <w:rFonts w:ascii="Calibri" w:hAnsi="Calibri" w:cs="Calibri"/>
          <w:sz w:val="24"/>
          <w:szCs w:val="24"/>
        </w:rPr>
        <w:t xml:space="preserve"> currently undertake the Healthy Kids Check as part of their universal service for all families.</w:t>
      </w:r>
      <w:r w:rsidR="007764A2">
        <w:rPr>
          <w:rFonts w:ascii="Calibri" w:hAnsi="Calibri" w:cs="Calibri"/>
          <w:sz w:val="24"/>
          <w:szCs w:val="24"/>
        </w:rPr>
        <w:t xml:space="preserve"> </w:t>
      </w:r>
      <w:r w:rsidRPr="00007264">
        <w:rPr>
          <w:rFonts w:ascii="Calibri" w:hAnsi="Calibri" w:cs="Calibri"/>
          <w:sz w:val="24"/>
          <w:szCs w:val="24"/>
        </w:rPr>
        <w:t xml:space="preserve">However, </w:t>
      </w:r>
      <w:proofErr w:type="spellStart"/>
      <w:r w:rsidRPr="00007264">
        <w:rPr>
          <w:rFonts w:ascii="Calibri" w:hAnsi="Calibri" w:cs="Calibri"/>
          <w:sz w:val="24"/>
          <w:szCs w:val="24"/>
        </w:rPr>
        <w:t>CHaPS</w:t>
      </w:r>
      <w:r w:rsidR="00B376ED">
        <w:rPr>
          <w:rFonts w:ascii="Calibri" w:hAnsi="Calibri" w:cs="Calibri"/>
          <w:sz w:val="24"/>
          <w:szCs w:val="24"/>
        </w:rPr>
        <w:t>’</w:t>
      </w:r>
      <w:proofErr w:type="spellEnd"/>
      <w:r w:rsidRPr="00007264">
        <w:rPr>
          <w:rFonts w:ascii="Calibri" w:hAnsi="Calibri" w:cs="Calibri"/>
          <w:sz w:val="24"/>
          <w:szCs w:val="24"/>
        </w:rPr>
        <w:t xml:space="preserve"> services are not funded by Medicare. </w:t>
      </w:r>
      <w:r w:rsidR="00CD0FD8">
        <w:rPr>
          <w:rFonts w:ascii="Calibri" w:hAnsi="Calibri" w:cs="Calibri"/>
          <w:sz w:val="24"/>
          <w:szCs w:val="24"/>
        </w:rPr>
        <w:t xml:space="preserve">General </w:t>
      </w:r>
      <w:r w:rsidR="00BB0638">
        <w:rPr>
          <w:rFonts w:ascii="Calibri" w:hAnsi="Calibri" w:cs="Calibri"/>
          <w:sz w:val="24"/>
          <w:szCs w:val="24"/>
        </w:rPr>
        <w:t>p</w:t>
      </w:r>
      <w:r w:rsidR="00BB0638" w:rsidRPr="00007264">
        <w:rPr>
          <w:rFonts w:ascii="Calibri" w:hAnsi="Calibri" w:cs="Calibri"/>
          <w:sz w:val="24"/>
          <w:szCs w:val="24"/>
        </w:rPr>
        <w:t xml:space="preserve">ractitioners </w:t>
      </w:r>
      <w:r w:rsidRPr="00007264">
        <w:rPr>
          <w:rFonts w:ascii="Calibri" w:hAnsi="Calibri" w:cs="Calibri"/>
          <w:sz w:val="24"/>
          <w:szCs w:val="24"/>
        </w:rPr>
        <w:t xml:space="preserve">within Tasmania </w:t>
      </w:r>
      <w:r w:rsidR="000B5678">
        <w:rPr>
          <w:rFonts w:ascii="Calibri" w:hAnsi="Calibri" w:cs="Calibri"/>
          <w:sz w:val="24"/>
          <w:szCs w:val="24"/>
        </w:rPr>
        <w:t>who also undertake this</w:t>
      </w:r>
      <w:r w:rsidRPr="00007264">
        <w:rPr>
          <w:rFonts w:ascii="Calibri" w:hAnsi="Calibri" w:cs="Calibri"/>
          <w:sz w:val="24"/>
          <w:szCs w:val="24"/>
        </w:rPr>
        <w:t xml:space="preserve"> check are reimbursed through the Medicare system. </w:t>
      </w:r>
    </w:p>
    <w:p w:rsidR="00007264" w:rsidRDefault="00007264" w:rsidP="00007264">
      <w:pPr>
        <w:rPr>
          <w:rFonts w:ascii="Calibri" w:hAnsi="Calibri" w:cs="Calibri"/>
          <w:sz w:val="24"/>
          <w:szCs w:val="24"/>
        </w:rPr>
      </w:pPr>
    </w:p>
    <w:p w:rsidR="00007264" w:rsidRPr="00007264" w:rsidRDefault="00007264" w:rsidP="00007264">
      <w:pPr>
        <w:rPr>
          <w:rFonts w:ascii="Calibri" w:hAnsi="Calibri" w:cs="Calibri"/>
          <w:sz w:val="24"/>
          <w:szCs w:val="24"/>
        </w:rPr>
      </w:pPr>
      <w:r w:rsidRPr="00007264">
        <w:rPr>
          <w:rFonts w:ascii="Calibri" w:hAnsi="Calibri" w:cs="Calibri"/>
          <w:sz w:val="24"/>
          <w:szCs w:val="24"/>
        </w:rPr>
        <w:t xml:space="preserve">The expanded version of the </w:t>
      </w:r>
      <w:r w:rsidR="000B5678" w:rsidRPr="000B5678">
        <w:rPr>
          <w:rFonts w:ascii="Calibri" w:hAnsi="Calibri" w:cs="Calibri"/>
          <w:sz w:val="24"/>
          <w:szCs w:val="24"/>
        </w:rPr>
        <w:t>Healthy Kids Check</w:t>
      </w:r>
      <w:r w:rsidRPr="00007264">
        <w:rPr>
          <w:rFonts w:ascii="Calibri" w:hAnsi="Calibri" w:cs="Calibri"/>
          <w:sz w:val="24"/>
          <w:szCs w:val="24"/>
        </w:rPr>
        <w:t xml:space="preserve"> is current</w:t>
      </w:r>
      <w:r w:rsidR="000B5678">
        <w:rPr>
          <w:rFonts w:ascii="Calibri" w:hAnsi="Calibri" w:cs="Calibri"/>
          <w:sz w:val="24"/>
          <w:szCs w:val="24"/>
        </w:rPr>
        <w:t>ly still being trialled within general p</w:t>
      </w:r>
      <w:r w:rsidRPr="00007264">
        <w:rPr>
          <w:rFonts w:ascii="Calibri" w:hAnsi="Calibri" w:cs="Calibri"/>
          <w:sz w:val="24"/>
          <w:szCs w:val="24"/>
        </w:rPr>
        <w:t>ractice.</w:t>
      </w:r>
    </w:p>
    <w:p w:rsidR="00007264" w:rsidRDefault="00007264" w:rsidP="00007264">
      <w:pPr>
        <w:rPr>
          <w:rFonts w:ascii="Calibri" w:hAnsi="Calibri" w:cs="Calibri"/>
          <w:sz w:val="24"/>
          <w:szCs w:val="24"/>
        </w:rPr>
      </w:pPr>
    </w:p>
    <w:p w:rsidR="00007264" w:rsidRPr="00007264" w:rsidRDefault="00007264" w:rsidP="00007264">
      <w:pPr>
        <w:rPr>
          <w:rFonts w:ascii="Calibri" w:hAnsi="Calibri" w:cs="Calibri"/>
          <w:sz w:val="24"/>
          <w:szCs w:val="24"/>
        </w:rPr>
      </w:pPr>
      <w:r w:rsidRPr="00007264">
        <w:rPr>
          <w:rFonts w:ascii="Calibri" w:hAnsi="Calibri" w:cs="Calibri"/>
          <w:sz w:val="24"/>
          <w:szCs w:val="24"/>
        </w:rPr>
        <w:t xml:space="preserve">The feasibility of undertaking functional brain mapping using </w:t>
      </w:r>
      <w:proofErr w:type="spellStart"/>
      <w:r w:rsidRPr="00007264">
        <w:rPr>
          <w:rFonts w:ascii="Calibri" w:hAnsi="Calibri" w:cs="Calibri"/>
          <w:sz w:val="24"/>
          <w:szCs w:val="24"/>
        </w:rPr>
        <w:t>Neurosequential</w:t>
      </w:r>
      <w:proofErr w:type="spellEnd"/>
      <w:r w:rsidRPr="00007264">
        <w:rPr>
          <w:rFonts w:ascii="Calibri" w:hAnsi="Calibri" w:cs="Calibri"/>
          <w:sz w:val="24"/>
          <w:szCs w:val="24"/>
        </w:rPr>
        <w:t xml:space="preserve"> Model of Therapeutics (NMT) assessments is being explored. Currently</w:t>
      </w:r>
      <w:r w:rsidR="00BB0638">
        <w:rPr>
          <w:rFonts w:ascii="Calibri" w:hAnsi="Calibri" w:cs="Calibri"/>
          <w:sz w:val="24"/>
          <w:szCs w:val="24"/>
        </w:rPr>
        <w:t>,</w:t>
      </w:r>
      <w:r w:rsidRPr="00007264">
        <w:rPr>
          <w:rFonts w:ascii="Calibri" w:hAnsi="Calibri" w:cs="Calibri"/>
          <w:sz w:val="24"/>
          <w:szCs w:val="24"/>
        </w:rPr>
        <w:t xml:space="preserve"> these assessments a</w:t>
      </w:r>
      <w:r w:rsidR="000B5678">
        <w:rPr>
          <w:rFonts w:ascii="Calibri" w:hAnsi="Calibri" w:cs="Calibri"/>
          <w:sz w:val="24"/>
          <w:szCs w:val="24"/>
        </w:rPr>
        <w:t xml:space="preserve">re undertaken by the </w:t>
      </w:r>
      <w:r w:rsidR="00BB0638">
        <w:rPr>
          <w:rFonts w:ascii="Calibri" w:hAnsi="Calibri" w:cs="Calibri"/>
          <w:sz w:val="24"/>
          <w:szCs w:val="24"/>
        </w:rPr>
        <w:t>Community P</w:t>
      </w:r>
      <w:r w:rsidR="00BB0638" w:rsidRPr="00007264">
        <w:rPr>
          <w:rFonts w:ascii="Calibri" w:hAnsi="Calibri" w:cs="Calibri"/>
          <w:sz w:val="24"/>
          <w:szCs w:val="24"/>
        </w:rPr>
        <w:t xml:space="preserve">aediatrician </w:t>
      </w:r>
      <w:r w:rsidRPr="00007264">
        <w:rPr>
          <w:rFonts w:ascii="Calibri" w:hAnsi="Calibri" w:cs="Calibri"/>
          <w:sz w:val="24"/>
          <w:szCs w:val="24"/>
        </w:rPr>
        <w:t xml:space="preserve">and the </w:t>
      </w:r>
      <w:r w:rsidR="00757F58">
        <w:rPr>
          <w:rFonts w:ascii="Calibri" w:hAnsi="Calibri" w:cs="Calibri"/>
          <w:sz w:val="24"/>
          <w:szCs w:val="24"/>
        </w:rPr>
        <w:t>TRC</w:t>
      </w:r>
      <w:r w:rsidRPr="00007264">
        <w:rPr>
          <w:rFonts w:ascii="Calibri" w:hAnsi="Calibri" w:cs="Calibri"/>
          <w:sz w:val="24"/>
          <w:szCs w:val="24"/>
        </w:rPr>
        <w:t xml:space="preserve"> teams for some children and young people in </w:t>
      </w:r>
      <w:r w:rsidR="00BB0638">
        <w:rPr>
          <w:rFonts w:ascii="Calibri" w:hAnsi="Calibri" w:cs="Calibri"/>
          <w:sz w:val="24"/>
          <w:szCs w:val="24"/>
        </w:rPr>
        <w:t>out-of-home care</w:t>
      </w:r>
      <w:r w:rsidR="00BB0638" w:rsidRPr="00007264">
        <w:rPr>
          <w:rFonts w:ascii="Calibri" w:hAnsi="Calibri" w:cs="Calibri"/>
          <w:sz w:val="24"/>
          <w:szCs w:val="24"/>
        </w:rPr>
        <w:t xml:space="preserve"> </w:t>
      </w:r>
      <w:r w:rsidRPr="00007264">
        <w:rPr>
          <w:rFonts w:ascii="Calibri" w:hAnsi="Calibri" w:cs="Calibri"/>
          <w:sz w:val="24"/>
          <w:szCs w:val="24"/>
        </w:rPr>
        <w:t>with severe and complex behavioural problems. These assessments are based on Dr Bruce Perry’s work</w:t>
      </w:r>
      <w:r w:rsidR="000B5678">
        <w:rPr>
          <w:rFonts w:ascii="Calibri" w:hAnsi="Calibri" w:cs="Calibri"/>
          <w:sz w:val="24"/>
          <w:szCs w:val="24"/>
        </w:rPr>
        <w:t>,</w:t>
      </w:r>
      <w:r w:rsidRPr="00007264">
        <w:rPr>
          <w:rFonts w:ascii="Calibri" w:hAnsi="Calibri" w:cs="Calibri"/>
          <w:sz w:val="24"/>
          <w:szCs w:val="24"/>
        </w:rPr>
        <w:t xml:space="preserve"> with guidance and training</w:t>
      </w:r>
      <w:r w:rsidR="007764A2">
        <w:rPr>
          <w:rFonts w:ascii="Calibri" w:hAnsi="Calibri" w:cs="Calibri"/>
          <w:sz w:val="24"/>
          <w:szCs w:val="24"/>
        </w:rPr>
        <w:t xml:space="preserve"> </w:t>
      </w:r>
      <w:r w:rsidRPr="00007264">
        <w:rPr>
          <w:rFonts w:ascii="Calibri" w:hAnsi="Calibri" w:cs="Calibri"/>
          <w:sz w:val="24"/>
          <w:szCs w:val="24"/>
        </w:rPr>
        <w:t>from the</w:t>
      </w:r>
      <w:r w:rsidR="007764A2">
        <w:rPr>
          <w:rFonts w:ascii="Calibri" w:hAnsi="Calibri" w:cs="Calibri"/>
          <w:sz w:val="24"/>
          <w:szCs w:val="24"/>
        </w:rPr>
        <w:t xml:space="preserve"> </w:t>
      </w:r>
      <w:r w:rsidRPr="00007264">
        <w:rPr>
          <w:rFonts w:ascii="Calibri" w:hAnsi="Calibri" w:cs="Calibri"/>
          <w:sz w:val="24"/>
          <w:szCs w:val="24"/>
        </w:rPr>
        <w:t xml:space="preserve">Child Trauma Academy (USA). </w:t>
      </w:r>
      <w:r w:rsidR="00AB7AAB" w:rsidRPr="00663B14">
        <w:rPr>
          <w:rFonts w:ascii="Calibri" w:hAnsi="Calibri"/>
          <w:sz w:val="24"/>
          <w:szCs w:val="24"/>
        </w:rPr>
        <w:t>Dr Perry is a clinician and researcher in children's mental health and the neurosciences and an internationally</w:t>
      </w:r>
      <w:r w:rsidR="002E6D14">
        <w:rPr>
          <w:rFonts w:ascii="Calibri" w:hAnsi="Calibri"/>
          <w:sz w:val="24"/>
          <w:szCs w:val="24"/>
        </w:rPr>
        <w:t xml:space="preserve"> </w:t>
      </w:r>
      <w:r w:rsidR="00AB7AAB" w:rsidRPr="00663B14">
        <w:rPr>
          <w:rFonts w:ascii="Calibri" w:hAnsi="Calibri"/>
          <w:sz w:val="24"/>
          <w:szCs w:val="24"/>
        </w:rPr>
        <w:t>recognised authority on children in crisis.</w:t>
      </w:r>
      <w:r w:rsidR="00AB7AAB">
        <w:rPr>
          <w:rFonts w:ascii="Calibri" w:hAnsi="Calibri"/>
          <w:sz w:val="24"/>
          <w:szCs w:val="24"/>
        </w:rPr>
        <w:t xml:space="preserve"> </w:t>
      </w:r>
      <w:r w:rsidRPr="00007264">
        <w:rPr>
          <w:rFonts w:ascii="Calibri" w:hAnsi="Calibri" w:cs="Calibri"/>
          <w:sz w:val="24"/>
          <w:szCs w:val="24"/>
        </w:rPr>
        <w:t>The NMT</w:t>
      </w:r>
      <w:r w:rsidR="007764A2">
        <w:rPr>
          <w:rFonts w:ascii="Calibri" w:hAnsi="Calibri" w:cs="Calibri"/>
          <w:sz w:val="24"/>
          <w:szCs w:val="24"/>
        </w:rPr>
        <w:t xml:space="preserve"> </w:t>
      </w:r>
      <w:r w:rsidRPr="00007264">
        <w:rPr>
          <w:rFonts w:ascii="Calibri" w:hAnsi="Calibri" w:cs="Calibri"/>
          <w:sz w:val="24"/>
          <w:szCs w:val="24"/>
        </w:rPr>
        <w:t xml:space="preserve">Assessments are discussed with the school and other </w:t>
      </w:r>
      <w:r w:rsidR="002E6D14">
        <w:rPr>
          <w:rFonts w:ascii="Calibri" w:hAnsi="Calibri" w:cs="Calibri"/>
          <w:sz w:val="24"/>
          <w:szCs w:val="24"/>
        </w:rPr>
        <w:t>a</w:t>
      </w:r>
      <w:r w:rsidRPr="00007264">
        <w:rPr>
          <w:rFonts w:ascii="Calibri" w:hAnsi="Calibri" w:cs="Calibri"/>
          <w:sz w:val="24"/>
          <w:szCs w:val="24"/>
        </w:rPr>
        <w:t>gencies looking after the individual children</w:t>
      </w:r>
      <w:r w:rsidR="00BB0638">
        <w:rPr>
          <w:rFonts w:ascii="Calibri" w:hAnsi="Calibri" w:cs="Calibri"/>
          <w:sz w:val="24"/>
          <w:szCs w:val="24"/>
        </w:rPr>
        <w:t>,</w:t>
      </w:r>
      <w:r w:rsidRPr="00007264">
        <w:rPr>
          <w:rFonts w:ascii="Calibri" w:hAnsi="Calibri" w:cs="Calibri"/>
          <w:sz w:val="24"/>
          <w:szCs w:val="24"/>
        </w:rPr>
        <w:t xml:space="preserve"> and </w:t>
      </w:r>
      <w:r w:rsidR="00BB0638">
        <w:rPr>
          <w:rFonts w:ascii="Calibri" w:hAnsi="Calibri" w:cs="Calibri"/>
          <w:sz w:val="24"/>
          <w:szCs w:val="24"/>
        </w:rPr>
        <w:t xml:space="preserve">appropriate </w:t>
      </w:r>
      <w:r w:rsidRPr="00007264">
        <w:rPr>
          <w:rFonts w:ascii="Calibri" w:hAnsi="Calibri" w:cs="Calibri"/>
          <w:sz w:val="24"/>
          <w:szCs w:val="24"/>
        </w:rPr>
        <w:t xml:space="preserve">therapeutic interventions are recommended. </w:t>
      </w:r>
    </w:p>
    <w:p w:rsidR="00007264" w:rsidRDefault="00007264" w:rsidP="00007264">
      <w:pPr>
        <w:rPr>
          <w:rFonts w:ascii="Calibri" w:hAnsi="Calibri" w:cs="Calibri"/>
          <w:sz w:val="24"/>
          <w:szCs w:val="24"/>
        </w:rPr>
      </w:pPr>
    </w:p>
    <w:p w:rsidR="00007264" w:rsidRDefault="00007264" w:rsidP="00007264">
      <w:pPr>
        <w:rPr>
          <w:rFonts w:ascii="Calibri" w:hAnsi="Calibri" w:cs="Calibri"/>
          <w:sz w:val="24"/>
          <w:szCs w:val="24"/>
        </w:rPr>
      </w:pPr>
      <w:r w:rsidRPr="00007264">
        <w:rPr>
          <w:rFonts w:ascii="Calibri" w:hAnsi="Calibri" w:cs="Calibri"/>
          <w:sz w:val="24"/>
          <w:szCs w:val="24"/>
        </w:rPr>
        <w:t xml:space="preserve">Monthly meetings have been planned to discuss complex behavioural problems in children in </w:t>
      </w:r>
      <w:r w:rsidR="00BB0638">
        <w:rPr>
          <w:rFonts w:ascii="Calibri" w:hAnsi="Calibri" w:cs="Calibri"/>
          <w:sz w:val="24"/>
          <w:szCs w:val="24"/>
        </w:rPr>
        <w:t>out-of-home care,</w:t>
      </w:r>
      <w:r w:rsidR="00BB0638" w:rsidRPr="00007264">
        <w:rPr>
          <w:rFonts w:ascii="Calibri" w:hAnsi="Calibri" w:cs="Calibri"/>
          <w:sz w:val="24"/>
          <w:szCs w:val="24"/>
        </w:rPr>
        <w:t xml:space="preserve"> </w:t>
      </w:r>
      <w:r w:rsidRPr="00007264">
        <w:rPr>
          <w:rFonts w:ascii="Calibri" w:hAnsi="Calibri" w:cs="Calibri"/>
          <w:sz w:val="24"/>
          <w:szCs w:val="24"/>
        </w:rPr>
        <w:t>with input from CAMHS, Paediatrics and Child Protection. These will commence from September 2013.</w:t>
      </w:r>
    </w:p>
    <w:p w:rsidR="00A60A89" w:rsidRPr="003C414F" w:rsidRDefault="003C414F" w:rsidP="003C414F">
      <w:pPr>
        <w:pStyle w:val="Heading4"/>
        <w:rPr>
          <w:lang w:val="en-AU"/>
        </w:rPr>
      </w:pPr>
      <w:r>
        <w:t>Disability</w:t>
      </w:r>
    </w:p>
    <w:p w:rsidR="00A60A89" w:rsidRDefault="00A60A89" w:rsidP="00BD5D4E">
      <w:pPr>
        <w:rPr>
          <w:rFonts w:ascii="Calibri" w:hAnsi="Calibri" w:cs="Calibri"/>
          <w:sz w:val="24"/>
          <w:szCs w:val="24"/>
        </w:rPr>
      </w:pPr>
      <w:r w:rsidRPr="00A60A89">
        <w:rPr>
          <w:rFonts w:ascii="Calibri" w:hAnsi="Calibri" w:cs="Calibri"/>
          <w:sz w:val="24"/>
          <w:szCs w:val="24"/>
        </w:rPr>
        <w:t xml:space="preserve">Disability and Community Services is working with </w:t>
      </w:r>
      <w:r w:rsidR="00EB2E72">
        <w:rPr>
          <w:rFonts w:ascii="Calibri" w:hAnsi="Calibri" w:cs="Calibri"/>
          <w:sz w:val="24"/>
          <w:szCs w:val="24"/>
        </w:rPr>
        <w:t>the NDIS</w:t>
      </w:r>
      <w:r w:rsidRPr="00A60A89">
        <w:rPr>
          <w:rFonts w:ascii="Calibri" w:hAnsi="Calibri" w:cs="Calibri"/>
          <w:sz w:val="24"/>
          <w:szCs w:val="24"/>
        </w:rPr>
        <w:t xml:space="preserve"> to transition young people with disability</w:t>
      </w:r>
      <w:r w:rsidR="00BB0638">
        <w:rPr>
          <w:rFonts w:ascii="Calibri" w:hAnsi="Calibri" w:cs="Calibri"/>
          <w:sz w:val="24"/>
          <w:szCs w:val="24"/>
        </w:rPr>
        <w:t>,</w:t>
      </w:r>
      <w:r w:rsidRPr="00A60A89">
        <w:rPr>
          <w:rFonts w:ascii="Calibri" w:hAnsi="Calibri" w:cs="Calibri"/>
          <w:sz w:val="24"/>
          <w:szCs w:val="24"/>
        </w:rPr>
        <w:t xml:space="preserve"> aged between 15 and 24</w:t>
      </w:r>
      <w:r w:rsidR="00BB0638">
        <w:rPr>
          <w:rFonts w:ascii="Calibri" w:hAnsi="Calibri" w:cs="Calibri"/>
          <w:sz w:val="24"/>
          <w:szCs w:val="24"/>
        </w:rPr>
        <w:t>,</w:t>
      </w:r>
      <w:r w:rsidRPr="00A60A89">
        <w:rPr>
          <w:rFonts w:ascii="Calibri" w:hAnsi="Calibri" w:cs="Calibri"/>
          <w:sz w:val="24"/>
          <w:szCs w:val="24"/>
        </w:rPr>
        <w:t xml:space="preserve"> to </w:t>
      </w:r>
      <w:r w:rsidR="00EB2E72">
        <w:rPr>
          <w:rFonts w:ascii="Calibri" w:hAnsi="Calibri" w:cs="Calibri"/>
          <w:sz w:val="24"/>
          <w:szCs w:val="24"/>
        </w:rPr>
        <w:t>the NDIS</w:t>
      </w:r>
      <w:r w:rsidRPr="00A60A89">
        <w:rPr>
          <w:rFonts w:ascii="Calibri" w:hAnsi="Calibri" w:cs="Calibri"/>
          <w:sz w:val="24"/>
          <w:szCs w:val="24"/>
        </w:rPr>
        <w:t>. This has involved an identification process</w:t>
      </w:r>
      <w:r w:rsidR="00BB0638">
        <w:rPr>
          <w:rFonts w:ascii="Calibri" w:hAnsi="Calibri" w:cs="Calibri"/>
          <w:sz w:val="24"/>
          <w:szCs w:val="24"/>
        </w:rPr>
        <w:t>,</w:t>
      </w:r>
      <w:r w:rsidRPr="00A60A89">
        <w:rPr>
          <w:rFonts w:ascii="Calibri" w:hAnsi="Calibri" w:cs="Calibri"/>
          <w:sz w:val="24"/>
          <w:szCs w:val="24"/>
        </w:rPr>
        <w:t xml:space="preserve"> followed by a request to gain permission to transfer contact details for the young people to </w:t>
      </w:r>
      <w:r w:rsidR="00EB2E72">
        <w:rPr>
          <w:rFonts w:ascii="Calibri" w:hAnsi="Calibri" w:cs="Calibri"/>
          <w:sz w:val="24"/>
          <w:szCs w:val="24"/>
        </w:rPr>
        <w:t>the NDIS</w:t>
      </w:r>
      <w:r w:rsidRPr="00A60A89">
        <w:rPr>
          <w:rFonts w:ascii="Calibri" w:hAnsi="Calibri" w:cs="Calibri"/>
          <w:sz w:val="24"/>
          <w:szCs w:val="24"/>
        </w:rPr>
        <w:t xml:space="preserve">. Participation in </w:t>
      </w:r>
      <w:r w:rsidR="00EB2E72">
        <w:rPr>
          <w:rFonts w:ascii="Calibri" w:hAnsi="Calibri" w:cs="Calibri"/>
          <w:sz w:val="24"/>
          <w:szCs w:val="24"/>
        </w:rPr>
        <w:t>the NDIS</w:t>
      </w:r>
      <w:r w:rsidRPr="00A60A89">
        <w:rPr>
          <w:rFonts w:ascii="Calibri" w:hAnsi="Calibri" w:cs="Calibri"/>
          <w:sz w:val="24"/>
          <w:szCs w:val="24"/>
        </w:rPr>
        <w:t xml:space="preserve"> will </w:t>
      </w:r>
      <w:r w:rsidR="00633457">
        <w:rPr>
          <w:rFonts w:ascii="Calibri" w:hAnsi="Calibri" w:cs="Calibri"/>
          <w:sz w:val="24"/>
          <w:szCs w:val="24"/>
        </w:rPr>
        <w:t>facilitate</w:t>
      </w:r>
      <w:r w:rsidR="00633457" w:rsidRPr="00A60A89">
        <w:rPr>
          <w:rFonts w:ascii="Calibri" w:hAnsi="Calibri" w:cs="Calibri"/>
          <w:sz w:val="24"/>
          <w:szCs w:val="24"/>
        </w:rPr>
        <w:t xml:space="preserve"> </w:t>
      </w:r>
      <w:r w:rsidR="00BB0638" w:rsidRPr="00A60A89">
        <w:rPr>
          <w:rFonts w:ascii="Calibri" w:hAnsi="Calibri" w:cs="Calibri"/>
          <w:sz w:val="24"/>
          <w:szCs w:val="24"/>
        </w:rPr>
        <w:t>long</w:t>
      </w:r>
      <w:r w:rsidR="00BB0638">
        <w:rPr>
          <w:rFonts w:ascii="Calibri" w:hAnsi="Calibri" w:cs="Calibri"/>
          <w:sz w:val="24"/>
          <w:szCs w:val="24"/>
        </w:rPr>
        <w:t>-</w:t>
      </w:r>
      <w:r w:rsidRPr="00A60A89">
        <w:rPr>
          <w:rFonts w:ascii="Calibri" w:hAnsi="Calibri" w:cs="Calibri"/>
          <w:sz w:val="24"/>
          <w:szCs w:val="24"/>
        </w:rPr>
        <w:t>ter</w:t>
      </w:r>
      <w:r w:rsidR="000B5678">
        <w:rPr>
          <w:rFonts w:ascii="Calibri" w:hAnsi="Calibri" w:cs="Calibri"/>
          <w:sz w:val="24"/>
          <w:szCs w:val="24"/>
        </w:rPr>
        <w:t>m planning for lifetime support</w:t>
      </w:r>
      <w:r w:rsidRPr="00A60A89">
        <w:rPr>
          <w:rFonts w:ascii="Calibri" w:hAnsi="Calibri" w:cs="Calibri"/>
          <w:sz w:val="24"/>
          <w:szCs w:val="24"/>
        </w:rPr>
        <w:t xml:space="preserve"> and </w:t>
      </w:r>
      <w:r w:rsidR="00633457">
        <w:rPr>
          <w:rFonts w:ascii="Calibri" w:hAnsi="Calibri" w:cs="Calibri"/>
          <w:sz w:val="24"/>
          <w:szCs w:val="24"/>
        </w:rPr>
        <w:t xml:space="preserve">will </w:t>
      </w:r>
      <w:r w:rsidRPr="00A60A89">
        <w:rPr>
          <w:rFonts w:ascii="Calibri" w:hAnsi="Calibri" w:cs="Calibri"/>
          <w:sz w:val="24"/>
          <w:szCs w:val="24"/>
        </w:rPr>
        <w:t>allow these young people</w:t>
      </w:r>
      <w:r w:rsidR="007764A2">
        <w:rPr>
          <w:rFonts w:ascii="Calibri" w:hAnsi="Calibri" w:cs="Calibri"/>
          <w:sz w:val="24"/>
          <w:szCs w:val="24"/>
        </w:rPr>
        <w:t xml:space="preserve"> </w:t>
      </w:r>
      <w:r w:rsidRPr="00A60A89">
        <w:rPr>
          <w:rFonts w:ascii="Calibri" w:hAnsi="Calibri" w:cs="Calibri"/>
          <w:sz w:val="24"/>
          <w:szCs w:val="24"/>
        </w:rPr>
        <w:t>to have increased control and choice over the specialist disability services they receive and how they are provided.</w:t>
      </w:r>
    </w:p>
    <w:p w:rsidR="00BD5D4E" w:rsidRPr="00044435" w:rsidRDefault="00BD5D4E" w:rsidP="00E96545">
      <w:pPr>
        <w:pStyle w:val="Heading3"/>
      </w:pPr>
      <w:bookmarkStart w:id="144" w:name="_Toc400007738"/>
      <w:r w:rsidRPr="00044435">
        <w:t>Victoria</w:t>
      </w:r>
      <w:bookmarkEnd w:id="144"/>
    </w:p>
    <w:p w:rsidR="001B4C89" w:rsidRPr="001B4C89" w:rsidRDefault="001B4C89" w:rsidP="003C414F">
      <w:pPr>
        <w:pStyle w:val="Heading4"/>
      </w:pPr>
      <w:r w:rsidRPr="001B4C89">
        <w:t>Domestic and Family Violence</w:t>
      </w:r>
    </w:p>
    <w:p w:rsidR="001B4C89" w:rsidRPr="00AD13A0" w:rsidRDefault="00FF6164" w:rsidP="001F5AF3">
      <w:pPr>
        <w:pStyle w:val="ListBullet"/>
        <w:numPr>
          <w:ilvl w:val="0"/>
          <w:numId w:val="0"/>
        </w:numPr>
        <w:spacing w:before="0"/>
      </w:pPr>
      <w:r>
        <w:t>Victoria is a member of the</w:t>
      </w:r>
      <w:r w:rsidRPr="001B4C89">
        <w:t xml:space="preserve"> </w:t>
      </w:r>
      <w:r w:rsidR="009019B1">
        <w:t>NCE</w:t>
      </w:r>
      <w:r w:rsidR="001B4C89" w:rsidRPr="001B4C89">
        <w:t xml:space="preserve"> Board</w:t>
      </w:r>
      <w:r>
        <w:t>, along with government representatives from the Australian, New South Wales and South Australian Governments</w:t>
      </w:r>
      <w:r w:rsidR="001B4C89" w:rsidRPr="001B4C89">
        <w:t xml:space="preserve"> </w:t>
      </w:r>
      <w:r>
        <w:t xml:space="preserve">and </w:t>
      </w:r>
      <w:r w:rsidR="001B4C89" w:rsidRPr="001B4C89">
        <w:t>three independent community members</w:t>
      </w:r>
      <w:r>
        <w:t>.</w:t>
      </w:r>
    </w:p>
    <w:p w:rsidR="00CA0113" w:rsidRDefault="00CA0113" w:rsidP="001B4C89">
      <w:pPr>
        <w:rPr>
          <w:rFonts w:ascii="Calibri" w:hAnsi="Calibri" w:cs="Calibri"/>
          <w:sz w:val="24"/>
          <w:szCs w:val="24"/>
        </w:rPr>
      </w:pPr>
    </w:p>
    <w:p w:rsidR="000612B4" w:rsidRDefault="000612B4" w:rsidP="001B4C89">
      <w:pPr>
        <w:rPr>
          <w:rFonts w:ascii="Calibri" w:hAnsi="Calibri" w:cs="Calibri"/>
          <w:sz w:val="24"/>
          <w:szCs w:val="24"/>
        </w:rPr>
      </w:pPr>
      <w:r w:rsidRPr="000612B4">
        <w:rPr>
          <w:rFonts w:ascii="Calibri" w:hAnsi="Calibri" w:cs="Calibri"/>
          <w:sz w:val="24"/>
          <w:szCs w:val="24"/>
        </w:rPr>
        <w:t>In 2012</w:t>
      </w:r>
      <w:r w:rsidR="00AD13A0">
        <w:rPr>
          <w:rFonts w:ascii="Calibri" w:hAnsi="Calibri" w:cs="Calibri"/>
          <w:sz w:val="24"/>
          <w:szCs w:val="24"/>
        </w:rPr>
        <w:t>,</w:t>
      </w:r>
      <w:r w:rsidRPr="000612B4">
        <w:rPr>
          <w:rFonts w:ascii="Calibri" w:hAnsi="Calibri" w:cs="Calibri"/>
          <w:sz w:val="24"/>
          <w:szCs w:val="24"/>
        </w:rPr>
        <w:t xml:space="preserve"> the Victorian Government published a new practice guide to assist professionals to assess the needs of children and young people who have experienced family violence. The </w:t>
      </w:r>
      <w:r w:rsidR="00674754" w:rsidRPr="001E4697">
        <w:rPr>
          <w:rFonts w:ascii="Calibri" w:hAnsi="Calibri" w:cs="Calibri"/>
          <w:i/>
          <w:sz w:val="24"/>
          <w:szCs w:val="24"/>
        </w:rPr>
        <w:t>Family Violence Risk Assessment and Risk Management Framework</w:t>
      </w:r>
      <w:r w:rsidR="00674754" w:rsidRPr="00674754">
        <w:rPr>
          <w:rFonts w:ascii="Calibri" w:hAnsi="Calibri" w:cs="Calibri"/>
          <w:sz w:val="24"/>
          <w:szCs w:val="24"/>
        </w:rPr>
        <w:t xml:space="preserve"> </w:t>
      </w:r>
      <w:proofErr w:type="gramStart"/>
      <w:r w:rsidRPr="000612B4">
        <w:rPr>
          <w:rFonts w:ascii="Calibri" w:hAnsi="Calibri" w:cs="Calibri"/>
          <w:sz w:val="24"/>
          <w:szCs w:val="24"/>
        </w:rPr>
        <w:t>has</w:t>
      </w:r>
      <w:proofErr w:type="gramEnd"/>
      <w:r w:rsidRPr="000612B4">
        <w:rPr>
          <w:rFonts w:ascii="Calibri" w:hAnsi="Calibri" w:cs="Calibri"/>
          <w:sz w:val="24"/>
          <w:szCs w:val="24"/>
        </w:rPr>
        <w:t xml:space="preserve"> been distributed</w:t>
      </w:r>
      <w:r w:rsidR="00CA0113">
        <w:rPr>
          <w:rFonts w:ascii="Calibri" w:hAnsi="Calibri" w:cs="Calibri"/>
          <w:sz w:val="24"/>
          <w:szCs w:val="24"/>
        </w:rPr>
        <w:t>,</w:t>
      </w:r>
      <w:r w:rsidRPr="000612B4">
        <w:rPr>
          <w:rFonts w:ascii="Calibri" w:hAnsi="Calibri" w:cs="Calibri"/>
          <w:sz w:val="24"/>
          <w:szCs w:val="24"/>
        </w:rPr>
        <w:t xml:space="preserve"> and a </w:t>
      </w:r>
      <w:proofErr w:type="spellStart"/>
      <w:r w:rsidRPr="000612B4">
        <w:rPr>
          <w:rFonts w:ascii="Calibri" w:hAnsi="Calibri" w:cs="Calibri"/>
          <w:sz w:val="24"/>
          <w:szCs w:val="24"/>
        </w:rPr>
        <w:t>statewide</w:t>
      </w:r>
      <w:proofErr w:type="spellEnd"/>
      <w:r w:rsidRPr="000612B4">
        <w:rPr>
          <w:rFonts w:ascii="Calibri" w:hAnsi="Calibri" w:cs="Calibri"/>
          <w:sz w:val="24"/>
          <w:szCs w:val="24"/>
        </w:rPr>
        <w:t xml:space="preserve"> training program has been rolled out in 2013 targeting family violence, child protection and family services practitioners.</w:t>
      </w:r>
    </w:p>
    <w:p w:rsidR="001B4C89" w:rsidRDefault="001B4C89" w:rsidP="003C414F">
      <w:pPr>
        <w:pStyle w:val="Heading4"/>
      </w:pPr>
      <w:r w:rsidRPr="001B4C89">
        <w:t>Health and Mental Health</w:t>
      </w:r>
    </w:p>
    <w:p w:rsidR="001B4C89" w:rsidRDefault="001B4C89" w:rsidP="001B4C89">
      <w:pPr>
        <w:rPr>
          <w:rFonts w:ascii="Calibri" w:hAnsi="Calibri" w:cs="Calibri"/>
          <w:sz w:val="24"/>
          <w:szCs w:val="24"/>
        </w:rPr>
      </w:pPr>
      <w:proofErr w:type="gramStart"/>
      <w:r w:rsidRPr="001B4C89">
        <w:rPr>
          <w:rFonts w:ascii="Calibri" w:hAnsi="Calibri" w:cs="Calibri"/>
          <w:sz w:val="24"/>
          <w:szCs w:val="24"/>
        </w:rPr>
        <w:t>The 2011</w:t>
      </w:r>
      <w:r w:rsidR="0021431E">
        <w:rPr>
          <w:rFonts w:ascii="Calibri" w:hAnsi="Calibri" w:cs="Calibri"/>
          <w:sz w:val="24"/>
          <w:szCs w:val="24"/>
        </w:rPr>
        <w:t>–</w:t>
      </w:r>
      <w:r w:rsidRPr="001B4C89">
        <w:rPr>
          <w:rFonts w:ascii="Calibri" w:hAnsi="Calibri" w:cs="Calibri"/>
          <w:sz w:val="24"/>
          <w:szCs w:val="24"/>
        </w:rPr>
        <w:t xml:space="preserve">12 Victorian State </w:t>
      </w:r>
      <w:r w:rsidR="0021431E">
        <w:rPr>
          <w:rFonts w:ascii="Calibri" w:hAnsi="Calibri" w:cs="Calibri"/>
          <w:sz w:val="24"/>
          <w:szCs w:val="24"/>
        </w:rPr>
        <w:t>B</w:t>
      </w:r>
      <w:r w:rsidR="0021431E" w:rsidRPr="001B4C89">
        <w:rPr>
          <w:rFonts w:ascii="Calibri" w:hAnsi="Calibri" w:cs="Calibri"/>
          <w:sz w:val="24"/>
          <w:szCs w:val="24"/>
        </w:rPr>
        <w:t>udget</w:t>
      </w:r>
      <w:proofErr w:type="gramEnd"/>
      <w:r w:rsidR="0021431E" w:rsidRPr="001B4C89">
        <w:rPr>
          <w:rFonts w:ascii="Calibri" w:hAnsi="Calibri" w:cs="Calibri"/>
          <w:sz w:val="24"/>
          <w:szCs w:val="24"/>
        </w:rPr>
        <w:t xml:space="preserve"> </w:t>
      </w:r>
      <w:r w:rsidRPr="001B4C89">
        <w:rPr>
          <w:rFonts w:ascii="Calibri" w:hAnsi="Calibri" w:cs="Calibri"/>
          <w:sz w:val="24"/>
          <w:szCs w:val="24"/>
        </w:rPr>
        <w:t>provided funding of $12.8 million over four years for the Health and Education Assessments Initiative for children in out-of-home care.</w:t>
      </w:r>
      <w:r w:rsidR="00A43557">
        <w:rPr>
          <w:rFonts w:ascii="Calibri" w:hAnsi="Calibri" w:cs="Calibri"/>
          <w:sz w:val="24"/>
          <w:szCs w:val="24"/>
        </w:rPr>
        <w:t xml:space="preserve"> </w:t>
      </w:r>
      <w:r w:rsidRPr="001B4C89">
        <w:rPr>
          <w:rFonts w:ascii="Calibri" w:hAnsi="Calibri" w:cs="Calibri"/>
          <w:sz w:val="24"/>
          <w:szCs w:val="24"/>
        </w:rPr>
        <w:t>This initiative</w:t>
      </w:r>
      <w:r w:rsidR="00AD13A0">
        <w:rPr>
          <w:rFonts w:ascii="Calibri" w:hAnsi="Calibri" w:cs="Calibri"/>
          <w:sz w:val="24"/>
          <w:szCs w:val="24"/>
        </w:rPr>
        <w:t xml:space="preserve">, co-led by the Victorian and NSW governments in consultation with the </w:t>
      </w:r>
      <w:r w:rsidR="00D31C59">
        <w:rPr>
          <w:rFonts w:ascii="Calibri" w:hAnsi="Calibri" w:cs="Calibri"/>
          <w:sz w:val="24"/>
          <w:szCs w:val="24"/>
        </w:rPr>
        <w:t xml:space="preserve">Australian </w:t>
      </w:r>
      <w:r w:rsidR="00AD13A0">
        <w:rPr>
          <w:rFonts w:ascii="Calibri" w:hAnsi="Calibri" w:cs="Calibri"/>
          <w:sz w:val="24"/>
          <w:szCs w:val="24"/>
        </w:rPr>
        <w:t>Government,</w:t>
      </w:r>
      <w:r w:rsidRPr="001B4C89">
        <w:rPr>
          <w:rFonts w:ascii="Calibri" w:hAnsi="Calibri" w:cs="Calibri"/>
          <w:sz w:val="24"/>
          <w:szCs w:val="24"/>
        </w:rPr>
        <w:t xml:space="preserve"> provides additional resources to enhance and facilitate more effective implementation of health and education assessments for children in out-of-home care. There are two different enhanced approaches currently being tested in two separate but concurrent projects:</w:t>
      </w:r>
    </w:p>
    <w:p w:rsidR="001B4C89" w:rsidRPr="00AD13A0" w:rsidRDefault="0021431E" w:rsidP="0021431E">
      <w:pPr>
        <w:pStyle w:val="ListBullet"/>
      </w:pPr>
      <w:r>
        <w:t>t</w:t>
      </w:r>
      <w:r w:rsidR="001B4C89" w:rsidRPr="00AD13A0">
        <w:t>he Pathway to Good Health approach to comprehensive health</w:t>
      </w:r>
      <w:r w:rsidR="009019B1">
        <w:t xml:space="preserve"> </w:t>
      </w:r>
      <w:r w:rsidR="001B4C89" w:rsidRPr="00AD13A0">
        <w:t>care for vulnerable babies, children and young people in out-of-home care</w:t>
      </w:r>
      <w:r>
        <w:t>,</w:t>
      </w:r>
      <w:r w:rsidRPr="00AD13A0">
        <w:t xml:space="preserve"> </w:t>
      </w:r>
      <w:r w:rsidR="001B4C89" w:rsidRPr="00AD13A0">
        <w:t xml:space="preserve">currently being implemented only in the North and West metropolitan areas of Melbourne but involving children in all types of out-of-home care </w:t>
      </w:r>
    </w:p>
    <w:p w:rsidR="001B4C89" w:rsidRPr="00AD13A0" w:rsidRDefault="0021431E" w:rsidP="0021431E">
      <w:pPr>
        <w:pStyle w:val="ListBullet"/>
      </w:pPr>
      <w:proofErr w:type="gramStart"/>
      <w:r>
        <w:t>t</w:t>
      </w:r>
      <w:r w:rsidRPr="00AD13A0">
        <w:t>he</w:t>
      </w:r>
      <w:proofErr w:type="gramEnd"/>
      <w:r w:rsidRPr="00AD13A0">
        <w:t xml:space="preserve"> </w:t>
      </w:r>
      <w:proofErr w:type="spellStart"/>
      <w:r>
        <w:t>state</w:t>
      </w:r>
      <w:r w:rsidR="001B4C89" w:rsidRPr="00AD13A0">
        <w:t>wide</w:t>
      </w:r>
      <w:proofErr w:type="spellEnd"/>
      <w:r w:rsidR="001B4C89" w:rsidRPr="00AD13A0">
        <w:t xml:space="preserve"> health and education assessments project for young people in residential care.</w:t>
      </w:r>
    </w:p>
    <w:p w:rsidR="0021431E" w:rsidRDefault="0021431E" w:rsidP="001B4C89">
      <w:pPr>
        <w:rPr>
          <w:rFonts w:ascii="Calibri" w:hAnsi="Calibri" w:cs="Calibri"/>
          <w:sz w:val="24"/>
          <w:szCs w:val="24"/>
        </w:rPr>
      </w:pPr>
    </w:p>
    <w:p w:rsidR="001B4C89" w:rsidRPr="001B4C89" w:rsidRDefault="001B4C89" w:rsidP="001B4C89">
      <w:pPr>
        <w:rPr>
          <w:rFonts w:ascii="Calibri" w:hAnsi="Calibri" w:cs="Calibri"/>
          <w:sz w:val="24"/>
          <w:szCs w:val="24"/>
        </w:rPr>
      </w:pPr>
      <w:r w:rsidRPr="001B4C89">
        <w:rPr>
          <w:rFonts w:ascii="Calibri" w:hAnsi="Calibri" w:cs="Calibri"/>
          <w:sz w:val="24"/>
          <w:szCs w:val="24"/>
        </w:rPr>
        <w:t xml:space="preserve">The Pathway to Good Health is a partnership project between the Department of Health and </w:t>
      </w:r>
      <w:r w:rsidR="007D1250">
        <w:rPr>
          <w:rFonts w:ascii="Calibri" w:hAnsi="Calibri" w:cs="Calibri"/>
          <w:sz w:val="24"/>
          <w:szCs w:val="24"/>
        </w:rPr>
        <w:t>DHS</w:t>
      </w:r>
      <w:r w:rsidRPr="001B4C89">
        <w:rPr>
          <w:rFonts w:ascii="Calibri" w:hAnsi="Calibri" w:cs="Calibri"/>
          <w:sz w:val="24"/>
          <w:szCs w:val="24"/>
        </w:rPr>
        <w:t xml:space="preserve">. This pathway aims to utilise mainstream health providers to </w:t>
      </w:r>
      <w:r w:rsidR="00204D24">
        <w:rPr>
          <w:rFonts w:ascii="Calibri" w:hAnsi="Calibri" w:cs="Calibri"/>
          <w:sz w:val="24"/>
          <w:szCs w:val="24"/>
        </w:rPr>
        <w:t>offer</w:t>
      </w:r>
      <w:r w:rsidR="00204D24" w:rsidRPr="001B4C89">
        <w:rPr>
          <w:rFonts w:ascii="Calibri" w:hAnsi="Calibri" w:cs="Calibri"/>
          <w:sz w:val="24"/>
          <w:szCs w:val="24"/>
        </w:rPr>
        <w:t xml:space="preserve"> </w:t>
      </w:r>
      <w:r w:rsidRPr="001B4C89">
        <w:rPr>
          <w:rFonts w:ascii="Calibri" w:hAnsi="Calibri" w:cs="Calibri"/>
          <w:sz w:val="24"/>
          <w:szCs w:val="24"/>
        </w:rPr>
        <w:t>coordinated and holistic health care for children and young people in all types of out-of-home care</w:t>
      </w:r>
      <w:r w:rsidR="00AD13A0">
        <w:rPr>
          <w:rFonts w:ascii="Calibri" w:hAnsi="Calibri" w:cs="Calibri"/>
          <w:sz w:val="24"/>
          <w:szCs w:val="24"/>
        </w:rPr>
        <w:t>,</w:t>
      </w:r>
      <w:r w:rsidRPr="001B4C89">
        <w:rPr>
          <w:rFonts w:ascii="Calibri" w:hAnsi="Calibri" w:cs="Calibri"/>
          <w:sz w:val="24"/>
          <w:szCs w:val="24"/>
        </w:rPr>
        <w:t xml:space="preserve"> including foster care, kinship care and residential care. This project is implementing the </w:t>
      </w:r>
      <w:r w:rsidRPr="007D1250">
        <w:rPr>
          <w:rFonts w:ascii="Calibri" w:hAnsi="Calibri" w:cs="Calibri"/>
          <w:i/>
          <w:sz w:val="24"/>
          <w:szCs w:val="24"/>
        </w:rPr>
        <w:t>National Clinical Assessment Framework for Children and Young People in Out-of-Home Care</w:t>
      </w:r>
      <w:r w:rsidR="007D1250">
        <w:rPr>
          <w:rFonts w:ascii="Calibri" w:hAnsi="Calibri" w:cs="Calibri"/>
          <w:sz w:val="24"/>
          <w:szCs w:val="24"/>
        </w:rPr>
        <w:t xml:space="preserve">, </w:t>
      </w:r>
      <w:r w:rsidRPr="001B4C89">
        <w:rPr>
          <w:rFonts w:ascii="Calibri" w:hAnsi="Calibri" w:cs="Calibri"/>
          <w:sz w:val="24"/>
          <w:szCs w:val="24"/>
        </w:rPr>
        <w:t xml:space="preserve">released in March 2011. The project commenced in November 2012 and is being rolled out in the former North and West metropolitan region of Melbourne. Further </w:t>
      </w:r>
      <w:r w:rsidR="00204D24">
        <w:rPr>
          <w:rFonts w:ascii="Calibri" w:hAnsi="Calibri" w:cs="Calibri"/>
          <w:sz w:val="24"/>
          <w:szCs w:val="24"/>
        </w:rPr>
        <w:t>roll</w:t>
      </w:r>
      <w:r w:rsidRPr="001B4C89">
        <w:rPr>
          <w:rFonts w:ascii="Calibri" w:hAnsi="Calibri" w:cs="Calibri"/>
          <w:sz w:val="24"/>
          <w:szCs w:val="24"/>
        </w:rPr>
        <w:t xml:space="preserve">out across the state is subject to the findings of the evaluation of this initial </w:t>
      </w:r>
      <w:r w:rsidR="00DE4632">
        <w:rPr>
          <w:rFonts w:ascii="Calibri" w:hAnsi="Calibri" w:cs="Calibri"/>
          <w:sz w:val="24"/>
          <w:szCs w:val="24"/>
        </w:rPr>
        <w:t>roll</w:t>
      </w:r>
      <w:r w:rsidRPr="001B4C89">
        <w:rPr>
          <w:rFonts w:ascii="Calibri" w:hAnsi="Calibri" w:cs="Calibri"/>
          <w:sz w:val="24"/>
          <w:szCs w:val="24"/>
        </w:rPr>
        <w:t>out.</w:t>
      </w:r>
    </w:p>
    <w:p w:rsidR="001B4C89" w:rsidRPr="001B4C89" w:rsidRDefault="001B4C89" w:rsidP="001B4C89">
      <w:pPr>
        <w:rPr>
          <w:rFonts w:ascii="Calibri" w:hAnsi="Calibri" w:cs="Calibri"/>
          <w:sz w:val="24"/>
          <w:szCs w:val="24"/>
        </w:rPr>
      </w:pPr>
    </w:p>
    <w:p w:rsidR="001B4C89" w:rsidRPr="001B4C89" w:rsidRDefault="001B4C89" w:rsidP="001B4C89">
      <w:pPr>
        <w:rPr>
          <w:rFonts w:ascii="Calibri" w:hAnsi="Calibri" w:cs="Calibri"/>
          <w:sz w:val="24"/>
          <w:szCs w:val="24"/>
        </w:rPr>
      </w:pPr>
      <w:r w:rsidRPr="001B4C89">
        <w:rPr>
          <w:rFonts w:ascii="Calibri" w:hAnsi="Calibri" w:cs="Calibri"/>
          <w:sz w:val="24"/>
          <w:szCs w:val="24"/>
        </w:rPr>
        <w:t>The Department of Health has engaged key stakeholders and provided information an</w:t>
      </w:r>
      <w:r w:rsidR="00AD13A0">
        <w:rPr>
          <w:rFonts w:ascii="Calibri" w:hAnsi="Calibri" w:cs="Calibri"/>
          <w:sz w:val="24"/>
          <w:szCs w:val="24"/>
        </w:rPr>
        <w:t xml:space="preserve">d education about the project, </w:t>
      </w:r>
      <w:r w:rsidRPr="001B4C89">
        <w:rPr>
          <w:rFonts w:ascii="Calibri" w:hAnsi="Calibri" w:cs="Calibri"/>
          <w:sz w:val="24"/>
          <w:szCs w:val="24"/>
        </w:rPr>
        <w:t xml:space="preserve">in conjunction with two </w:t>
      </w:r>
      <w:r w:rsidR="003F7128">
        <w:rPr>
          <w:rFonts w:ascii="Calibri" w:hAnsi="Calibri" w:cs="Calibri"/>
          <w:sz w:val="24"/>
          <w:szCs w:val="24"/>
        </w:rPr>
        <w:t>DHS</w:t>
      </w:r>
      <w:r w:rsidR="00204D24">
        <w:rPr>
          <w:rFonts w:ascii="Calibri" w:hAnsi="Calibri" w:cs="Calibri"/>
          <w:sz w:val="24"/>
          <w:szCs w:val="24"/>
        </w:rPr>
        <w:t>-</w:t>
      </w:r>
      <w:r w:rsidRPr="001B4C89">
        <w:rPr>
          <w:rFonts w:ascii="Calibri" w:hAnsi="Calibri" w:cs="Calibri"/>
          <w:sz w:val="24"/>
          <w:szCs w:val="24"/>
        </w:rPr>
        <w:t>based coordinators.</w:t>
      </w:r>
      <w:r w:rsidR="007764A2">
        <w:rPr>
          <w:rFonts w:ascii="Calibri" w:hAnsi="Calibri" w:cs="Calibri"/>
          <w:sz w:val="24"/>
          <w:szCs w:val="24"/>
        </w:rPr>
        <w:t xml:space="preserve"> </w:t>
      </w:r>
      <w:r w:rsidRPr="001B4C89">
        <w:rPr>
          <w:rFonts w:ascii="Calibri" w:hAnsi="Calibri" w:cs="Calibri"/>
          <w:sz w:val="24"/>
          <w:szCs w:val="24"/>
        </w:rPr>
        <w:t xml:space="preserve">All children participating in this initiative, including those in foster care and kinship care, have access to the brokerage provided as part of the </w:t>
      </w:r>
      <w:proofErr w:type="spellStart"/>
      <w:r w:rsidRPr="001B4C89">
        <w:rPr>
          <w:rFonts w:ascii="Calibri" w:hAnsi="Calibri" w:cs="Calibri"/>
          <w:sz w:val="24"/>
          <w:szCs w:val="24"/>
        </w:rPr>
        <w:t>statewide</w:t>
      </w:r>
      <w:proofErr w:type="spellEnd"/>
      <w:r w:rsidRPr="001B4C89">
        <w:rPr>
          <w:rFonts w:ascii="Calibri" w:hAnsi="Calibri" w:cs="Calibri"/>
          <w:sz w:val="24"/>
          <w:szCs w:val="24"/>
        </w:rPr>
        <w:t xml:space="preserve"> initiative for children in residential care </w:t>
      </w:r>
      <w:r w:rsidR="00AD13A0">
        <w:rPr>
          <w:rFonts w:ascii="Calibri" w:hAnsi="Calibri" w:cs="Calibri"/>
          <w:sz w:val="24"/>
          <w:szCs w:val="24"/>
        </w:rPr>
        <w:t>as described below.</w:t>
      </w:r>
    </w:p>
    <w:p w:rsidR="001B4C89" w:rsidRPr="001B4C89" w:rsidRDefault="001B4C89" w:rsidP="001B4C89">
      <w:pPr>
        <w:rPr>
          <w:rFonts w:ascii="Calibri" w:hAnsi="Calibri" w:cs="Calibri"/>
          <w:sz w:val="24"/>
          <w:szCs w:val="24"/>
        </w:rPr>
      </w:pPr>
    </w:p>
    <w:p w:rsidR="001B4C89" w:rsidRPr="001B4C89" w:rsidRDefault="001B4C89" w:rsidP="001B4C89">
      <w:pPr>
        <w:rPr>
          <w:rFonts w:ascii="Calibri" w:hAnsi="Calibri" w:cs="Calibri"/>
          <w:sz w:val="24"/>
          <w:szCs w:val="24"/>
        </w:rPr>
      </w:pPr>
      <w:r w:rsidRPr="001B4C89">
        <w:rPr>
          <w:rFonts w:ascii="Calibri" w:hAnsi="Calibri" w:cs="Calibri"/>
          <w:sz w:val="24"/>
          <w:szCs w:val="24"/>
        </w:rPr>
        <w:t xml:space="preserve">The health component of the </w:t>
      </w:r>
      <w:proofErr w:type="spellStart"/>
      <w:r w:rsidRPr="001B4C89">
        <w:rPr>
          <w:rFonts w:ascii="Calibri" w:hAnsi="Calibri" w:cs="Calibri"/>
          <w:sz w:val="24"/>
          <w:szCs w:val="24"/>
        </w:rPr>
        <w:t>statewide</w:t>
      </w:r>
      <w:proofErr w:type="spellEnd"/>
      <w:r w:rsidRPr="001B4C89">
        <w:rPr>
          <w:rFonts w:ascii="Calibri" w:hAnsi="Calibri" w:cs="Calibri"/>
          <w:sz w:val="24"/>
          <w:szCs w:val="24"/>
        </w:rPr>
        <w:t xml:space="preserve"> health and education assessments project is targeted specifically </w:t>
      </w:r>
      <w:r w:rsidR="006C6346">
        <w:rPr>
          <w:rFonts w:ascii="Calibri" w:hAnsi="Calibri" w:cs="Calibri"/>
          <w:sz w:val="24"/>
          <w:szCs w:val="24"/>
        </w:rPr>
        <w:t>to</w:t>
      </w:r>
      <w:r w:rsidRPr="001B4C89">
        <w:rPr>
          <w:rFonts w:ascii="Calibri" w:hAnsi="Calibri" w:cs="Calibri"/>
          <w:sz w:val="24"/>
          <w:szCs w:val="24"/>
        </w:rPr>
        <w:t xml:space="preserve"> young people in residential care</w:t>
      </w:r>
      <w:r w:rsidR="00204D24">
        <w:rPr>
          <w:rFonts w:ascii="Calibri" w:hAnsi="Calibri" w:cs="Calibri"/>
          <w:sz w:val="24"/>
          <w:szCs w:val="24"/>
        </w:rPr>
        <w:t>,</w:t>
      </w:r>
      <w:r w:rsidRPr="001B4C89">
        <w:rPr>
          <w:rFonts w:ascii="Calibri" w:hAnsi="Calibri" w:cs="Calibri"/>
          <w:sz w:val="24"/>
          <w:szCs w:val="24"/>
        </w:rPr>
        <w:t xml:space="preserve"> a highly vulnerable group within the overall out-of-home care population</w:t>
      </w:r>
      <w:r w:rsidR="007D1250">
        <w:rPr>
          <w:rFonts w:ascii="Calibri" w:hAnsi="Calibri" w:cs="Calibri"/>
          <w:sz w:val="24"/>
          <w:szCs w:val="24"/>
        </w:rPr>
        <w:t xml:space="preserve"> and</w:t>
      </w:r>
      <w:r w:rsidRPr="001B4C89">
        <w:rPr>
          <w:rFonts w:ascii="Calibri" w:hAnsi="Calibri" w:cs="Calibri"/>
          <w:sz w:val="24"/>
          <w:szCs w:val="24"/>
        </w:rPr>
        <w:t xml:space="preserve"> with more complex health (and education) related needs. The first assessments and associated </w:t>
      </w:r>
      <w:r w:rsidR="00204D24" w:rsidRPr="001B4C89">
        <w:rPr>
          <w:rFonts w:ascii="Calibri" w:hAnsi="Calibri" w:cs="Calibri"/>
          <w:sz w:val="24"/>
          <w:szCs w:val="24"/>
        </w:rPr>
        <w:t>follow</w:t>
      </w:r>
      <w:r w:rsidR="00204D24">
        <w:rPr>
          <w:rFonts w:ascii="Calibri" w:hAnsi="Calibri" w:cs="Calibri"/>
          <w:sz w:val="24"/>
          <w:szCs w:val="24"/>
        </w:rPr>
        <w:t>-</w:t>
      </w:r>
      <w:r w:rsidRPr="001B4C89">
        <w:rPr>
          <w:rFonts w:ascii="Calibri" w:hAnsi="Calibri" w:cs="Calibri"/>
          <w:sz w:val="24"/>
          <w:szCs w:val="24"/>
        </w:rPr>
        <w:t>up treatment undertaken through this initiative occurred in December 2012.</w:t>
      </w:r>
      <w:r w:rsidR="007764A2">
        <w:rPr>
          <w:rFonts w:ascii="Calibri" w:hAnsi="Calibri" w:cs="Calibri"/>
          <w:sz w:val="24"/>
          <w:szCs w:val="24"/>
        </w:rPr>
        <w:t xml:space="preserve"> </w:t>
      </w:r>
      <w:r w:rsidRPr="001B4C89">
        <w:rPr>
          <w:rFonts w:ascii="Calibri" w:hAnsi="Calibri" w:cs="Calibri"/>
          <w:sz w:val="24"/>
          <w:szCs w:val="24"/>
        </w:rPr>
        <w:t xml:space="preserve">Extension of this approach to children in foster care and kinship care is subject to the evaluation of this initial </w:t>
      </w:r>
      <w:r w:rsidR="00204D24">
        <w:rPr>
          <w:rFonts w:ascii="Calibri" w:hAnsi="Calibri" w:cs="Calibri"/>
          <w:sz w:val="24"/>
          <w:szCs w:val="24"/>
        </w:rPr>
        <w:t>roll</w:t>
      </w:r>
      <w:r w:rsidRPr="001B4C89">
        <w:rPr>
          <w:rFonts w:ascii="Calibri" w:hAnsi="Calibri" w:cs="Calibri"/>
          <w:sz w:val="24"/>
          <w:szCs w:val="24"/>
        </w:rPr>
        <w:t>out with young people in residential care.</w:t>
      </w:r>
      <w:r w:rsidR="007764A2">
        <w:rPr>
          <w:rFonts w:ascii="Calibri" w:hAnsi="Calibri" w:cs="Calibri"/>
          <w:sz w:val="24"/>
          <w:szCs w:val="24"/>
        </w:rPr>
        <w:t xml:space="preserve"> </w:t>
      </w:r>
    </w:p>
    <w:p w:rsidR="001B4C89" w:rsidRPr="001B4C89" w:rsidRDefault="001B4C89" w:rsidP="001B4C89">
      <w:pPr>
        <w:rPr>
          <w:rFonts w:ascii="Calibri" w:hAnsi="Calibri" w:cs="Calibri"/>
          <w:sz w:val="24"/>
          <w:szCs w:val="24"/>
        </w:rPr>
      </w:pPr>
    </w:p>
    <w:p w:rsidR="001B4C89" w:rsidRDefault="001B4C89" w:rsidP="001B4C89">
      <w:pPr>
        <w:rPr>
          <w:rFonts w:ascii="Calibri" w:hAnsi="Calibri" w:cs="Calibri"/>
          <w:sz w:val="24"/>
          <w:szCs w:val="24"/>
        </w:rPr>
      </w:pPr>
      <w:r w:rsidRPr="001B4C89">
        <w:rPr>
          <w:rFonts w:ascii="Calibri" w:hAnsi="Calibri" w:cs="Calibri"/>
          <w:sz w:val="24"/>
          <w:szCs w:val="24"/>
        </w:rPr>
        <w:t xml:space="preserve">This initiative provides health </w:t>
      </w:r>
      <w:r w:rsidR="0021431E" w:rsidRPr="001B4C89">
        <w:rPr>
          <w:rFonts w:ascii="Calibri" w:hAnsi="Calibri" w:cs="Calibri"/>
          <w:sz w:val="24"/>
          <w:szCs w:val="24"/>
        </w:rPr>
        <w:t>assessment</w:t>
      </w:r>
      <w:r w:rsidR="0021431E">
        <w:rPr>
          <w:rFonts w:ascii="Calibri" w:hAnsi="Calibri" w:cs="Calibri"/>
          <w:sz w:val="24"/>
          <w:szCs w:val="24"/>
        </w:rPr>
        <w:t>-</w:t>
      </w:r>
      <w:r w:rsidRPr="001B4C89">
        <w:rPr>
          <w:rFonts w:ascii="Calibri" w:hAnsi="Calibri" w:cs="Calibri"/>
          <w:sz w:val="24"/>
          <w:szCs w:val="24"/>
        </w:rPr>
        <w:t xml:space="preserve">related brokerage. The departmental coordinators manage the use of brokerage to fund necessary </w:t>
      </w:r>
      <w:r w:rsidR="00204D24" w:rsidRPr="001B4C89">
        <w:rPr>
          <w:rFonts w:ascii="Calibri" w:hAnsi="Calibri" w:cs="Calibri"/>
          <w:sz w:val="24"/>
          <w:szCs w:val="24"/>
        </w:rPr>
        <w:t>follow</w:t>
      </w:r>
      <w:r w:rsidR="00204D24">
        <w:rPr>
          <w:rFonts w:ascii="Calibri" w:hAnsi="Calibri" w:cs="Calibri"/>
          <w:sz w:val="24"/>
          <w:szCs w:val="24"/>
        </w:rPr>
        <w:t>-</w:t>
      </w:r>
      <w:r w:rsidRPr="001B4C89">
        <w:rPr>
          <w:rFonts w:ascii="Calibri" w:hAnsi="Calibri" w:cs="Calibri"/>
          <w:sz w:val="24"/>
          <w:szCs w:val="24"/>
        </w:rPr>
        <w:t>up treatments arising from health assessments and any necessary assessments provided by private practitioners where equivalent</w:t>
      </w:r>
      <w:r w:rsidR="00204D24">
        <w:rPr>
          <w:rFonts w:ascii="Calibri" w:hAnsi="Calibri" w:cs="Calibri"/>
          <w:sz w:val="24"/>
          <w:szCs w:val="24"/>
        </w:rPr>
        <w:t>,</w:t>
      </w:r>
      <w:r w:rsidRPr="001B4C89">
        <w:rPr>
          <w:rFonts w:ascii="Calibri" w:hAnsi="Calibri" w:cs="Calibri"/>
          <w:sz w:val="24"/>
          <w:szCs w:val="24"/>
        </w:rPr>
        <w:t xml:space="preserve"> publicly funded assessments are unable to be accessed in a timely way</w:t>
      </w:r>
      <w:r>
        <w:rPr>
          <w:rFonts w:ascii="Calibri" w:hAnsi="Calibri" w:cs="Calibri"/>
          <w:sz w:val="24"/>
          <w:szCs w:val="24"/>
        </w:rPr>
        <w:t>.</w:t>
      </w:r>
    </w:p>
    <w:p w:rsidR="001B4C89" w:rsidRDefault="001B4C89" w:rsidP="003C414F">
      <w:pPr>
        <w:pStyle w:val="Heading4"/>
      </w:pPr>
      <w:r w:rsidRPr="001B4C89">
        <w:t>Disability</w:t>
      </w:r>
    </w:p>
    <w:p w:rsidR="001B4C89" w:rsidRPr="001B4C89" w:rsidRDefault="001B4C89" w:rsidP="001B4C89">
      <w:pPr>
        <w:rPr>
          <w:rFonts w:ascii="Calibri" w:hAnsi="Calibri" w:cs="Calibri"/>
          <w:sz w:val="24"/>
          <w:szCs w:val="24"/>
        </w:rPr>
      </w:pPr>
      <w:r w:rsidRPr="001B4C89">
        <w:rPr>
          <w:rFonts w:ascii="Calibri" w:hAnsi="Calibri" w:cs="Calibri"/>
          <w:sz w:val="24"/>
          <w:szCs w:val="24"/>
        </w:rPr>
        <w:t>Much work has been done with Child</w:t>
      </w:r>
      <w:r w:rsidR="00CA7775">
        <w:rPr>
          <w:rFonts w:ascii="Calibri" w:hAnsi="Calibri" w:cs="Calibri"/>
          <w:sz w:val="24"/>
          <w:szCs w:val="24"/>
        </w:rPr>
        <w:t xml:space="preserve"> </w:t>
      </w:r>
      <w:r w:rsidRPr="001B4C89">
        <w:rPr>
          <w:rFonts w:ascii="Calibri" w:hAnsi="Calibri" w:cs="Calibri"/>
          <w:sz w:val="24"/>
          <w:szCs w:val="24"/>
        </w:rPr>
        <w:t xml:space="preserve">FIRST providers, DHS Disability Services and Child Protection to meet the support needs of parents with a disability. The focus has been </w:t>
      </w:r>
      <w:r w:rsidR="00AD13A0">
        <w:rPr>
          <w:rFonts w:ascii="Calibri" w:hAnsi="Calibri" w:cs="Calibri"/>
          <w:sz w:val="24"/>
          <w:szCs w:val="24"/>
        </w:rPr>
        <w:t xml:space="preserve">on </w:t>
      </w:r>
      <w:r w:rsidRPr="001B4C89">
        <w:rPr>
          <w:rFonts w:ascii="Calibri" w:hAnsi="Calibri" w:cs="Calibri"/>
          <w:sz w:val="24"/>
          <w:szCs w:val="24"/>
        </w:rPr>
        <w:t>working more effectively with parents to prevent their children from coming to the attention of child protection</w:t>
      </w:r>
      <w:r w:rsidR="00AD13A0">
        <w:rPr>
          <w:rFonts w:ascii="Calibri" w:hAnsi="Calibri" w:cs="Calibri"/>
          <w:sz w:val="24"/>
          <w:szCs w:val="24"/>
        </w:rPr>
        <w:t xml:space="preserve"> and also </w:t>
      </w:r>
      <w:r w:rsidR="0021431E">
        <w:rPr>
          <w:rFonts w:ascii="Calibri" w:hAnsi="Calibri" w:cs="Calibri"/>
          <w:sz w:val="24"/>
          <w:szCs w:val="24"/>
        </w:rPr>
        <w:t>encouraging</w:t>
      </w:r>
      <w:r w:rsidR="0021431E" w:rsidRPr="001B4C89">
        <w:rPr>
          <w:rFonts w:ascii="Calibri" w:hAnsi="Calibri" w:cs="Calibri"/>
          <w:sz w:val="24"/>
          <w:szCs w:val="24"/>
        </w:rPr>
        <w:t xml:space="preserve"> </w:t>
      </w:r>
      <w:r w:rsidRPr="001B4C89">
        <w:rPr>
          <w:rFonts w:ascii="Calibri" w:hAnsi="Calibri" w:cs="Calibri"/>
          <w:sz w:val="24"/>
          <w:szCs w:val="24"/>
        </w:rPr>
        <w:t>child protection practitioners to communicate</w:t>
      </w:r>
      <w:r w:rsidR="00CA0113" w:rsidRPr="00CA0113">
        <w:rPr>
          <w:rFonts w:ascii="Calibri" w:hAnsi="Calibri" w:cs="Calibri"/>
          <w:sz w:val="24"/>
          <w:szCs w:val="24"/>
        </w:rPr>
        <w:t xml:space="preserve"> </w:t>
      </w:r>
      <w:r w:rsidR="00CA0113" w:rsidRPr="001B4C89">
        <w:rPr>
          <w:rFonts w:ascii="Calibri" w:hAnsi="Calibri" w:cs="Calibri"/>
          <w:sz w:val="24"/>
          <w:szCs w:val="24"/>
        </w:rPr>
        <w:t>more effectively</w:t>
      </w:r>
      <w:r w:rsidRPr="001B4C89">
        <w:rPr>
          <w:rFonts w:ascii="Calibri" w:hAnsi="Calibri" w:cs="Calibri"/>
          <w:sz w:val="24"/>
          <w:szCs w:val="24"/>
        </w:rPr>
        <w:t xml:space="preserve"> with parents with a disability</w:t>
      </w:r>
      <w:r w:rsidR="0021431E">
        <w:rPr>
          <w:rFonts w:ascii="Calibri" w:hAnsi="Calibri" w:cs="Calibri"/>
          <w:sz w:val="24"/>
          <w:szCs w:val="24"/>
        </w:rPr>
        <w:t>,</w:t>
      </w:r>
      <w:r w:rsidRPr="001B4C89">
        <w:rPr>
          <w:rFonts w:ascii="Calibri" w:hAnsi="Calibri" w:cs="Calibri"/>
          <w:sz w:val="24"/>
          <w:szCs w:val="24"/>
        </w:rPr>
        <w:t xml:space="preserve"> to understand their support needs. Information sheets about child protection are being </w:t>
      </w:r>
      <w:r w:rsidR="00792088">
        <w:rPr>
          <w:rFonts w:ascii="Calibri" w:hAnsi="Calibri" w:cs="Calibri"/>
          <w:sz w:val="24"/>
          <w:szCs w:val="24"/>
        </w:rPr>
        <w:t>re</w:t>
      </w:r>
      <w:r w:rsidR="00674754">
        <w:rPr>
          <w:rFonts w:ascii="Calibri" w:hAnsi="Calibri" w:cs="Calibri"/>
          <w:sz w:val="24"/>
          <w:szCs w:val="24"/>
        </w:rPr>
        <w:t>written</w:t>
      </w:r>
      <w:r w:rsidR="00674754" w:rsidRPr="001B4C89">
        <w:rPr>
          <w:rFonts w:ascii="Calibri" w:hAnsi="Calibri" w:cs="Calibri"/>
          <w:sz w:val="24"/>
          <w:szCs w:val="24"/>
        </w:rPr>
        <w:t xml:space="preserve"> </w:t>
      </w:r>
      <w:r w:rsidRPr="001B4C89">
        <w:rPr>
          <w:rFonts w:ascii="Calibri" w:hAnsi="Calibri" w:cs="Calibri"/>
          <w:sz w:val="24"/>
          <w:szCs w:val="24"/>
        </w:rPr>
        <w:t>in plain English</w:t>
      </w:r>
      <w:r w:rsidR="00CA0113">
        <w:rPr>
          <w:rFonts w:ascii="Calibri" w:hAnsi="Calibri" w:cs="Calibri"/>
          <w:sz w:val="24"/>
          <w:szCs w:val="24"/>
        </w:rPr>
        <w:t>,</w:t>
      </w:r>
      <w:r w:rsidRPr="001B4C89">
        <w:rPr>
          <w:rFonts w:ascii="Calibri" w:hAnsi="Calibri" w:cs="Calibri"/>
          <w:sz w:val="24"/>
          <w:szCs w:val="24"/>
        </w:rPr>
        <w:t xml:space="preserve"> and training for child protection practitioners is planned for completion by the end of 2013.</w:t>
      </w:r>
    </w:p>
    <w:p w:rsidR="001B4C89" w:rsidRPr="001B4C89" w:rsidRDefault="001B4C89" w:rsidP="001B4C89">
      <w:pPr>
        <w:rPr>
          <w:rFonts w:ascii="Calibri" w:hAnsi="Calibri" w:cs="Calibri"/>
          <w:sz w:val="24"/>
          <w:szCs w:val="24"/>
        </w:rPr>
      </w:pPr>
    </w:p>
    <w:p w:rsidR="001B4C89" w:rsidRDefault="001B4C89" w:rsidP="001B4C89">
      <w:pPr>
        <w:rPr>
          <w:rFonts w:ascii="Calibri" w:hAnsi="Calibri" w:cs="Calibri"/>
          <w:sz w:val="24"/>
          <w:szCs w:val="24"/>
        </w:rPr>
      </w:pPr>
      <w:r w:rsidRPr="001B4C89">
        <w:rPr>
          <w:rFonts w:ascii="Calibri" w:hAnsi="Calibri" w:cs="Calibri"/>
          <w:sz w:val="24"/>
          <w:szCs w:val="24"/>
        </w:rPr>
        <w:t xml:space="preserve">The interface arrangements between DHS child protection services and </w:t>
      </w:r>
      <w:r w:rsidR="00EB2E72">
        <w:rPr>
          <w:rFonts w:ascii="Calibri" w:hAnsi="Calibri" w:cs="Calibri"/>
          <w:sz w:val="24"/>
          <w:szCs w:val="24"/>
        </w:rPr>
        <w:t>the NDIS</w:t>
      </w:r>
      <w:r w:rsidRPr="001B4C89">
        <w:rPr>
          <w:rFonts w:ascii="Calibri" w:hAnsi="Calibri" w:cs="Calibri"/>
          <w:sz w:val="24"/>
          <w:szCs w:val="24"/>
        </w:rPr>
        <w:t xml:space="preserve"> in the Barwon </w:t>
      </w:r>
      <w:r w:rsidR="005308E0">
        <w:rPr>
          <w:rFonts w:ascii="Calibri" w:hAnsi="Calibri" w:cs="Calibri"/>
          <w:sz w:val="24"/>
          <w:szCs w:val="24"/>
        </w:rPr>
        <w:t>trial</w:t>
      </w:r>
      <w:r w:rsidR="005308E0" w:rsidRPr="001B4C89">
        <w:rPr>
          <w:rFonts w:ascii="Calibri" w:hAnsi="Calibri" w:cs="Calibri"/>
          <w:sz w:val="24"/>
          <w:szCs w:val="24"/>
        </w:rPr>
        <w:t xml:space="preserve"> </w:t>
      </w:r>
      <w:r w:rsidRPr="001B4C89">
        <w:rPr>
          <w:rFonts w:ascii="Calibri" w:hAnsi="Calibri" w:cs="Calibri"/>
          <w:sz w:val="24"/>
          <w:szCs w:val="24"/>
        </w:rPr>
        <w:t>area have been documented and agreed.</w:t>
      </w:r>
      <w:r w:rsidR="007764A2">
        <w:rPr>
          <w:rFonts w:ascii="Calibri" w:hAnsi="Calibri" w:cs="Calibri"/>
          <w:sz w:val="24"/>
          <w:szCs w:val="24"/>
        </w:rPr>
        <w:t xml:space="preserve"> </w:t>
      </w:r>
      <w:r w:rsidRPr="001B4C89">
        <w:rPr>
          <w:rFonts w:ascii="Calibri" w:hAnsi="Calibri" w:cs="Calibri"/>
          <w:sz w:val="24"/>
          <w:szCs w:val="24"/>
        </w:rPr>
        <w:t>These reflect the principles and responsibil</w:t>
      </w:r>
      <w:r w:rsidR="00AD13A0">
        <w:rPr>
          <w:rFonts w:ascii="Calibri" w:hAnsi="Calibri" w:cs="Calibri"/>
          <w:sz w:val="24"/>
          <w:szCs w:val="24"/>
        </w:rPr>
        <w:t>ities agreed by all Australian g</w:t>
      </w:r>
      <w:r w:rsidRPr="001B4C89">
        <w:rPr>
          <w:rFonts w:ascii="Calibri" w:hAnsi="Calibri" w:cs="Calibri"/>
          <w:sz w:val="24"/>
          <w:szCs w:val="24"/>
        </w:rPr>
        <w:t>overnments</w:t>
      </w:r>
      <w:r w:rsidR="00204D24">
        <w:rPr>
          <w:rFonts w:ascii="Calibri" w:hAnsi="Calibri" w:cs="Calibri"/>
          <w:sz w:val="24"/>
          <w:szCs w:val="24"/>
        </w:rPr>
        <w:t>,</w:t>
      </w:r>
      <w:r w:rsidRPr="001B4C89">
        <w:rPr>
          <w:rFonts w:ascii="Calibri" w:hAnsi="Calibri" w:cs="Calibri"/>
          <w:sz w:val="24"/>
          <w:szCs w:val="24"/>
        </w:rPr>
        <w:t xml:space="preserve"> and their application will be monitored during the </w:t>
      </w:r>
      <w:r w:rsidR="005308E0">
        <w:rPr>
          <w:rFonts w:ascii="Calibri" w:hAnsi="Calibri" w:cs="Calibri"/>
          <w:sz w:val="24"/>
          <w:szCs w:val="24"/>
        </w:rPr>
        <w:t>trial</w:t>
      </w:r>
      <w:r w:rsidR="005308E0" w:rsidRPr="001B4C89">
        <w:rPr>
          <w:rFonts w:ascii="Calibri" w:hAnsi="Calibri" w:cs="Calibri"/>
          <w:sz w:val="24"/>
          <w:szCs w:val="24"/>
        </w:rPr>
        <w:t xml:space="preserve"> </w:t>
      </w:r>
      <w:r w:rsidRPr="001B4C89">
        <w:rPr>
          <w:rFonts w:ascii="Calibri" w:hAnsi="Calibri" w:cs="Calibri"/>
          <w:sz w:val="24"/>
          <w:szCs w:val="24"/>
        </w:rPr>
        <w:t>period.</w:t>
      </w:r>
    </w:p>
    <w:p w:rsidR="001B4C89" w:rsidRDefault="001B4C89" w:rsidP="001B4C89">
      <w:pPr>
        <w:rPr>
          <w:rFonts w:ascii="Calibri" w:hAnsi="Calibri" w:cs="Calibri"/>
          <w:sz w:val="24"/>
          <w:szCs w:val="24"/>
        </w:rPr>
      </w:pPr>
    </w:p>
    <w:p w:rsidR="001B4C89" w:rsidRPr="001B4C89" w:rsidRDefault="001B4C89" w:rsidP="001B4C89">
      <w:pPr>
        <w:rPr>
          <w:rFonts w:ascii="Calibri" w:hAnsi="Calibri" w:cs="Calibri"/>
          <w:sz w:val="24"/>
          <w:szCs w:val="24"/>
        </w:rPr>
      </w:pPr>
      <w:r w:rsidRPr="001B4C89">
        <w:rPr>
          <w:rFonts w:ascii="Calibri" w:hAnsi="Calibri" w:cs="Calibri"/>
          <w:sz w:val="24"/>
          <w:szCs w:val="24"/>
        </w:rPr>
        <w:t>DHS has developed a work plan to support a more integrated response across services. This included the developme</w:t>
      </w:r>
      <w:r w:rsidR="00AD13A0">
        <w:rPr>
          <w:rFonts w:ascii="Calibri" w:hAnsi="Calibri" w:cs="Calibri"/>
          <w:sz w:val="24"/>
          <w:szCs w:val="24"/>
        </w:rPr>
        <w:t>nt of the Operating Framework (</w:t>
      </w:r>
      <w:r w:rsidRPr="001B4C89">
        <w:rPr>
          <w:rFonts w:ascii="Calibri" w:hAnsi="Calibri" w:cs="Calibri"/>
          <w:sz w:val="24"/>
          <w:szCs w:val="24"/>
        </w:rPr>
        <w:t xml:space="preserve">a protocol to </w:t>
      </w:r>
      <w:r w:rsidR="00AD13A0">
        <w:rPr>
          <w:rFonts w:ascii="Calibri" w:hAnsi="Calibri" w:cs="Calibri"/>
          <w:sz w:val="24"/>
          <w:szCs w:val="24"/>
        </w:rPr>
        <w:t>support collaborative practice)</w:t>
      </w:r>
      <w:r w:rsidRPr="001B4C89">
        <w:rPr>
          <w:rFonts w:ascii="Calibri" w:hAnsi="Calibri" w:cs="Calibri"/>
          <w:sz w:val="24"/>
          <w:szCs w:val="24"/>
        </w:rPr>
        <w:t xml:space="preserve"> for all children with a disability </w:t>
      </w:r>
      <w:r w:rsidR="00204D24">
        <w:rPr>
          <w:rFonts w:ascii="Calibri" w:hAnsi="Calibri" w:cs="Calibri"/>
          <w:sz w:val="24"/>
          <w:szCs w:val="24"/>
        </w:rPr>
        <w:t xml:space="preserve">involved </w:t>
      </w:r>
      <w:r w:rsidRPr="001B4C89">
        <w:rPr>
          <w:rFonts w:ascii="Calibri" w:hAnsi="Calibri" w:cs="Calibri"/>
          <w:sz w:val="24"/>
          <w:szCs w:val="24"/>
        </w:rPr>
        <w:t xml:space="preserve">and subject to child protection intervention. </w:t>
      </w:r>
    </w:p>
    <w:p w:rsidR="001B4C89" w:rsidRPr="001B4C89" w:rsidRDefault="001B4C89" w:rsidP="001B4C89">
      <w:pPr>
        <w:rPr>
          <w:rFonts w:ascii="Calibri" w:hAnsi="Calibri" w:cs="Calibri"/>
          <w:sz w:val="24"/>
          <w:szCs w:val="24"/>
        </w:rPr>
      </w:pPr>
    </w:p>
    <w:p w:rsidR="001B4C89" w:rsidRDefault="001B4C89" w:rsidP="001B4C89">
      <w:pPr>
        <w:rPr>
          <w:rFonts w:ascii="Calibri" w:hAnsi="Calibri" w:cs="Calibri"/>
          <w:sz w:val="24"/>
          <w:szCs w:val="24"/>
        </w:rPr>
      </w:pPr>
      <w:r w:rsidRPr="001B4C89">
        <w:rPr>
          <w:rFonts w:ascii="Calibri" w:hAnsi="Calibri" w:cs="Calibri"/>
          <w:sz w:val="24"/>
          <w:szCs w:val="24"/>
        </w:rPr>
        <w:t>The former Children, Youth and Families and Disability Services Interface Group developed a work plan to support a more integrated response across services. In 2012</w:t>
      </w:r>
      <w:r w:rsidR="0021431E">
        <w:rPr>
          <w:rFonts w:ascii="Calibri" w:hAnsi="Calibri" w:cs="Calibri"/>
          <w:sz w:val="24"/>
          <w:szCs w:val="24"/>
        </w:rPr>
        <w:t>–</w:t>
      </w:r>
      <w:r w:rsidRPr="001B4C89">
        <w:rPr>
          <w:rFonts w:ascii="Calibri" w:hAnsi="Calibri" w:cs="Calibri"/>
          <w:sz w:val="24"/>
          <w:szCs w:val="24"/>
        </w:rPr>
        <w:t>13</w:t>
      </w:r>
      <w:r w:rsidR="00AD13A0">
        <w:rPr>
          <w:rFonts w:ascii="Calibri" w:hAnsi="Calibri" w:cs="Calibri"/>
          <w:sz w:val="24"/>
          <w:szCs w:val="24"/>
        </w:rPr>
        <w:t>,</w:t>
      </w:r>
      <w:r w:rsidRPr="001B4C89">
        <w:rPr>
          <w:rFonts w:ascii="Calibri" w:hAnsi="Calibri" w:cs="Calibri"/>
          <w:sz w:val="24"/>
          <w:szCs w:val="24"/>
        </w:rPr>
        <w:t xml:space="preserve"> the Operating Framework (a protocol to support client-centred practice and cross-program collaborative practice with a focus on children with a disability in out-of-home care) was implemented. In addition:</w:t>
      </w:r>
    </w:p>
    <w:p w:rsidR="001B4C89" w:rsidRPr="001B4C89" w:rsidRDefault="00CA0113" w:rsidP="00AE7DB5">
      <w:pPr>
        <w:pStyle w:val="ListBullet"/>
      </w:pPr>
      <w:r>
        <w:t>P</w:t>
      </w:r>
      <w:r w:rsidRPr="001B4C89">
        <w:t>re</w:t>
      </w:r>
      <w:r w:rsidR="001B4C89" w:rsidRPr="001B4C89">
        <w:t>-service training and competency-based assessments of home-based carers across disability services and children, youth a</w:t>
      </w:r>
      <w:r w:rsidR="00AD13A0">
        <w:t>nd family services were aligned</w:t>
      </w:r>
      <w:r w:rsidR="00B914F4">
        <w:t>.</w:t>
      </w:r>
    </w:p>
    <w:p w:rsidR="001B4C89" w:rsidRDefault="001B4C89" w:rsidP="00AE7DB5">
      <w:pPr>
        <w:pStyle w:val="ListBullet"/>
      </w:pPr>
      <w:r w:rsidRPr="001B4C89">
        <w:t xml:space="preserve">The Looking </w:t>
      </w:r>
      <w:proofErr w:type="gramStart"/>
      <w:r w:rsidRPr="001B4C89">
        <w:t>After</w:t>
      </w:r>
      <w:proofErr w:type="gramEnd"/>
      <w:r w:rsidRPr="001B4C89">
        <w:t xml:space="preserve"> Children planning framework was implemented across disability </w:t>
      </w:r>
      <w:r w:rsidR="00B914F4" w:rsidRPr="001B4C89">
        <w:t>services</w:t>
      </w:r>
      <w:r w:rsidR="00B914F4">
        <w:t>-</w:t>
      </w:r>
      <w:r w:rsidRPr="001B4C89">
        <w:t>funded out-of-home care.</w:t>
      </w:r>
    </w:p>
    <w:p w:rsidR="00BD5D4E" w:rsidRPr="00821556" w:rsidRDefault="00BD5D4E" w:rsidP="00E96545">
      <w:pPr>
        <w:pStyle w:val="Heading3"/>
      </w:pPr>
      <w:bookmarkStart w:id="145" w:name="_Toc400007739"/>
      <w:r w:rsidRPr="00821556">
        <w:t>Western Australia</w:t>
      </w:r>
      <w:bookmarkEnd w:id="145"/>
    </w:p>
    <w:p w:rsidR="00543FB7" w:rsidRPr="003C414F" w:rsidRDefault="00543FB7" w:rsidP="003C414F">
      <w:pPr>
        <w:pStyle w:val="Heading4"/>
        <w:rPr>
          <w:lang w:val="en-AU"/>
        </w:rPr>
      </w:pPr>
      <w:r w:rsidRPr="00485B8B">
        <w:t>Building W</w:t>
      </w:r>
      <w:r w:rsidR="003C414F">
        <w:t>orkforce Capacity and Expertise</w:t>
      </w:r>
    </w:p>
    <w:p w:rsidR="00543FB7" w:rsidRPr="00485B8B" w:rsidRDefault="00B01B35" w:rsidP="00543FB7">
      <w:pPr>
        <w:rPr>
          <w:rFonts w:ascii="Calibri" w:hAnsi="Calibri" w:cs="Calibri"/>
          <w:sz w:val="24"/>
          <w:szCs w:val="24"/>
        </w:rPr>
      </w:pPr>
      <w:r w:rsidRPr="009722B5">
        <w:rPr>
          <w:rFonts w:ascii="Calibri" w:hAnsi="Calibri"/>
          <w:sz w:val="24"/>
        </w:rPr>
        <w:t>CPFS</w:t>
      </w:r>
      <w:r w:rsidR="00543FB7" w:rsidRPr="009722B5">
        <w:rPr>
          <w:rFonts w:ascii="Calibri" w:hAnsi="Calibri" w:cs="Calibri"/>
          <w:sz w:val="24"/>
          <w:szCs w:val="24"/>
        </w:rPr>
        <w:t xml:space="preserve"> develop</w:t>
      </w:r>
      <w:r w:rsidR="00816CA3">
        <w:rPr>
          <w:rFonts w:ascii="Calibri" w:hAnsi="Calibri" w:cs="Calibri"/>
          <w:sz w:val="24"/>
          <w:szCs w:val="24"/>
        </w:rPr>
        <w:t>ed</w:t>
      </w:r>
      <w:r w:rsidR="00543FB7" w:rsidRPr="009722B5">
        <w:rPr>
          <w:rFonts w:ascii="Calibri" w:hAnsi="Calibri" w:cs="Calibri"/>
          <w:sz w:val="24"/>
          <w:szCs w:val="24"/>
        </w:rPr>
        <w:t xml:space="preserve"> an implementation </w:t>
      </w:r>
      <w:r w:rsidR="00543FB7" w:rsidRPr="00485B8B">
        <w:rPr>
          <w:rFonts w:ascii="Calibri" w:hAnsi="Calibri" w:cs="Calibri"/>
          <w:sz w:val="24"/>
          <w:szCs w:val="24"/>
        </w:rPr>
        <w:t>package</w:t>
      </w:r>
      <w:r w:rsidR="007F5F5E">
        <w:rPr>
          <w:rFonts w:ascii="Calibri" w:hAnsi="Calibri" w:cs="Calibri"/>
          <w:sz w:val="24"/>
          <w:szCs w:val="24"/>
        </w:rPr>
        <w:t>—</w:t>
      </w:r>
      <w:r w:rsidR="00F206BB" w:rsidRPr="00485B8B">
        <w:rPr>
          <w:rFonts w:ascii="Calibri" w:hAnsi="Calibri" w:cs="Calibri"/>
          <w:sz w:val="24"/>
          <w:szCs w:val="24"/>
        </w:rPr>
        <w:t>the Family and Domestic Violence Common Risk Assessment and Risk Management Framework (CRARMF)</w:t>
      </w:r>
      <w:r w:rsidR="007F5F5E">
        <w:rPr>
          <w:rFonts w:ascii="Calibri" w:hAnsi="Calibri" w:cs="Calibri"/>
          <w:sz w:val="24"/>
          <w:szCs w:val="24"/>
        </w:rPr>
        <w:t>—</w:t>
      </w:r>
      <w:r w:rsidR="00543FB7" w:rsidRPr="00485B8B">
        <w:rPr>
          <w:rFonts w:ascii="Calibri" w:hAnsi="Calibri" w:cs="Calibri"/>
          <w:sz w:val="24"/>
          <w:szCs w:val="24"/>
        </w:rPr>
        <w:t>to support agencies and organisations to implement the minimum standards for screening and the assessment, man</w:t>
      </w:r>
      <w:r w:rsidR="00F206BB">
        <w:rPr>
          <w:rFonts w:ascii="Calibri" w:hAnsi="Calibri" w:cs="Calibri"/>
          <w:sz w:val="24"/>
          <w:szCs w:val="24"/>
        </w:rPr>
        <w:t>agement and monitoring of risk</w:t>
      </w:r>
      <w:r w:rsidR="00543FB7" w:rsidRPr="00485B8B">
        <w:rPr>
          <w:rFonts w:ascii="Calibri" w:hAnsi="Calibri" w:cs="Calibri"/>
          <w:sz w:val="24"/>
          <w:szCs w:val="24"/>
        </w:rPr>
        <w:t>.</w:t>
      </w:r>
      <w:r w:rsidR="00F206BB">
        <w:rPr>
          <w:rFonts w:ascii="Calibri" w:hAnsi="Calibri" w:cs="Calibri"/>
          <w:sz w:val="24"/>
          <w:szCs w:val="24"/>
        </w:rPr>
        <w:t xml:space="preserve"> This package forms part of exploring actions to broaden child and family</w:t>
      </w:r>
      <w:r w:rsidR="006C6346">
        <w:rPr>
          <w:rFonts w:ascii="Calibri" w:hAnsi="Calibri" w:cs="Calibri"/>
          <w:sz w:val="24"/>
          <w:szCs w:val="24"/>
        </w:rPr>
        <w:t>-</w:t>
      </w:r>
      <w:r w:rsidR="00F206BB">
        <w:rPr>
          <w:rFonts w:ascii="Calibri" w:hAnsi="Calibri" w:cs="Calibri"/>
          <w:sz w:val="24"/>
          <w:szCs w:val="24"/>
        </w:rPr>
        <w:t>sensitive practice through increased access to training.</w:t>
      </w:r>
    </w:p>
    <w:p w:rsidR="00BD5D4E" w:rsidRPr="003C414F" w:rsidRDefault="003C414F" w:rsidP="003C414F">
      <w:pPr>
        <w:pStyle w:val="Heading4"/>
        <w:rPr>
          <w:lang w:val="en-AU"/>
        </w:rPr>
      </w:pPr>
      <w:r>
        <w:t>Domestic and Family Violence</w:t>
      </w:r>
    </w:p>
    <w:p w:rsidR="00585FB0" w:rsidRDefault="00816CA3" w:rsidP="006C5565">
      <w:pPr>
        <w:rPr>
          <w:rFonts w:ascii="Calibri" w:hAnsi="Calibri" w:cs="Calibri"/>
          <w:sz w:val="24"/>
          <w:szCs w:val="24"/>
        </w:rPr>
      </w:pPr>
      <w:r w:rsidRPr="00816CA3">
        <w:rPr>
          <w:rFonts w:ascii="Calibri" w:hAnsi="Calibri" w:cs="Calibri"/>
          <w:sz w:val="24"/>
          <w:szCs w:val="24"/>
        </w:rPr>
        <w:t>The first phase of the evaluation of CRARMF was conducted. A total of 245 people from a range of agencies and organisations responded to a survey about the extent to which CRARMF was implemented in their policy and procedures and its impact on service delivery and interagency collaboration across the sector. The findings of the evaluation will inform a further 12 months’ planning</w:t>
      </w:r>
      <w:r>
        <w:rPr>
          <w:rFonts w:ascii="Calibri" w:hAnsi="Calibri" w:cs="Calibri"/>
          <w:sz w:val="24"/>
          <w:szCs w:val="24"/>
        </w:rPr>
        <w:t xml:space="preserve"> about CRARMF implementation.</w:t>
      </w:r>
    </w:p>
    <w:p w:rsidR="00585FB0" w:rsidRDefault="00585FB0" w:rsidP="006C5565">
      <w:pPr>
        <w:rPr>
          <w:rFonts w:ascii="Calibri" w:hAnsi="Calibri" w:cs="Calibri"/>
          <w:sz w:val="24"/>
          <w:szCs w:val="24"/>
        </w:rPr>
      </w:pPr>
    </w:p>
    <w:p w:rsidR="006C5565" w:rsidRPr="006C5565" w:rsidRDefault="006C5565" w:rsidP="006C5565">
      <w:pPr>
        <w:rPr>
          <w:rFonts w:ascii="Calibri" w:hAnsi="Calibri" w:cs="Calibri"/>
          <w:sz w:val="24"/>
          <w:szCs w:val="24"/>
        </w:rPr>
      </w:pPr>
      <w:r w:rsidRPr="006C5565">
        <w:rPr>
          <w:rFonts w:ascii="Calibri" w:hAnsi="Calibri" w:cs="Calibri"/>
          <w:sz w:val="24"/>
          <w:szCs w:val="24"/>
        </w:rPr>
        <w:t xml:space="preserve">To support the development of an evidence base for policy and program development in Western Australia, </w:t>
      </w:r>
      <w:r w:rsidR="009E62BB">
        <w:rPr>
          <w:rFonts w:ascii="Calibri" w:hAnsi="Calibri" w:cs="Calibri"/>
          <w:sz w:val="24"/>
          <w:szCs w:val="24"/>
        </w:rPr>
        <w:t xml:space="preserve">CPFS </w:t>
      </w:r>
      <w:r w:rsidRPr="006C5565">
        <w:rPr>
          <w:rFonts w:ascii="Calibri" w:hAnsi="Calibri" w:cs="Calibri"/>
          <w:sz w:val="24"/>
          <w:szCs w:val="24"/>
        </w:rPr>
        <w:t xml:space="preserve">convenes an </w:t>
      </w:r>
      <w:r w:rsidR="00B73E64" w:rsidRPr="006C5565">
        <w:rPr>
          <w:rFonts w:ascii="Calibri" w:hAnsi="Calibri" w:cs="Calibri"/>
          <w:sz w:val="24"/>
          <w:szCs w:val="24"/>
        </w:rPr>
        <w:t>across</w:t>
      </w:r>
      <w:r w:rsidR="00B73E64">
        <w:rPr>
          <w:rFonts w:ascii="Calibri" w:hAnsi="Calibri" w:cs="Calibri"/>
          <w:sz w:val="24"/>
          <w:szCs w:val="24"/>
        </w:rPr>
        <w:t>-</w:t>
      </w:r>
      <w:r w:rsidRPr="006C5565">
        <w:rPr>
          <w:rFonts w:ascii="Calibri" w:hAnsi="Calibri" w:cs="Calibri"/>
          <w:sz w:val="24"/>
          <w:szCs w:val="24"/>
        </w:rPr>
        <w:t>government Data Working Group</w:t>
      </w:r>
      <w:r w:rsidR="00816CA3">
        <w:rPr>
          <w:rFonts w:ascii="Calibri" w:hAnsi="Calibri" w:cs="Calibri"/>
          <w:sz w:val="24"/>
          <w:szCs w:val="24"/>
        </w:rPr>
        <w:t>,</w:t>
      </w:r>
      <w:r w:rsidR="007764A2">
        <w:rPr>
          <w:rFonts w:ascii="Calibri" w:hAnsi="Calibri" w:cs="Calibri"/>
          <w:sz w:val="24"/>
          <w:szCs w:val="24"/>
        </w:rPr>
        <w:t xml:space="preserve"> </w:t>
      </w:r>
      <w:r w:rsidR="00816CA3">
        <w:rPr>
          <w:rFonts w:ascii="Calibri" w:hAnsi="Calibri" w:cs="Calibri"/>
          <w:sz w:val="24"/>
          <w:szCs w:val="24"/>
        </w:rPr>
        <w:t>comprisi</w:t>
      </w:r>
      <w:r w:rsidR="00D402EC">
        <w:rPr>
          <w:rFonts w:ascii="Calibri" w:hAnsi="Calibri" w:cs="Calibri"/>
          <w:sz w:val="24"/>
          <w:szCs w:val="24"/>
        </w:rPr>
        <w:t>ng</w:t>
      </w:r>
      <w:r w:rsidR="00816CA3">
        <w:rPr>
          <w:rFonts w:ascii="Calibri" w:hAnsi="Calibri" w:cs="Calibri"/>
          <w:sz w:val="24"/>
          <w:szCs w:val="24"/>
        </w:rPr>
        <w:t xml:space="preserve"> </w:t>
      </w:r>
      <w:r w:rsidRPr="006C5565">
        <w:rPr>
          <w:rFonts w:ascii="Calibri" w:hAnsi="Calibri" w:cs="Calibri"/>
          <w:sz w:val="24"/>
          <w:szCs w:val="24"/>
        </w:rPr>
        <w:t>representatives from WA Police, Department of the Attorney General, Department of Corrective Services, Legal Aid, Department of Health and the Women’s Council for Domest</w:t>
      </w:r>
      <w:r w:rsidR="00F07E40">
        <w:rPr>
          <w:rFonts w:ascii="Calibri" w:hAnsi="Calibri" w:cs="Calibri"/>
          <w:sz w:val="24"/>
          <w:szCs w:val="24"/>
        </w:rPr>
        <w:t xml:space="preserve">ic and Family Violence Services. </w:t>
      </w:r>
      <w:r w:rsidR="00816CA3">
        <w:rPr>
          <w:rFonts w:ascii="Calibri" w:hAnsi="Calibri" w:cs="Calibri"/>
          <w:sz w:val="24"/>
          <w:szCs w:val="24"/>
        </w:rPr>
        <w:t>The Data Working Group</w:t>
      </w:r>
      <w:r w:rsidR="00816CA3" w:rsidRPr="006C5565">
        <w:rPr>
          <w:rFonts w:ascii="Calibri" w:hAnsi="Calibri" w:cs="Calibri"/>
          <w:sz w:val="24"/>
          <w:szCs w:val="24"/>
        </w:rPr>
        <w:t xml:space="preserve"> </w:t>
      </w:r>
      <w:r w:rsidRPr="006C5565">
        <w:rPr>
          <w:rFonts w:ascii="Calibri" w:hAnsi="Calibri" w:cs="Calibri"/>
          <w:sz w:val="24"/>
          <w:szCs w:val="24"/>
        </w:rPr>
        <w:t xml:space="preserve">contributes data against the state’s </w:t>
      </w:r>
      <w:r w:rsidR="00816CA3">
        <w:rPr>
          <w:rFonts w:ascii="Calibri" w:hAnsi="Calibri" w:cs="Calibri"/>
          <w:sz w:val="24"/>
          <w:szCs w:val="24"/>
        </w:rPr>
        <w:t>k</w:t>
      </w:r>
      <w:r w:rsidRPr="006C5565">
        <w:rPr>
          <w:rFonts w:ascii="Calibri" w:hAnsi="Calibri" w:cs="Calibri"/>
          <w:sz w:val="24"/>
          <w:szCs w:val="24"/>
        </w:rPr>
        <w:t xml:space="preserve">ey </w:t>
      </w:r>
      <w:r w:rsidR="00816CA3">
        <w:rPr>
          <w:rFonts w:ascii="Calibri" w:hAnsi="Calibri" w:cs="Calibri"/>
          <w:sz w:val="24"/>
          <w:szCs w:val="24"/>
        </w:rPr>
        <w:t>p</w:t>
      </w:r>
      <w:r w:rsidRPr="006C5565">
        <w:rPr>
          <w:rFonts w:ascii="Calibri" w:hAnsi="Calibri" w:cs="Calibri"/>
          <w:sz w:val="24"/>
          <w:szCs w:val="24"/>
        </w:rPr>
        <w:t xml:space="preserve">erformance </w:t>
      </w:r>
      <w:r w:rsidR="00816CA3">
        <w:rPr>
          <w:rFonts w:ascii="Calibri" w:hAnsi="Calibri" w:cs="Calibri"/>
          <w:sz w:val="24"/>
          <w:szCs w:val="24"/>
        </w:rPr>
        <w:t>i</w:t>
      </w:r>
      <w:r w:rsidRPr="006C5565">
        <w:rPr>
          <w:rFonts w:ascii="Calibri" w:hAnsi="Calibri" w:cs="Calibri"/>
          <w:sz w:val="24"/>
          <w:szCs w:val="24"/>
        </w:rPr>
        <w:t>ndicators for family and domestic violence</w:t>
      </w:r>
      <w:r w:rsidR="00816CA3">
        <w:rPr>
          <w:rFonts w:ascii="Calibri" w:hAnsi="Calibri" w:cs="Calibri"/>
          <w:sz w:val="24"/>
          <w:szCs w:val="24"/>
        </w:rPr>
        <w:t xml:space="preserve"> and</w:t>
      </w:r>
      <w:r w:rsidRPr="006C5565">
        <w:rPr>
          <w:rFonts w:ascii="Calibri" w:hAnsi="Calibri" w:cs="Calibri"/>
          <w:sz w:val="24"/>
          <w:szCs w:val="24"/>
        </w:rPr>
        <w:t xml:space="preserve"> looks at improving the capabilities of cur</w:t>
      </w:r>
      <w:r w:rsidR="00F206BB">
        <w:rPr>
          <w:rFonts w:ascii="Calibri" w:hAnsi="Calibri" w:cs="Calibri"/>
          <w:sz w:val="24"/>
          <w:szCs w:val="24"/>
        </w:rPr>
        <w:t xml:space="preserve">rent data systems to capture </w:t>
      </w:r>
      <w:r w:rsidR="00816CA3">
        <w:rPr>
          <w:rFonts w:ascii="Calibri" w:hAnsi="Calibri" w:cs="Calibri"/>
          <w:sz w:val="24"/>
          <w:szCs w:val="24"/>
        </w:rPr>
        <w:t>this</w:t>
      </w:r>
      <w:r w:rsidRPr="006C5565">
        <w:rPr>
          <w:rFonts w:ascii="Calibri" w:hAnsi="Calibri" w:cs="Calibri"/>
          <w:sz w:val="24"/>
          <w:szCs w:val="24"/>
        </w:rPr>
        <w:t xml:space="preserve"> information for future state and national planning and reporting.</w:t>
      </w:r>
    </w:p>
    <w:p w:rsidR="006C5565" w:rsidRPr="006C5565" w:rsidRDefault="006C5565" w:rsidP="006C5565">
      <w:pPr>
        <w:rPr>
          <w:rFonts w:ascii="Calibri" w:hAnsi="Calibri" w:cs="Calibri"/>
          <w:sz w:val="24"/>
          <w:szCs w:val="24"/>
        </w:rPr>
      </w:pPr>
    </w:p>
    <w:p w:rsidR="006C5565" w:rsidRPr="006C5565" w:rsidRDefault="006C5565" w:rsidP="006C5565">
      <w:pPr>
        <w:rPr>
          <w:rFonts w:ascii="Calibri" w:hAnsi="Calibri" w:cs="Calibri"/>
          <w:sz w:val="24"/>
          <w:szCs w:val="24"/>
        </w:rPr>
      </w:pPr>
      <w:r w:rsidRPr="006C5565">
        <w:rPr>
          <w:rFonts w:ascii="Calibri" w:hAnsi="Calibri" w:cs="Calibri"/>
          <w:sz w:val="24"/>
          <w:szCs w:val="24"/>
        </w:rPr>
        <w:t xml:space="preserve">The Family and Domestic Violence Fatality Review </w:t>
      </w:r>
      <w:proofErr w:type="gramStart"/>
      <w:r w:rsidRPr="006C5565">
        <w:rPr>
          <w:rFonts w:ascii="Calibri" w:hAnsi="Calibri" w:cs="Calibri"/>
          <w:sz w:val="24"/>
          <w:szCs w:val="24"/>
        </w:rPr>
        <w:t>was</w:t>
      </w:r>
      <w:proofErr w:type="gramEnd"/>
      <w:r w:rsidRPr="006C5565">
        <w:rPr>
          <w:rFonts w:ascii="Calibri" w:hAnsi="Calibri" w:cs="Calibri"/>
          <w:sz w:val="24"/>
          <w:szCs w:val="24"/>
        </w:rPr>
        <w:t xml:space="preserve"> established by the Ombudsman and commenced operation on 1 July 2013. The Review provides a process for reviewing family and domestic </w:t>
      </w:r>
      <w:r w:rsidR="00B73E64" w:rsidRPr="006C5565">
        <w:rPr>
          <w:rFonts w:ascii="Calibri" w:hAnsi="Calibri" w:cs="Calibri"/>
          <w:sz w:val="24"/>
          <w:szCs w:val="24"/>
        </w:rPr>
        <w:t>violence</w:t>
      </w:r>
      <w:r w:rsidR="00B73E64">
        <w:rPr>
          <w:rFonts w:ascii="Calibri" w:hAnsi="Calibri" w:cs="Calibri"/>
          <w:sz w:val="24"/>
          <w:szCs w:val="24"/>
        </w:rPr>
        <w:t>-</w:t>
      </w:r>
      <w:r w:rsidRPr="006C5565">
        <w:rPr>
          <w:rFonts w:ascii="Calibri" w:hAnsi="Calibri" w:cs="Calibri"/>
          <w:sz w:val="24"/>
          <w:szCs w:val="24"/>
        </w:rPr>
        <w:t>related deaths.</w:t>
      </w:r>
    </w:p>
    <w:p w:rsidR="006C5565" w:rsidRPr="006C5565" w:rsidRDefault="006C5565" w:rsidP="006C5565">
      <w:pPr>
        <w:rPr>
          <w:rFonts w:ascii="Calibri" w:hAnsi="Calibri" w:cs="Calibri"/>
          <w:sz w:val="24"/>
          <w:szCs w:val="24"/>
        </w:rPr>
      </w:pPr>
    </w:p>
    <w:p w:rsidR="006C5565" w:rsidRDefault="006C5565" w:rsidP="006C5565">
      <w:pPr>
        <w:rPr>
          <w:rFonts w:ascii="Calibri" w:hAnsi="Calibri" w:cs="Calibri"/>
          <w:sz w:val="24"/>
          <w:szCs w:val="24"/>
        </w:rPr>
      </w:pPr>
      <w:r w:rsidRPr="006C5565">
        <w:rPr>
          <w:rFonts w:ascii="Calibri" w:hAnsi="Calibri" w:cs="Calibri"/>
          <w:sz w:val="24"/>
          <w:szCs w:val="24"/>
        </w:rPr>
        <w:t xml:space="preserve">CPFS has worked in partnership with WA Police and domestic violence services to conduct research about the co-occurrence of domestic violence and Fly </w:t>
      </w:r>
      <w:proofErr w:type="gramStart"/>
      <w:r w:rsidRPr="006C5565">
        <w:rPr>
          <w:rFonts w:ascii="Calibri" w:hAnsi="Calibri" w:cs="Calibri"/>
          <w:sz w:val="24"/>
          <w:szCs w:val="24"/>
        </w:rPr>
        <w:t>In Fly Out</w:t>
      </w:r>
      <w:proofErr w:type="gramEnd"/>
      <w:r w:rsidRPr="006C5565">
        <w:rPr>
          <w:rFonts w:ascii="Calibri" w:hAnsi="Calibri" w:cs="Calibri"/>
          <w:sz w:val="24"/>
          <w:szCs w:val="24"/>
        </w:rPr>
        <w:t xml:space="preserve"> (FIFO) work patterns. The research sought to examine the incidence of family and domestic violence among families where one or both partners are involved in FIFO work and the challenges and/or opportunities of responding to domestic violence in this context.</w:t>
      </w:r>
    </w:p>
    <w:p w:rsidR="00FA3A21" w:rsidRDefault="00FA3A21" w:rsidP="00FA3A21">
      <w:pPr>
        <w:rPr>
          <w:rFonts w:ascii="Calibri" w:hAnsi="Calibri" w:cs="Calibri"/>
          <w:sz w:val="24"/>
          <w:szCs w:val="24"/>
        </w:rPr>
      </w:pPr>
    </w:p>
    <w:p w:rsidR="00FA3A21" w:rsidRPr="00FA3A21" w:rsidRDefault="00FA3A21" w:rsidP="00FA3A21">
      <w:pPr>
        <w:rPr>
          <w:rFonts w:ascii="Calibri" w:hAnsi="Calibri" w:cs="Calibri"/>
          <w:sz w:val="24"/>
          <w:szCs w:val="24"/>
        </w:rPr>
      </w:pPr>
      <w:r w:rsidRPr="00FA3A21">
        <w:rPr>
          <w:rFonts w:ascii="Calibri" w:hAnsi="Calibri" w:cs="Calibri"/>
          <w:sz w:val="24"/>
          <w:szCs w:val="24"/>
        </w:rPr>
        <w:t>In August 2012, CPFS released new family and domestic violence practice guidance for child protection workers. The practice guidance includes new policy, a background paper and procedures. It focuses on family and domestic violence screening and assessment, safety planning, perpetrator accountability and collaborative responses.</w:t>
      </w:r>
    </w:p>
    <w:p w:rsidR="00FA3A21" w:rsidRPr="00FA3A21" w:rsidRDefault="00FA3A21" w:rsidP="00FA3A21">
      <w:pPr>
        <w:rPr>
          <w:rFonts w:ascii="Calibri" w:hAnsi="Calibri" w:cs="Calibri"/>
          <w:sz w:val="24"/>
          <w:szCs w:val="24"/>
        </w:rPr>
      </w:pPr>
    </w:p>
    <w:p w:rsidR="00FA3A21" w:rsidRPr="00FA3A21" w:rsidRDefault="00FA3A21" w:rsidP="00FA3A21">
      <w:pPr>
        <w:rPr>
          <w:rFonts w:ascii="Calibri" w:hAnsi="Calibri" w:cs="Calibri"/>
          <w:sz w:val="24"/>
          <w:szCs w:val="24"/>
        </w:rPr>
      </w:pPr>
      <w:r w:rsidRPr="00FA3A21">
        <w:rPr>
          <w:rFonts w:ascii="Calibri" w:hAnsi="Calibri" w:cs="Calibri"/>
          <w:sz w:val="24"/>
          <w:szCs w:val="24"/>
        </w:rPr>
        <w:t xml:space="preserve">To support the introduction of practice guidance about engaging and responding to perpetrators of family and domestic violence, CPFS contracted No to Violence to develop the practice resource, </w:t>
      </w:r>
      <w:r w:rsidRPr="00003A32">
        <w:rPr>
          <w:rFonts w:ascii="Calibri" w:hAnsi="Calibri" w:cs="Calibri"/>
          <w:i/>
          <w:sz w:val="24"/>
          <w:szCs w:val="24"/>
        </w:rPr>
        <w:t>Perpetrator Accountability in Child Protection Practice: A resource for child protection workers about engaging and responding to men who perpetrate family and domestic violence</w:t>
      </w:r>
      <w:r w:rsidRPr="00FA3A21">
        <w:rPr>
          <w:rFonts w:ascii="Calibri" w:hAnsi="Calibri" w:cs="Calibri"/>
          <w:sz w:val="24"/>
          <w:szCs w:val="24"/>
        </w:rPr>
        <w:t>. Training to support implementation of the practice resource was delivered in five sites.</w:t>
      </w:r>
      <w:r w:rsidR="00A43557">
        <w:rPr>
          <w:rFonts w:ascii="Calibri" w:hAnsi="Calibri" w:cs="Calibri"/>
          <w:sz w:val="24"/>
          <w:szCs w:val="24"/>
        </w:rPr>
        <w:t xml:space="preserve"> </w:t>
      </w:r>
    </w:p>
    <w:p w:rsidR="00FA3A21" w:rsidRPr="00FA3A21" w:rsidRDefault="00FA3A21" w:rsidP="00FA3A21">
      <w:pPr>
        <w:rPr>
          <w:rFonts w:ascii="Calibri" w:hAnsi="Calibri" w:cs="Calibri"/>
          <w:sz w:val="24"/>
          <w:szCs w:val="24"/>
        </w:rPr>
      </w:pPr>
    </w:p>
    <w:p w:rsidR="00FA3A21" w:rsidRPr="00FA3A21" w:rsidRDefault="00FA3A21" w:rsidP="00FA3A21">
      <w:pPr>
        <w:rPr>
          <w:rFonts w:ascii="Calibri" w:hAnsi="Calibri" w:cs="Calibri"/>
          <w:sz w:val="24"/>
          <w:szCs w:val="24"/>
        </w:rPr>
      </w:pPr>
      <w:r w:rsidRPr="00FA3A21">
        <w:rPr>
          <w:rFonts w:ascii="Calibri" w:hAnsi="Calibri" w:cs="Calibri"/>
          <w:sz w:val="24"/>
          <w:szCs w:val="24"/>
        </w:rPr>
        <w:t>A family and domestic violence e-learning module was developed for CPFS staff. The e-learning module is compulsory for new staff enrolled in CPFS foundation training. A two-day, face-to-face training program about family and domestic violence and child protection responses was also developed.</w:t>
      </w:r>
    </w:p>
    <w:p w:rsidR="00FA3A21" w:rsidRPr="00FA3A21" w:rsidRDefault="00FA3A21" w:rsidP="00FA3A21">
      <w:pPr>
        <w:rPr>
          <w:rFonts w:ascii="Calibri" w:hAnsi="Calibri" w:cs="Calibri"/>
          <w:sz w:val="24"/>
          <w:szCs w:val="24"/>
        </w:rPr>
      </w:pPr>
    </w:p>
    <w:p w:rsidR="00FA3A21" w:rsidRPr="00FA3A21" w:rsidRDefault="00FA3A21" w:rsidP="00FA3A21">
      <w:pPr>
        <w:rPr>
          <w:rFonts w:ascii="Calibri" w:hAnsi="Calibri" w:cs="Calibri"/>
          <w:sz w:val="24"/>
          <w:szCs w:val="24"/>
        </w:rPr>
      </w:pPr>
      <w:r w:rsidRPr="00FA3A21">
        <w:rPr>
          <w:rFonts w:ascii="Calibri" w:hAnsi="Calibri" w:cs="Calibri"/>
          <w:sz w:val="24"/>
          <w:szCs w:val="24"/>
        </w:rPr>
        <w:t>FDVRT</w:t>
      </w:r>
      <w:r w:rsidR="002A38B6">
        <w:rPr>
          <w:rFonts w:ascii="Calibri" w:hAnsi="Calibri" w:cs="Calibri"/>
          <w:sz w:val="24"/>
          <w:szCs w:val="24"/>
        </w:rPr>
        <w:t>s</w:t>
      </w:r>
      <w:r w:rsidRPr="00FA3A21">
        <w:rPr>
          <w:rFonts w:ascii="Calibri" w:hAnsi="Calibri" w:cs="Calibri"/>
          <w:sz w:val="24"/>
          <w:szCs w:val="24"/>
        </w:rPr>
        <w:t xml:space="preserve"> were rolled out </w:t>
      </w:r>
      <w:proofErr w:type="spellStart"/>
      <w:r w:rsidRPr="00FA3A21">
        <w:rPr>
          <w:rFonts w:ascii="Calibri" w:hAnsi="Calibri" w:cs="Calibri"/>
          <w:sz w:val="24"/>
          <w:szCs w:val="24"/>
        </w:rPr>
        <w:t>statewide</w:t>
      </w:r>
      <w:proofErr w:type="spellEnd"/>
      <w:r w:rsidRPr="00FA3A21">
        <w:rPr>
          <w:rFonts w:ascii="Calibri" w:hAnsi="Calibri" w:cs="Calibri"/>
          <w:sz w:val="24"/>
          <w:szCs w:val="24"/>
        </w:rPr>
        <w:t xml:space="preserve"> in February 2013 and are operating in 17 regions across the state. FDVRT is a partnership between CPFS, WA Police and community sector domestic violence services to provide a coordinated response to families who have received a police call-out for domestic violence resulting in a Domestic Violence Incident Report. The FDVRT team members are co-located, jointly assess Domestic Violence Incident Reports and triage who is best placed to respond. For high-risk cases, the FDVRT coordinates multi-agency case management.</w:t>
      </w:r>
    </w:p>
    <w:p w:rsidR="00816CA3" w:rsidRDefault="00816CA3" w:rsidP="00FA3A21">
      <w:pPr>
        <w:rPr>
          <w:rFonts w:ascii="Calibri" w:hAnsi="Calibri" w:cs="Calibri"/>
          <w:sz w:val="24"/>
          <w:szCs w:val="24"/>
        </w:rPr>
      </w:pPr>
    </w:p>
    <w:p w:rsidR="00FA3A21" w:rsidRDefault="00816CA3" w:rsidP="00FA3A21">
      <w:pPr>
        <w:rPr>
          <w:rFonts w:ascii="Calibri" w:hAnsi="Calibri" w:cs="Calibri"/>
          <w:sz w:val="24"/>
          <w:szCs w:val="24"/>
        </w:rPr>
      </w:pPr>
      <w:r w:rsidRPr="00816CA3">
        <w:rPr>
          <w:rFonts w:ascii="Calibri" w:hAnsi="Calibri" w:cs="Calibri"/>
          <w:sz w:val="24"/>
          <w:szCs w:val="24"/>
        </w:rPr>
        <w:t>For high-risk cases of family and domestic violence, the FDVRT coordinates multi-agency case management through the inclusion of specialist services from dedicated community sector organisations. Guidelines to support these interagency responses are being developed.</w:t>
      </w:r>
    </w:p>
    <w:p w:rsidR="00585FB0" w:rsidRDefault="00585FB0" w:rsidP="00FA3A21">
      <w:pPr>
        <w:rPr>
          <w:rFonts w:ascii="Calibri" w:hAnsi="Calibri" w:cs="Calibri"/>
          <w:sz w:val="24"/>
          <w:szCs w:val="24"/>
        </w:rPr>
      </w:pPr>
    </w:p>
    <w:p w:rsidR="00FA3A21" w:rsidRPr="00FA3A21" w:rsidRDefault="00FA3A21" w:rsidP="00FA3A21">
      <w:pPr>
        <w:rPr>
          <w:rFonts w:ascii="Calibri" w:hAnsi="Calibri" w:cs="Calibri"/>
          <w:sz w:val="24"/>
          <w:szCs w:val="24"/>
        </w:rPr>
      </w:pPr>
      <w:r w:rsidRPr="00FA3A21">
        <w:rPr>
          <w:rFonts w:ascii="Calibri" w:hAnsi="Calibri" w:cs="Calibri"/>
          <w:sz w:val="24"/>
          <w:szCs w:val="24"/>
        </w:rPr>
        <w:t xml:space="preserve">CPFS and WA Police work in partnership to develop an interface between the respective agency databases, which will support the automatic population of WA Police Domestic Violence Incident Reports into </w:t>
      </w:r>
      <w:r w:rsidR="00816CA3">
        <w:rPr>
          <w:rFonts w:ascii="Calibri" w:hAnsi="Calibri" w:cs="Calibri"/>
          <w:sz w:val="24"/>
          <w:szCs w:val="24"/>
        </w:rPr>
        <w:t xml:space="preserve">the </w:t>
      </w:r>
      <w:r w:rsidRPr="00FA3A21">
        <w:rPr>
          <w:rFonts w:ascii="Calibri" w:hAnsi="Calibri" w:cs="Calibri"/>
          <w:sz w:val="24"/>
          <w:szCs w:val="24"/>
        </w:rPr>
        <w:t xml:space="preserve">CPFS database. </w:t>
      </w:r>
    </w:p>
    <w:p w:rsidR="00FA3A21" w:rsidRPr="00FA3A21" w:rsidRDefault="00FA3A21" w:rsidP="00FA3A21">
      <w:pPr>
        <w:rPr>
          <w:rFonts w:ascii="Calibri" w:hAnsi="Calibri" w:cs="Calibri"/>
          <w:sz w:val="24"/>
          <w:szCs w:val="24"/>
        </w:rPr>
      </w:pPr>
    </w:p>
    <w:p w:rsidR="00FA3A21" w:rsidRPr="00FA3A21" w:rsidRDefault="00FA3A21" w:rsidP="00FA3A21">
      <w:pPr>
        <w:rPr>
          <w:rFonts w:ascii="Calibri" w:hAnsi="Calibri" w:cs="Calibri"/>
          <w:sz w:val="24"/>
          <w:szCs w:val="24"/>
        </w:rPr>
      </w:pPr>
      <w:r w:rsidRPr="00FA3A21">
        <w:rPr>
          <w:rFonts w:ascii="Calibri" w:hAnsi="Calibri" w:cs="Calibri"/>
          <w:sz w:val="24"/>
          <w:szCs w:val="24"/>
        </w:rPr>
        <w:t xml:space="preserve">A </w:t>
      </w:r>
      <w:r w:rsidR="00816CA3">
        <w:rPr>
          <w:rFonts w:ascii="Calibri" w:hAnsi="Calibri" w:cs="Calibri"/>
          <w:sz w:val="24"/>
          <w:szCs w:val="24"/>
        </w:rPr>
        <w:t>t</w:t>
      </w:r>
      <w:r w:rsidR="00816CA3" w:rsidRPr="00FA3A21">
        <w:rPr>
          <w:rFonts w:ascii="Calibri" w:hAnsi="Calibri" w:cs="Calibri"/>
          <w:sz w:val="24"/>
          <w:szCs w:val="24"/>
        </w:rPr>
        <w:t xml:space="preserve">ripartite </w:t>
      </w:r>
      <w:r w:rsidR="007477FC">
        <w:rPr>
          <w:rFonts w:ascii="Calibri" w:hAnsi="Calibri" w:cs="Calibri"/>
          <w:sz w:val="24"/>
          <w:szCs w:val="24"/>
        </w:rPr>
        <w:t>S</w:t>
      </w:r>
      <w:r w:rsidRPr="00FA3A21">
        <w:rPr>
          <w:rFonts w:ascii="Calibri" w:hAnsi="Calibri" w:cs="Calibri"/>
          <w:sz w:val="24"/>
          <w:szCs w:val="24"/>
        </w:rPr>
        <w:t>chedule between CPFS, Department of Corrective Services and WA Police was developed to support information sharing and collaborative case management of serious domestic violence offenders.</w:t>
      </w:r>
    </w:p>
    <w:p w:rsidR="00FA3A21" w:rsidRPr="00FA3A21" w:rsidRDefault="00FA3A21" w:rsidP="00FA3A21">
      <w:pPr>
        <w:rPr>
          <w:rFonts w:ascii="Calibri" w:hAnsi="Calibri" w:cs="Calibri"/>
          <w:sz w:val="24"/>
          <w:szCs w:val="24"/>
        </w:rPr>
      </w:pPr>
    </w:p>
    <w:p w:rsidR="00FA3A21" w:rsidRDefault="00FA3A21" w:rsidP="00FA3A21">
      <w:pPr>
        <w:rPr>
          <w:rFonts w:ascii="Calibri" w:hAnsi="Calibri" w:cs="Calibri"/>
          <w:sz w:val="24"/>
          <w:szCs w:val="24"/>
        </w:rPr>
      </w:pPr>
      <w:r w:rsidRPr="00FA3A21">
        <w:rPr>
          <w:rFonts w:ascii="Calibri" w:hAnsi="Calibri" w:cs="Calibri"/>
          <w:sz w:val="24"/>
          <w:szCs w:val="24"/>
        </w:rPr>
        <w:t>Changes made to the Department of Corrective Services Victim Notification Register allowed CPFS and WA Police to register victims of domestic violence, irrespective of whether the victim elects to do so. This enables the registering agency to be notified in advance of the offender’s release from prison.</w:t>
      </w:r>
    </w:p>
    <w:p w:rsidR="006C5565" w:rsidRPr="003C414F" w:rsidRDefault="003C414F" w:rsidP="003C414F">
      <w:pPr>
        <w:pStyle w:val="Heading4"/>
        <w:rPr>
          <w:lang w:val="en-AU"/>
        </w:rPr>
      </w:pPr>
      <w:r>
        <w:t>Health and Mental Health</w:t>
      </w:r>
    </w:p>
    <w:p w:rsidR="006C5565" w:rsidRPr="006C5565" w:rsidRDefault="00463933" w:rsidP="006C5565">
      <w:pPr>
        <w:rPr>
          <w:rFonts w:ascii="Calibri" w:hAnsi="Calibri" w:cs="Calibri"/>
          <w:sz w:val="24"/>
          <w:szCs w:val="24"/>
        </w:rPr>
      </w:pPr>
      <w:r>
        <w:rPr>
          <w:rFonts w:ascii="Calibri" w:hAnsi="Calibri" w:cs="Calibri"/>
          <w:sz w:val="24"/>
          <w:szCs w:val="24"/>
        </w:rPr>
        <w:t xml:space="preserve">Consultation and liaison positions within </w:t>
      </w:r>
      <w:r w:rsidR="006C5565" w:rsidRPr="006C5565">
        <w:rPr>
          <w:rFonts w:ascii="Calibri" w:hAnsi="Calibri" w:cs="Calibri"/>
          <w:sz w:val="24"/>
          <w:szCs w:val="24"/>
        </w:rPr>
        <w:t xml:space="preserve">CAMHS promote and support the ongoing relationship between CAMHS and </w:t>
      </w:r>
      <w:r w:rsidR="00F206BB">
        <w:rPr>
          <w:rFonts w:ascii="Calibri" w:hAnsi="Calibri" w:cs="Calibri"/>
          <w:sz w:val="24"/>
          <w:szCs w:val="24"/>
        </w:rPr>
        <w:t>CPFS</w:t>
      </w:r>
      <w:r w:rsidR="006C5565" w:rsidRPr="006C5565">
        <w:rPr>
          <w:rFonts w:ascii="Calibri" w:hAnsi="Calibri" w:cs="Calibri"/>
          <w:sz w:val="24"/>
          <w:szCs w:val="24"/>
        </w:rPr>
        <w:t xml:space="preserve"> in order to improve access to intervention services.</w:t>
      </w:r>
    </w:p>
    <w:p w:rsidR="00D402EC" w:rsidRDefault="00D402EC" w:rsidP="006C5565">
      <w:pPr>
        <w:rPr>
          <w:rFonts w:ascii="Calibri" w:hAnsi="Calibri" w:cs="Calibri"/>
          <w:sz w:val="24"/>
          <w:szCs w:val="24"/>
        </w:rPr>
      </w:pPr>
    </w:p>
    <w:p w:rsidR="006C5565" w:rsidRDefault="00D402EC" w:rsidP="006C5565">
      <w:pPr>
        <w:rPr>
          <w:rFonts w:ascii="Calibri" w:hAnsi="Calibri" w:cs="Calibri"/>
          <w:sz w:val="24"/>
          <w:szCs w:val="24"/>
        </w:rPr>
      </w:pPr>
      <w:r w:rsidRPr="00D402EC">
        <w:rPr>
          <w:rFonts w:ascii="Calibri" w:hAnsi="Calibri" w:cs="Calibri"/>
          <w:sz w:val="24"/>
          <w:szCs w:val="24"/>
        </w:rPr>
        <w:t>CAMHS and CPFS meet regularly to promote access to services for children and young people in out-of-home care.</w:t>
      </w:r>
    </w:p>
    <w:p w:rsidR="00D402EC" w:rsidRPr="006C5565" w:rsidRDefault="00D402EC" w:rsidP="006C5565">
      <w:pPr>
        <w:rPr>
          <w:rFonts w:ascii="Calibri" w:hAnsi="Calibri" w:cs="Calibri"/>
          <w:sz w:val="24"/>
          <w:szCs w:val="24"/>
        </w:rPr>
      </w:pPr>
    </w:p>
    <w:p w:rsidR="006C5565" w:rsidRPr="006C5565" w:rsidRDefault="006C5565" w:rsidP="006C5565">
      <w:pPr>
        <w:rPr>
          <w:rFonts w:ascii="Calibri" w:hAnsi="Calibri" w:cs="Calibri"/>
          <w:sz w:val="24"/>
          <w:szCs w:val="24"/>
        </w:rPr>
      </w:pPr>
      <w:r w:rsidRPr="006C5565">
        <w:rPr>
          <w:rFonts w:ascii="Calibri" w:hAnsi="Calibri" w:cs="Calibri"/>
          <w:sz w:val="24"/>
          <w:szCs w:val="24"/>
        </w:rPr>
        <w:t>CPFS, in collaboration with the Department of Health, continue</w:t>
      </w:r>
      <w:r w:rsidR="00B01B35">
        <w:rPr>
          <w:rFonts w:ascii="Calibri" w:hAnsi="Calibri" w:cs="Calibri"/>
          <w:sz w:val="24"/>
          <w:szCs w:val="24"/>
        </w:rPr>
        <w:t>s</w:t>
      </w:r>
      <w:r w:rsidRPr="006C5565">
        <w:rPr>
          <w:rFonts w:ascii="Calibri" w:hAnsi="Calibri" w:cs="Calibri"/>
          <w:sz w:val="24"/>
          <w:szCs w:val="24"/>
        </w:rPr>
        <w:t xml:space="preserve"> to embed the Health Care Planning for Children in Care pathway into case practice so that children receive regular health and development checks, and health plans are developed.</w:t>
      </w:r>
      <w:r w:rsidR="007764A2">
        <w:rPr>
          <w:rFonts w:ascii="Calibri" w:hAnsi="Calibri" w:cs="Calibri"/>
          <w:sz w:val="24"/>
          <w:szCs w:val="24"/>
        </w:rPr>
        <w:t xml:space="preserve"> </w:t>
      </w:r>
      <w:r w:rsidRPr="006C5565">
        <w:rPr>
          <w:rFonts w:ascii="Calibri" w:hAnsi="Calibri" w:cs="Calibri"/>
          <w:sz w:val="24"/>
          <w:szCs w:val="24"/>
        </w:rPr>
        <w:t>One of the pathway processes is an annual screening of children’s psychosocial health.</w:t>
      </w:r>
      <w:r w:rsidR="007764A2">
        <w:rPr>
          <w:rFonts w:ascii="Calibri" w:hAnsi="Calibri" w:cs="Calibri"/>
          <w:sz w:val="24"/>
          <w:szCs w:val="24"/>
        </w:rPr>
        <w:t xml:space="preserve"> </w:t>
      </w:r>
      <w:r w:rsidRPr="006C5565">
        <w:rPr>
          <w:rFonts w:ascii="Calibri" w:hAnsi="Calibri" w:cs="Calibri"/>
          <w:sz w:val="24"/>
          <w:szCs w:val="24"/>
        </w:rPr>
        <w:t xml:space="preserve">Children in care have a </w:t>
      </w:r>
      <w:r w:rsidR="004D1133">
        <w:rPr>
          <w:rFonts w:ascii="Calibri" w:hAnsi="Calibri" w:cs="Calibri"/>
          <w:sz w:val="24"/>
          <w:szCs w:val="24"/>
        </w:rPr>
        <w:t>Child Health Passport</w:t>
      </w:r>
      <w:r w:rsidRPr="006C5565">
        <w:rPr>
          <w:rFonts w:ascii="Calibri" w:hAnsi="Calibri" w:cs="Calibri"/>
          <w:sz w:val="24"/>
          <w:szCs w:val="24"/>
        </w:rPr>
        <w:t xml:space="preserve"> that records their health history, including immunisations</w:t>
      </w:r>
      <w:r w:rsidR="00F059B4">
        <w:rPr>
          <w:rFonts w:ascii="Calibri" w:hAnsi="Calibri" w:cs="Calibri"/>
          <w:sz w:val="24"/>
          <w:szCs w:val="24"/>
        </w:rPr>
        <w:t>,</w:t>
      </w:r>
      <w:r w:rsidRPr="006C5565">
        <w:rPr>
          <w:rFonts w:ascii="Calibri" w:hAnsi="Calibri" w:cs="Calibri"/>
          <w:sz w:val="24"/>
          <w:szCs w:val="24"/>
        </w:rPr>
        <w:t xml:space="preserve"> and </w:t>
      </w:r>
      <w:r w:rsidR="00B01B35">
        <w:rPr>
          <w:rFonts w:ascii="Calibri" w:hAnsi="Calibri" w:cs="Calibri"/>
          <w:sz w:val="24"/>
          <w:szCs w:val="24"/>
        </w:rPr>
        <w:t xml:space="preserve">this </w:t>
      </w:r>
      <w:r w:rsidRPr="006C5565">
        <w:rPr>
          <w:rFonts w:ascii="Calibri" w:hAnsi="Calibri" w:cs="Calibri"/>
          <w:sz w:val="24"/>
          <w:szCs w:val="24"/>
        </w:rPr>
        <w:t xml:space="preserve">is given to the child or young person when </w:t>
      </w:r>
      <w:r w:rsidR="00F059B4">
        <w:rPr>
          <w:rFonts w:ascii="Calibri" w:hAnsi="Calibri" w:cs="Calibri"/>
          <w:sz w:val="24"/>
          <w:szCs w:val="24"/>
        </w:rPr>
        <w:t>he or she</w:t>
      </w:r>
      <w:r w:rsidR="00F059B4" w:rsidRPr="006C5565">
        <w:rPr>
          <w:rFonts w:ascii="Calibri" w:hAnsi="Calibri" w:cs="Calibri"/>
          <w:sz w:val="24"/>
          <w:szCs w:val="24"/>
        </w:rPr>
        <w:t xml:space="preserve"> </w:t>
      </w:r>
      <w:r w:rsidRPr="006C5565">
        <w:rPr>
          <w:rFonts w:ascii="Calibri" w:hAnsi="Calibri" w:cs="Calibri"/>
          <w:sz w:val="24"/>
          <w:szCs w:val="24"/>
        </w:rPr>
        <w:t>leave</w:t>
      </w:r>
      <w:r w:rsidR="00F059B4">
        <w:rPr>
          <w:rFonts w:ascii="Calibri" w:hAnsi="Calibri" w:cs="Calibri"/>
          <w:sz w:val="24"/>
          <w:szCs w:val="24"/>
        </w:rPr>
        <w:t>s</w:t>
      </w:r>
      <w:r w:rsidRPr="006C5565">
        <w:rPr>
          <w:rFonts w:ascii="Calibri" w:hAnsi="Calibri" w:cs="Calibri"/>
          <w:sz w:val="24"/>
          <w:szCs w:val="24"/>
        </w:rPr>
        <w:t xml:space="preserve"> care.</w:t>
      </w:r>
      <w:r w:rsidR="007764A2">
        <w:rPr>
          <w:rFonts w:ascii="Calibri" w:hAnsi="Calibri" w:cs="Calibri"/>
          <w:sz w:val="24"/>
          <w:szCs w:val="24"/>
        </w:rPr>
        <w:t xml:space="preserve"> </w:t>
      </w:r>
      <w:r w:rsidRPr="006C5565">
        <w:rPr>
          <w:rFonts w:ascii="Calibri" w:hAnsi="Calibri" w:cs="Calibri"/>
          <w:sz w:val="24"/>
          <w:szCs w:val="24"/>
        </w:rPr>
        <w:t>Both departments are also involved in establishing a key contact working group to respond to issues impacting on referrals for children in care</w:t>
      </w:r>
      <w:r w:rsidR="00F059B4">
        <w:rPr>
          <w:rFonts w:ascii="Calibri" w:hAnsi="Calibri" w:cs="Calibri"/>
          <w:sz w:val="24"/>
          <w:szCs w:val="24"/>
        </w:rPr>
        <w:t>—</w:t>
      </w:r>
      <w:r w:rsidRPr="006C5565">
        <w:rPr>
          <w:rFonts w:ascii="Calibri" w:hAnsi="Calibri" w:cs="Calibri"/>
          <w:sz w:val="24"/>
          <w:szCs w:val="24"/>
        </w:rPr>
        <w:t>in particular, priority access to mental health services.</w:t>
      </w:r>
      <w:r w:rsidR="007764A2">
        <w:rPr>
          <w:rFonts w:ascii="Calibri" w:hAnsi="Calibri" w:cs="Calibri"/>
          <w:sz w:val="24"/>
          <w:szCs w:val="24"/>
        </w:rPr>
        <w:t xml:space="preserve"> </w:t>
      </w:r>
    </w:p>
    <w:p w:rsidR="006C5565" w:rsidRPr="006C5565" w:rsidRDefault="006C5565" w:rsidP="006C5565">
      <w:pPr>
        <w:rPr>
          <w:rFonts w:ascii="Calibri" w:hAnsi="Calibri" w:cs="Calibri"/>
          <w:sz w:val="24"/>
          <w:szCs w:val="24"/>
        </w:rPr>
      </w:pPr>
    </w:p>
    <w:p w:rsidR="006C5565" w:rsidRDefault="00F206BB" w:rsidP="006C5565">
      <w:pPr>
        <w:rPr>
          <w:rFonts w:ascii="Calibri" w:hAnsi="Calibri" w:cs="Calibri"/>
          <w:sz w:val="24"/>
          <w:szCs w:val="24"/>
        </w:rPr>
      </w:pPr>
      <w:proofErr w:type="gramStart"/>
      <w:r>
        <w:rPr>
          <w:rFonts w:ascii="Calibri" w:hAnsi="Calibri" w:cs="Calibri"/>
          <w:sz w:val="24"/>
          <w:szCs w:val="24"/>
        </w:rPr>
        <w:t>Locally based ‘Children at Risk Committees’</w:t>
      </w:r>
      <w:r w:rsidR="006C5565" w:rsidRPr="006C5565">
        <w:rPr>
          <w:rFonts w:ascii="Calibri" w:hAnsi="Calibri" w:cs="Calibri"/>
          <w:sz w:val="24"/>
          <w:szCs w:val="24"/>
        </w:rPr>
        <w:t xml:space="preserve"> have commenced in </w:t>
      </w:r>
      <w:r w:rsidR="00F059B4">
        <w:rPr>
          <w:rFonts w:ascii="Calibri" w:hAnsi="Calibri" w:cs="Calibri"/>
          <w:sz w:val="24"/>
          <w:szCs w:val="24"/>
        </w:rPr>
        <w:t xml:space="preserve">the </w:t>
      </w:r>
      <w:r w:rsidR="006C5565" w:rsidRPr="006C5565">
        <w:rPr>
          <w:rFonts w:ascii="Calibri" w:hAnsi="Calibri" w:cs="Calibri"/>
          <w:sz w:val="24"/>
          <w:szCs w:val="24"/>
        </w:rPr>
        <w:t>rural and remote towns of Leonora and Laverton.</w:t>
      </w:r>
      <w:proofErr w:type="gramEnd"/>
      <w:r w:rsidR="007764A2">
        <w:rPr>
          <w:rFonts w:ascii="Calibri" w:hAnsi="Calibri" w:cs="Calibri"/>
          <w:sz w:val="24"/>
          <w:szCs w:val="24"/>
        </w:rPr>
        <w:t xml:space="preserve"> </w:t>
      </w:r>
      <w:r w:rsidR="00457E8B">
        <w:rPr>
          <w:rFonts w:ascii="Calibri" w:hAnsi="Calibri" w:cs="Calibri"/>
          <w:sz w:val="24"/>
          <w:szCs w:val="24"/>
        </w:rPr>
        <w:t>T</w:t>
      </w:r>
      <w:r w:rsidR="006C5565" w:rsidRPr="006C5565">
        <w:rPr>
          <w:rFonts w:ascii="Calibri" w:hAnsi="Calibri" w:cs="Calibri"/>
          <w:sz w:val="24"/>
          <w:szCs w:val="24"/>
        </w:rPr>
        <w:t>hese committees</w:t>
      </w:r>
      <w:r w:rsidR="009E62BB">
        <w:rPr>
          <w:rFonts w:ascii="Calibri" w:hAnsi="Calibri" w:cs="Calibri"/>
          <w:sz w:val="24"/>
          <w:szCs w:val="24"/>
        </w:rPr>
        <w:t xml:space="preserve"> </w:t>
      </w:r>
      <w:r w:rsidR="006C5565" w:rsidRPr="006C5565">
        <w:rPr>
          <w:rFonts w:ascii="Calibri" w:hAnsi="Calibri" w:cs="Calibri"/>
          <w:sz w:val="24"/>
          <w:szCs w:val="24"/>
        </w:rPr>
        <w:t>are implementing a health and wellbeing assessment strategy for all children identified as ‘at risk’.</w:t>
      </w:r>
    </w:p>
    <w:p w:rsidR="00543FB7" w:rsidRPr="003C414F" w:rsidRDefault="003C414F" w:rsidP="003C414F">
      <w:pPr>
        <w:pStyle w:val="Heading4"/>
        <w:rPr>
          <w:lang w:val="en-AU"/>
        </w:rPr>
      </w:pPr>
      <w:r>
        <w:t>Disability</w:t>
      </w:r>
    </w:p>
    <w:p w:rsidR="006C5565" w:rsidRDefault="00F206BB" w:rsidP="006C5565">
      <w:pPr>
        <w:rPr>
          <w:rFonts w:ascii="Calibri" w:hAnsi="Calibri" w:cs="Calibri"/>
          <w:sz w:val="24"/>
          <w:szCs w:val="24"/>
        </w:rPr>
      </w:pPr>
      <w:r>
        <w:rPr>
          <w:rFonts w:ascii="Calibri" w:hAnsi="Calibri" w:cs="Calibri"/>
          <w:sz w:val="24"/>
          <w:szCs w:val="24"/>
        </w:rPr>
        <w:t>CPFS</w:t>
      </w:r>
      <w:r w:rsidR="00CD553B" w:rsidRPr="00CD553B">
        <w:rPr>
          <w:rFonts w:ascii="Calibri" w:hAnsi="Calibri" w:cs="Calibri"/>
          <w:sz w:val="24"/>
          <w:szCs w:val="24"/>
        </w:rPr>
        <w:t xml:space="preserve"> is the lead agency for the Young People with Exceptionally Complex Needs (YPECN) program</w:t>
      </w:r>
      <w:r>
        <w:rPr>
          <w:rFonts w:ascii="Calibri" w:hAnsi="Calibri" w:cs="Calibri"/>
          <w:sz w:val="24"/>
          <w:szCs w:val="24"/>
        </w:rPr>
        <w:t>, which provides</w:t>
      </w:r>
      <w:r w:rsidR="00CD553B" w:rsidRPr="00CD553B">
        <w:rPr>
          <w:rFonts w:ascii="Calibri" w:hAnsi="Calibri" w:cs="Calibri"/>
          <w:sz w:val="24"/>
          <w:szCs w:val="24"/>
        </w:rPr>
        <w:t xml:space="preserve"> a coordinated interagency service delivery response to improve the outcomes for young people with exceptionally complex needs, particularly in relation to coordination and access to services. The </w:t>
      </w:r>
      <w:r w:rsidR="004E0055">
        <w:rPr>
          <w:rFonts w:ascii="Calibri" w:hAnsi="Calibri" w:cs="Calibri"/>
          <w:sz w:val="24"/>
          <w:szCs w:val="24"/>
        </w:rPr>
        <w:t>d</w:t>
      </w:r>
      <w:r w:rsidR="004E0055" w:rsidRPr="00CD553B">
        <w:rPr>
          <w:rFonts w:ascii="Calibri" w:hAnsi="Calibri" w:cs="Calibri"/>
          <w:sz w:val="24"/>
          <w:szCs w:val="24"/>
        </w:rPr>
        <w:t xml:space="preserve">epartment </w:t>
      </w:r>
      <w:r w:rsidR="00CD553B" w:rsidRPr="00CD553B">
        <w:rPr>
          <w:rFonts w:ascii="Calibri" w:hAnsi="Calibri" w:cs="Calibri"/>
          <w:sz w:val="24"/>
          <w:szCs w:val="24"/>
        </w:rPr>
        <w:t xml:space="preserve">provides a </w:t>
      </w:r>
      <w:r w:rsidR="006A2889" w:rsidRPr="00CD553B">
        <w:rPr>
          <w:rFonts w:ascii="Calibri" w:hAnsi="Calibri" w:cs="Calibri"/>
          <w:sz w:val="24"/>
          <w:szCs w:val="24"/>
        </w:rPr>
        <w:t>full</w:t>
      </w:r>
      <w:r w:rsidR="006A2889">
        <w:rPr>
          <w:rFonts w:ascii="Calibri" w:hAnsi="Calibri" w:cs="Calibri"/>
          <w:sz w:val="24"/>
          <w:szCs w:val="24"/>
        </w:rPr>
        <w:t>-</w:t>
      </w:r>
      <w:r w:rsidR="00CD553B" w:rsidRPr="00CD553B">
        <w:rPr>
          <w:rFonts w:ascii="Calibri" w:hAnsi="Calibri" w:cs="Calibri"/>
          <w:sz w:val="24"/>
          <w:szCs w:val="24"/>
        </w:rPr>
        <w:t>time coordinator for the program</w:t>
      </w:r>
      <w:r w:rsidR="009F7BE0">
        <w:rPr>
          <w:rFonts w:ascii="Calibri" w:hAnsi="Calibri" w:cs="Calibri"/>
          <w:sz w:val="24"/>
          <w:szCs w:val="24"/>
        </w:rPr>
        <w:t>, which is</w:t>
      </w:r>
      <w:r w:rsidR="00CD553B" w:rsidRPr="00CD553B">
        <w:rPr>
          <w:rFonts w:ascii="Calibri" w:hAnsi="Calibri" w:cs="Calibri"/>
          <w:sz w:val="24"/>
          <w:szCs w:val="24"/>
        </w:rPr>
        <w:t xml:space="preserve"> targeted </w:t>
      </w:r>
      <w:r w:rsidR="006C6346">
        <w:rPr>
          <w:rFonts w:ascii="Calibri" w:hAnsi="Calibri" w:cs="Calibri"/>
          <w:sz w:val="24"/>
          <w:szCs w:val="24"/>
        </w:rPr>
        <w:t>to</w:t>
      </w:r>
      <w:r w:rsidR="00CD553B" w:rsidRPr="00CD553B">
        <w:rPr>
          <w:rFonts w:ascii="Calibri" w:hAnsi="Calibri" w:cs="Calibri"/>
          <w:sz w:val="24"/>
          <w:szCs w:val="24"/>
        </w:rPr>
        <w:t xml:space="preserve"> young people in their mid-teens approaching leaving care. Funding for the program is shared equally between CPFS, </w:t>
      </w:r>
      <w:r w:rsidR="007B6B31">
        <w:rPr>
          <w:rFonts w:ascii="Calibri" w:hAnsi="Calibri" w:cs="Calibri"/>
          <w:sz w:val="24"/>
          <w:szCs w:val="24"/>
        </w:rPr>
        <w:t xml:space="preserve">the </w:t>
      </w:r>
      <w:r w:rsidR="00CD553B" w:rsidRPr="00CD553B">
        <w:rPr>
          <w:rFonts w:ascii="Calibri" w:hAnsi="Calibri" w:cs="Calibri"/>
          <w:sz w:val="24"/>
          <w:szCs w:val="24"/>
        </w:rPr>
        <w:t>Disability Services Commission and the Mental Health Commission.</w:t>
      </w:r>
      <w:r w:rsidR="007764A2">
        <w:rPr>
          <w:rFonts w:ascii="Calibri" w:hAnsi="Calibri" w:cs="Calibri"/>
          <w:sz w:val="24"/>
          <w:szCs w:val="24"/>
        </w:rPr>
        <w:t xml:space="preserve"> </w:t>
      </w:r>
    </w:p>
    <w:p w:rsidR="00CD553B" w:rsidRDefault="00CD553B" w:rsidP="006C5565">
      <w:pPr>
        <w:rPr>
          <w:rFonts w:ascii="Calibri" w:hAnsi="Calibri" w:cs="Calibri"/>
          <w:sz w:val="24"/>
          <w:szCs w:val="24"/>
        </w:rPr>
      </w:pPr>
    </w:p>
    <w:p w:rsidR="00CD553B" w:rsidRDefault="00CD553B" w:rsidP="006C5565">
      <w:pPr>
        <w:rPr>
          <w:rFonts w:ascii="Calibri" w:hAnsi="Calibri" w:cs="Calibri"/>
          <w:sz w:val="24"/>
          <w:szCs w:val="24"/>
        </w:rPr>
      </w:pPr>
      <w:r w:rsidRPr="00CD553B">
        <w:rPr>
          <w:rFonts w:ascii="Calibri" w:hAnsi="Calibri" w:cs="Calibri"/>
          <w:sz w:val="24"/>
          <w:szCs w:val="24"/>
        </w:rPr>
        <w:t>CPFS and the Disability Services Commission have a</w:t>
      </w:r>
      <w:r w:rsidR="00883B4C">
        <w:rPr>
          <w:rFonts w:ascii="Calibri" w:hAnsi="Calibri" w:cs="Calibri"/>
          <w:sz w:val="24"/>
          <w:szCs w:val="24"/>
        </w:rPr>
        <w:t>n</w:t>
      </w:r>
      <w:r w:rsidRPr="00CD553B">
        <w:rPr>
          <w:rFonts w:ascii="Calibri" w:hAnsi="Calibri" w:cs="Calibri"/>
          <w:sz w:val="24"/>
          <w:szCs w:val="24"/>
        </w:rPr>
        <w:t xml:space="preserve"> </w:t>
      </w:r>
      <w:r w:rsidR="00883B4C">
        <w:rPr>
          <w:rFonts w:ascii="Calibri" w:hAnsi="Calibri" w:cs="Calibri"/>
          <w:sz w:val="24"/>
          <w:szCs w:val="24"/>
        </w:rPr>
        <w:t>MOU</w:t>
      </w:r>
      <w:r w:rsidRPr="00CD553B">
        <w:rPr>
          <w:rFonts w:ascii="Calibri" w:hAnsi="Calibri" w:cs="Calibri"/>
          <w:sz w:val="24"/>
          <w:szCs w:val="24"/>
        </w:rPr>
        <w:t xml:space="preserve"> which aims to improve the development and delivery of services to children and parents with disability where there are child protection concerns.</w:t>
      </w:r>
      <w:r w:rsidR="007764A2">
        <w:rPr>
          <w:rFonts w:ascii="Calibri" w:hAnsi="Calibri" w:cs="Calibri"/>
          <w:sz w:val="24"/>
          <w:szCs w:val="24"/>
        </w:rPr>
        <w:t xml:space="preserve"> </w:t>
      </w:r>
    </w:p>
    <w:p w:rsidR="006A3BF0" w:rsidRPr="00932117" w:rsidRDefault="006A3BF0" w:rsidP="003C414F">
      <w:pPr>
        <w:pStyle w:val="Heading4"/>
      </w:pPr>
      <w:r w:rsidRPr="006A3BF0">
        <w:t>Other Supporting Act</w:t>
      </w:r>
      <w:r>
        <w:t>io</w:t>
      </w:r>
      <w:r w:rsidRPr="00932117">
        <w:t>ns</w:t>
      </w:r>
    </w:p>
    <w:p w:rsidR="00CD553B" w:rsidRPr="00CD553B" w:rsidRDefault="00CD553B" w:rsidP="00CD553B">
      <w:pPr>
        <w:rPr>
          <w:rFonts w:ascii="Calibri" w:hAnsi="Calibri" w:cs="Calibri"/>
          <w:sz w:val="24"/>
          <w:szCs w:val="24"/>
        </w:rPr>
      </w:pPr>
      <w:r w:rsidRPr="00CD553B">
        <w:rPr>
          <w:rFonts w:ascii="Calibri" w:hAnsi="Calibri" w:cs="Calibri"/>
          <w:sz w:val="24"/>
          <w:szCs w:val="24"/>
        </w:rPr>
        <w:t>CPFS worked with the Department of Housing and the WA Police in supporting and assisting families to make Liquor Restricted Premises applications, resulting in children being kept safe as family members and visitors are unable to consume alcohol on the premises.</w:t>
      </w:r>
    </w:p>
    <w:p w:rsidR="00606B28" w:rsidRDefault="00606B28" w:rsidP="00CD553B">
      <w:pPr>
        <w:rPr>
          <w:rFonts w:ascii="Calibri" w:hAnsi="Calibri" w:cs="Calibri"/>
          <w:sz w:val="24"/>
          <w:szCs w:val="24"/>
        </w:rPr>
      </w:pPr>
    </w:p>
    <w:p w:rsidR="00CD553B" w:rsidRPr="00CD553B" w:rsidRDefault="00CD553B" w:rsidP="00CD553B">
      <w:pPr>
        <w:rPr>
          <w:rFonts w:ascii="Calibri" w:hAnsi="Calibri" w:cs="Calibri"/>
          <w:sz w:val="24"/>
          <w:szCs w:val="24"/>
        </w:rPr>
      </w:pPr>
      <w:r w:rsidRPr="00CD553B">
        <w:rPr>
          <w:rFonts w:ascii="Calibri" w:hAnsi="Calibri" w:cs="Calibri"/>
          <w:sz w:val="24"/>
          <w:szCs w:val="24"/>
        </w:rPr>
        <w:t>Through Royalties for Regions, the Parent Support Service was expanded to include all CPFS’s 17 districts across Western Australia.</w:t>
      </w:r>
      <w:r w:rsidR="007764A2">
        <w:rPr>
          <w:rFonts w:ascii="Calibri" w:hAnsi="Calibri" w:cs="Calibri"/>
          <w:sz w:val="24"/>
          <w:szCs w:val="24"/>
        </w:rPr>
        <w:t xml:space="preserve"> </w:t>
      </w:r>
      <w:r w:rsidRPr="00CD553B">
        <w:rPr>
          <w:rFonts w:ascii="Calibri" w:hAnsi="Calibri" w:cs="Calibri"/>
          <w:sz w:val="24"/>
          <w:szCs w:val="24"/>
        </w:rPr>
        <w:t xml:space="preserve">The Parent Support Service provides up to six months of home visiting casework support to </w:t>
      </w:r>
      <w:r w:rsidR="00D12115">
        <w:rPr>
          <w:rFonts w:ascii="Calibri" w:hAnsi="Calibri" w:cs="Calibri"/>
          <w:sz w:val="24"/>
          <w:szCs w:val="24"/>
        </w:rPr>
        <w:t>hard-to-reach</w:t>
      </w:r>
      <w:r w:rsidRPr="00CD553B">
        <w:rPr>
          <w:rFonts w:ascii="Calibri" w:hAnsi="Calibri" w:cs="Calibri"/>
          <w:sz w:val="24"/>
          <w:szCs w:val="24"/>
        </w:rPr>
        <w:t xml:space="preserve"> parents of </w:t>
      </w:r>
      <w:r w:rsidR="006A0DC8" w:rsidRPr="00CD553B">
        <w:rPr>
          <w:rFonts w:ascii="Calibri" w:hAnsi="Calibri" w:cs="Calibri"/>
          <w:sz w:val="24"/>
          <w:szCs w:val="24"/>
        </w:rPr>
        <w:t>school</w:t>
      </w:r>
      <w:r w:rsidR="006A0DC8">
        <w:rPr>
          <w:rFonts w:ascii="Calibri" w:hAnsi="Calibri" w:cs="Calibri"/>
          <w:sz w:val="24"/>
          <w:szCs w:val="24"/>
        </w:rPr>
        <w:t>-</w:t>
      </w:r>
      <w:r w:rsidRPr="00CD553B">
        <w:rPr>
          <w:rFonts w:ascii="Calibri" w:hAnsi="Calibri" w:cs="Calibri"/>
          <w:sz w:val="24"/>
          <w:szCs w:val="24"/>
        </w:rPr>
        <w:t>aged children involved in antisocial behaviour, criminal activity or truancy.</w:t>
      </w:r>
      <w:r w:rsidR="007764A2">
        <w:rPr>
          <w:rFonts w:ascii="Calibri" w:hAnsi="Calibri" w:cs="Calibri"/>
          <w:sz w:val="24"/>
          <w:szCs w:val="24"/>
        </w:rPr>
        <w:t xml:space="preserve"> </w:t>
      </w:r>
      <w:r w:rsidRPr="00CD553B">
        <w:rPr>
          <w:rFonts w:ascii="Calibri" w:hAnsi="Calibri" w:cs="Calibri"/>
          <w:sz w:val="24"/>
          <w:szCs w:val="24"/>
        </w:rPr>
        <w:t>The service has refocused on older children, resulting in a significant increase in the number of responsible parenting agreements undertaken with these families.</w:t>
      </w:r>
      <w:r w:rsidR="007764A2">
        <w:rPr>
          <w:rFonts w:ascii="Calibri" w:hAnsi="Calibri" w:cs="Calibri"/>
          <w:sz w:val="24"/>
          <w:szCs w:val="24"/>
        </w:rPr>
        <w:t xml:space="preserve"> </w:t>
      </w:r>
      <w:r w:rsidRPr="00CD553B">
        <w:rPr>
          <w:rFonts w:ascii="Calibri" w:hAnsi="Calibri" w:cs="Calibri"/>
          <w:sz w:val="24"/>
          <w:szCs w:val="24"/>
        </w:rPr>
        <w:t xml:space="preserve">Another achievement was the expansion of the co-location of a Parent Support child protection worker with Youth Justice </w:t>
      </w:r>
      <w:proofErr w:type="gramStart"/>
      <w:r w:rsidRPr="00CD553B">
        <w:rPr>
          <w:rFonts w:ascii="Calibri" w:hAnsi="Calibri" w:cs="Calibri"/>
          <w:sz w:val="24"/>
          <w:szCs w:val="24"/>
        </w:rPr>
        <w:t>teams</w:t>
      </w:r>
      <w:proofErr w:type="gramEnd"/>
      <w:r w:rsidRPr="00CD553B">
        <w:rPr>
          <w:rFonts w:ascii="Calibri" w:hAnsi="Calibri" w:cs="Calibri"/>
          <w:sz w:val="24"/>
          <w:szCs w:val="24"/>
        </w:rPr>
        <w:t xml:space="preserve"> to most country regions, increasing the coordination and joint management of cases. Co-location of the two services was already established in the metropolitan area.</w:t>
      </w:r>
    </w:p>
    <w:p w:rsidR="00CD553B" w:rsidRPr="00CD553B" w:rsidRDefault="00CD553B" w:rsidP="00CD553B">
      <w:pPr>
        <w:rPr>
          <w:rFonts w:ascii="Calibri" w:hAnsi="Calibri" w:cs="Calibri"/>
          <w:sz w:val="24"/>
          <w:szCs w:val="24"/>
        </w:rPr>
      </w:pPr>
    </w:p>
    <w:p w:rsidR="00CD553B" w:rsidRPr="00CD553B" w:rsidRDefault="00CD553B" w:rsidP="00CD553B">
      <w:pPr>
        <w:rPr>
          <w:rFonts w:ascii="Calibri" w:hAnsi="Calibri" w:cs="Calibri"/>
          <w:sz w:val="24"/>
          <w:szCs w:val="24"/>
        </w:rPr>
      </w:pPr>
      <w:r w:rsidRPr="00CD553B">
        <w:rPr>
          <w:rFonts w:ascii="Calibri" w:hAnsi="Calibri" w:cs="Calibri"/>
          <w:sz w:val="24"/>
          <w:szCs w:val="24"/>
        </w:rPr>
        <w:t xml:space="preserve">The </w:t>
      </w:r>
      <w:r w:rsidR="00D12115">
        <w:rPr>
          <w:rFonts w:ascii="Calibri" w:hAnsi="Calibri" w:cs="Calibri"/>
          <w:sz w:val="24"/>
          <w:szCs w:val="24"/>
        </w:rPr>
        <w:t>s</w:t>
      </w:r>
      <w:r w:rsidR="00D12115" w:rsidRPr="00CD553B">
        <w:rPr>
          <w:rFonts w:ascii="Calibri" w:hAnsi="Calibri" w:cs="Calibri"/>
          <w:sz w:val="24"/>
          <w:szCs w:val="24"/>
        </w:rPr>
        <w:t xml:space="preserve">tate </w:t>
      </w:r>
      <w:r w:rsidRPr="00CD553B">
        <w:rPr>
          <w:rFonts w:ascii="Calibri" w:hAnsi="Calibri" w:cs="Calibri"/>
          <w:sz w:val="24"/>
          <w:szCs w:val="24"/>
        </w:rPr>
        <w:t>has signed a one</w:t>
      </w:r>
      <w:r w:rsidR="004D3907">
        <w:rPr>
          <w:rFonts w:ascii="Calibri" w:hAnsi="Calibri" w:cs="Calibri"/>
          <w:sz w:val="24"/>
          <w:szCs w:val="24"/>
        </w:rPr>
        <w:t>-</w:t>
      </w:r>
      <w:r w:rsidRPr="00CD553B">
        <w:rPr>
          <w:rFonts w:ascii="Calibri" w:hAnsi="Calibri" w:cs="Calibri"/>
          <w:sz w:val="24"/>
          <w:szCs w:val="24"/>
        </w:rPr>
        <w:t>year transitional National Partnership Agreement on Homelessness (NPAH), following recent independent reports that CPFS’s implementation of the NPAH programs has made a positive difference for the majority of people who use them.</w:t>
      </w:r>
    </w:p>
    <w:p w:rsidR="00CD553B" w:rsidRPr="00CD553B" w:rsidRDefault="00CD553B" w:rsidP="00CD553B">
      <w:pPr>
        <w:rPr>
          <w:rFonts w:ascii="Calibri" w:hAnsi="Calibri" w:cs="Calibri"/>
          <w:sz w:val="24"/>
          <w:szCs w:val="24"/>
        </w:rPr>
      </w:pPr>
    </w:p>
    <w:p w:rsidR="00CD553B" w:rsidRPr="00CD553B" w:rsidRDefault="00CD553B" w:rsidP="00CD553B">
      <w:pPr>
        <w:rPr>
          <w:rFonts w:ascii="Calibri" w:hAnsi="Calibri" w:cs="Calibri"/>
          <w:sz w:val="24"/>
          <w:szCs w:val="24"/>
        </w:rPr>
      </w:pPr>
      <w:r w:rsidRPr="00CD553B">
        <w:rPr>
          <w:rFonts w:ascii="Calibri" w:hAnsi="Calibri" w:cs="Calibri"/>
          <w:sz w:val="24"/>
          <w:szCs w:val="24"/>
        </w:rPr>
        <w:t>CPFS developed and offered staff learning opportunities</w:t>
      </w:r>
      <w:r w:rsidR="003B22A9">
        <w:rPr>
          <w:rFonts w:ascii="Calibri" w:hAnsi="Calibri" w:cs="Calibri"/>
          <w:sz w:val="24"/>
          <w:szCs w:val="24"/>
        </w:rPr>
        <w:t>,</w:t>
      </w:r>
      <w:r w:rsidRPr="00CD553B">
        <w:rPr>
          <w:rFonts w:ascii="Calibri" w:hAnsi="Calibri" w:cs="Calibri"/>
          <w:sz w:val="24"/>
          <w:szCs w:val="24"/>
        </w:rPr>
        <w:t xml:space="preserve"> including:</w:t>
      </w:r>
    </w:p>
    <w:p w:rsidR="00CD553B" w:rsidRPr="00CD553B" w:rsidRDefault="00CD553B" w:rsidP="006A0DC8">
      <w:pPr>
        <w:pStyle w:val="ListBullet"/>
      </w:pPr>
      <w:r w:rsidRPr="00CD553B">
        <w:t>the implementation of Advanced Signs of Safety training programs, focusing</w:t>
      </w:r>
      <w:r w:rsidR="007764A2">
        <w:t xml:space="preserve"> </w:t>
      </w:r>
      <w:r w:rsidRPr="00CD553B">
        <w:t>on developing Safety Plans and Pre-birth and Pre-hearing conferencing</w:t>
      </w:r>
    </w:p>
    <w:p w:rsidR="00CD553B" w:rsidRPr="00CD553B" w:rsidRDefault="00CD553B" w:rsidP="006A0DC8">
      <w:pPr>
        <w:pStyle w:val="ListBullet"/>
      </w:pPr>
      <w:r w:rsidRPr="00CD553B">
        <w:t xml:space="preserve">a Signs of Safety three-day </w:t>
      </w:r>
      <w:r w:rsidR="003A0617">
        <w:t>G</w:t>
      </w:r>
      <w:r w:rsidRPr="00CD553B">
        <w:t>athering involving 500 participants, showcasing best practice in child protection</w:t>
      </w:r>
    </w:p>
    <w:p w:rsidR="00CD553B" w:rsidRPr="00CD553B" w:rsidRDefault="00CD553B" w:rsidP="006A0DC8">
      <w:pPr>
        <w:pStyle w:val="ListBullet"/>
      </w:pPr>
      <w:r w:rsidRPr="00CD553B">
        <w:t xml:space="preserve">the development of seven new </w:t>
      </w:r>
      <w:r w:rsidR="006A0DC8">
        <w:t>on</w:t>
      </w:r>
      <w:r w:rsidRPr="00CD553B">
        <w:t>line learning programs</w:t>
      </w:r>
      <w:r w:rsidR="006A0DC8">
        <w:t>,</w:t>
      </w:r>
      <w:r w:rsidRPr="00CD553B">
        <w:t xml:space="preserve"> with topics including Aboriginal cultural appreciation, child protection, child development, foster care partnerships, children in care, cultural diversity and family and domestic violence</w:t>
      </w:r>
    </w:p>
    <w:p w:rsidR="00CD553B" w:rsidRPr="00CD553B" w:rsidRDefault="00CD553B" w:rsidP="006A0DC8">
      <w:pPr>
        <w:pStyle w:val="ListBullet"/>
      </w:pPr>
      <w:r w:rsidRPr="00CD553B">
        <w:t xml:space="preserve">the development of 14 new orientation and extension programs, with the support of partner agencies </w:t>
      </w:r>
    </w:p>
    <w:p w:rsidR="00CD553B" w:rsidRPr="00CD553B" w:rsidRDefault="003B22A9" w:rsidP="006A0DC8">
      <w:pPr>
        <w:pStyle w:val="ListBullet"/>
      </w:pPr>
      <w:r>
        <w:t>a series of ‘</w:t>
      </w:r>
      <w:r w:rsidR="00CD553B" w:rsidRPr="00CD553B">
        <w:t>Sanctuary’ workshops, promoting a trauma-informed model of care</w:t>
      </w:r>
    </w:p>
    <w:p w:rsidR="00CD553B" w:rsidRDefault="00CD553B" w:rsidP="006A0DC8">
      <w:pPr>
        <w:pStyle w:val="ListBullet"/>
      </w:pPr>
      <w:r w:rsidRPr="00CD553B">
        <w:t xml:space="preserve">the implementation of a traineeship for the Diploma of </w:t>
      </w:r>
      <w:r w:rsidR="006A0DC8">
        <w:t>C</w:t>
      </w:r>
      <w:r w:rsidR="006A0DC8" w:rsidRPr="00CD553B">
        <w:t>hild</w:t>
      </w:r>
      <w:r w:rsidR="006A0DC8">
        <w:t>,</w:t>
      </w:r>
      <w:r w:rsidR="006A0DC8" w:rsidRPr="00CD553B">
        <w:t xml:space="preserve"> </w:t>
      </w:r>
      <w:r w:rsidRPr="00CD553B">
        <w:t>Youth and Family Intervention, providing a pathway to the second year of a Bachelor’s Degree in Social Work or Social Science.</w:t>
      </w:r>
    </w:p>
    <w:p w:rsidR="00485B8B" w:rsidRDefault="00485B8B" w:rsidP="006A0DC8">
      <w:pPr>
        <w:pStyle w:val="ListBullet"/>
        <w:numPr>
          <w:ilvl w:val="0"/>
          <w:numId w:val="0"/>
        </w:numPr>
      </w:pPr>
    </w:p>
    <w:p w:rsidR="00485B8B" w:rsidRDefault="00485B8B" w:rsidP="00CD553B">
      <w:pPr>
        <w:rPr>
          <w:rFonts w:ascii="Calibri" w:hAnsi="Calibri" w:cs="Calibri"/>
          <w:sz w:val="24"/>
          <w:szCs w:val="24"/>
        </w:rPr>
      </w:pPr>
      <w:r w:rsidRPr="00485B8B">
        <w:rPr>
          <w:rFonts w:ascii="Calibri" w:hAnsi="Calibri" w:cs="Calibri"/>
          <w:sz w:val="24"/>
          <w:szCs w:val="24"/>
        </w:rPr>
        <w:t>A new early intervention support service for young offenders with a mental illness</w:t>
      </w:r>
      <w:r w:rsidR="006A0DC8">
        <w:rPr>
          <w:rFonts w:ascii="Calibri" w:hAnsi="Calibri" w:cs="Calibri"/>
          <w:sz w:val="24"/>
          <w:szCs w:val="24"/>
        </w:rPr>
        <w:t>,</w:t>
      </w:r>
      <w:r w:rsidRPr="00485B8B">
        <w:rPr>
          <w:rFonts w:ascii="Calibri" w:hAnsi="Calibri" w:cs="Calibri"/>
          <w:sz w:val="24"/>
          <w:szCs w:val="24"/>
        </w:rPr>
        <w:t xml:space="preserve"> introduced in the WA justice system in April 2013</w:t>
      </w:r>
      <w:r w:rsidR="006A0DC8">
        <w:rPr>
          <w:rFonts w:ascii="Calibri" w:hAnsi="Calibri" w:cs="Calibri"/>
          <w:sz w:val="24"/>
          <w:szCs w:val="24"/>
        </w:rPr>
        <w:t>,</w:t>
      </w:r>
      <w:r w:rsidRPr="00485B8B">
        <w:rPr>
          <w:rFonts w:ascii="Calibri" w:hAnsi="Calibri" w:cs="Calibri"/>
          <w:sz w:val="24"/>
          <w:szCs w:val="24"/>
        </w:rPr>
        <w:t xml:space="preserve"> provides clinical assessments and reports to the Perth Children’s Court as well as personal plans for the children.</w:t>
      </w:r>
      <w:r w:rsidR="007764A2">
        <w:rPr>
          <w:rFonts w:ascii="Calibri" w:hAnsi="Calibri" w:cs="Calibri"/>
          <w:sz w:val="24"/>
          <w:szCs w:val="24"/>
        </w:rPr>
        <w:t xml:space="preserve"> </w:t>
      </w:r>
      <w:r w:rsidRPr="00485B8B">
        <w:rPr>
          <w:rFonts w:ascii="Calibri" w:hAnsi="Calibri" w:cs="Calibri"/>
          <w:sz w:val="24"/>
          <w:szCs w:val="24"/>
        </w:rPr>
        <w:t xml:space="preserve">Further community-based support, tailored to the child and </w:t>
      </w:r>
      <w:r w:rsidR="004D3907">
        <w:rPr>
          <w:rFonts w:ascii="Calibri" w:hAnsi="Calibri" w:cs="Calibri"/>
          <w:sz w:val="24"/>
          <w:szCs w:val="24"/>
        </w:rPr>
        <w:t>his or her</w:t>
      </w:r>
      <w:r w:rsidRPr="00485B8B">
        <w:rPr>
          <w:rFonts w:ascii="Calibri" w:hAnsi="Calibri" w:cs="Calibri"/>
          <w:sz w:val="24"/>
          <w:szCs w:val="24"/>
        </w:rPr>
        <w:t xml:space="preserve"> family, can be provided after the court process.</w:t>
      </w:r>
      <w:r w:rsidR="007764A2">
        <w:rPr>
          <w:rFonts w:ascii="Calibri" w:hAnsi="Calibri" w:cs="Calibri"/>
          <w:sz w:val="24"/>
          <w:szCs w:val="24"/>
        </w:rPr>
        <w:t xml:space="preserve"> </w:t>
      </w:r>
    </w:p>
    <w:p w:rsidR="00B83DD8" w:rsidRDefault="00B327E5" w:rsidP="00E96545">
      <w:pPr>
        <w:pStyle w:val="Heading2"/>
      </w:pPr>
      <w:bookmarkStart w:id="146" w:name="_Toc400007740"/>
      <w:bookmarkStart w:id="147" w:name="_Toc400711484"/>
      <w:r w:rsidRPr="005B3445">
        <w:t>Measuring progress</w:t>
      </w:r>
      <w:bookmarkEnd w:id="146"/>
      <w:bookmarkEnd w:id="147"/>
    </w:p>
    <w:p w:rsidR="00D0122C" w:rsidRPr="00706368" w:rsidRDefault="00D0122C" w:rsidP="00E96545">
      <w:pPr>
        <w:pStyle w:val="Heading3"/>
      </w:pPr>
      <w:bookmarkStart w:id="148" w:name="_Toc400007741"/>
      <w:r w:rsidRPr="00706368">
        <w:t>Parental substance use</w:t>
      </w:r>
      <w:bookmarkEnd w:id="148"/>
    </w:p>
    <w:p w:rsidR="00D0122C" w:rsidRDefault="00D0122C" w:rsidP="00D0122C">
      <w:pPr>
        <w:rPr>
          <w:rFonts w:ascii="Calibri" w:hAnsi="Calibri" w:cs="Calibri"/>
          <w:sz w:val="24"/>
          <w:szCs w:val="24"/>
        </w:rPr>
      </w:pPr>
      <w:r w:rsidRPr="004F3290">
        <w:rPr>
          <w:rFonts w:ascii="Calibri" w:hAnsi="Calibri" w:cs="Calibri"/>
          <w:sz w:val="24"/>
          <w:szCs w:val="24"/>
        </w:rPr>
        <w:t xml:space="preserve">Parental substance misuse is a key risk factor for child abuse and neglect. </w:t>
      </w:r>
      <w:r>
        <w:rPr>
          <w:rFonts w:ascii="Calibri" w:hAnsi="Calibri" w:cs="Calibri"/>
          <w:sz w:val="24"/>
          <w:szCs w:val="24"/>
        </w:rPr>
        <w:t>M</w:t>
      </w:r>
      <w:r w:rsidRPr="00030E95">
        <w:rPr>
          <w:rFonts w:ascii="Calibri" w:hAnsi="Calibri" w:cs="Calibri"/>
          <w:sz w:val="24"/>
          <w:szCs w:val="24"/>
        </w:rPr>
        <w:t xml:space="preserve">isuse </w:t>
      </w:r>
      <w:r>
        <w:rPr>
          <w:rFonts w:ascii="Calibri" w:hAnsi="Calibri" w:cs="Calibri"/>
          <w:sz w:val="24"/>
          <w:szCs w:val="24"/>
        </w:rPr>
        <w:t xml:space="preserve">of drugs and </w:t>
      </w:r>
      <w:r w:rsidRPr="00030E95">
        <w:rPr>
          <w:rFonts w:ascii="Calibri" w:hAnsi="Calibri" w:cs="Calibri"/>
          <w:sz w:val="24"/>
          <w:szCs w:val="24"/>
        </w:rPr>
        <w:t xml:space="preserve">alcohol </w:t>
      </w:r>
      <w:r>
        <w:rPr>
          <w:rFonts w:ascii="Calibri" w:hAnsi="Calibri" w:cs="Calibri"/>
          <w:sz w:val="24"/>
          <w:szCs w:val="24"/>
        </w:rPr>
        <w:t xml:space="preserve">can compromise parents’ </w:t>
      </w:r>
      <w:r w:rsidRPr="00F83114">
        <w:rPr>
          <w:rFonts w:ascii="Calibri" w:hAnsi="Calibri" w:cs="Calibri"/>
          <w:sz w:val="24"/>
          <w:szCs w:val="24"/>
        </w:rPr>
        <w:t>ability to provide a safe environment for children</w:t>
      </w:r>
      <w:r>
        <w:rPr>
          <w:rFonts w:ascii="Calibri" w:hAnsi="Calibri" w:cs="Calibri"/>
          <w:sz w:val="24"/>
          <w:szCs w:val="24"/>
        </w:rPr>
        <w:t xml:space="preserve">, </w:t>
      </w:r>
      <w:r w:rsidRPr="00030E95">
        <w:rPr>
          <w:rFonts w:ascii="Calibri" w:hAnsi="Calibri" w:cs="Calibri"/>
          <w:sz w:val="24"/>
          <w:szCs w:val="24"/>
        </w:rPr>
        <w:t xml:space="preserve">maintain household tasks and routines and respond to their children’s emotional needs. Financial difficulties may arise as parents may ignore paying for household essentials such as food, clothes and bills in order to buy </w:t>
      </w:r>
      <w:r w:rsidRPr="00F83114">
        <w:rPr>
          <w:rFonts w:ascii="Calibri" w:hAnsi="Calibri" w:cs="Calibri"/>
          <w:sz w:val="24"/>
          <w:szCs w:val="24"/>
        </w:rPr>
        <w:t>alcohol</w:t>
      </w:r>
      <w:r>
        <w:rPr>
          <w:rFonts w:ascii="Calibri" w:hAnsi="Calibri" w:cs="Calibri"/>
          <w:sz w:val="24"/>
          <w:szCs w:val="24"/>
        </w:rPr>
        <w:t xml:space="preserve"> or drugs</w:t>
      </w:r>
      <w:r w:rsidRPr="00030E95">
        <w:rPr>
          <w:rFonts w:ascii="Calibri" w:hAnsi="Calibri" w:cs="Calibri"/>
          <w:sz w:val="24"/>
          <w:szCs w:val="24"/>
        </w:rPr>
        <w:t>. Fluctuating mood swings due to intoxication or withdrawal often cause inconsistent parenting, and parents may become violent or abusive (Bromfield et al. 2010</w:t>
      </w:r>
      <w:r>
        <w:rPr>
          <w:rFonts w:ascii="Calibri" w:hAnsi="Calibri" w:cs="Calibri"/>
          <w:sz w:val="24"/>
          <w:szCs w:val="24"/>
        </w:rPr>
        <w:t xml:space="preserve">; </w:t>
      </w:r>
      <w:proofErr w:type="spellStart"/>
      <w:r w:rsidRPr="00821556">
        <w:rPr>
          <w:rFonts w:ascii="Calibri" w:hAnsi="Calibri" w:cs="Calibri"/>
          <w:sz w:val="24"/>
          <w:szCs w:val="24"/>
        </w:rPr>
        <w:t>Dawe</w:t>
      </w:r>
      <w:proofErr w:type="spellEnd"/>
      <w:r w:rsidRPr="00821556">
        <w:rPr>
          <w:rFonts w:ascii="Calibri" w:hAnsi="Calibri" w:cs="Calibri"/>
          <w:sz w:val="24"/>
          <w:szCs w:val="24"/>
        </w:rPr>
        <w:t xml:space="preserve"> </w:t>
      </w:r>
      <w:r>
        <w:rPr>
          <w:rFonts w:ascii="Calibri" w:hAnsi="Calibri" w:cs="Calibri"/>
          <w:sz w:val="24"/>
          <w:szCs w:val="24"/>
        </w:rPr>
        <w:t xml:space="preserve">et al. </w:t>
      </w:r>
      <w:r w:rsidRPr="00821556">
        <w:rPr>
          <w:rFonts w:ascii="Calibri" w:hAnsi="Calibri" w:cs="Calibri"/>
          <w:sz w:val="24"/>
          <w:szCs w:val="24"/>
        </w:rPr>
        <w:t>200</w:t>
      </w:r>
      <w:r>
        <w:rPr>
          <w:rFonts w:ascii="Calibri" w:hAnsi="Calibri" w:cs="Calibri"/>
          <w:sz w:val="24"/>
          <w:szCs w:val="24"/>
        </w:rPr>
        <w:t>8</w:t>
      </w:r>
      <w:r w:rsidRPr="00030E95">
        <w:rPr>
          <w:rFonts w:ascii="Calibri" w:hAnsi="Calibri" w:cs="Calibri"/>
          <w:sz w:val="24"/>
          <w:szCs w:val="24"/>
        </w:rPr>
        <w:t>).</w:t>
      </w:r>
      <w:r>
        <w:rPr>
          <w:rFonts w:ascii="Calibri" w:hAnsi="Calibri" w:cs="Calibri"/>
          <w:sz w:val="24"/>
          <w:szCs w:val="24"/>
        </w:rPr>
        <w:t xml:space="preserve"> </w:t>
      </w:r>
    </w:p>
    <w:p w:rsidR="00D0122C" w:rsidRPr="00821556" w:rsidRDefault="00D0122C" w:rsidP="00D0122C">
      <w:pPr>
        <w:rPr>
          <w:rFonts w:ascii="Calibri" w:hAnsi="Calibri" w:cs="Calibri"/>
          <w:sz w:val="24"/>
          <w:szCs w:val="24"/>
        </w:rPr>
      </w:pPr>
    </w:p>
    <w:p w:rsidR="00D0122C" w:rsidRDefault="00D0122C" w:rsidP="004B3342">
      <w:pPr>
        <w:pStyle w:val="Heading4a"/>
      </w:pPr>
      <w:r>
        <w:t xml:space="preserve">Indicator </w:t>
      </w:r>
      <w:r w:rsidRPr="0060478E">
        <w:t>3.1</w:t>
      </w:r>
      <w:r>
        <w:t xml:space="preserve">: </w:t>
      </w:r>
      <w:r w:rsidRPr="0060478E">
        <w:t>Proportion of parents with children aged 0–14 years who used any illicit drug within the last 12 months</w:t>
      </w:r>
    </w:p>
    <w:p w:rsidR="00D0122C" w:rsidRDefault="00D0122C" w:rsidP="00D0122C">
      <w:pPr>
        <w:rPr>
          <w:rFonts w:ascii="Calibri" w:hAnsi="Calibri" w:cs="Calibri"/>
          <w:sz w:val="24"/>
          <w:szCs w:val="24"/>
        </w:rPr>
      </w:pPr>
    </w:p>
    <w:p w:rsidR="00611620" w:rsidRDefault="00611620" w:rsidP="00D0122C">
      <w:pPr>
        <w:rPr>
          <w:rFonts w:ascii="Calibri" w:hAnsi="Calibri" w:cs="Calibri"/>
          <w:sz w:val="24"/>
          <w:szCs w:val="24"/>
        </w:rPr>
      </w:pPr>
      <w:r w:rsidRPr="00611620">
        <w:rPr>
          <w:rFonts w:ascii="Calibri" w:hAnsi="Calibri" w:cs="Calibri"/>
          <w:sz w:val="24"/>
          <w:szCs w:val="24"/>
        </w:rPr>
        <w:t xml:space="preserve">Illicit drugs include illegal drugs (such as cannabis), pharmaceutical drugs (such as pain-killers, tranquillisers) when used for non-medical purposes (strictly an illicit behaviour), and other </w:t>
      </w:r>
      <w:r w:rsidR="00B802BA">
        <w:rPr>
          <w:rFonts w:ascii="Calibri" w:hAnsi="Calibri" w:cs="Calibri"/>
          <w:sz w:val="24"/>
          <w:szCs w:val="24"/>
        </w:rPr>
        <w:t xml:space="preserve">substances (such as inhalants) </w:t>
      </w:r>
      <w:r w:rsidRPr="00611620">
        <w:rPr>
          <w:rFonts w:ascii="Calibri" w:hAnsi="Calibri" w:cs="Calibri"/>
          <w:sz w:val="24"/>
          <w:szCs w:val="24"/>
        </w:rPr>
        <w:t>used inappropriately (AIHW 2011b).</w:t>
      </w:r>
    </w:p>
    <w:p w:rsidR="00611620" w:rsidRPr="00821556" w:rsidRDefault="00611620" w:rsidP="00D0122C">
      <w:pPr>
        <w:rPr>
          <w:rFonts w:ascii="Calibri" w:hAnsi="Calibri" w:cs="Calibri"/>
          <w:sz w:val="24"/>
          <w:szCs w:val="24"/>
        </w:rPr>
      </w:pPr>
    </w:p>
    <w:p w:rsidR="00D0122C" w:rsidRPr="00821556" w:rsidRDefault="00D0122C" w:rsidP="00D0122C">
      <w:pPr>
        <w:rPr>
          <w:rFonts w:ascii="Calibri" w:hAnsi="Calibri" w:cs="Calibri"/>
          <w:sz w:val="24"/>
          <w:szCs w:val="24"/>
        </w:rPr>
      </w:pPr>
      <w:r w:rsidRPr="00821556">
        <w:rPr>
          <w:rFonts w:ascii="Calibri" w:hAnsi="Calibri" w:cs="Calibri"/>
          <w:sz w:val="24"/>
          <w:szCs w:val="24"/>
        </w:rPr>
        <w:t xml:space="preserve">The 2010 National Drug Strategy Household Survey </w:t>
      </w:r>
      <w:r>
        <w:rPr>
          <w:rFonts w:ascii="Calibri" w:hAnsi="Calibri" w:cs="Calibri"/>
          <w:sz w:val="24"/>
          <w:szCs w:val="24"/>
        </w:rPr>
        <w:t>(</w:t>
      </w:r>
      <w:r w:rsidR="00611620">
        <w:rPr>
          <w:rFonts w:ascii="Calibri" w:hAnsi="Calibri" w:cs="Calibri"/>
          <w:sz w:val="24"/>
          <w:szCs w:val="24"/>
        </w:rPr>
        <w:t>NDSHS</w:t>
      </w:r>
      <w:r>
        <w:rPr>
          <w:rFonts w:ascii="Calibri" w:hAnsi="Calibri" w:cs="Calibri"/>
          <w:sz w:val="24"/>
          <w:szCs w:val="24"/>
        </w:rPr>
        <w:t xml:space="preserve">) </w:t>
      </w:r>
      <w:r w:rsidRPr="00821556">
        <w:rPr>
          <w:rFonts w:ascii="Calibri" w:hAnsi="Calibri" w:cs="Calibri"/>
          <w:sz w:val="24"/>
          <w:szCs w:val="24"/>
        </w:rPr>
        <w:t>found that 13</w:t>
      </w:r>
      <w:r>
        <w:rPr>
          <w:rFonts w:ascii="Calibri" w:hAnsi="Calibri" w:cs="Calibri"/>
          <w:sz w:val="24"/>
          <w:szCs w:val="24"/>
        </w:rPr>
        <w:t xml:space="preserve"> per cent</w:t>
      </w:r>
      <w:r w:rsidRPr="00821556">
        <w:rPr>
          <w:rFonts w:ascii="Calibri" w:hAnsi="Calibri" w:cs="Calibri"/>
          <w:sz w:val="24"/>
          <w:szCs w:val="24"/>
        </w:rPr>
        <w:t xml:space="preserve"> of parents with children aged 0</w:t>
      </w:r>
      <w:r w:rsidR="00945F81">
        <w:rPr>
          <w:rFonts w:ascii="Calibri" w:hAnsi="Calibri" w:cs="Calibri"/>
          <w:sz w:val="24"/>
          <w:szCs w:val="24"/>
        </w:rPr>
        <w:t xml:space="preserve"> to </w:t>
      </w:r>
      <w:r w:rsidRPr="00821556">
        <w:rPr>
          <w:rFonts w:ascii="Calibri" w:hAnsi="Calibri" w:cs="Calibri"/>
          <w:sz w:val="24"/>
          <w:szCs w:val="24"/>
        </w:rPr>
        <w:t xml:space="preserve">14 years had used </w:t>
      </w:r>
      <w:r w:rsidR="00611620">
        <w:rPr>
          <w:rFonts w:ascii="Calibri" w:hAnsi="Calibri" w:cs="Calibri"/>
          <w:sz w:val="24"/>
          <w:szCs w:val="24"/>
        </w:rPr>
        <w:t>illicit drugs in the previous 12 months</w:t>
      </w:r>
      <w:r w:rsidRPr="00821556">
        <w:rPr>
          <w:rFonts w:ascii="Calibri" w:hAnsi="Calibri" w:cs="Calibri"/>
          <w:sz w:val="24"/>
          <w:szCs w:val="24"/>
        </w:rPr>
        <w:t xml:space="preserve">. This is </w:t>
      </w:r>
      <w:r>
        <w:rPr>
          <w:rFonts w:ascii="Calibri" w:hAnsi="Calibri" w:cs="Calibri"/>
          <w:sz w:val="24"/>
          <w:szCs w:val="24"/>
        </w:rPr>
        <w:t>similar to results found in 2007 (</w:t>
      </w:r>
      <w:r w:rsidRPr="00821556">
        <w:rPr>
          <w:rFonts w:ascii="Calibri" w:hAnsi="Calibri" w:cs="Calibri"/>
          <w:sz w:val="24"/>
          <w:szCs w:val="24"/>
        </w:rPr>
        <w:t>12</w:t>
      </w:r>
      <w:r>
        <w:rPr>
          <w:rFonts w:ascii="Calibri" w:hAnsi="Calibri" w:cs="Calibri"/>
          <w:sz w:val="24"/>
          <w:szCs w:val="24"/>
        </w:rPr>
        <w:t xml:space="preserve"> per cent).</w:t>
      </w:r>
    </w:p>
    <w:p w:rsidR="00D0122C" w:rsidRPr="00821556" w:rsidRDefault="00D0122C" w:rsidP="00D0122C">
      <w:pPr>
        <w:rPr>
          <w:rFonts w:ascii="Calibri" w:hAnsi="Calibri" w:cs="Calibri"/>
          <w:sz w:val="24"/>
          <w:szCs w:val="24"/>
        </w:rPr>
      </w:pPr>
    </w:p>
    <w:p w:rsidR="00611620" w:rsidRDefault="00D0122C" w:rsidP="00D0122C">
      <w:pPr>
        <w:rPr>
          <w:rFonts w:ascii="Calibri" w:hAnsi="Calibri" w:cs="Calibri"/>
          <w:sz w:val="24"/>
          <w:szCs w:val="24"/>
        </w:rPr>
      </w:pPr>
      <w:r>
        <w:rPr>
          <w:rFonts w:ascii="Calibri" w:hAnsi="Calibri" w:cs="Calibri"/>
          <w:sz w:val="24"/>
          <w:szCs w:val="24"/>
        </w:rPr>
        <w:t>S</w:t>
      </w:r>
      <w:r w:rsidRPr="00821556">
        <w:rPr>
          <w:rFonts w:ascii="Calibri" w:hAnsi="Calibri" w:cs="Calibri"/>
          <w:sz w:val="24"/>
          <w:szCs w:val="24"/>
        </w:rPr>
        <w:t xml:space="preserve">imilar </w:t>
      </w:r>
      <w:r>
        <w:rPr>
          <w:rFonts w:ascii="Calibri" w:hAnsi="Calibri" w:cs="Calibri"/>
          <w:sz w:val="24"/>
          <w:szCs w:val="24"/>
        </w:rPr>
        <w:t>results were found among</w:t>
      </w:r>
      <w:r w:rsidRPr="00821556">
        <w:rPr>
          <w:rFonts w:ascii="Calibri" w:hAnsi="Calibri" w:cs="Calibri"/>
          <w:sz w:val="24"/>
          <w:szCs w:val="24"/>
        </w:rPr>
        <w:t xml:space="preserve"> adults without children</w:t>
      </w:r>
      <w:r>
        <w:rPr>
          <w:rFonts w:ascii="Calibri" w:hAnsi="Calibri" w:cs="Calibri"/>
          <w:sz w:val="24"/>
          <w:szCs w:val="24"/>
        </w:rPr>
        <w:t>; t</w:t>
      </w:r>
      <w:r w:rsidRPr="00821556">
        <w:rPr>
          <w:rFonts w:ascii="Calibri" w:hAnsi="Calibri" w:cs="Calibri"/>
          <w:sz w:val="24"/>
          <w:szCs w:val="24"/>
        </w:rPr>
        <w:t xml:space="preserve">he proportion that had used </w:t>
      </w:r>
      <w:r w:rsidR="00611620">
        <w:rPr>
          <w:rFonts w:ascii="Calibri" w:hAnsi="Calibri" w:cs="Calibri"/>
          <w:sz w:val="24"/>
          <w:szCs w:val="24"/>
        </w:rPr>
        <w:t>illicit drugs in the previous 12 months</w:t>
      </w:r>
      <w:r w:rsidRPr="00821556">
        <w:rPr>
          <w:rFonts w:ascii="Calibri" w:hAnsi="Calibri" w:cs="Calibri"/>
          <w:sz w:val="24"/>
          <w:szCs w:val="24"/>
        </w:rPr>
        <w:t xml:space="preserve"> </w:t>
      </w:r>
      <w:r>
        <w:rPr>
          <w:rFonts w:ascii="Calibri" w:hAnsi="Calibri" w:cs="Calibri"/>
          <w:sz w:val="24"/>
          <w:szCs w:val="24"/>
        </w:rPr>
        <w:t>was</w:t>
      </w:r>
      <w:r w:rsidRPr="00821556">
        <w:rPr>
          <w:rFonts w:ascii="Calibri" w:hAnsi="Calibri" w:cs="Calibri"/>
          <w:sz w:val="24"/>
          <w:szCs w:val="24"/>
        </w:rPr>
        <w:t xml:space="preserve"> 15</w:t>
      </w:r>
      <w:r>
        <w:rPr>
          <w:rFonts w:ascii="Calibri" w:hAnsi="Calibri" w:cs="Calibri"/>
          <w:sz w:val="24"/>
          <w:szCs w:val="24"/>
        </w:rPr>
        <w:t xml:space="preserve"> per cent</w:t>
      </w:r>
      <w:r w:rsidRPr="00821556">
        <w:rPr>
          <w:rFonts w:ascii="Calibri" w:hAnsi="Calibri" w:cs="Calibri"/>
          <w:sz w:val="24"/>
          <w:szCs w:val="24"/>
        </w:rPr>
        <w:t xml:space="preserve"> </w:t>
      </w:r>
      <w:r>
        <w:rPr>
          <w:rFonts w:ascii="Calibri" w:hAnsi="Calibri" w:cs="Calibri"/>
          <w:sz w:val="24"/>
          <w:szCs w:val="24"/>
        </w:rPr>
        <w:t xml:space="preserve">in 2007, and </w:t>
      </w:r>
      <w:r w:rsidRPr="00821556">
        <w:rPr>
          <w:rFonts w:ascii="Calibri" w:hAnsi="Calibri" w:cs="Calibri"/>
          <w:sz w:val="24"/>
          <w:szCs w:val="24"/>
        </w:rPr>
        <w:t>16</w:t>
      </w:r>
      <w:r>
        <w:rPr>
          <w:rFonts w:ascii="Calibri" w:hAnsi="Calibri" w:cs="Calibri"/>
          <w:sz w:val="24"/>
          <w:szCs w:val="24"/>
        </w:rPr>
        <w:t xml:space="preserve"> per cent in 2010</w:t>
      </w:r>
      <w:r w:rsidRPr="00821556">
        <w:rPr>
          <w:rFonts w:ascii="Calibri" w:hAnsi="Calibri" w:cs="Calibri"/>
          <w:sz w:val="24"/>
          <w:szCs w:val="24"/>
        </w:rPr>
        <w:t>.</w:t>
      </w:r>
    </w:p>
    <w:p w:rsidR="00611620" w:rsidRDefault="00611620" w:rsidP="00D0122C">
      <w:pPr>
        <w:rPr>
          <w:rFonts w:ascii="Calibri" w:hAnsi="Calibri" w:cs="Calibri"/>
          <w:sz w:val="24"/>
          <w:szCs w:val="24"/>
        </w:rPr>
      </w:pPr>
    </w:p>
    <w:p w:rsidR="00611620" w:rsidRPr="00611620" w:rsidRDefault="00611620" w:rsidP="00611620">
      <w:pPr>
        <w:rPr>
          <w:rFonts w:ascii="Calibri" w:hAnsi="Calibri" w:cs="Calibri"/>
          <w:sz w:val="24"/>
          <w:szCs w:val="24"/>
        </w:rPr>
      </w:pPr>
      <w:r w:rsidRPr="00611620">
        <w:rPr>
          <w:rFonts w:ascii="Calibri" w:hAnsi="Calibri" w:cs="Calibri"/>
          <w:sz w:val="24"/>
          <w:szCs w:val="24"/>
        </w:rPr>
        <w:t>The 2010 NDSHS provides the most recent data available on this topic for Indigenous Australians. The most recent data from the ABS National Aboriginal and Torres Strait Islander Social Survey are for 2008.</w:t>
      </w:r>
    </w:p>
    <w:p w:rsidR="00611620" w:rsidRPr="00611620" w:rsidRDefault="00611620" w:rsidP="00611620">
      <w:pPr>
        <w:rPr>
          <w:rFonts w:ascii="Calibri" w:hAnsi="Calibri" w:cs="Calibri"/>
          <w:sz w:val="24"/>
          <w:szCs w:val="24"/>
        </w:rPr>
      </w:pPr>
    </w:p>
    <w:p w:rsidR="00D0122C" w:rsidRPr="00821556" w:rsidRDefault="00611620" w:rsidP="00611620">
      <w:pPr>
        <w:rPr>
          <w:rFonts w:ascii="Calibri" w:hAnsi="Calibri" w:cs="Calibri"/>
          <w:sz w:val="24"/>
          <w:szCs w:val="24"/>
        </w:rPr>
      </w:pPr>
      <w:r w:rsidRPr="00611620">
        <w:rPr>
          <w:rFonts w:ascii="Calibri" w:hAnsi="Calibri" w:cs="Calibri"/>
          <w:sz w:val="24"/>
          <w:szCs w:val="24"/>
        </w:rPr>
        <w:t xml:space="preserve">The 2010 NDSHS found that substance use rates were higher among Aboriginal and Torres Strait Islander parents compared to their non-Indigenous counterparts. An estimated 26 per cent of Indigenous parents reported </w:t>
      </w:r>
      <w:r w:rsidR="00003A32">
        <w:rPr>
          <w:rFonts w:ascii="Calibri" w:hAnsi="Calibri" w:cs="Calibri"/>
          <w:sz w:val="24"/>
          <w:szCs w:val="24"/>
        </w:rPr>
        <w:t xml:space="preserve">that </w:t>
      </w:r>
      <w:r w:rsidRPr="00611620">
        <w:rPr>
          <w:rFonts w:ascii="Calibri" w:hAnsi="Calibri" w:cs="Calibri"/>
          <w:sz w:val="24"/>
          <w:szCs w:val="24"/>
        </w:rPr>
        <w:t>they had used illicit drugs in the previous 12 months, compared to 13 per cent among non-Indigenous parents (AIHW analysis of NDSHS). These estimates should be treated with caution due to the small sample sizes for Indigenous people in the 2010 Survey.</w:t>
      </w:r>
    </w:p>
    <w:p w:rsidR="00D0122C" w:rsidRPr="00821556" w:rsidRDefault="00D0122C" w:rsidP="00D0122C">
      <w:pPr>
        <w:rPr>
          <w:rFonts w:ascii="Calibri" w:hAnsi="Calibri" w:cs="Calibri"/>
          <w:sz w:val="24"/>
          <w:szCs w:val="24"/>
        </w:rPr>
      </w:pPr>
    </w:p>
    <w:p w:rsidR="00D0122C" w:rsidRPr="00821556" w:rsidRDefault="00FC088D" w:rsidP="00520DEC">
      <w:pPr>
        <w:pStyle w:val="Figure"/>
        <w:ind w:right="2527"/>
      </w:pPr>
      <w:bookmarkStart w:id="149" w:name="_Toc400010301"/>
      <w:r>
        <w:t xml:space="preserve">Table </w:t>
      </w:r>
      <w:fldSimple w:instr=" SEQ Table \* ARABIC ">
        <w:r w:rsidR="00BF1EC9">
          <w:rPr>
            <w:noProof/>
          </w:rPr>
          <w:t>15</w:t>
        </w:r>
      </w:fldSimple>
      <w:r>
        <w:t xml:space="preserve">: </w:t>
      </w:r>
      <w:r w:rsidR="00611620">
        <w:t>Illicit drug</w:t>
      </w:r>
      <w:r w:rsidR="00611620" w:rsidRPr="00821556">
        <w:t xml:space="preserve"> </w:t>
      </w:r>
      <w:r w:rsidRPr="00821556">
        <w:t xml:space="preserve">use </w:t>
      </w:r>
      <w:r>
        <w:t xml:space="preserve">in the past 12 months </w:t>
      </w:r>
      <w:r w:rsidRPr="00821556">
        <w:t>among parents with children aged 0–14 years,</w:t>
      </w:r>
      <w:r w:rsidR="00520DEC">
        <w:t xml:space="preserve"> </w:t>
      </w:r>
      <w:r w:rsidRPr="00821556">
        <w:t>2007 and 2010</w:t>
      </w:r>
      <w:bookmarkEnd w:id="149"/>
    </w:p>
    <w:tbl>
      <w:tblPr>
        <w:tblW w:w="4298" w:type="pct"/>
        <w:tblLook w:val="04A0" w:firstRow="1" w:lastRow="0" w:firstColumn="1" w:lastColumn="0" w:noHBand="0" w:noVBand="1"/>
        <w:tblDescription w:val="Table 15: Illicit drug use in the past 12 months among parents with children aged 0–14 years, 2007 and 2010"/>
      </w:tblPr>
      <w:tblGrid>
        <w:gridCol w:w="3510"/>
        <w:gridCol w:w="1417"/>
        <w:gridCol w:w="1418"/>
        <w:gridCol w:w="1418"/>
        <w:gridCol w:w="1418"/>
      </w:tblGrid>
      <w:tr w:rsidR="00861132" w:rsidRPr="00821556" w:rsidTr="00861132">
        <w:trPr>
          <w:trHeight w:val="290"/>
        </w:trPr>
        <w:tc>
          <w:tcPr>
            <w:tcW w:w="1912" w:type="pct"/>
            <w:tcBorders>
              <w:top w:val="single" w:sz="4" w:space="0" w:color="auto"/>
              <w:bottom w:val="single" w:sz="4" w:space="0" w:color="auto"/>
            </w:tcBorders>
            <w:shd w:val="clear" w:color="auto" w:fill="auto"/>
            <w:vAlign w:val="bottom"/>
          </w:tcPr>
          <w:p w:rsidR="00861132" w:rsidRPr="00821556" w:rsidRDefault="00861132" w:rsidP="00135409">
            <w:pPr>
              <w:pStyle w:val="TableFigHeadingtotal"/>
              <w:rPr>
                <w:rFonts w:cs="Arial"/>
              </w:rPr>
            </w:pPr>
          </w:p>
        </w:tc>
        <w:tc>
          <w:tcPr>
            <w:tcW w:w="772" w:type="pct"/>
            <w:tcBorders>
              <w:top w:val="single" w:sz="4" w:space="0" w:color="auto"/>
              <w:bottom w:val="single" w:sz="4" w:space="0" w:color="auto"/>
            </w:tcBorders>
            <w:shd w:val="clear" w:color="auto" w:fill="auto"/>
            <w:vAlign w:val="bottom"/>
          </w:tcPr>
          <w:p w:rsidR="00861132" w:rsidRPr="00821556" w:rsidRDefault="00861132" w:rsidP="00135409">
            <w:pPr>
              <w:pStyle w:val="TableFigHeadingtotal"/>
              <w:jc w:val="right"/>
              <w:rPr>
                <w:rFonts w:cs="Arial"/>
              </w:rPr>
            </w:pPr>
            <w:r w:rsidRPr="00821556">
              <w:rPr>
                <w:rFonts w:cs="Arial"/>
                <w:bCs/>
              </w:rPr>
              <w:t>Adults with children</w:t>
            </w:r>
            <w:r w:rsidRPr="00821556">
              <w:rPr>
                <w:rFonts w:cs="Arial"/>
                <w:bCs/>
                <w:vertAlign w:val="superscript"/>
              </w:rPr>
              <w:t>(a)</w:t>
            </w:r>
            <w:r>
              <w:rPr>
                <w:rFonts w:cs="Arial"/>
                <w:bCs/>
                <w:vertAlign w:val="superscript"/>
              </w:rPr>
              <w:br/>
            </w:r>
            <w:r w:rsidRPr="00821556">
              <w:rPr>
                <w:rFonts w:cs="Arial"/>
              </w:rPr>
              <w:t>2007</w:t>
            </w:r>
          </w:p>
        </w:tc>
        <w:tc>
          <w:tcPr>
            <w:tcW w:w="772" w:type="pct"/>
            <w:tcBorders>
              <w:top w:val="single" w:sz="4" w:space="0" w:color="auto"/>
              <w:bottom w:val="single" w:sz="4" w:space="0" w:color="auto"/>
            </w:tcBorders>
            <w:shd w:val="clear" w:color="auto" w:fill="auto"/>
            <w:vAlign w:val="bottom"/>
          </w:tcPr>
          <w:p w:rsidR="00861132" w:rsidRPr="00821556" w:rsidRDefault="00861132" w:rsidP="00135409">
            <w:pPr>
              <w:pStyle w:val="TableFigHeadingtotal"/>
              <w:jc w:val="right"/>
              <w:rPr>
                <w:rFonts w:cs="Arial"/>
              </w:rPr>
            </w:pPr>
            <w:r w:rsidRPr="00821556">
              <w:rPr>
                <w:rFonts w:cs="Arial"/>
                <w:bCs/>
              </w:rPr>
              <w:t>Adults with children</w:t>
            </w:r>
            <w:r w:rsidRPr="00821556">
              <w:rPr>
                <w:rFonts w:cs="Arial"/>
                <w:bCs/>
                <w:vertAlign w:val="superscript"/>
              </w:rPr>
              <w:t>(a)</w:t>
            </w:r>
            <w:r>
              <w:rPr>
                <w:rFonts w:cs="Arial"/>
                <w:bCs/>
                <w:vertAlign w:val="superscript"/>
              </w:rPr>
              <w:br/>
            </w:r>
            <w:r w:rsidRPr="00821556">
              <w:rPr>
                <w:rFonts w:cs="Arial"/>
              </w:rPr>
              <w:t>2010</w:t>
            </w:r>
          </w:p>
        </w:tc>
        <w:tc>
          <w:tcPr>
            <w:tcW w:w="772" w:type="pct"/>
            <w:tcBorders>
              <w:top w:val="single" w:sz="4" w:space="0" w:color="auto"/>
              <w:bottom w:val="single" w:sz="4" w:space="0" w:color="auto"/>
            </w:tcBorders>
            <w:shd w:val="clear" w:color="auto" w:fill="auto"/>
            <w:vAlign w:val="bottom"/>
          </w:tcPr>
          <w:p w:rsidR="00861132" w:rsidRPr="00821556" w:rsidRDefault="00861132" w:rsidP="00135409">
            <w:pPr>
              <w:pStyle w:val="TableFigHeadingtotal"/>
              <w:jc w:val="right"/>
              <w:rPr>
                <w:rFonts w:cs="Arial"/>
              </w:rPr>
            </w:pPr>
            <w:r w:rsidRPr="00821556">
              <w:rPr>
                <w:rFonts w:cs="Arial"/>
                <w:bCs/>
              </w:rPr>
              <w:t>Adults without children</w:t>
            </w:r>
            <w:r w:rsidRPr="00821556">
              <w:rPr>
                <w:rFonts w:cs="Arial"/>
                <w:bCs/>
                <w:vertAlign w:val="superscript"/>
              </w:rPr>
              <w:t>(a)</w:t>
            </w:r>
            <w:r>
              <w:rPr>
                <w:rFonts w:cs="Arial"/>
                <w:bCs/>
                <w:vertAlign w:val="superscript"/>
              </w:rPr>
              <w:br/>
            </w:r>
            <w:r w:rsidRPr="00821556">
              <w:rPr>
                <w:rFonts w:cs="Arial"/>
              </w:rPr>
              <w:t>2007</w:t>
            </w:r>
          </w:p>
        </w:tc>
        <w:tc>
          <w:tcPr>
            <w:tcW w:w="772" w:type="pct"/>
            <w:tcBorders>
              <w:top w:val="single" w:sz="4" w:space="0" w:color="auto"/>
              <w:bottom w:val="single" w:sz="4" w:space="0" w:color="auto"/>
            </w:tcBorders>
            <w:shd w:val="clear" w:color="auto" w:fill="auto"/>
            <w:vAlign w:val="bottom"/>
          </w:tcPr>
          <w:p w:rsidR="00861132" w:rsidRPr="00821556" w:rsidRDefault="00861132" w:rsidP="00135409">
            <w:pPr>
              <w:pStyle w:val="TableFigHeadingtotal"/>
              <w:jc w:val="right"/>
              <w:rPr>
                <w:rFonts w:cs="Arial"/>
              </w:rPr>
            </w:pPr>
            <w:r w:rsidRPr="00821556">
              <w:rPr>
                <w:rFonts w:cs="Arial"/>
                <w:bCs/>
              </w:rPr>
              <w:t>Adults without children</w:t>
            </w:r>
            <w:r w:rsidRPr="00821556">
              <w:rPr>
                <w:rFonts w:cs="Arial"/>
                <w:bCs/>
                <w:vertAlign w:val="superscript"/>
              </w:rPr>
              <w:t>(a)</w:t>
            </w:r>
            <w:r>
              <w:rPr>
                <w:rFonts w:cs="Arial"/>
                <w:bCs/>
                <w:vertAlign w:val="superscript"/>
              </w:rPr>
              <w:br/>
            </w:r>
            <w:r w:rsidRPr="00821556">
              <w:rPr>
                <w:rFonts w:cs="Arial"/>
              </w:rPr>
              <w:t>2010</w:t>
            </w:r>
          </w:p>
        </w:tc>
      </w:tr>
      <w:tr w:rsidR="00861132" w:rsidRPr="00821556" w:rsidTr="00861132">
        <w:trPr>
          <w:trHeight w:val="290"/>
        </w:trPr>
        <w:tc>
          <w:tcPr>
            <w:tcW w:w="1912" w:type="pct"/>
            <w:tcBorders>
              <w:top w:val="single" w:sz="4" w:space="0" w:color="auto"/>
            </w:tcBorders>
            <w:shd w:val="clear" w:color="auto" w:fill="auto"/>
            <w:vAlign w:val="bottom"/>
            <w:hideMark/>
          </w:tcPr>
          <w:p w:rsidR="00861132" w:rsidRPr="00821556" w:rsidRDefault="00861132" w:rsidP="00135409">
            <w:pPr>
              <w:pStyle w:val="TableFigText"/>
              <w:rPr>
                <w:rFonts w:cs="Arial"/>
              </w:rPr>
            </w:pPr>
            <w:r w:rsidRPr="00821556">
              <w:rPr>
                <w:rFonts w:cs="Arial"/>
              </w:rPr>
              <w:t>Used a licit substance for non-medical purposes</w:t>
            </w:r>
          </w:p>
        </w:tc>
        <w:tc>
          <w:tcPr>
            <w:tcW w:w="772" w:type="pct"/>
            <w:tcBorders>
              <w:top w:val="single" w:sz="4" w:space="0" w:color="auto"/>
            </w:tcBorders>
            <w:shd w:val="clear" w:color="auto" w:fill="auto"/>
            <w:vAlign w:val="bottom"/>
          </w:tcPr>
          <w:p w:rsidR="00861132" w:rsidRPr="00821556" w:rsidRDefault="00861132" w:rsidP="00135409">
            <w:pPr>
              <w:pStyle w:val="TableFigText"/>
              <w:jc w:val="right"/>
              <w:rPr>
                <w:rFonts w:cs="Arial"/>
                <w:i/>
                <w:iCs/>
                <w:highlight w:val="yellow"/>
              </w:rPr>
            </w:pPr>
            <w:r w:rsidRPr="00821556">
              <w:rPr>
                <w:rFonts w:cs="Arial"/>
              </w:rPr>
              <w:t>2.9</w:t>
            </w:r>
          </w:p>
        </w:tc>
        <w:tc>
          <w:tcPr>
            <w:tcW w:w="772" w:type="pct"/>
            <w:tcBorders>
              <w:top w:val="single" w:sz="4" w:space="0" w:color="auto"/>
            </w:tcBorders>
            <w:shd w:val="clear" w:color="auto" w:fill="auto"/>
            <w:vAlign w:val="bottom"/>
            <w:hideMark/>
          </w:tcPr>
          <w:p w:rsidR="00861132" w:rsidRPr="00821556" w:rsidRDefault="00861132" w:rsidP="00135409">
            <w:pPr>
              <w:pStyle w:val="TableFigText"/>
              <w:jc w:val="right"/>
              <w:rPr>
                <w:rFonts w:cs="Arial"/>
              </w:rPr>
            </w:pPr>
            <w:r w:rsidRPr="00821556">
              <w:rPr>
                <w:rFonts w:cs="Arial"/>
              </w:rPr>
              <w:t>3.1</w:t>
            </w:r>
          </w:p>
        </w:tc>
        <w:tc>
          <w:tcPr>
            <w:tcW w:w="772" w:type="pct"/>
            <w:tcBorders>
              <w:top w:val="single" w:sz="4" w:space="0" w:color="auto"/>
            </w:tcBorders>
            <w:shd w:val="clear" w:color="auto" w:fill="auto"/>
            <w:vAlign w:val="bottom"/>
          </w:tcPr>
          <w:p w:rsidR="00861132" w:rsidRPr="00821556" w:rsidRDefault="00861132" w:rsidP="00135409">
            <w:pPr>
              <w:pStyle w:val="TableFigText"/>
              <w:jc w:val="right"/>
              <w:rPr>
                <w:rFonts w:cs="Arial"/>
                <w:i/>
                <w:iCs/>
                <w:highlight w:val="yellow"/>
              </w:rPr>
            </w:pPr>
            <w:r w:rsidRPr="00821556">
              <w:rPr>
                <w:rFonts w:cs="Arial"/>
              </w:rPr>
              <w:t>4.2</w:t>
            </w:r>
          </w:p>
        </w:tc>
        <w:tc>
          <w:tcPr>
            <w:tcW w:w="772" w:type="pct"/>
            <w:tcBorders>
              <w:top w:val="single" w:sz="4" w:space="0" w:color="auto"/>
            </w:tcBorders>
            <w:shd w:val="clear" w:color="auto" w:fill="auto"/>
            <w:vAlign w:val="bottom"/>
            <w:hideMark/>
          </w:tcPr>
          <w:p w:rsidR="00861132" w:rsidRPr="00821556" w:rsidRDefault="00861132" w:rsidP="00135409">
            <w:pPr>
              <w:pStyle w:val="TableFigText"/>
              <w:jc w:val="right"/>
              <w:rPr>
                <w:rFonts w:cs="Arial"/>
              </w:rPr>
            </w:pPr>
            <w:r w:rsidRPr="00821556">
              <w:rPr>
                <w:rFonts w:cs="Arial"/>
              </w:rPr>
              <w:t>4.7</w:t>
            </w:r>
          </w:p>
        </w:tc>
      </w:tr>
      <w:tr w:rsidR="00861132" w:rsidRPr="00821556" w:rsidTr="00861132">
        <w:trPr>
          <w:trHeight w:val="290"/>
        </w:trPr>
        <w:tc>
          <w:tcPr>
            <w:tcW w:w="1912" w:type="pct"/>
            <w:shd w:val="clear" w:color="auto" w:fill="auto"/>
            <w:vAlign w:val="bottom"/>
            <w:hideMark/>
          </w:tcPr>
          <w:p w:rsidR="00861132" w:rsidRPr="00821556" w:rsidRDefault="00861132" w:rsidP="00135409">
            <w:pPr>
              <w:pStyle w:val="TableFigText"/>
              <w:rPr>
                <w:rFonts w:cs="Arial"/>
              </w:rPr>
            </w:pPr>
            <w:r w:rsidRPr="00821556">
              <w:rPr>
                <w:rFonts w:cs="Arial"/>
              </w:rPr>
              <w:t xml:space="preserve">Used any illicit substance </w:t>
            </w:r>
          </w:p>
        </w:tc>
        <w:tc>
          <w:tcPr>
            <w:tcW w:w="772" w:type="pct"/>
            <w:shd w:val="clear" w:color="auto" w:fill="auto"/>
            <w:vAlign w:val="bottom"/>
          </w:tcPr>
          <w:p w:rsidR="00861132" w:rsidRPr="00821556" w:rsidRDefault="00861132" w:rsidP="00135409">
            <w:pPr>
              <w:pStyle w:val="TableFigText"/>
              <w:jc w:val="right"/>
              <w:rPr>
                <w:rFonts w:cs="Arial"/>
                <w:i/>
                <w:iCs/>
                <w:highlight w:val="yellow"/>
              </w:rPr>
            </w:pPr>
            <w:r w:rsidRPr="00821556">
              <w:rPr>
                <w:rFonts w:cs="Arial"/>
              </w:rPr>
              <w:t>10.2</w:t>
            </w:r>
          </w:p>
        </w:tc>
        <w:tc>
          <w:tcPr>
            <w:tcW w:w="772" w:type="pct"/>
            <w:shd w:val="clear" w:color="auto" w:fill="auto"/>
            <w:vAlign w:val="bottom"/>
            <w:hideMark/>
          </w:tcPr>
          <w:p w:rsidR="00861132" w:rsidRPr="00821556" w:rsidRDefault="00861132" w:rsidP="00135409">
            <w:pPr>
              <w:pStyle w:val="TableFigText"/>
              <w:jc w:val="right"/>
              <w:rPr>
                <w:rFonts w:cs="Arial"/>
              </w:rPr>
            </w:pPr>
            <w:r w:rsidRPr="00821556">
              <w:rPr>
                <w:rFonts w:cs="Arial"/>
              </w:rPr>
              <w:t>11.1</w:t>
            </w:r>
          </w:p>
        </w:tc>
        <w:tc>
          <w:tcPr>
            <w:tcW w:w="772" w:type="pct"/>
            <w:shd w:val="clear" w:color="auto" w:fill="auto"/>
            <w:vAlign w:val="bottom"/>
          </w:tcPr>
          <w:p w:rsidR="00861132" w:rsidRPr="00821556" w:rsidRDefault="00861132" w:rsidP="00135409">
            <w:pPr>
              <w:pStyle w:val="TableFigText"/>
              <w:jc w:val="right"/>
              <w:rPr>
                <w:rFonts w:cs="Arial"/>
                <w:i/>
                <w:iCs/>
                <w:highlight w:val="yellow"/>
              </w:rPr>
            </w:pPr>
            <w:r w:rsidRPr="00821556">
              <w:rPr>
                <w:rFonts w:cs="Arial"/>
              </w:rPr>
              <w:t>11.8</w:t>
            </w:r>
          </w:p>
        </w:tc>
        <w:tc>
          <w:tcPr>
            <w:tcW w:w="772" w:type="pct"/>
            <w:shd w:val="clear" w:color="auto" w:fill="auto"/>
            <w:vAlign w:val="bottom"/>
            <w:hideMark/>
          </w:tcPr>
          <w:p w:rsidR="00861132" w:rsidRPr="00821556" w:rsidRDefault="00861132" w:rsidP="00135409">
            <w:pPr>
              <w:pStyle w:val="TableFigText"/>
              <w:jc w:val="right"/>
              <w:rPr>
                <w:rFonts w:cs="Arial"/>
              </w:rPr>
            </w:pPr>
            <w:r w:rsidRPr="00821556">
              <w:rPr>
                <w:rFonts w:cs="Arial"/>
              </w:rPr>
              <w:t>13.1</w:t>
            </w:r>
          </w:p>
        </w:tc>
      </w:tr>
      <w:tr w:rsidR="00861132" w:rsidRPr="00821556" w:rsidTr="00861132">
        <w:trPr>
          <w:trHeight w:val="440"/>
        </w:trPr>
        <w:tc>
          <w:tcPr>
            <w:tcW w:w="1912" w:type="pct"/>
            <w:tcBorders>
              <w:bottom w:val="single" w:sz="4" w:space="0" w:color="auto"/>
            </w:tcBorders>
            <w:shd w:val="clear" w:color="auto" w:fill="auto"/>
            <w:vAlign w:val="bottom"/>
            <w:hideMark/>
          </w:tcPr>
          <w:p w:rsidR="00861132" w:rsidRPr="00821556" w:rsidRDefault="00861132" w:rsidP="00135409">
            <w:pPr>
              <w:pStyle w:val="TableFigText"/>
              <w:rPr>
                <w:rFonts w:cs="Arial"/>
                <w:b/>
                <w:bCs/>
              </w:rPr>
            </w:pPr>
            <w:r w:rsidRPr="00821556">
              <w:rPr>
                <w:rFonts w:cs="Arial"/>
                <w:b/>
                <w:bCs/>
              </w:rPr>
              <w:t>Used any illicit substance or licit substance for non-medical purposes</w:t>
            </w:r>
          </w:p>
        </w:tc>
        <w:tc>
          <w:tcPr>
            <w:tcW w:w="772" w:type="pct"/>
            <w:tcBorders>
              <w:bottom w:val="single" w:sz="4" w:space="0" w:color="auto"/>
            </w:tcBorders>
            <w:shd w:val="clear" w:color="auto" w:fill="auto"/>
            <w:vAlign w:val="bottom"/>
          </w:tcPr>
          <w:p w:rsidR="00861132" w:rsidRPr="00821556" w:rsidRDefault="00861132" w:rsidP="00135409">
            <w:pPr>
              <w:pStyle w:val="TableFigText"/>
              <w:jc w:val="right"/>
              <w:rPr>
                <w:rFonts w:cs="Arial"/>
                <w:i/>
                <w:iCs/>
                <w:highlight w:val="yellow"/>
              </w:rPr>
            </w:pPr>
            <w:r w:rsidRPr="00821556">
              <w:rPr>
                <w:rFonts w:cs="Arial"/>
                <w:b/>
                <w:bCs/>
              </w:rPr>
              <w:t>12.4</w:t>
            </w:r>
          </w:p>
        </w:tc>
        <w:tc>
          <w:tcPr>
            <w:tcW w:w="772" w:type="pct"/>
            <w:tcBorders>
              <w:bottom w:val="single" w:sz="4" w:space="0" w:color="auto"/>
            </w:tcBorders>
            <w:shd w:val="clear" w:color="auto" w:fill="auto"/>
            <w:vAlign w:val="bottom"/>
            <w:hideMark/>
          </w:tcPr>
          <w:p w:rsidR="00861132" w:rsidRPr="00821556" w:rsidRDefault="00861132" w:rsidP="00135409">
            <w:pPr>
              <w:pStyle w:val="TableFigText"/>
              <w:jc w:val="right"/>
              <w:rPr>
                <w:rFonts w:cs="Arial"/>
                <w:b/>
                <w:bCs/>
              </w:rPr>
            </w:pPr>
            <w:r w:rsidRPr="00821556">
              <w:rPr>
                <w:rFonts w:cs="Arial"/>
                <w:b/>
                <w:bCs/>
              </w:rPr>
              <w:t>13.1</w:t>
            </w:r>
          </w:p>
        </w:tc>
        <w:tc>
          <w:tcPr>
            <w:tcW w:w="772" w:type="pct"/>
            <w:tcBorders>
              <w:bottom w:val="single" w:sz="4" w:space="0" w:color="auto"/>
            </w:tcBorders>
            <w:shd w:val="clear" w:color="auto" w:fill="auto"/>
            <w:vAlign w:val="bottom"/>
          </w:tcPr>
          <w:p w:rsidR="00861132" w:rsidRPr="00821556" w:rsidRDefault="00861132" w:rsidP="00135409">
            <w:pPr>
              <w:pStyle w:val="TableFigText"/>
              <w:jc w:val="right"/>
              <w:rPr>
                <w:rFonts w:cs="Arial"/>
                <w:i/>
                <w:iCs/>
                <w:highlight w:val="yellow"/>
              </w:rPr>
            </w:pPr>
            <w:r w:rsidRPr="00821556">
              <w:rPr>
                <w:rFonts w:cs="Arial"/>
                <w:b/>
                <w:bCs/>
              </w:rPr>
              <w:t>14.5</w:t>
            </w:r>
          </w:p>
        </w:tc>
        <w:tc>
          <w:tcPr>
            <w:tcW w:w="772" w:type="pct"/>
            <w:tcBorders>
              <w:bottom w:val="single" w:sz="4" w:space="0" w:color="auto"/>
            </w:tcBorders>
            <w:shd w:val="clear" w:color="auto" w:fill="auto"/>
            <w:vAlign w:val="bottom"/>
            <w:hideMark/>
          </w:tcPr>
          <w:p w:rsidR="00861132" w:rsidRPr="00821556" w:rsidRDefault="00861132" w:rsidP="00135409">
            <w:pPr>
              <w:pStyle w:val="TableFigText"/>
              <w:jc w:val="right"/>
              <w:rPr>
                <w:rFonts w:cs="Arial"/>
                <w:b/>
                <w:bCs/>
              </w:rPr>
            </w:pPr>
            <w:r w:rsidRPr="00821556">
              <w:rPr>
                <w:rFonts w:cs="Arial"/>
                <w:b/>
                <w:bCs/>
              </w:rPr>
              <w:t>16.0</w:t>
            </w:r>
          </w:p>
        </w:tc>
      </w:tr>
    </w:tbl>
    <w:p w:rsidR="00D0122C" w:rsidRPr="00EA7C35" w:rsidRDefault="00D0122C" w:rsidP="009F4D81">
      <w:pPr>
        <w:pStyle w:val="StyleArial7ptLeft0cmHanging05cmBefore6pt"/>
        <w:ind w:left="284" w:hanging="284"/>
      </w:pPr>
      <w:r w:rsidRPr="00EA7C35">
        <w:t>(a)</w:t>
      </w:r>
      <w:r w:rsidRPr="00EA7C35">
        <w:tab/>
        <w:t>Adults are persons aged 18 years or more. ‘Children’ are dependent children aged 0</w:t>
      </w:r>
      <w:r w:rsidR="00945F81" w:rsidRPr="00EA7C35">
        <w:t xml:space="preserve"> to </w:t>
      </w:r>
      <w:r w:rsidRPr="00EA7C35">
        <w:t>14 years.</w:t>
      </w:r>
    </w:p>
    <w:p w:rsidR="00D0122C" w:rsidRPr="00EA7C35" w:rsidRDefault="00D0122C" w:rsidP="00D66FAA">
      <w:pPr>
        <w:pStyle w:val="StyleArial7ptLeft0cmHanging05cmBefore6pt"/>
      </w:pPr>
      <w:r w:rsidRPr="00EA7C35">
        <w:t xml:space="preserve">Source: </w:t>
      </w:r>
      <w:r w:rsidR="00611620" w:rsidRPr="00EA7C35">
        <w:t xml:space="preserve">AIHW analysis of </w:t>
      </w:r>
      <w:r w:rsidRPr="00EA7C35">
        <w:t>N</w:t>
      </w:r>
      <w:r w:rsidR="00CC16F4" w:rsidRPr="00EA7C35">
        <w:t>DSHS</w:t>
      </w:r>
      <w:r w:rsidR="00611620" w:rsidRPr="00EA7C35">
        <w:t>, previously published by FaHCSIA</w:t>
      </w:r>
      <w:r w:rsidR="00E91509" w:rsidRPr="00EA7C35">
        <w:t xml:space="preserve"> </w:t>
      </w:r>
      <w:r w:rsidR="00AD31AA" w:rsidRPr="00EA7C35">
        <w:t xml:space="preserve">(now DSS) </w:t>
      </w:r>
      <w:r w:rsidR="00611620" w:rsidRPr="00EA7C35">
        <w:t>2013</w:t>
      </w:r>
      <w:r w:rsidRPr="00EA7C35">
        <w:t xml:space="preserve">. </w:t>
      </w:r>
    </w:p>
    <w:p w:rsidR="00D0122C" w:rsidRPr="00EA7C35" w:rsidRDefault="00D0122C" w:rsidP="00EA7C35">
      <w:pPr>
        <w:rPr>
          <w:rFonts w:ascii="Calibri" w:hAnsi="Calibri"/>
          <w:sz w:val="24"/>
        </w:rPr>
      </w:pPr>
    </w:p>
    <w:p w:rsidR="00D0122C" w:rsidRDefault="00D0122C" w:rsidP="004B3342">
      <w:pPr>
        <w:pStyle w:val="Heading4a"/>
      </w:pPr>
      <w:r>
        <w:t xml:space="preserve">Indicator </w:t>
      </w:r>
      <w:r w:rsidRPr="0060478E">
        <w:t>3.2</w:t>
      </w:r>
      <w:r>
        <w:t xml:space="preserve">: </w:t>
      </w:r>
      <w:r w:rsidRPr="0060478E">
        <w:t>Proportion of parents with children aged 0–14 years who drank alcohol at risky levels</w:t>
      </w:r>
    </w:p>
    <w:p w:rsidR="00D0122C" w:rsidRPr="00030E95" w:rsidRDefault="00D0122C" w:rsidP="00D0122C">
      <w:pPr>
        <w:rPr>
          <w:rFonts w:ascii="Calibri" w:hAnsi="Calibri" w:cs="Calibri"/>
          <w:sz w:val="24"/>
          <w:szCs w:val="24"/>
        </w:rPr>
      </w:pPr>
    </w:p>
    <w:p w:rsidR="00D0122C" w:rsidRDefault="00D0122C" w:rsidP="00D0122C">
      <w:pPr>
        <w:rPr>
          <w:rFonts w:ascii="Calibri" w:hAnsi="Calibri" w:cs="Calibri"/>
          <w:sz w:val="24"/>
          <w:szCs w:val="24"/>
        </w:rPr>
      </w:pPr>
      <w:r>
        <w:rPr>
          <w:rFonts w:ascii="Calibri" w:hAnsi="Calibri" w:cs="Calibri"/>
          <w:sz w:val="24"/>
          <w:szCs w:val="24"/>
        </w:rPr>
        <w:t xml:space="preserve">The 2010 </w:t>
      </w:r>
      <w:r w:rsidR="00AE5291">
        <w:rPr>
          <w:rFonts w:ascii="Calibri" w:hAnsi="Calibri" w:cs="Calibri"/>
          <w:sz w:val="24"/>
          <w:szCs w:val="24"/>
        </w:rPr>
        <w:t>NDSHS</w:t>
      </w:r>
      <w:r>
        <w:rPr>
          <w:rFonts w:ascii="Calibri" w:hAnsi="Calibri" w:cs="Calibri"/>
          <w:sz w:val="24"/>
          <w:szCs w:val="24"/>
        </w:rPr>
        <w:t xml:space="preserve"> reports alcohol consumption using</w:t>
      </w:r>
      <w:r w:rsidRPr="00BE7B0D">
        <w:rPr>
          <w:rFonts w:ascii="Calibri" w:hAnsi="Calibri" w:cs="Calibri"/>
          <w:sz w:val="24"/>
          <w:szCs w:val="24"/>
        </w:rPr>
        <w:t xml:space="preserve"> the 2009 National </w:t>
      </w:r>
      <w:r>
        <w:rPr>
          <w:rFonts w:ascii="Calibri" w:hAnsi="Calibri" w:cs="Calibri"/>
          <w:sz w:val="24"/>
          <w:szCs w:val="24"/>
        </w:rPr>
        <w:t xml:space="preserve">Health and </w:t>
      </w:r>
      <w:r w:rsidRPr="00BE7B0D">
        <w:rPr>
          <w:rFonts w:ascii="Calibri" w:hAnsi="Calibri" w:cs="Calibri"/>
          <w:sz w:val="24"/>
          <w:szCs w:val="24"/>
        </w:rPr>
        <w:t xml:space="preserve">Medical Research Council </w:t>
      </w:r>
      <w:r w:rsidR="004D3907">
        <w:rPr>
          <w:rFonts w:ascii="Calibri" w:hAnsi="Calibri" w:cs="Calibri"/>
          <w:sz w:val="24"/>
          <w:szCs w:val="24"/>
        </w:rPr>
        <w:t xml:space="preserve">(NHMRC) </w:t>
      </w:r>
      <w:r w:rsidRPr="00BE7B0D">
        <w:rPr>
          <w:rFonts w:ascii="Calibri" w:hAnsi="Calibri" w:cs="Calibri"/>
          <w:sz w:val="24"/>
          <w:szCs w:val="24"/>
        </w:rPr>
        <w:t>guideline</w:t>
      </w:r>
      <w:r>
        <w:rPr>
          <w:rFonts w:ascii="Calibri" w:hAnsi="Calibri" w:cs="Calibri"/>
          <w:sz w:val="24"/>
          <w:szCs w:val="24"/>
        </w:rPr>
        <w:t xml:space="preserve">s, </w:t>
      </w:r>
      <w:r w:rsidRPr="00800850">
        <w:rPr>
          <w:rFonts w:ascii="Calibri" w:hAnsi="Calibri" w:cs="Calibri"/>
          <w:sz w:val="24"/>
          <w:szCs w:val="24"/>
        </w:rPr>
        <w:t>which include definitions of ‘lifetime risk’ and ‘single occasion risk’</w:t>
      </w:r>
      <w:r w:rsidR="00611620">
        <w:rPr>
          <w:rFonts w:ascii="Calibri" w:hAnsi="Calibri" w:cs="Calibri"/>
          <w:sz w:val="24"/>
          <w:szCs w:val="24"/>
        </w:rPr>
        <w:t xml:space="preserve"> </w:t>
      </w:r>
      <w:r w:rsidR="00611620" w:rsidRPr="00611620">
        <w:rPr>
          <w:rFonts w:ascii="Calibri" w:hAnsi="Calibri" w:cs="Calibri"/>
          <w:sz w:val="24"/>
          <w:szCs w:val="24"/>
        </w:rPr>
        <w:t>(AIHW 2011b)</w:t>
      </w:r>
      <w:r>
        <w:rPr>
          <w:rFonts w:ascii="Calibri" w:hAnsi="Calibri" w:cs="Calibri"/>
          <w:sz w:val="24"/>
          <w:szCs w:val="24"/>
        </w:rPr>
        <w:t>:</w:t>
      </w:r>
    </w:p>
    <w:p w:rsidR="00D0122C" w:rsidRPr="00BE7B0D" w:rsidRDefault="00D0122C" w:rsidP="00824846">
      <w:pPr>
        <w:pStyle w:val="ListBullet"/>
      </w:pPr>
      <w:r w:rsidRPr="00BE7B0D">
        <w:rPr>
          <w:i/>
        </w:rPr>
        <w:t>Guideline 1: Reducing the risk of alcohol-related harm over a lifetime</w:t>
      </w:r>
      <w:r w:rsidRPr="00BE7B0D">
        <w:t xml:space="preserve"> </w:t>
      </w:r>
      <w:r>
        <w:br/>
      </w:r>
      <w:proofErr w:type="gramStart"/>
      <w:r w:rsidRPr="00BE7B0D">
        <w:t>For</w:t>
      </w:r>
      <w:proofErr w:type="gramEnd"/>
      <w:r w:rsidRPr="00BE7B0D">
        <w:t xml:space="preserve"> healthy men and women, drinking no more than </w:t>
      </w:r>
      <w:r w:rsidR="00D12115">
        <w:t>two</w:t>
      </w:r>
      <w:r w:rsidR="00D12115" w:rsidRPr="00BE7B0D">
        <w:t xml:space="preserve"> </w:t>
      </w:r>
      <w:r w:rsidRPr="00BE7B0D">
        <w:t>standard drinks on any day reduces the lifetime risk of harm from alcohol-related disease or injury.</w:t>
      </w:r>
    </w:p>
    <w:p w:rsidR="00D0122C" w:rsidRPr="00BE7B0D" w:rsidRDefault="00D0122C" w:rsidP="00824846">
      <w:pPr>
        <w:pStyle w:val="ListBullet"/>
      </w:pPr>
      <w:r w:rsidRPr="00BE7B0D">
        <w:rPr>
          <w:i/>
        </w:rPr>
        <w:t>Guideline 2: Reducing the risk of injury on a single occasion of drinking</w:t>
      </w:r>
      <w:r w:rsidRPr="00BE7B0D">
        <w:t xml:space="preserve"> </w:t>
      </w:r>
      <w:r>
        <w:br/>
      </w:r>
      <w:proofErr w:type="gramStart"/>
      <w:r w:rsidRPr="00BE7B0D">
        <w:t>For</w:t>
      </w:r>
      <w:proofErr w:type="gramEnd"/>
      <w:r w:rsidRPr="00BE7B0D">
        <w:t xml:space="preserve"> healthy men and women, drinking no more than </w:t>
      </w:r>
      <w:r w:rsidR="00D12115">
        <w:t>four</w:t>
      </w:r>
      <w:r w:rsidR="00D12115" w:rsidRPr="00BE7B0D">
        <w:t xml:space="preserve"> </w:t>
      </w:r>
      <w:r w:rsidRPr="00BE7B0D">
        <w:t>standard drinks on a single occasion reduces the risk of alcohol-related injury arising from that occasion.</w:t>
      </w:r>
    </w:p>
    <w:p w:rsidR="00824846" w:rsidRDefault="00824846" w:rsidP="00D0122C">
      <w:pPr>
        <w:rPr>
          <w:rFonts w:ascii="Calibri" w:hAnsi="Calibri" w:cs="Calibri"/>
          <w:sz w:val="24"/>
          <w:szCs w:val="24"/>
        </w:rPr>
      </w:pPr>
    </w:p>
    <w:p w:rsidR="00D0122C" w:rsidRDefault="00611620" w:rsidP="00D0122C">
      <w:pPr>
        <w:rPr>
          <w:rFonts w:ascii="Calibri" w:hAnsi="Calibri" w:cs="Calibri"/>
          <w:sz w:val="24"/>
          <w:szCs w:val="24"/>
        </w:rPr>
      </w:pPr>
      <w:r>
        <w:rPr>
          <w:rFonts w:ascii="Calibri" w:hAnsi="Calibri" w:cs="Calibri"/>
          <w:sz w:val="24"/>
          <w:szCs w:val="24"/>
        </w:rPr>
        <w:t>The</w:t>
      </w:r>
      <w:r w:rsidRPr="00800850">
        <w:rPr>
          <w:rFonts w:ascii="Calibri" w:hAnsi="Calibri" w:cs="Calibri"/>
          <w:sz w:val="24"/>
          <w:szCs w:val="24"/>
        </w:rPr>
        <w:t xml:space="preserve"> </w:t>
      </w:r>
      <w:r w:rsidR="00D0122C" w:rsidRPr="00800850">
        <w:rPr>
          <w:rFonts w:ascii="Calibri" w:hAnsi="Calibri" w:cs="Calibri"/>
          <w:sz w:val="24"/>
          <w:szCs w:val="24"/>
        </w:rPr>
        <w:t>2010</w:t>
      </w:r>
      <w:r>
        <w:rPr>
          <w:rFonts w:ascii="Calibri" w:hAnsi="Calibri" w:cs="Calibri"/>
          <w:sz w:val="24"/>
          <w:szCs w:val="24"/>
        </w:rPr>
        <w:t xml:space="preserve"> NDSHS found that</w:t>
      </w:r>
      <w:r w:rsidR="00D0122C" w:rsidRPr="00800850">
        <w:rPr>
          <w:rFonts w:ascii="Calibri" w:hAnsi="Calibri" w:cs="Calibri"/>
          <w:sz w:val="24"/>
          <w:szCs w:val="24"/>
        </w:rPr>
        <w:t xml:space="preserve"> an estimated </w:t>
      </w:r>
      <w:r w:rsidR="00D0122C">
        <w:rPr>
          <w:rFonts w:ascii="Calibri" w:hAnsi="Calibri" w:cs="Calibri"/>
          <w:sz w:val="24"/>
          <w:szCs w:val="24"/>
        </w:rPr>
        <w:t>one-fifth (</w:t>
      </w:r>
      <w:r w:rsidR="00D0122C" w:rsidRPr="00800850">
        <w:rPr>
          <w:rFonts w:ascii="Calibri" w:hAnsi="Calibri" w:cs="Calibri"/>
          <w:sz w:val="24"/>
          <w:szCs w:val="24"/>
        </w:rPr>
        <w:t>20</w:t>
      </w:r>
      <w:r w:rsidR="00D0122C">
        <w:rPr>
          <w:rFonts w:ascii="Calibri" w:hAnsi="Calibri" w:cs="Calibri"/>
          <w:sz w:val="24"/>
          <w:szCs w:val="24"/>
        </w:rPr>
        <w:t xml:space="preserve"> per cent)</w:t>
      </w:r>
      <w:r w:rsidR="00D0122C" w:rsidRPr="00800850">
        <w:rPr>
          <w:rFonts w:ascii="Calibri" w:hAnsi="Calibri" w:cs="Calibri"/>
          <w:sz w:val="24"/>
          <w:szCs w:val="24"/>
        </w:rPr>
        <w:t xml:space="preserve"> of parents with dependent children aged 0</w:t>
      </w:r>
      <w:r w:rsidR="00945F81">
        <w:rPr>
          <w:rFonts w:ascii="Calibri" w:hAnsi="Calibri" w:cs="Calibri"/>
          <w:sz w:val="24"/>
          <w:szCs w:val="24"/>
        </w:rPr>
        <w:t xml:space="preserve"> to </w:t>
      </w:r>
      <w:r w:rsidR="00D0122C" w:rsidRPr="00800850">
        <w:rPr>
          <w:rFonts w:ascii="Calibri" w:hAnsi="Calibri" w:cs="Calibri"/>
          <w:sz w:val="24"/>
          <w:szCs w:val="24"/>
        </w:rPr>
        <w:t xml:space="preserve">14 drank at levels </w:t>
      </w:r>
      <w:r w:rsidR="00824846" w:rsidRPr="00800850">
        <w:rPr>
          <w:rFonts w:ascii="Calibri" w:hAnsi="Calibri" w:cs="Calibri"/>
          <w:sz w:val="24"/>
          <w:szCs w:val="24"/>
        </w:rPr>
        <w:t xml:space="preserve">risky </w:t>
      </w:r>
      <w:r w:rsidR="00D0122C" w:rsidRPr="00800850">
        <w:rPr>
          <w:rFonts w:ascii="Calibri" w:hAnsi="Calibri" w:cs="Calibri"/>
          <w:sz w:val="24"/>
          <w:szCs w:val="24"/>
        </w:rPr>
        <w:t xml:space="preserve">for </w:t>
      </w:r>
      <w:r w:rsidR="00D0122C">
        <w:rPr>
          <w:rFonts w:ascii="Calibri" w:hAnsi="Calibri" w:cs="Calibri"/>
          <w:sz w:val="24"/>
          <w:szCs w:val="24"/>
        </w:rPr>
        <w:t>lifetime</w:t>
      </w:r>
      <w:r w:rsidR="00D0122C" w:rsidRPr="00800850">
        <w:rPr>
          <w:rFonts w:ascii="Calibri" w:hAnsi="Calibri" w:cs="Calibri"/>
          <w:sz w:val="24"/>
          <w:szCs w:val="24"/>
        </w:rPr>
        <w:t xml:space="preserve"> harm.</w:t>
      </w:r>
      <w:r w:rsidR="00D0122C">
        <w:rPr>
          <w:rFonts w:ascii="Calibri" w:hAnsi="Calibri" w:cs="Calibri"/>
          <w:sz w:val="24"/>
          <w:szCs w:val="24"/>
        </w:rPr>
        <w:t xml:space="preserve"> </w:t>
      </w:r>
      <w:r w:rsidR="00D0122C" w:rsidRPr="00356F46">
        <w:rPr>
          <w:rFonts w:ascii="Calibri" w:hAnsi="Calibri" w:cs="Calibri"/>
          <w:sz w:val="24"/>
          <w:szCs w:val="24"/>
        </w:rPr>
        <w:t>An estimated 15</w:t>
      </w:r>
      <w:r w:rsidR="00D0122C">
        <w:rPr>
          <w:rFonts w:ascii="Calibri" w:hAnsi="Calibri" w:cs="Calibri"/>
          <w:sz w:val="24"/>
          <w:szCs w:val="24"/>
        </w:rPr>
        <w:t xml:space="preserve"> per cent</w:t>
      </w:r>
      <w:r w:rsidR="00D0122C" w:rsidRPr="00356F46">
        <w:rPr>
          <w:rFonts w:ascii="Calibri" w:hAnsi="Calibri" w:cs="Calibri"/>
          <w:sz w:val="24"/>
          <w:szCs w:val="24"/>
        </w:rPr>
        <w:t xml:space="preserve"> drank </w:t>
      </w:r>
      <w:r w:rsidR="00D0122C">
        <w:rPr>
          <w:rFonts w:ascii="Calibri" w:hAnsi="Calibri" w:cs="Calibri"/>
          <w:sz w:val="24"/>
          <w:szCs w:val="24"/>
        </w:rPr>
        <w:t xml:space="preserve">at levels </w:t>
      </w:r>
      <w:r w:rsidR="00824846">
        <w:rPr>
          <w:rFonts w:ascii="Calibri" w:hAnsi="Calibri" w:cs="Calibri"/>
          <w:sz w:val="24"/>
          <w:szCs w:val="24"/>
        </w:rPr>
        <w:t xml:space="preserve">risky </w:t>
      </w:r>
      <w:r w:rsidR="00D0122C">
        <w:rPr>
          <w:rFonts w:ascii="Calibri" w:hAnsi="Calibri" w:cs="Calibri"/>
          <w:sz w:val="24"/>
          <w:szCs w:val="24"/>
        </w:rPr>
        <w:t>for single</w:t>
      </w:r>
      <w:r w:rsidR="00153660">
        <w:rPr>
          <w:rFonts w:ascii="Calibri" w:hAnsi="Calibri" w:cs="Calibri"/>
          <w:sz w:val="24"/>
          <w:szCs w:val="24"/>
        </w:rPr>
        <w:t>-</w:t>
      </w:r>
      <w:r w:rsidR="00D0122C">
        <w:rPr>
          <w:rFonts w:ascii="Calibri" w:hAnsi="Calibri" w:cs="Calibri"/>
          <w:sz w:val="24"/>
          <w:szCs w:val="24"/>
        </w:rPr>
        <w:t xml:space="preserve">occasion harm </w:t>
      </w:r>
      <w:r w:rsidR="00D0122C" w:rsidRPr="00356F46">
        <w:rPr>
          <w:rFonts w:ascii="Calibri" w:hAnsi="Calibri" w:cs="Calibri"/>
          <w:sz w:val="24"/>
          <w:szCs w:val="24"/>
        </w:rPr>
        <w:t>at least</w:t>
      </w:r>
      <w:r w:rsidR="00D0122C">
        <w:rPr>
          <w:rFonts w:ascii="Calibri" w:hAnsi="Calibri" w:cs="Calibri"/>
          <w:sz w:val="24"/>
          <w:szCs w:val="24"/>
        </w:rPr>
        <w:t xml:space="preserve"> </w:t>
      </w:r>
      <w:r w:rsidR="00D0122C" w:rsidRPr="00356F46">
        <w:rPr>
          <w:rFonts w:ascii="Calibri" w:hAnsi="Calibri" w:cs="Calibri"/>
          <w:sz w:val="24"/>
          <w:szCs w:val="24"/>
        </w:rPr>
        <w:t>weekly</w:t>
      </w:r>
      <w:r w:rsidR="00D0122C">
        <w:rPr>
          <w:rFonts w:ascii="Calibri" w:hAnsi="Calibri" w:cs="Calibri"/>
          <w:sz w:val="24"/>
          <w:szCs w:val="24"/>
        </w:rPr>
        <w:t>,</w:t>
      </w:r>
      <w:r w:rsidR="00D0122C" w:rsidRPr="00356F46">
        <w:rPr>
          <w:rFonts w:ascii="Calibri" w:hAnsi="Calibri" w:cs="Calibri"/>
          <w:sz w:val="24"/>
          <w:szCs w:val="24"/>
        </w:rPr>
        <w:t xml:space="preserve"> and almost one-third (30</w:t>
      </w:r>
      <w:r w:rsidR="00D0122C">
        <w:rPr>
          <w:rFonts w:ascii="Calibri" w:hAnsi="Calibri" w:cs="Calibri"/>
          <w:sz w:val="24"/>
          <w:szCs w:val="24"/>
        </w:rPr>
        <w:t xml:space="preserve"> per cent</w:t>
      </w:r>
      <w:r w:rsidR="00D0122C" w:rsidRPr="00356F46">
        <w:rPr>
          <w:rFonts w:ascii="Calibri" w:hAnsi="Calibri" w:cs="Calibri"/>
          <w:sz w:val="24"/>
          <w:szCs w:val="24"/>
        </w:rPr>
        <w:t>) did so at least</w:t>
      </w:r>
      <w:r w:rsidR="00D0122C">
        <w:rPr>
          <w:rFonts w:ascii="Calibri" w:hAnsi="Calibri" w:cs="Calibri"/>
          <w:sz w:val="24"/>
          <w:szCs w:val="24"/>
        </w:rPr>
        <w:t xml:space="preserve"> </w:t>
      </w:r>
      <w:r w:rsidR="00D0122C" w:rsidRPr="00356F46">
        <w:rPr>
          <w:rFonts w:ascii="Calibri" w:hAnsi="Calibri" w:cs="Calibri"/>
          <w:sz w:val="24"/>
          <w:szCs w:val="24"/>
        </w:rPr>
        <w:t>monthly</w:t>
      </w:r>
      <w:r w:rsidR="00D0122C">
        <w:rPr>
          <w:rFonts w:ascii="Calibri" w:hAnsi="Calibri" w:cs="Calibri"/>
          <w:sz w:val="24"/>
          <w:szCs w:val="24"/>
        </w:rPr>
        <w:t xml:space="preserve"> (AIHW 2012a)</w:t>
      </w:r>
      <w:r w:rsidR="00D0122C" w:rsidRPr="00356F46">
        <w:rPr>
          <w:rFonts w:ascii="Calibri" w:hAnsi="Calibri" w:cs="Calibri"/>
          <w:sz w:val="24"/>
          <w:szCs w:val="24"/>
        </w:rPr>
        <w:t>.</w:t>
      </w:r>
    </w:p>
    <w:p w:rsidR="00611620" w:rsidRDefault="00611620" w:rsidP="00611620">
      <w:pPr>
        <w:rPr>
          <w:rFonts w:ascii="Calibri" w:hAnsi="Calibri" w:cs="Calibri"/>
          <w:sz w:val="24"/>
          <w:szCs w:val="24"/>
        </w:rPr>
      </w:pPr>
    </w:p>
    <w:p w:rsidR="00611620" w:rsidRPr="00611620" w:rsidRDefault="00611620" w:rsidP="00611620">
      <w:pPr>
        <w:rPr>
          <w:rFonts w:ascii="Calibri" w:hAnsi="Calibri" w:cs="Calibri"/>
          <w:sz w:val="24"/>
          <w:szCs w:val="24"/>
        </w:rPr>
      </w:pPr>
      <w:r w:rsidRPr="00611620">
        <w:rPr>
          <w:rFonts w:ascii="Calibri" w:hAnsi="Calibri" w:cs="Calibri"/>
          <w:sz w:val="24"/>
          <w:szCs w:val="24"/>
        </w:rPr>
        <w:t>The 2010 NDSHS provides the most recent data available on this topic for Indigenous Australians. Published data from earlier surveys, such as the 2007 NDSHS and the 2008 ABS National Aboriginal and Torres Strait Islander Social Survey, are based on the 2001 NHMRC guidelines and therefore are not comparable with the 2010 NDSHS.</w:t>
      </w:r>
    </w:p>
    <w:p w:rsidR="00611620" w:rsidRPr="00611620" w:rsidRDefault="00611620" w:rsidP="00611620">
      <w:pPr>
        <w:rPr>
          <w:rFonts w:ascii="Calibri" w:hAnsi="Calibri" w:cs="Calibri"/>
          <w:sz w:val="24"/>
          <w:szCs w:val="24"/>
        </w:rPr>
      </w:pPr>
    </w:p>
    <w:p w:rsidR="00611620" w:rsidRDefault="00611620" w:rsidP="00611620">
      <w:pPr>
        <w:rPr>
          <w:rFonts w:ascii="Calibri" w:hAnsi="Calibri" w:cs="Calibri"/>
          <w:sz w:val="24"/>
          <w:szCs w:val="24"/>
        </w:rPr>
      </w:pPr>
      <w:r w:rsidRPr="00611620">
        <w:rPr>
          <w:rFonts w:ascii="Calibri" w:hAnsi="Calibri" w:cs="Calibri"/>
          <w:sz w:val="24"/>
          <w:szCs w:val="24"/>
        </w:rPr>
        <w:t>In 2010, risky alcohol consumption was found to be higher among Aboriginal and Torres Strait Islander parents</w:t>
      </w:r>
      <w:r w:rsidR="00AE5291">
        <w:rPr>
          <w:rFonts w:ascii="Calibri" w:hAnsi="Calibri" w:cs="Calibri"/>
          <w:sz w:val="24"/>
          <w:szCs w:val="24"/>
        </w:rPr>
        <w:t>,</w:t>
      </w:r>
      <w:r w:rsidRPr="00611620">
        <w:rPr>
          <w:rFonts w:ascii="Calibri" w:hAnsi="Calibri" w:cs="Calibri"/>
          <w:sz w:val="24"/>
          <w:szCs w:val="24"/>
        </w:rPr>
        <w:t xml:space="preserve"> compared to their non-Indigenous counterparts. An estimated 33 per cent of Indigenous parents drank at risky levels for lifetime harm, compared to 20 per cent among non-Indigenous parents. Similarly, among Indigenous parents, 28 per cent drank at risky levels for single-occasion harm at least weekly, and 49 per cent did so at least monthly, compared with 15 and 30 per cent respectively among non-Indigenous parents (AIHW analysis of NDSHS). These estimates should be treated with caution due to the small sample sizes for Indigenous people in the 2010 Survey.</w:t>
      </w:r>
    </w:p>
    <w:p w:rsidR="00D0122C" w:rsidRDefault="00D0122C" w:rsidP="00376FDB">
      <w:pPr>
        <w:pStyle w:val="Heading3"/>
      </w:pPr>
      <w:bookmarkStart w:id="150" w:name="_Toc400007742"/>
      <w:r>
        <w:t>Parental mental health</w:t>
      </w:r>
      <w:bookmarkEnd w:id="150"/>
    </w:p>
    <w:p w:rsidR="00D0122C" w:rsidRDefault="00D0122C" w:rsidP="004B3342">
      <w:pPr>
        <w:pStyle w:val="Heading4a"/>
      </w:pPr>
      <w:r>
        <w:t xml:space="preserve">Indicator </w:t>
      </w:r>
      <w:r w:rsidRPr="0060478E">
        <w:t>3.3</w:t>
      </w:r>
      <w:r>
        <w:t xml:space="preserve">: </w:t>
      </w:r>
      <w:r w:rsidRPr="0060478E">
        <w:t xml:space="preserve">Proportion of parents with children aged 0–14 years who have a mental health problem </w:t>
      </w:r>
    </w:p>
    <w:p w:rsidR="00D0122C" w:rsidRPr="00DD2BEF" w:rsidRDefault="00D0122C" w:rsidP="00D0122C">
      <w:pPr>
        <w:rPr>
          <w:lang w:eastAsia="en-AU"/>
        </w:rPr>
      </w:pPr>
    </w:p>
    <w:p w:rsidR="00D0122C" w:rsidRDefault="00D0122C" w:rsidP="00D0122C">
      <w:pPr>
        <w:rPr>
          <w:rFonts w:ascii="Calibri" w:hAnsi="Calibri" w:cs="Calibri"/>
          <w:sz w:val="24"/>
          <w:szCs w:val="24"/>
        </w:rPr>
      </w:pPr>
      <w:r w:rsidRPr="007228A2">
        <w:rPr>
          <w:rFonts w:ascii="Calibri" w:hAnsi="Calibri" w:cs="Calibri"/>
          <w:sz w:val="24"/>
          <w:szCs w:val="24"/>
        </w:rPr>
        <w:t>Children living with a parent with a mental</w:t>
      </w:r>
      <w:r>
        <w:rPr>
          <w:rFonts w:ascii="Calibri" w:hAnsi="Calibri" w:cs="Calibri"/>
          <w:sz w:val="24"/>
          <w:szCs w:val="24"/>
        </w:rPr>
        <w:t xml:space="preserve"> </w:t>
      </w:r>
      <w:r w:rsidRPr="007228A2">
        <w:rPr>
          <w:rFonts w:ascii="Calibri" w:hAnsi="Calibri" w:cs="Calibri"/>
          <w:sz w:val="24"/>
          <w:szCs w:val="24"/>
        </w:rPr>
        <w:t>health problem may be at increased risk of social,</w:t>
      </w:r>
      <w:r>
        <w:rPr>
          <w:rFonts w:ascii="Calibri" w:hAnsi="Calibri" w:cs="Calibri"/>
          <w:sz w:val="24"/>
          <w:szCs w:val="24"/>
        </w:rPr>
        <w:t xml:space="preserve"> </w:t>
      </w:r>
      <w:r w:rsidRPr="007228A2">
        <w:rPr>
          <w:rFonts w:ascii="Calibri" w:hAnsi="Calibri" w:cs="Calibri"/>
          <w:sz w:val="24"/>
          <w:szCs w:val="24"/>
        </w:rPr>
        <w:t>psychological, behavioural and physical health</w:t>
      </w:r>
      <w:r>
        <w:rPr>
          <w:rFonts w:ascii="Calibri" w:hAnsi="Calibri" w:cs="Calibri"/>
          <w:sz w:val="24"/>
          <w:szCs w:val="24"/>
        </w:rPr>
        <w:t xml:space="preserve"> </w:t>
      </w:r>
      <w:r w:rsidRPr="007228A2">
        <w:rPr>
          <w:rFonts w:ascii="Calibri" w:hAnsi="Calibri" w:cs="Calibri"/>
          <w:sz w:val="24"/>
          <w:szCs w:val="24"/>
        </w:rPr>
        <w:t>problems, as well as cognitive development</w:t>
      </w:r>
      <w:r>
        <w:rPr>
          <w:rFonts w:ascii="Calibri" w:hAnsi="Calibri" w:cs="Calibri"/>
          <w:sz w:val="24"/>
          <w:szCs w:val="24"/>
        </w:rPr>
        <w:t xml:space="preserve"> </w:t>
      </w:r>
      <w:r w:rsidRPr="007228A2">
        <w:rPr>
          <w:rFonts w:ascii="Calibri" w:hAnsi="Calibri" w:cs="Calibri"/>
          <w:sz w:val="24"/>
          <w:szCs w:val="24"/>
        </w:rPr>
        <w:t>problems. They are also</w:t>
      </w:r>
      <w:r>
        <w:rPr>
          <w:rFonts w:ascii="Calibri" w:hAnsi="Calibri" w:cs="Calibri"/>
          <w:sz w:val="24"/>
          <w:szCs w:val="24"/>
        </w:rPr>
        <w:t xml:space="preserve"> </w:t>
      </w:r>
      <w:r w:rsidRPr="007228A2">
        <w:rPr>
          <w:rFonts w:ascii="Calibri" w:hAnsi="Calibri" w:cs="Calibri"/>
          <w:sz w:val="24"/>
          <w:szCs w:val="24"/>
        </w:rPr>
        <w:t>more likely to experience a psychological disorder</w:t>
      </w:r>
      <w:r>
        <w:rPr>
          <w:rFonts w:ascii="Calibri" w:hAnsi="Calibri" w:cs="Calibri"/>
          <w:sz w:val="24"/>
          <w:szCs w:val="24"/>
        </w:rPr>
        <w:t xml:space="preserve"> </w:t>
      </w:r>
      <w:r w:rsidRPr="007228A2">
        <w:rPr>
          <w:rFonts w:ascii="Calibri" w:hAnsi="Calibri" w:cs="Calibri"/>
          <w:sz w:val="24"/>
          <w:szCs w:val="24"/>
        </w:rPr>
        <w:t>during adolescence or adulthood (</w:t>
      </w:r>
      <w:r>
        <w:rPr>
          <w:rFonts w:ascii="Calibri" w:hAnsi="Calibri" w:cs="Calibri"/>
          <w:sz w:val="24"/>
          <w:szCs w:val="24"/>
        </w:rPr>
        <w:t>AIHW 2012a</w:t>
      </w:r>
      <w:r w:rsidRPr="007228A2">
        <w:rPr>
          <w:rFonts w:ascii="Calibri" w:hAnsi="Calibri" w:cs="Calibri"/>
          <w:sz w:val="24"/>
          <w:szCs w:val="24"/>
        </w:rPr>
        <w:t>).</w:t>
      </w:r>
      <w:r>
        <w:rPr>
          <w:rFonts w:ascii="Calibri" w:hAnsi="Calibri" w:cs="Calibri"/>
          <w:sz w:val="24"/>
          <w:szCs w:val="24"/>
        </w:rPr>
        <w:t xml:space="preserve"> </w:t>
      </w:r>
    </w:p>
    <w:p w:rsidR="00D0122C" w:rsidRDefault="00D0122C" w:rsidP="00D0122C">
      <w:pPr>
        <w:rPr>
          <w:rFonts w:ascii="Calibri" w:hAnsi="Calibri" w:cs="Calibri"/>
          <w:sz w:val="24"/>
          <w:szCs w:val="24"/>
        </w:rPr>
      </w:pPr>
    </w:p>
    <w:p w:rsidR="00D0122C" w:rsidRDefault="00D0122C" w:rsidP="00D0122C">
      <w:pPr>
        <w:rPr>
          <w:rFonts w:ascii="Calibri" w:hAnsi="Calibri" w:cs="Calibri"/>
          <w:sz w:val="24"/>
          <w:szCs w:val="24"/>
        </w:rPr>
      </w:pPr>
      <w:r>
        <w:rPr>
          <w:rFonts w:ascii="Calibri" w:hAnsi="Calibri" w:cs="Calibri"/>
          <w:sz w:val="24"/>
          <w:szCs w:val="24"/>
        </w:rPr>
        <w:t xml:space="preserve">The </w:t>
      </w:r>
      <w:r w:rsidRPr="00252514">
        <w:rPr>
          <w:rFonts w:ascii="Calibri" w:hAnsi="Calibri" w:cs="Calibri"/>
          <w:sz w:val="24"/>
          <w:szCs w:val="24"/>
        </w:rPr>
        <w:t>Household, Income and Labour Dynamics in Australia (HILDA) Survey measures mental health using the SF-36</w:t>
      </w:r>
      <w:r w:rsidR="00677155">
        <w:rPr>
          <w:rFonts w:ascii="Calibri" w:hAnsi="Calibri" w:cs="Calibri"/>
          <w:sz w:val="24"/>
          <w:szCs w:val="24"/>
        </w:rPr>
        <w:t xml:space="preserve">, </w:t>
      </w:r>
      <w:r w:rsidRPr="00252514">
        <w:rPr>
          <w:rFonts w:ascii="Calibri" w:hAnsi="Calibri" w:cs="Calibri"/>
          <w:sz w:val="24"/>
          <w:szCs w:val="24"/>
        </w:rPr>
        <w:t xml:space="preserve">a </w:t>
      </w:r>
      <w:r w:rsidR="00824846" w:rsidRPr="00252514">
        <w:rPr>
          <w:rFonts w:ascii="Calibri" w:hAnsi="Calibri" w:cs="Calibri"/>
          <w:sz w:val="24"/>
          <w:szCs w:val="24"/>
        </w:rPr>
        <w:t>36</w:t>
      </w:r>
      <w:r w:rsidR="00824846">
        <w:rPr>
          <w:rFonts w:ascii="Calibri" w:hAnsi="Calibri" w:cs="Calibri"/>
          <w:sz w:val="24"/>
          <w:szCs w:val="24"/>
        </w:rPr>
        <w:t>-</w:t>
      </w:r>
      <w:r w:rsidRPr="00252514">
        <w:rPr>
          <w:rFonts w:ascii="Calibri" w:hAnsi="Calibri" w:cs="Calibri"/>
          <w:sz w:val="24"/>
          <w:szCs w:val="24"/>
        </w:rPr>
        <w:t xml:space="preserve">item survey that measures </w:t>
      </w:r>
      <w:r w:rsidR="00824846">
        <w:rPr>
          <w:rFonts w:ascii="Calibri" w:hAnsi="Calibri" w:cs="Calibri"/>
          <w:sz w:val="24"/>
          <w:szCs w:val="24"/>
        </w:rPr>
        <w:t>eight</w:t>
      </w:r>
      <w:r w:rsidR="00824846" w:rsidRPr="00252514">
        <w:rPr>
          <w:rFonts w:ascii="Calibri" w:hAnsi="Calibri" w:cs="Calibri"/>
          <w:sz w:val="24"/>
          <w:szCs w:val="24"/>
        </w:rPr>
        <w:t xml:space="preserve"> </w:t>
      </w:r>
      <w:r w:rsidRPr="00252514">
        <w:rPr>
          <w:rFonts w:ascii="Calibri" w:hAnsi="Calibri" w:cs="Calibri"/>
          <w:sz w:val="24"/>
          <w:szCs w:val="24"/>
        </w:rPr>
        <w:t xml:space="preserve">domains of subjective health. Scale scores for each of the </w:t>
      </w:r>
      <w:r w:rsidR="00824846">
        <w:rPr>
          <w:rFonts w:ascii="Calibri" w:hAnsi="Calibri" w:cs="Calibri"/>
          <w:sz w:val="24"/>
          <w:szCs w:val="24"/>
        </w:rPr>
        <w:t>eight</w:t>
      </w:r>
      <w:r w:rsidR="00824846" w:rsidRPr="00252514">
        <w:rPr>
          <w:rFonts w:ascii="Calibri" w:hAnsi="Calibri" w:cs="Calibri"/>
          <w:sz w:val="24"/>
          <w:szCs w:val="24"/>
        </w:rPr>
        <w:t xml:space="preserve"> </w:t>
      </w:r>
      <w:r w:rsidRPr="00252514">
        <w:rPr>
          <w:rFonts w:ascii="Calibri" w:hAnsi="Calibri" w:cs="Calibri"/>
          <w:sz w:val="24"/>
          <w:szCs w:val="24"/>
        </w:rPr>
        <w:t xml:space="preserve">health domains can be summarised to produce a single measure of mental health: the Mental Health Component Summary (MCS) Score. An analysis of population averages suggests that an MCS score of less than 41 is indicative of a poor level of mental health. </w:t>
      </w:r>
    </w:p>
    <w:p w:rsidR="00D0122C" w:rsidRDefault="00D0122C" w:rsidP="00D0122C">
      <w:pPr>
        <w:rPr>
          <w:rFonts w:ascii="Calibri" w:hAnsi="Calibri" w:cs="Calibri"/>
          <w:sz w:val="24"/>
          <w:szCs w:val="24"/>
        </w:rPr>
      </w:pPr>
    </w:p>
    <w:p w:rsidR="00D0122C" w:rsidRDefault="00D0122C" w:rsidP="00D0122C">
      <w:pPr>
        <w:rPr>
          <w:rFonts w:ascii="Calibri" w:hAnsi="Calibri" w:cs="Calibri"/>
          <w:sz w:val="24"/>
          <w:szCs w:val="24"/>
        </w:rPr>
      </w:pPr>
      <w:r w:rsidRPr="00B2599D">
        <w:rPr>
          <w:rFonts w:ascii="Calibri" w:hAnsi="Calibri" w:cs="Calibri"/>
          <w:sz w:val="24"/>
          <w:szCs w:val="24"/>
        </w:rPr>
        <w:t>In 2011</w:t>
      </w:r>
      <w:r w:rsidRPr="007222E9">
        <w:rPr>
          <w:rFonts w:ascii="Calibri" w:hAnsi="Calibri" w:cs="Calibri"/>
          <w:sz w:val="24"/>
          <w:szCs w:val="24"/>
        </w:rPr>
        <w:t>, among parents</w:t>
      </w:r>
      <w:r>
        <w:rPr>
          <w:rFonts w:ascii="Calibri" w:hAnsi="Calibri" w:cs="Calibri"/>
          <w:sz w:val="24"/>
          <w:szCs w:val="24"/>
        </w:rPr>
        <w:t xml:space="preserve"> </w:t>
      </w:r>
      <w:r w:rsidRPr="007222E9">
        <w:rPr>
          <w:rFonts w:ascii="Calibri" w:hAnsi="Calibri" w:cs="Calibri"/>
          <w:sz w:val="24"/>
          <w:szCs w:val="24"/>
        </w:rPr>
        <w:t>with children aged 0</w:t>
      </w:r>
      <w:r w:rsidR="00945F81">
        <w:rPr>
          <w:rFonts w:ascii="Calibri" w:hAnsi="Calibri" w:cs="Calibri"/>
          <w:sz w:val="24"/>
          <w:szCs w:val="24"/>
        </w:rPr>
        <w:t xml:space="preserve"> to </w:t>
      </w:r>
      <w:r w:rsidRPr="007222E9">
        <w:rPr>
          <w:rFonts w:ascii="Calibri" w:hAnsi="Calibri" w:cs="Calibri"/>
          <w:sz w:val="24"/>
          <w:szCs w:val="24"/>
        </w:rPr>
        <w:t>14</w:t>
      </w:r>
      <w:r>
        <w:rPr>
          <w:rFonts w:ascii="Calibri" w:hAnsi="Calibri" w:cs="Calibri"/>
          <w:sz w:val="24"/>
          <w:szCs w:val="24"/>
        </w:rPr>
        <w:t xml:space="preserve"> years,</w:t>
      </w:r>
      <w:r w:rsidRPr="007222E9">
        <w:rPr>
          <w:rFonts w:ascii="Calibri" w:hAnsi="Calibri" w:cs="Calibri"/>
          <w:sz w:val="24"/>
          <w:szCs w:val="24"/>
        </w:rPr>
        <w:t xml:space="preserve"> it is </w:t>
      </w:r>
      <w:r>
        <w:rPr>
          <w:rFonts w:ascii="Calibri" w:hAnsi="Calibri" w:cs="Calibri"/>
          <w:sz w:val="24"/>
          <w:szCs w:val="24"/>
        </w:rPr>
        <w:t>e</w:t>
      </w:r>
      <w:r w:rsidRPr="007222E9">
        <w:rPr>
          <w:rFonts w:ascii="Calibri" w:hAnsi="Calibri" w:cs="Calibri"/>
          <w:sz w:val="24"/>
          <w:szCs w:val="24"/>
        </w:rPr>
        <w:t>stimated</w:t>
      </w:r>
      <w:r>
        <w:rPr>
          <w:rFonts w:ascii="Calibri" w:hAnsi="Calibri" w:cs="Calibri"/>
          <w:sz w:val="24"/>
          <w:szCs w:val="24"/>
        </w:rPr>
        <w:t xml:space="preserve"> </w:t>
      </w:r>
      <w:r w:rsidRPr="007222E9">
        <w:rPr>
          <w:rFonts w:ascii="Calibri" w:hAnsi="Calibri" w:cs="Calibri"/>
          <w:sz w:val="24"/>
          <w:szCs w:val="24"/>
        </w:rPr>
        <w:t>that</w:t>
      </w:r>
      <w:r>
        <w:rPr>
          <w:rFonts w:ascii="Calibri" w:hAnsi="Calibri" w:cs="Calibri"/>
          <w:sz w:val="24"/>
          <w:szCs w:val="24"/>
        </w:rPr>
        <w:t xml:space="preserve"> one-sixth (</w:t>
      </w:r>
      <w:r w:rsidRPr="007222E9">
        <w:rPr>
          <w:rFonts w:ascii="Calibri" w:hAnsi="Calibri" w:cs="Calibri"/>
          <w:sz w:val="24"/>
          <w:szCs w:val="24"/>
        </w:rPr>
        <w:t>1</w:t>
      </w:r>
      <w:r>
        <w:rPr>
          <w:rFonts w:ascii="Calibri" w:hAnsi="Calibri" w:cs="Calibri"/>
          <w:sz w:val="24"/>
          <w:szCs w:val="24"/>
        </w:rPr>
        <w:t>6 per cent)</w:t>
      </w:r>
      <w:r w:rsidRPr="007222E9">
        <w:rPr>
          <w:rFonts w:ascii="Calibri" w:hAnsi="Calibri" w:cs="Calibri"/>
          <w:sz w:val="24"/>
          <w:szCs w:val="24"/>
        </w:rPr>
        <w:t xml:space="preserve"> </w:t>
      </w:r>
      <w:r>
        <w:rPr>
          <w:rFonts w:ascii="Calibri" w:hAnsi="Calibri" w:cs="Calibri"/>
          <w:sz w:val="24"/>
          <w:szCs w:val="24"/>
        </w:rPr>
        <w:t xml:space="preserve">of parents </w:t>
      </w:r>
      <w:r w:rsidRPr="007222E9">
        <w:rPr>
          <w:rFonts w:ascii="Calibri" w:hAnsi="Calibri" w:cs="Calibri"/>
          <w:sz w:val="24"/>
          <w:szCs w:val="24"/>
        </w:rPr>
        <w:t>had MCS scores of less than 41, indicating poor</w:t>
      </w:r>
      <w:r>
        <w:rPr>
          <w:rFonts w:ascii="Calibri" w:hAnsi="Calibri" w:cs="Calibri"/>
          <w:sz w:val="24"/>
          <w:szCs w:val="24"/>
        </w:rPr>
        <w:t xml:space="preserve"> </w:t>
      </w:r>
      <w:r w:rsidRPr="007222E9">
        <w:rPr>
          <w:rFonts w:ascii="Calibri" w:hAnsi="Calibri" w:cs="Calibri"/>
          <w:sz w:val="24"/>
          <w:szCs w:val="24"/>
        </w:rPr>
        <w:t>mental health</w:t>
      </w:r>
      <w:r>
        <w:rPr>
          <w:rFonts w:ascii="Calibri" w:hAnsi="Calibri" w:cs="Calibri"/>
          <w:sz w:val="24"/>
          <w:szCs w:val="24"/>
        </w:rPr>
        <w:t xml:space="preserve">—a similar proportion to that reported in </w:t>
      </w:r>
      <w:r w:rsidRPr="00A9359C">
        <w:rPr>
          <w:rFonts w:ascii="Calibri" w:hAnsi="Calibri" w:cs="Calibri"/>
          <w:sz w:val="24"/>
          <w:szCs w:val="24"/>
        </w:rPr>
        <w:t>2006 (18</w:t>
      </w:r>
      <w:r>
        <w:rPr>
          <w:rFonts w:ascii="Calibri" w:hAnsi="Calibri" w:cs="Calibri"/>
          <w:sz w:val="24"/>
          <w:szCs w:val="24"/>
        </w:rPr>
        <w:t xml:space="preserve"> per cent</w:t>
      </w:r>
      <w:r w:rsidRPr="00A9359C">
        <w:rPr>
          <w:rFonts w:ascii="Calibri" w:hAnsi="Calibri" w:cs="Calibri"/>
          <w:sz w:val="24"/>
          <w:szCs w:val="24"/>
        </w:rPr>
        <w:t>).</w:t>
      </w:r>
      <w:r w:rsidRPr="007222E9">
        <w:rPr>
          <w:rFonts w:ascii="Calibri" w:hAnsi="Calibri" w:cs="Calibri"/>
          <w:sz w:val="24"/>
          <w:szCs w:val="24"/>
        </w:rPr>
        <w:t xml:space="preserve"> Lone parents were more than twice as likely </w:t>
      </w:r>
      <w:r w:rsidR="00824846">
        <w:rPr>
          <w:rFonts w:ascii="Calibri" w:hAnsi="Calibri" w:cs="Calibri"/>
          <w:sz w:val="24"/>
          <w:szCs w:val="24"/>
        </w:rPr>
        <w:t>a</w:t>
      </w:r>
      <w:r w:rsidR="00824846" w:rsidRPr="007222E9">
        <w:rPr>
          <w:rFonts w:ascii="Calibri" w:hAnsi="Calibri" w:cs="Calibri"/>
          <w:sz w:val="24"/>
          <w:szCs w:val="24"/>
        </w:rPr>
        <w:t>s parents in</w:t>
      </w:r>
      <w:r w:rsidR="00824846">
        <w:rPr>
          <w:rFonts w:ascii="Calibri" w:hAnsi="Calibri" w:cs="Calibri"/>
          <w:sz w:val="24"/>
          <w:szCs w:val="24"/>
        </w:rPr>
        <w:t xml:space="preserve"> </w:t>
      </w:r>
      <w:r w:rsidR="00824846" w:rsidRPr="007222E9">
        <w:rPr>
          <w:rFonts w:ascii="Calibri" w:hAnsi="Calibri" w:cs="Calibri"/>
          <w:sz w:val="24"/>
          <w:szCs w:val="24"/>
        </w:rPr>
        <w:t>couple families</w:t>
      </w:r>
      <w:r w:rsidR="00824846">
        <w:rPr>
          <w:rFonts w:ascii="Calibri" w:hAnsi="Calibri" w:cs="Calibri"/>
          <w:sz w:val="24"/>
          <w:szCs w:val="24"/>
        </w:rPr>
        <w:t xml:space="preserve"> </w:t>
      </w:r>
      <w:r w:rsidRPr="007222E9">
        <w:rPr>
          <w:rFonts w:ascii="Calibri" w:hAnsi="Calibri" w:cs="Calibri"/>
          <w:sz w:val="24"/>
          <w:szCs w:val="24"/>
        </w:rPr>
        <w:t>to</w:t>
      </w:r>
      <w:r>
        <w:rPr>
          <w:rFonts w:ascii="Calibri" w:hAnsi="Calibri" w:cs="Calibri"/>
          <w:sz w:val="24"/>
          <w:szCs w:val="24"/>
        </w:rPr>
        <w:t xml:space="preserve"> </w:t>
      </w:r>
      <w:r w:rsidRPr="007222E9">
        <w:rPr>
          <w:rFonts w:ascii="Calibri" w:hAnsi="Calibri" w:cs="Calibri"/>
          <w:sz w:val="24"/>
          <w:szCs w:val="24"/>
        </w:rPr>
        <w:t xml:space="preserve">have an MCS score of less than 41 </w:t>
      </w:r>
      <w:r>
        <w:rPr>
          <w:rFonts w:ascii="Calibri" w:hAnsi="Calibri" w:cs="Calibri"/>
          <w:sz w:val="24"/>
          <w:szCs w:val="24"/>
        </w:rPr>
        <w:t xml:space="preserve">in 2011 </w:t>
      </w:r>
      <w:r w:rsidRPr="007222E9">
        <w:rPr>
          <w:rFonts w:ascii="Calibri" w:hAnsi="Calibri" w:cs="Calibri"/>
          <w:sz w:val="24"/>
          <w:szCs w:val="24"/>
        </w:rPr>
        <w:t>(3</w:t>
      </w:r>
      <w:r>
        <w:rPr>
          <w:rFonts w:ascii="Calibri" w:hAnsi="Calibri" w:cs="Calibri"/>
          <w:sz w:val="24"/>
          <w:szCs w:val="24"/>
        </w:rPr>
        <w:t>4</w:t>
      </w:r>
      <w:r w:rsidRPr="007222E9">
        <w:rPr>
          <w:rFonts w:ascii="Calibri" w:hAnsi="Calibri" w:cs="Calibri"/>
          <w:sz w:val="24"/>
          <w:szCs w:val="24"/>
        </w:rPr>
        <w:t xml:space="preserve"> and 14</w:t>
      </w:r>
      <w:r>
        <w:rPr>
          <w:rFonts w:ascii="Calibri" w:hAnsi="Calibri" w:cs="Calibri"/>
          <w:sz w:val="24"/>
          <w:szCs w:val="24"/>
        </w:rPr>
        <w:t xml:space="preserve"> per cent</w:t>
      </w:r>
      <w:r w:rsidRPr="007222E9">
        <w:rPr>
          <w:rFonts w:ascii="Calibri" w:hAnsi="Calibri" w:cs="Calibri"/>
          <w:sz w:val="24"/>
          <w:szCs w:val="24"/>
        </w:rPr>
        <w:t xml:space="preserve"> respectively).</w:t>
      </w:r>
      <w:r>
        <w:rPr>
          <w:rFonts w:ascii="Calibri" w:hAnsi="Calibri" w:cs="Calibri"/>
          <w:sz w:val="24"/>
          <w:szCs w:val="24"/>
        </w:rPr>
        <w:t xml:space="preserve"> </w:t>
      </w:r>
    </w:p>
    <w:p w:rsidR="00D0122C" w:rsidRDefault="00D0122C" w:rsidP="00D0122C">
      <w:pPr>
        <w:rPr>
          <w:rFonts w:ascii="Calibri" w:hAnsi="Calibri" w:cs="Calibri"/>
          <w:sz w:val="24"/>
          <w:szCs w:val="24"/>
        </w:rPr>
      </w:pPr>
    </w:p>
    <w:p w:rsidR="00D0122C" w:rsidRPr="00821556" w:rsidRDefault="00FC088D" w:rsidP="00520DEC">
      <w:pPr>
        <w:pStyle w:val="Figure"/>
        <w:ind w:right="2527"/>
      </w:pPr>
      <w:bookmarkStart w:id="151" w:name="_Toc400010302"/>
      <w:r>
        <w:t xml:space="preserve">Table </w:t>
      </w:r>
      <w:fldSimple w:instr=" SEQ Table \* ARABIC ">
        <w:r w:rsidR="00BF1EC9">
          <w:rPr>
            <w:noProof/>
          </w:rPr>
          <w:t>16</w:t>
        </w:r>
      </w:fldSimple>
      <w:r>
        <w:t xml:space="preserve">: </w:t>
      </w:r>
      <w:r w:rsidRPr="00A876D2">
        <w:t>Parents with co-resident children aged 0–14 with a Mental Health Component Summary</w:t>
      </w:r>
      <w:r w:rsidR="00520DEC">
        <w:t xml:space="preserve"> </w:t>
      </w:r>
      <w:r w:rsidRPr="00A876D2">
        <w:t xml:space="preserve">score of less than 41, by family type, </w:t>
      </w:r>
      <w:r w:rsidRPr="001E5567">
        <w:t>2006 and 2011</w:t>
      </w:r>
      <w:bookmarkEnd w:id="151"/>
    </w:p>
    <w:tbl>
      <w:tblPr>
        <w:tblW w:w="0" w:type="auto"/>
        <w:tblLook w:val="04A0" w:firstRow="1" w:lastRow="0" w:firstColumn="1" w:lastColumn="0" w:noHBand="0" w:noVBand="1"/>
        <w:tblDescription w:val="Table 16: Parents with co-resident children aged 0–14 with a Mental Health Component Summary score of less than 41, by family type, 2006 and 2011"/>
      </w:tblPr>
      <w:tblGrid>
        <w:gridCol w:w="1762"/>
        <w:gridCol w:w="1176"/>
        <w:gridCol w:w="1186"/>
        <w:gridCol w:w="1177"/>
        <w:gridCol w:w="1064"/>
        <w:gridCol w:w="1100"/>
        <w:gridCol w:w="987"/>
      </w:tblGrid>
      <w:tr w:rsidR="00861132" w:rsidRPr="00821556" w:rsidTr="00D24A08">
        <w:tc>
          <w:tcPr>
            <w:tcW w:w="1762" w:type="dxa"/>
            <w:tcBorders>
              <w:top w:val="single" w:sz="4" w:space="0" w:color="auto"/>
              <w:bottom w:val="single" w:sz="4" w:space="0" w:color="auto"/>
            </w:tcBorders>
            <w:shd w:val="clear" w:color="auto" w:fill="auto"/>
          </w:tcPr>
          <w:p w:rsidR="00861132" w:rsidRPr="00C87565" w:rsidRDefault="00861132" w:rsidP="00135409">
            <w:pPr>
              <w:keepLines/>
              <w:tabs>
                <w:tab w:val="left" w:pos="198"/>
              </w:tabs>
              <w:spacing w:before="60" w:after="60" w:line="200" w:lineRule="atLeast"/>
              <w:rPr>
                <w:rFonts w:ascii="Arial" w:hAnsi="Arial"/>
                <w:b/>
                <w:color w:val="000000"/>
                <w:sz w:val="16"/>
                <w:lang w:eastAsia="en-US"/>
              </w:rPr>
            </w:pPr>
            <w:r>
              <w:rPr>
                <w:rFonts w:ascii="Arial" w:hAnsi="Arial"/>
                <w:b/>
                <w:color w:val="000000"/>
                <w:sz w:val="16"/>
                <w:lang w:eastAsia="en-US"/>
              </w:rPr>
              <w:t>Year</w:t>
            </w:r>
          </w:p>
        </w:tc>
        <w:tc>
          <w:tcPr>
            <w:tcW w:w="1176" w:type="dxa"/>
            <w:tcBorders>
              <w:top w:val="single" w:sz="4" w:space="0" w:color="auto"/>
              <w:bottom w:val="single" w:sz="4" w:space="0" w:color="auto"/>
            </w:tcBorders>
            <w:shd w:val="clear" w:color="auto" w:fill="auto"/>
          </w:tcPr>
          <w:p w:rsidR="00861132" w:rsidRPr="00C87565" w:rsidRDefault="00861132"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One parent families</w:t>
            </w:r>
            <w:r>
              <w:rPr>
                <w:rFonts w:ascii="Arial" w:hAnsi="Arial"/>
                <w:b/>
                <w:color w:val="000000"/>
                <w:sz w:val="16"/>
                <w:lang w:eastAsia="en-US"/>
              </w:rPr>
              <w:br/>
            </w:r>
            <w:r w:rsidRPr="00C87565">
              <w:rPr>
                <w:rFonts w:ascii="Arial" w:hAnsi="Arial"/>
                <w:b/>
                <w:color w:val="000000"/>
                <w:sz w:val="16"/>
                <w:lang w:eastAsia="en-US"/>
              </w:rPr>
              <w:t>Per cent</w:t>
            </w:r>
          </w:p>
        </w:tc>
        <w:tc>
          <w:tcPr>
            <w:tcW w:w="1186" w:type="dxa"/>
            <w:tcBorders>
              <w:top w:val="single" w:sz="4" w:space="0" w:color="auto"/>
              <w:bottom w:val="single" w:sz="4" w:space="0" w:color="auto"/>
            </w:tcBorders>
          </w:tcPr>
          <w:p w:rsidR="00861132" w:rsidRPr="00C87565" w:rsidRDefault="00861132"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One parent families</w:t>
            </w:r>
            <w:r>
              <w:rPr>
                <w:rFonts w:ascii="Arial" w:hAnsi="Arial"/>
                <w:b/>
                <w:color w:val="000000"/>
                <w:sz w:val="16"/>
                <w:lang w:eastAsia="en-US"/>
              </w:rPr>
              <w:br/>
            </w:r>
            <w:r w:rsidRPr="00F8526E">
              <w:rPr>
                <w:rFonts w:ascii="Arial" w:hAnsi="Arial"/>
                <w:b/>
                <w:color w:val="000000"/>
                <w:sz w:val="16"/>
                <w:lang w:eastAsia="en-US"/>
              </w:rPr>
              <w:t>95% CI</w:t>
            </w:r>
          </w:p>
        </w:tc>
        <w:tc>
          <w:tcPr>
            <w:tcW w:w="1177" w:type="dxa"/>
            <w:tcBorders>
              <w:top w:val="single" w:sz="4" w:space="0" w:color="auto"/>
              <w:bottom w:val="single" w:sz="4" w:space="0" w:color="auto"/>
            </w:tcBorders>
            <w:shd w:val="clear" w:color="auto" w:fill="auto"/>
          </w:tcPr>
          <w:p w:rsidR="00861132" w:rsidRPr="00C87565" w:rsidRDefault="00861132"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Couple families</w:t>
            </w:r>
            <w:r>
              <w:rPr>
                <w:rFonts w:ascii="Arial" w:hAnsi="Arial"/>
                <w:b/>
                <w:color w:val="000000"/>
                <w:sz w:val="16"/>
                <w:lang w:eastAsia="en-US"/>
              </w:rPr>
              <w:br/>
            </w:r>
            <w:r w:rsidRPr="00C87565">
              <w:rPr>
                <w:rFonts w:ascii="Arial" w:hAnsi="Arial"/>
                <w:b/>
                <w:color w:val="000000"/>
                <w:sz w:val="16"/>
                <w:lang w:eastAsia="en-US"/>
              </w:rPr>
              <w:t>Per cent</w:t>
            </w:r>
          </w:p>
        </w:tc>
        <w:tc>
          <w:tcPr>
            <w:tcW w:w="1064" w:type="dxa"/>
            <w:tcBorders>
              <w:top w:val="single" w:sz="4" w:space="0" w:color="auto"/>
              <w:bottom w:val="single" w:sz="4" w:space="0" w:color="auto"/>
            </w:tcBorders>
          </w:tcPr>
          <w:p w:rsidR="00861132" w:rsidRPr="00C87565" w:rsidRDefault="00861132"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Couple families</w:t>
            </w:r>
            <w:r>
              <w:rPr>
                <w:rFonts w:ascii="Arial" w:hAnsi="Arial"/>
                <w:b/>
                <w:color w:val="000000"/>
                <w:sz w:val="16"/>
                <w:lang w:eastAsia="en-US"/>
              </w:rPr>
              <w:br/>
            </w:r>
            <w:r w:rsidRPr="00C87565">
              <w:rPr>
                <w:rFonts w:ascii="Arial" w:hAnsi="Arial"/>
                <w:b/>
                <w:color w:val="000000"/>
                <w:sz w:val="16"/>
                <w:lang w:eastAsia="en-US"/>
              </w:rPr>
              <w:t>95% CI</w:t>
            </w:r>
          </w:p>
        </w:tc>
        <w:tc>
          <w:tcPr>
            <w:tcW w:w="1100" w:type="dxa"/>
            <w:tcBorders>
              <w:top w:val="single" w:sz="4" w:space="0" w:color="auto"/>
              <w:bottom w:val="single" w:sz="4" w:space="0" w:color="auto"/>
            </w:tcBorders>
          </w:tcPr>
          <w:p w:rsidR="00861132" w:rsidRPr="00C87565" w:rsidRDefault="00861132"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All families</w:t>
            </w:r>
            <w:r>
              <w:rPr>
                <w:rFonts w:ascii="Arial" w:hAnsi="Arial"/>
                <w:b/>
                <w:color w:val="000000"/>
                <w:sz w:val="16"/>
                <w:lang w:eastAsia="en-US"/>
              </w:rPr>
              <w:br/>
            </w:r>
            <w:r w:rsidRPr="00C87565">
              <w:rPr>
                <w:rFonts w:ascii="Arial" w:hAnsi="Arial"/>
                <w:b/>
                <w:color w:val="000000"/>
                <w:sz w:val="16"/>
                <w:lang w:eastAsia="en-US"/>
              </w:rPr>
              <w:t>Per cent</w:t>
            </w:r>
          </w:p>
        </w:tc>
        <w:tc>
          <w:tcPr>
            <w:tcW w:w="987" w:type="dxa"/>
            <w:tcBorders>
              <w:top w:val="single" w:sz="4" w:space="0" w:color="auto"/>
              <w:bottom w:val="single" w:sz="4" w:space="0" w:color="auto"/>
            </w:tcBorders>
          </w:tcPr>
          <w:p w:rsidR="00861132" w:rsidRPr="00C87565" w:rsidRDefault="00861132"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All families</w:t>
            </w:r>
            <w:r>
              <w:rPr>
                <w:rFonts w:ascii="Arial" w:hAnsi="Arial"/>
                <w:b/>
                <w:color w:val="000000"/>
                <w:sz w:val="16"/>
                <w:lang w:eastAsia="en-US"/>
              </w:rPr>
              <w:br/>
            </w:r>
            <w:r w:rsidRPr="00C87565">
              <w:rPr>
                <w:rFonts w:ascii="Arial" w:hAnsi="Arial"/>
                <w:b/>
                <w:color w:val="000000"/>
                <w:sz w:val="16"/>
                <w:lang w:eastAsia="en-US"/>
              </w:rPr>
              <w:t>95% CI</w:t>
            </w:r>
          </w:p>
        </w:tc>
      </w:tr>
      <w:tr w:rsidR="00861132" w:rsidRPr="00821556" w:rsidTr="00D24A08">
        <w:tc>
          <w:tcPr>
            <w:tcW w:w="1762" w:type="dxa"/>
            <w:tcBorders>
              <w:top w:val="single" w:sz="4" w:space="0" w:color="auto"/>
            </w:tcBorders>
            <w:shd w:val="clear" w:color="auto" w:fill="auto"/>
          </w:tcPr>
          <w:p w:rsidR="00861132" w:rsidRPr="00821556" w:rsidRDefault="00861132" w:rsidP="00135409">
            <w:pPr>
              <w:keepLines/>
              <w:tabs>
                <w:tab w:val="left" w:pos="198"/>
              </w:tabs>
              <w:spacing w:before="60" w:after="60" w:line="200" w:lineRule="atLeast"/>
              <w:rPr>
                <w:rFonts w:ascii="Arial" w:hAnsi="Arial"/>
                <w:color w:val="000000"/>
                <w:sz w:val="16"/>
                <w:lang w:eastAsia="en-US"/>
              </w:rPr>
            </w:pPr>
            <w:r>
              <w:rPr>
                <w:rFonts w:ascii="Arial" w:hAnsi="Arial"/>
                <w:color w:val="000000"/>
                <w:sz w:val="16"/>
                <w:lang w:eastAsia="en-US"/>
              </w:rPr>
              <w:t>2006</w:t>
            </w:r>
          </w:p>
        </w:tc>
        <w:tc>
          <w:tcPr>
            <w:tcW w:w="1176" w:type="dxa"/>
            <w:tcBorders>
              <w:top w:val="single" w:sz="4" w:space="0" w:color="auto"/>
            </w:tcBorders>
            <w:shd w:val="clear" w:color="auto" w:fill="auto"/>
          </w:tcPr>
          <w:p w:rsidR="00861132" w:rsidRPr="00821556" w:rsidRDefault="00861132" w:rsidP="00135409">
            <w:pPr>
              <w:keepLines/>
              <w:tabs>
                <w:tab w:val="left" w:pos="198"/>
              </w:tabs>
              <w:spacing w:before="60" w:after="60" w:line="200" w:lineRule="atLeast"/>
              <w:jc w:val="right"/>
              <w:rPr>
                <w:rFonts w:ascii="Arial" w:hAnsi="Arial"/>
                <w:color w:val="000000"/>
                <w:sz w:val="16"/>
                <w:lang w:eastAsia="en-US"/>
              </w:rPr>
            </w:pPr>
            <w:r w:rsidRPr="007228A2">
              <w:rPr>
                <w:rFonts w:ascii="Arial" w:hAnsi="Arial"/>
                <w:color w:val="000000"/>
                <w:sz w:val="16"/>
                <w:lang w:eastAsia="en-US"/>
              </w:rPr>
              <w:t>31.0</w:t>
            </w:r>
          </w:p>
        </w:tc>
        <w:tc>
          <w:tcPr>
            <w:tcW w:w="1186" w:type="dxa"/>
            <w:tcBorders>
              <w:top w:val="single" w:sz="4" w:space="0" w:color="auto"/>
            </w:tcBorders>
          </w:tcPr>
          <w:p w:rsidR="00861132" w:rsidRPr="00C87565" w:rsidRDefault="00861132" w:rsidP="00135409">
            <w:pPr>
              <w:keepLines/>
              <w:tabs>
                <w:tab w:val="left" w:pos="198"/>
              </w:tabs>
              <w:spacing w:before="60" w:after="60" w:line="200" w:lineRule="atLeast"/>
              <w:jc w:val="right"/>
              <w:rPr>
                <w:rFonts w:ascii="Arial" w:hAnsi="Arial"/>
                <w:color w:val="000000"/>
                <w:sz w:val="16"/>
                <w:lang w:eastAsia="en-US"/>
              </w:rPr>
            </w:pPr>
            <w:r w:rsidRPr="007228A2">
              <w:rPr>
                <w:rFonts w:ascii="Arial" w:hAnsi="Arial"/>
                <w:color w:val="000000"/>
                <w:sz w:val="16"/>
                <w:lang w:eastAsia="en-US"/>
              </w:rPr>
              <w:t>24.</w:t>
            </w:r>
            <w:r>
              <w:rPr>
                <w:rFonts w:ascii="Arial" w:hAnsi="Arial"/>
                <w:color w:val="000000"/>
                <w:sz w:val="16"/>
                <w:lang w:eastAsia="en-US"/>
              </w:rPr>
              <w:t>0–</w:t>
            </w:r>
            <w:r w:rsidRPr="007228A2">
              <w:rPr>
                <w:rFonts w:ascii="Arial" w:hAnsi="Arial"/>
                <w:color w:val="000000"/>
                <w:sz w:val="16"/>
                <w:lang w:eastAsia="en-US"/>
              </w:rPr>
              <w:t>3</w:t>
            </w:r>
            <w:r>
              <w:rPr>
                <w:rFonts w:ascii="Arial" w:hAnsi="Arial"/>
                <w:color w:val="000000"/>
                <w:sz w:val="16"/>
                <w:lang w:eastAsia="en-US"/>
              </w:rPr>
              <w:t>8.1</w:t>
            </w:r>
          </w:p>
        </w:tc>
        <w:tc>
          <w:tcPr>
            <w:tcW w:w="1177" w:type="dxa"/>
            <w:tcBorders>
              <w:top w:val="single" w:sz="4" w:space="0" w:color="auto"/>
            </w:tcBorders>
            <w:shd w:val="clear" w:color="auto" w:fill="auto"/>
          </w:tcPr>
          <w:p w:rsidR="00861132" w:rsidRPr="00821556" w:rsidRDefault="00861132" w:rsidP="00135409">
            <w:pPr>
              <w:keepLines/>
              <w:tabs>
                <w:tab w:val="left" w:pos="198"/>
              </w:tabs>
              <w:spacing w:before="60" w:after="60" w:line="200" w:lineRule="atLeast"/>
              <w:jc w:val="right"/>
              <w:rPr>
                <w:rFonts w:ascii="Arial" w:hAnsi="Arial"/>
                <w:color w:val="000000"/>
                <w:sz w:val="16"/>
                <w:lang w:eastAsia="en-US"/>
              </w:rPr>
            </w:pPr>
            <w:r w:rsidRPr="007228A2">
              <w:rPr>
                <w:rFonts w:ascii="Arial" w:hAnsi="Arial"/>
                <w:color w:val="000000"/>
                <w:sz w:val="16"/>
                <w:lang w:eastAsia="en-US"/>
              </w:rPr>
              <w:t>16.8</w:t>
            </w:r>
          </w:p>
        </w:tc>
        <w:tc>
          <w:tcPr>
            <w:tcW w:w="1064" w:type="dxa"/>
            <w:tcBorders>
              <w:top w:val="single" w:sz="4" w:space="0" w:color="auto"/>
            </w:tcBorders>
          </w:tcPr>
          <w:p w:rsidR="00861132" w:rsidRPr="00C87565" w:rsidRDefault="00861132"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14.9–</w:t>
            </w:r>
            <w:r w:rsidRPr="007228A2">
              <w:rPr>
                <w:rFonts w:ascii="Arial" w:hAnsi="Arial"/>
                <w:color w:val="000000"/>
                <w:sz w:val="16"/>
                <w:lang w:eastAsia="en-US"/>
              </w:rPr>
              <w:t>18.</w:t>
            </w:r>
            <w:r>
              <w:rPr>
                <w:rFonts w:ascii="Arial" w:hAnsi="Arial"/>
                <w:color w:val="000000"/>
                <w:sz w:val="16"/>
                <w:lang w:eastAsia="en-US"/>
              </w:rPr>
              <w:t>7</w:t>
            </w:r>
          </w:p>
        </w:tc>
        <w:tc>
          <w:tcPr>
            <w:tcW w:w="1100" w:type="dxa"/>
            <w:tcBorders>
              <w:top w:val="single" w:sz="4" w:space="0" w:color="auto"/>
            </w:tcBorders>
          </w:tcPr>
          <w:p w:rsidR="00861132" w:rsidRDefault="00861132" w:rsidP="00135409">
            <w:pPr>
              <w:keepLines/>
              <w:tabs>
                <w:tab w:val="left" w:pos="198"/>
              </w:tabs>
              <w:spacing w:before="60" w:after="60" w:line="200" w:lineRule="atLeast"/>
              <w:jc w:val="right"/>
              <w:rPr>
                <w:rFonts w:ascii="Arial" w:hAnsi="Arial"/>
                <w:color w:val="000000"/>
                <w:sz w:val="16"/>
                <w:lang w:eastAsia="en-US"/>
              </w:rPr>
            </w:pPr>
            <w:r w:rsidRPr="007228A2">
              <w:rPr>
                <w:rFonts w:ascii="Arial" w:hAnsi="Arial"/>
                <w:color w:val="000000"/>
                <w:sz w:val="16"/>
                <w:lang w:eastAsia="en-US"/>
              </w:rPr>
              <w:t>18.3</w:t>
            </w:r>
          </w:p>
        </w:tc>
        <w:tc>
          <w:tcPr>
            <w:tcW w:w="987" w:type="dxa"/>
            <w:tcBorders>
              <w:top w:val="single" w:sz="4" w:space="0" w:color="auto"/>
            </w:tcBorders>
          </w:tcPr>
          <w:p w:rsidR="00861132" w:rsidRPr="00C87565" w:rsidRDefault="00861132" w:rsidP="00135409">
            <w:pPr>
              <w:keepLines/>
              <w:tabs>
                <w:tab w:val="left" w:pos="198"/>
              </w:tabs>
              <w:spacing w:before="60" w:after="60" w:line="200" w:lineRule="atLeast"/>
              <w:jc w:val="right"/>
              <w:rPr>
                <w:rFonts w:ascii="Arial" w:hAnsi="Arial"/>
                <w:color w:val="000000"/>
                <w:sz w:val="16"/>
                <w:lang w:eastAsia="en-US"/>
              </w:rPr>
            </w:pPr>
            <w:r w:rsidRPr="007228A2">
              <w:rPr>
                <w:rFonts w:ascii="Arial" w:hAnsi="Arial"/>
                <w:color w:val="000000"/>
                <w:sz w:val="16"/>
                <w:lang w:eastAsia="en-US"/>
              </w:rPr>
              <w:t>16.</w:t>
            </w:r>
            <w:r>
              <w:rPr>
                <w:rFonts w:ascii="Arial" w:hAnsi="Arial"/>
                <w:color w:val="000000"/>
                <w:sz w:val="16"/>
                <w:lang w:eastAsia="en-US"/>
              </w:rPr>
              <w:t>6–</w:t>
            </w:r>
            <w:r w:rsidRPr="007228A2">
              <w:rPr>
                <w:rFonts w:ascii="Arial" w:hAnsi="Arial"/>
                <w:color w:val="000000"/>
                <w:sz w:val="16"/>
                <w:lang w:eastAsia="en-US"/>
              </w:rPr>
              <w:t>20.0</w:t>
            </w:r>
          </w:p>
        </w:tc>
      </w:tr>
      <w:tr w:rsidR="00861132" w:rsidRPr="00821556" w:rsidTr="00135409">
        <w:tc>
          <w:tcPr>
            <w:tcW w:w="1762" w:type="dxa"/>
            <w:tcBorders>
              <w:bottom w:val="single" w:sz="4" w:space="0" w:color="auto"/>
            </w:tcBorders>
            <w:shd w:val="clear" w:color="auto" w:fill="auto"/>
          </w:tcPr>
          <w:p w:rsidR="00861132" w:rsidRDefault="00861132" w:rsidP="00135409">
            <w:pPr>
              <w:keepLines/>
              <w:tabs>
                <w:tab w:val="left" w:pos="198"/>
              </w:tabs>
              <w:spacing w:before="60" w:after="60" w:line="200" w:lineRule="atLeast"/>
              <w:rPr>
                <w:rFonts w:ascii="Arial" w:hAnsi="Arial"/>
                <w:color w:val="000000"/>
                <w:sz w:val="16"/>
                <w:lang w:eastAsia="en-US"/>
              </w:rPr>
            </w:pPr>
            <w:r>
              <w:rPr>
                <w:rFonts w:ascii="Arial" w:hAnsi="Arial"/>
                <w:color w:val="000000"/>
                <w:sz w:val="16"/>
                <w:lang w:eastAsia="en-US"/>
              </w:rPr>
              <w:t>2011</w:t>
            </w:r>
          </w:p>
        </w:tc>
        <w:tc>
          <w:tcPr>
            <w:tcW w:w="1176" w:type="dxa"/>
            <w:tcBorders>
              <w:bottom w:val="single" w:sz="4" w:space="0" w:color="auto"/>
            </w:tcBorders>
            <w:shd w:val="clear" w:color="auto" w:fill="auto"/>
          </w:tcPr>
          <w:p w:rsidR="00861132" w:rsidRPr="007228A2" w:rsidRDefault="00861132"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33.6</w:t>
            </w:r>
          </w:p>
        </w:tc>
        <w:tc>
          <w:tcPr>
            <w:tcW w:w="1186" w:type="dxa"/>
            <w:tcBorders>
              <w:bottom w:val="single" w:sz="4" w:space="0" w:color="auto"/>
            </w:tcBorders>
          </w:tcPr>
          <w:p w:rsidR="00861132" w:rsidRPr="007228A2" w:rsidRDefault="00861132" w:rsidP="00135409">
            <w:pPr>
              <w:keepLines/>
              <w:tabs>
                <w:tab w:val="left" w:pos="198"/>
              </w:tabs>
              <w:spacing w:before="60" w:after="60" w:line="200" w:lineRule="atLeast"/>
              <w:jc w:val="right"/>
              <w:rPr>
                <w:rFonts w:ascii="Arial" w:hAnsi="Arial"/>
                <w:color w:val="000000"/>
                <w:sz w:val="16"/>
                <w:lang w:eastAsia="en-US"/>
              </w:rPr>
            </w:pPr>
            <w:r w:rsidRPr="007228A2">
              <w:rPr>
                <w:rFonts w:ascii="Arial" w:hAnsi="Arial"/>
                <w:color w:val="000000"/>
                <w:sz w:val="16"/>
                <w:lang w:eastAsia="en-US"/>
              </w:rPr>
              <w:t>2</w:t>
            </w:r>
            <w:r>
              <w:rPr>
                <w:rFonts w:ascii="Arial" w:hAnsi="Arial"/>
                <w:color w:val="000000"/>
                <w:sz w:val="16"/>
                <w:lang w:eastAsia="en-US"/>
              </w:rPr>
              <w:t>5.6–41.7</w:t>
            </w:r>
          </w:p>
        </w:tc>
        <w:tc>
          <w:tcPr>
            <w:tcW w:w="1177" w:type="dxa"/>
            <w:tcBorders>
              <w:bottom w:val="single" w:sz="4" w:space="0" w:color="auto"/>
            </w:tcBorders>
            <w:shd w:val="clear" w:color="auto" w:fill="auto"/>
          </w:tcPr>
          <w:p w:rsidR="00861132" w:rsidRPr="007228A2" w:rsidRDefault="00861132"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14.1</w:t>
            </w:r>
          </w:p>
        </w:tc>
        <w:tc>
          <w:tcPr>
            <w:tcW w:w="1064" w:type="dxa"/>
            <w:tcBorders>
              <w:bottom w:val="single" w:sz="4" w:space="0" w:color="auto"/>
            </w:tcBorders>
          </w:tcPr>
          <w:p w:rsidR="00861132" w:rsidRPr="007228A2" w:rsidRDefault="00861132"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12.1–16.1</w:t>
            </w:r>
          </w:p>
        </w:tc>
        <w:tc>
          <w:tcPr>
            <w:tcW w:w="1100" w:type="dxa"/>
            <w:tcBorders>
              <w:bottom w:val="single" w:sz="4" w:space="0" w:color="auto"/>
            </w:tcBorders>
          </w:tcPr>
          <w:p w:rsidR="00861132" w:rsidRPr="007228A2" w:rsidRDefault="00861132"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16.1</w:t>
            </w:r>
          </w:p>
        </w:tc>
        <w:tc>
          <w:tcPr>
            <w:tcW w:w="987" w:type="dxa"/>
            <w:tcBorders>
              <w:bottom w:val="single" w:sz="4" w:space="0" w:color="auto"/>
            </w:tcBorders>
          </w:tcPr>
          <w:p w:rsidR="00861132" w:rsidRPr="007228A2" w:rsidRDefault="00861132"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14.2–18.1</w:t>
            </w:r>
          </w:p>
        </w:tc>
      </w:tr>
    </w:tbl>
    <w:p w:rsidR="00D0122C" w:rsidRPr="00EA7C35" w:rsidRDefault="00D0122C" w:rsidP="00D66FAA">
      <w:pPr>
        <w:pStyle w:val="StyleArial7ptLeft0cmHanging05cmBefore6pt"/>
      </w:pPr>
      <w:r w:rsidRPr="00EA7C35">
        <w:t xml:space="preserve">Note: </w:t>
      </w:r>
      <w:r w:rsidR="00677155" w:rsidRPr="00EA7C35">
        <w:tab/>
      </w:r>
      <w:r w:rsidRPr="00EA7C35">
        <w:t xml:space="preserve">For the reported years, estimated percentages for Indigenous parents had relative standard errors above 25% </w:t>
      </w:r>
      <w:r w:rsidR="007953A2" w:rsidRPr="00EA7C35">
        <w:t xml:space="preserve">and </w:t>
      </w:r>
      <w:r w:rsidRPr="00EA7C35">
        <w:t>so are not considered sufficiently reliable.</w:t>
      </w:r>
      <w:r w:rsidR="007764A2" w:rsidRPr="00EA7C35">
        <w:t xml:space="preserve"> </w:t>
      </w:r>
    </w:p>
    <w:p w:rsidR="00D0122C" w:rsidRPr="00EA7C35" w:rsidRDefault="00D0122C" w:rsidP="00D66FAA">
      <w:pPr>
        <w:pStyle w:val="StyleArial7ptLeft0cmHanging05cmBefore6pt"/>
      </w:pPr>
      <w:r w:rsidRPr="00EA7C35">
        <w:t xml:space="preserve">Source: AIHW analysis of HILDA Survey, Waves 6 (2006) and 11 (2011), unpublished data. </w:t>
      </w:r>
    </w:p>
    <w:p w:rsidR="00D0122C" w:rsidRDefault="00D0122C" w:rsidP="00376FDB">
      <w:pPr>
        <w:pStyle w:val="Heading3"/>
      </w:pPr>
      <w:bookmarkStart w:id="152" w:name="_Toc400007743"/>
      <w:r>
        <w:t>Homelessness</w:t>
      </w:r>
      <w:bookmarkEnd w:id="152"/>
    </w:p>
    <w:p w:rsidR="00D0122C" w:rsidRDefault="00D0122C" w:rsidP="004B3342">
      <w:pPr>
        <w:pStyle w:val="Heading4a"/>
      </w:pPr>
      <w:r>
        <w:t xml:space="preserve">Indicator </w:t>
      </w:r>
      <w:r w:rsidRPr="0060478E">
        <w:t>3.4</w:t>
      </w:r>
      <w:r>
        <w:t xml:space="preserve">: </w:t>
      </w:r>
      <w:r w:rsidRPr="0060478E">
        <w:t xml:space="preserve">Rate of children aged 0–17 years who receive assistance through homelessness services (accompanied and unaccompanied) </w:t>
      </w:r>
    </w:p>
    <w:p w:rsidR="00D0122C" w:rsidRPr="00EA7C35" w:rsidRDefault="00D0122C" w:rsidP="00D0122C">
      <w:pPr>
        <w:rPr>
          <w:rFonts w:ascii="Calibri" w:hAnsi="Calibri"/>
          <w:sz w:val="24"/>
          <w:lang w:eastAsia="en-AU"/>
        </w:rPr>
      </w:pPr>
    </w:p>
    <w:p w:rsidR="00D0122C" w:rsidRPr="00821556" w:rsidRDefault="00D0122C" w:rsidP="00D0122C">
      <w:pPr>
        <w:rPr>
          <w:rFonts w:ascii="Calibri" w:hAnsi="Calibri" w:cs="Calibri"/>
          <w:sz w:val="24"/>
          <w:szCs w:val="24"/>
        </w:rPr>
      </w:pPr>
      <w:r w:rsidRPr="00821556">
        <w:rPr>
          <w:rFonts w:ascii="Calibri" w:hAnsi="Calibri" w:cs="Calibri"/>
          <w:sz w:val="24"/>
          <w:szCs w:val="24"/>
        </w:rPr>
        <w:t>Homelessness has a detrimental effect on children’s health and wellbeing, which can persist beyond the period of homelessness.</w:t>
      </w:r>
      <w:r>
        <w:rPr>
          <w:rFonts w:ascii="Calibri" w:hAnsi="Calibri" w:cs="Calibri"/>
          <w:sz w:val="24"/>
          <w:szCs w:val="24"/>
        </w:rPr>
        <w:t xml:space="preserve"> </w:t>
      </w:r>
      <w:r w:rsidRPr="00821556">
        <w:rPr>
          <w:rFonts w:ascii="Calibri" w:hAnsi="Calibri" w:cs="Calibri"/>
          <w:sz w:val="24"/>
          <w:szCs w:val="24"/>
        </w:rPr>
        <w:t>The causes of homelessness are complex and may include economic factors such as poverty, unemployment and increased housing costs.</w:t>
      </w:r>
      <w:r>
        <w:rPr>
          <w:rFonts w:ascii="Calibri" w:hAnsi="Calibri" w:cs="Calibri"/>
          <w:sz w:val="24"/>
          <w:szCs w:val="24"/>
        </w:rPr>
        <w:t xml:space="preserve"> </w:t>
      </w:r>
      <w:r w:rsidRPr="00821556">
        <w:rPr>
          <w:rFonts w:ascii="Calibri" w:hAnsi="Calibri" w:cs="Calibri"/>
          <w:sz w:val="24"/>
          <w:szCs w:val="24"/>
        </w:rPr>
        <w:t xml:space="preserve">An unstable home environment caused by domestic violence, child abuse and neglect, family conflict, mental illness and drug and alcohol problems may also </w:t>
      </w:r>
      <w:r>
        <w:rPr>
          <w:rFonts w:ascii="Calibri" w:hAnsi="Calibri" w:cs="Calibri"/>
          <w:sz w:val="24"/>
          <w:szCs w:val="24"/>
        </w:rPr>
        <w:t>lead to homelessness (AIHW 2012a</w:t>
      </w:r>
      <w:r w:rsidRPr="00821556">
        <w:rPr>
          <w:rFonts w:ascii="Calibri" w:hAnsi="Calibri" w:cs="Calibri"/>
          <w:sz w:val="24"/>
          <w:szCs w:val="24"/>
        </w:rPr>
        <w:t xml:space="preserve">). </w:t>
      </w:r>
    </w:p>
    <w:p w:rsidR="00D0122C" w:rsidRPr="00821556" w:rsidRDefault="00D0122C" w:rsidP="00D0122C">
      <w:pPr>
        <w:rPr>
          <w:rFonts w:ascii="Calibri" w:hAnsi="Calibri" w:cs="Calibri"/>
          <w:sz w:val="24"/>
          <w:szCs w:val="24"/>
        </w:rPr>
      </w:pPr>
    </w:p>
    <w:p w:rsidR="00D0122C" w:rsidRPr="00821556" w:rsidRDefault="0075472C" w:rsidP="00D0122C">
      <w:pPr>
        <w:rPr>
          <w:rFonts w:ascii="Calibri" w:hAnsi="Calibri" w:cs="Calibri"/>
          <w:sz w:val="24"/>
          <w:szCs w:val="24"/>
        </w:rPr>
      </w:pPr>
      <w:r>
        <w:rPr>
          <w:rFonts w:ascii="Calibri" w:hAnsi="Calibri" w:cs="Calibri"/>
          <w:sz w:val="24"/>
          <w:szCs w:val="24"/>
        </w:rPr>
        <w:t>SHSs</w:t>
      </w:r>
      <w:r w:rsidR="00D0122C" w:rsidRPr="00821556">
        <w:rPr>
          <w:rFonts w:ascii="Calibri" w:hAnsi="Calibri" w:cs="Calibri"/>
          <w:sz w:val="24"/>
          <w:szCs w:val="24"/>
        </w:rPr>
        <w:t xml:space="preserve"> deliver support to people who are homeless or at risk of homelessness. In 2011–12, </w:t>
      </w:r>
      <w:r w:rsidR="00D0122C">
        <w:rPr>
          <w:rFonts w:ascii="Calibri" w:hAnsi="Calibri" w:cs="Calibri"/>
          <w:sz w:val="24"/>
          <w:szCs w:val="24"/>
        </w:rPr>
        <w:t xml:space="preserve">almost one-third (29 per cent) of all clients </w:t>
      </w:r>
      <w:r w:rsidR="00D0122C" w:rsidRPr="00821556">
        <w:rPr>
          <w:rFonts w:ascii="Calibri" w:hAnsi="Calibri" w:cs="Calibri"/>
          <w:sz w:val="24"/>
          <w:szCs w:val="24"/>
        </w:rPr>
        <w:t xml:space="preserve">assisted by </w:t>
      </w:r>
      <w:r w:rsidR="00D0122C">
        <w:rPr>
          <w:rFonts w:ascii="Calibri" w:hAnsi="Calibri" w:cs="Calibri"/>
          <w:sz w:val="24"/>
          <w:szCs w:val="24"/>
        </w:rPr>
        <w:t xml:space="preserve">these services were </w:t>
      </w:r>
      <w:r w:rsidR="00D0122C" w:rsidRPr="00821556">
        <w:rPr>
          <w:rFonts w:ascii="Calibri" w:hAnsi="Calibri" w:cs="Calibri"/>
          <w:sz w:val="24"/>
          <w:szCs w:val="24"/>
        </w:rPr>
        <w:t xml:space="preserve">children </w:t>
      </w:r>
      <w:r w:rsidR="00D0122C">
        <w:rPr>
          <w:rFonts w:ascii="Calibri" w:hAnsi="Calibri" w:cs="Calibri"/>
          <w:sz w:val="24"/>
          <w:szCs w:val="24"/>
        </w:rPr>
        <w:t>aged 0</w:t>
      </w:r>
      <w:r w:rsidR="00945F81">
        <w:rPr>
          <w:rFonts w:ascii="Calibri" w:hAnsi="Calibri" w:cs="Calibri"/>
          <w:sz w:val="24"/>
          <w:szCs w:val="24"/>
        </w:rPr>
        <w:t xml:space="preserve"> to </w:t>
      </w:r>
      <w:r w:rsidR="00D0122C">
        <w:rPr>
          <w:rFonts w:ascii="Calibri" w:hAnsi="Calibri" w:cs="Calibri"/>
          <w:sz w:val="24"/>
          <w:szCs w:val="24"/>
        </w:rPr>
        <w:t xml:space="preserve">17 years—over </w:t>
      </w:r>
      <w:r w:rsidR="00D0122C" w:rsidRPr="00821556">
        <w:rPr>
          <w:rFonts w:ascii="Calibri" w:hAnsi="Calibri" w:cs="Calibri"/>
          <w:sz w:val="24"/>
          <w:szCs w:val="24"/>
        </w:rPr>
        <w:t>67</w:t>
      </w:r>
      <w:r w:rsidR="00D0122C">
        <w:rPr>
          <w:rFonts w:ascii="Calibri" w:hAnsi="Calibri" w:cs="Calibri"/>
          <w:sz w:val="24"/>
          <w:szCs w:val="24"/>
        </w:rPr>
        <w:t> </w:t>
      </w:r>
      <w:r w:rsidR="00D0122C" w:rsidRPr="00821556">
        <w:rPr>
          <w:rFonts w:ascii="Calibri" w:hAnsi="Calibri" w:cs="Calibri"/>
          <w:sz w:val="24"/>
          <w:szCs w:val="24"/>
        </w:rPr>
        <w:t xml:space="preserve">000 </w:t>
      </w:r>
      <w:r w:rsidR="00D0122C">
        <w:rPr>
          <w:rFonts w:ascii="Calibri" w:hAnsi="Calibri" w:cs="Calibri"/>
          <w:sz w:val="24"/>
          <w:szCs w:val="24"/>
        </w:rPr>
        <w:t xml:space="preserve">children, representing a rate of </w:t>
      </w:r>
      <w:r w:rsidR="00D0122C" w:rsidRPr="00821556">
        <w:rPr>
          <w:rFonts w:ascii="Calibri" w:hAnsi="Calibri" w:cs="Calibri"/>
          <w:sz w:val="24"/>
          <w:szCs w:val="24"/>
        </w:rPr>
        <w:t>13 per 1000 children</w:t>
      </w:r>
      <w:r w:rsidR="00D0122C">
        <w:rPr>
          <w:rFonts w:ascii="Calibri" w:hAnsi="Calibri" w:cs="Calibri"/>
          <w:sz w:val="24"/>
          <w:szCs w:val="24"/>
        </w:rPr>
        <w:t xml:space="preserve">. </w:t>
      </w:r>
      <w:r w:rsidR="00D0122C" w:rsidRPr="00821556">
        <w:rPr>
          <w:rFonts w:ascii="Calibri" w:hAnsi="Calibri" w:cs="Calibri"/>
          <w:sz w:val="24"/>
          <w:szCs w:val="24"/>
        </w:rPr>
        <w:t>Most</w:t>
      </w:r>
      <w:r w:rsidR="00D0122C">
        <w:rPr>
          <w:rFonts w:ascii="Calibri" w:hAnsi="Calibri" w:cs="Calibri"/>
          <w:sz w:val="24"/>
          <w:szCs w:val="24"/>
        </w:rPr>
        <w:t xml:space="preserve"> of these </w:t>
      </w:r>
      <w:r w:rsidR="00D0122C" w:rsidRPr="00821556">
        <w:rPr>
          <w:rFonts w:ascii="Calibri" w:hAnsi="Calibri" w:cs="Calibri"/>
          <w:sz w:val="24"/>
          <w:szCs w:val="24"/>
        </w:rPr>
        <w:t>children (58</w:t>
      </w:r>
      <w:r w:rsidR="00D0122C">
        <w:rPr>
          <w:rFonts w:ascii="Calibri" w:hAnsi="Calibri" w:cs="Calibri"/>
          <w:sz w:val="24"/>
          <w:szCs w:val="24"/>
        </w:rPr>
        <w:t xml:space="preserve"> per cent</w:t>
      </w:r>
      <w:r w:rsidR="00D0122C" w:rsidRPr="00821556">
        <w:rPr>
          <w:rFonts w:ascii="Calibri" w:hAnsi="Calibri" w:cs="Calibri"/>
          <w:sz w:val="24"/>
          <w:szCs w:val="24"/>
        </w:rPr>
        <w:t>) were under 10 years of age.</w:t>
      </w:r>
    </w:p>
    <w:p w:rsidR="00D0122C" w:rsidRPr="00821556" w:rsidRDefault="00D0122C" w:rsidP="00D0122C">
      <w:pPr>
        <w:rPr>
          <w:rFonts w:ascii="Calibri" w:hAnsi="Calibri" w:cs="Calibri"/>
          <w:sz w:val="24"/>
          <w:szCs w:val="24"/>
        </w:rPr>
      </w:pPr>
    </w:p>
    <w:p w:rsidR="00D0122C" w:rsidRPr="00821556" w:rsidRDefault="00D0122C" w:rsidP="00D0122C">
      <w:pPr>
        <w:rPr>
          <w:rFonts w:ascii="Calibri" w:hAnsi="Calibri" w:cs="Calibri"/>
          <w:sz w:val="24"/>
          <w:szCs w:val="24"/>
        </w:rPr>
      </w:pPr>
      <w:r w:rsidRPr="00821556">
        <w:rPr>
          <w:rFonts w:ascii="Calibri" w:hAnsi="Calibri" w:cs="Calibri"/>
          <w:sz w:val="24"/>
          <w:szCs w:val="24"/>
        </w:rPr>
        <w:t xml:space="preserve">Aboriginal and Torres Strait Islander children were over-represented </w:t>
      </w:r>
      <w:r>
        <w:rPr>
          <w:rFonts w:ascii="Calibri" w:hAnsi="Calibri" w:cs="Calibri"/>
          <w:sz w:val="24"/>
          <w:szCs w:val="24"/>
        </w:rPr>
        <w:t>in homelessness services;</w:t>
      </w:r>
      <w:r w:rsidRPr="00821556">
        <w:rPr>
          <w:rFonts w:ascii="Calibri" w:hAnsi="Calibri" w:cs="Calibri"/>
          <w:sz w:val="24"/>
          <w:szCs w:val="24"/>
        </w:rPr>
        <w:t xml:space="preserve"> the rate for Indigenous children was nine times the rate for non-Indigenous children (73 and 8 per 1000 children respectively). </w:t>
      </w:r>
    </w:p>
    <w:p w:rsidR="00D0122C" w:rsidRPr="00821556" w:rsidRDefault="00D0122C" w:rsidP="00D0122C">
      <w:pPr>
        <w:rPr>
          <w:rFonts w:ascii="Calibri" w:hAnsi="Calibri" w:cs="Calibri"/>
          <w:sz w:val="24"/>
          <w:szCs w:val="24"/>
        </w:rPr>
      </w:pPr>
    </w:p>
    <w:p w:rsidR="00D0122C" w:rsidRPr="00821556" w:rsidRDefault="00D0122C" w:rsidP="00D0122C">
      <w:pPr>
        <w:rPr>
          <w:rFonts w:ascii="Calibri" w:hAnsi="Calibri" w:cs="Calibri"/>
          <w:sz w:val="24"/>
          <w:szCs w:val="24"/>
        </w:rPr>
      </w:pPr>
      <w:proofErr w:type="gramStart"/>
      <w:r w:rsidRPr="00821556">
        <w:rPr>
          <w:rFonts w:ascii="Calibri" w:hAnsi="Calibri" w:cs="Calibri"/>
          <w:sz w:val="24"/>
          <w:szCs w:val="24"/>
        </w:rPr>
        <w:t>Around one</w:t>
      </w:r>
      <w:r>
        <w:rPr>
          <w:rFonts w:ascii="Calibri" w:hAnsi="Calibri" w:cs="Calibri"/>
          <w:sz w:val="24"/>
          <w:szCs w:val="24"/>
        </w:rPr>
        <w:t>-</w:t>
      </w:r>
      <w:r w:rsidRPr="00821556">
        <w:rPr>
          <w:rFonts w:ascii="Calibri" w:hAnsi="Calibri" w:cs="Calibri"/>
          <w:sz w:val="24"/>
          <w:szCs w:val="24"/>
        </w:rPr>
        <w:t>sixth (16</w:t>
      </w:r>
      <w:r>
        <w:rPr>
          <w:rFonts w:ascii="Calibri" w:hAnsi="Calibri" w:cs="Calibri"/>
          <w:sz w:val="24"/>
          <w:szCs w:val="24"/>
        </w:rPr>
        <w:t xml:space="preserve"> per cent</w:t>
      </w:r>
      <w:r w:rsidRPr="00821556">
        <w:rPr>
          <w:rFonts w:ascii="Calibri" w:hAnsi="Calibri" w:cs="Calibri"/>
          <w:sz w:val="24"/>
          <w:szCs w:val="24"/>
        </w:rPr>
        <w:t>) of children presented alone to homelessness services, while the majority presented in a group as part of a ‘person with children’ (69</w:t>
      </w:r>
      <w:r>
        <w:rPr>
          <w:rFonts w:ascii="Calibri" w:hAnsi="Calibri" w:cs="Calibri"/>
          <w:sz w:val="24"/>
          <w:szCs w:val="24"/>
        </w:rPr>
        <w:t xml:space="preserve"> per cent</w:t>
      </w:r>
      <w:r w:rsidRPr="00821556">
        <w:rPr>
          <w:rFonts w:ascii="Calibri" w:hAnsi="Calibri" w:cs="Calibri"/>
          <w:sz w:val="24"/>
          <w:szCs w:val="24"/>
        </w:rPr>
        <w:t>) or a ‘couple with children’ (12</w:t>
      </w:r>
      <w:r>
        <w:rPr>
          <w:rFonts w:ascii="Calibri" w:hAnsi="Calibri" w:cs="Calibri"/>
          <w:sz w:val="24"/>
          <w:szCs w:val="24"/>
        </w:rPr>
        <w:t xml:space="preserve"> per cent</w:t>
      </w:r>
      <w:r w:rsidRPr="00821556">
        <w:rPr>
          <w:rFonts w:ascii="Calibri" w:hAnsi="Calibri" w:cs="Calibri"/>
          <w:sz w:val="24"/>
          <w:szCs w:val="24"/>
        </w:rPr>
        <w:t>).</w:t>
      </w:r>
      <w:proofErr w:type="gramEnd"/>
      <w:r>
        <w:rPr>
          <w:rFonts w:ascii="Calibri" w:hAnsi="Calibri" w:cs="Calibri"/>
          <w:sz w:val="24"/>
          <w:szCs w:val="24"/>
        </w:rPr>
        <w:t xml:space="preserve"> Over one-third (39 per cent) of children assisted by homelessness services had experienced </w:t>
      </w:r>
      <w:r w:rsidRPr="00156DB6">
        <w:rPr>
          <w:rFonts w:ascii="Calibri" w:hAnsi="Calibri" w:cs="Calibri"/>
          <w:sz w:val="24"/>
          <w:szCs w:val="24"/>
        </w:rPr>
        <w:t>domestic or family violence</w:t>
      </w:r>
      <w:r>
        <w:rPr>
          <w:rFonts w:ascii="Calibri" w:hAnsi="Calibri" w:cs="Calibri"/>
          <w:sz w:val="24"/>
          <w:szCs w:val="24"/>
        </w:rPr>
        <w:t xml:space="preserve"> (AIHW 2012b). </w:t>
      </w:r>
    </w:p>
    <w:p w:rsidR="00D0122C" w:rsidRPr="00821556" w:rsidRDefault="00D0122C" w:rsidP="00D0122C">
      <w:pPr>
        <w:rPr>
          <w:rFonts w:ascii="Calibri" w:hAnsi="Calibri" w:cs="Calibri"/>
          <w:sz w:val="24"/>
          <w:szCs w:val="24"/>
        </w:rPr>
      </w:pPr>
    </w:p>
    <w:p w:rsidR="00D0122C" w:rsidRDefault="00D0122C" w:rsidP="00D0122C">
      <w:pPr>
        <w:rPr>
          <w:rFonts w:ascii="Calibri" w:hAnsi="Calibri" w:cs="Calibri"/>
          <w:sz w:val="24"/>
          <w:szCs w:val="24"/>
        </w:rPr>
      </w:pPr>
      <w:r w:rsidRPr="00821556">
        <w:rPr>
          <w:rFonts w:ascii="Calibri" w:hAnsi="Calibri" w:cs="Calibri"/>
          <w:sz w:val="24"/>
          <w:szCs w:val="24"/>
        </w:rPr>
        <w:t xml:space="preserve">The national </w:t>
      </w:r>
      <w:r>
        <w:rPr>
          <w:rFonts w:ascii="Calibri" w:hAnsi="Calibri" w:cs="Calibri"/>
          <w:sz w:val="24"/>
          <w:szCs w:val="24"/>
        </w:rPr>
        <w:t>SHS</w:t>
      </w:r>
      <w:r w:rsidRPr="00821556">
        <w:rPr>
          <w:rFonts w:ascii="Calibri" w:hAnsi="Calibri" w:cs="Calibri"/>
          <w:sz w:val="24"/>
          <w:szCs w:val="24"/>
        </w:rPr>
        <w:t xml:space="preserve"> data collection was implemented on 1 July 2011 (replacing the previous Supported Accommodation Assistance Program </w:t>
      </w:r>
      <w:r w:rsidR="0075472C">
        <w:rPr>
          <w:rFonts w:ascii="Calibri" w:hAnsi="Calibri" w:cs="Calibri"/>
          <w:sz w:val="24"/>
          <w:szCs w:val="24"/>
        </w:rPr>
        <w:t xml:space="preserve">(SAAP) </w:t>
      </w:r>
      <w:r w:rsidRPr="00821556">
        <w:rPr>
          <w:rFonts w:ascii="Calibri" w:hAnsi="Calibri" w:cs="Calibri"/>
          <w:sz w:val="24"/>
          <w:szCs w:val="24"/>
        </w:rPr>
        <w:t>national data collection).</w:t>
      </w:r>
      <w:r>
        <w:rPr>
          <w:rFonts w:ascii="Calibri" w:hAnsi="Calibri" w:cs="Calibri"/>
          <w:sz w:val="24"/>
          <w:szCs w:val="24"/>
        </w:rPr>
        <w:t xml:space="preserve"> For this reason</w:t>
      </w:r>
      <w:r w:rsidRPr="00821556">
        <w:rPr>
          <w:rFonts w:ascii="Calibri" w:hAnsi="Calibri" w:cs="Calibri"/>
          <w:sz w:val="24"/>
          <w:szCs w:val="24"/>
        </w:rPr>
        <w:t>, trend data are not yet available.</w:t>
      </w:r>
      <w:r>
        <w:rPr>
          <w:rFonts w:ascii="Calibri" w:hAnsi="Calibri" w:cs="Calibri"/>
          <w:sz w:val="24"/>
          <w:szCs w:val="24"/>
        </w:rPr>
        <w:t xml:space="preserve"> </w:t>
      </w:r>
    </w:p>
    <w:p w:rsidR="00D0122C" w:rsidRPr="00821556" w:rsidRDefault="00D0122C" w:rsidP="00D0122C">
      <w:pPr>
        <w:rPr>
          <w:rFonts w:ascii="Calibri" w:hAnsi="Calibri" w:cs="Calibri"/>
          <w:sz w:val="24"/>
          <w:szCs w:val="24"/>
        </w:rPr>
      </w:pPr>
    </w:p>
    <w:p w:rsidR="003C414F" w:rsidRDefault="003C414F">
      <w:pPr>
        <w:rPr>
          <w:rFonts w:ascii="Arial" w:hAnsi="Arial"/>
          <w:b/>
        </w:rPr>
      </w:pPr>
      <w:bookmarkStart w:id="153" w:name="_Toc400010303"/>
      <w:r>
        <w:br w:type="page"/>
      </w:r>
    </w:p>
    <w:p w:rsidR="00D0122C" w:rsidRPr="00821556" w:rsidRDefault="0074031D" w:rsidP="00520DEC">
      <w:pPr>
        <w:pStyle w:val="Figure"/>
        <w:ind w:right="2527"/>
      </w:pPr>
      <w:r>
        <w:t xml:space="preserve">Table </w:t>
      </w:r>
      <w:fldSimple w:instr=" SEQ Table \* ARABIC ">
        <w:r w:rsidR="00BF1EC9">
          <w:rPr>
            <w:noProof/>
          </w:rPr>
          <w:t>17</w:t>
        </w:r>
      </w:fldSimple>
      <w:r>
        <w:t xml:space="preserve">: </w:t>
      </w:r>
      <w:r w:rsidRPr="00821556">
        <w:t>Children aged 0–17 years assisted by specialist homelessness services, 2011–12</w:t>
      </w:r>
      <w:bookmarkEnd w:id="153"/>
    </w:p>
    <w:tbl>
      <w:tblPr>
        <w:tblW w:w="4297" w:type="pct"/>
        <w:tblLook w:val="04A0" w:firstRow="1" w:lastRow="0" w:firstColumn="1" w:lastColumn="0" w:noHBand="0" w:noVBand="1"/>
        <w:tblDescription w:val="Table 17: Children aged 0–17 years assisted by specialist homelessness services, 2011–12"/>
      </w:tblPr>
      <w:tblGrid>
        <w:gridCol w:w="2376"/>
        <w:gridCol w:w="2269"/>
        <w:gridCol w:w="2269"/>
        <w:gridCol w:w="2265"/>
      </w:tblGrid>
      <w:tr w:rsidR="00F33EBA" w:rsidRPr="00821556" w:rsidTr="00F33EBA">
        <w:tc>
          <w:tcPr>
            <w:tcW w:w="1294" w:type="pct"/>
            <w:tcBorders>
              <w:top w:val="single" w:sz="4" w:space="0" w:color="auto"/>
              <w:bottom w:val="single" w:sz="4" w:space="0" w:color="auto"/>
            </w:tcBorders>
            <w:shd w:val="clear" w:color="auto" w:fill="auto"/>
            <w:vAlign w:val="bottom"/>
          </w:tcPr>
          <w:p w:rsidR="00D0122C" w:rsidRPr="00520DEC" w:rsidRDefault="00D0122C" w:rsidP="00135409">
            <w:pPr>
              <w:pStyle w:val="TableFigHeadingtotal"/>
              <w:rPr>
                <w:rFonts w:cs="Arial"/>
                <w:b w:val="0"/>
              </w:rPr>
            </w:pPr>
            <w:r w:rsidRPr="00520DEC">
              <w:rPr>
                <w:rFonts w:cs="Arial"/>
                <w:b w:val="0"/>
              </w:rPr>
              <w:t>Age group (years)</w:t>
            </w:r>
          </w:p>
        </w:tc>
        <w:tc>
          <w:tcPr>
            <w:tcW w:w="1236" w:type="pct"/>
            <w:tcBorders>
              <w:top w:val="single" w:sz="4" w:space="0" w:color="auto"/>
              <w:bottom w:val="single" w:sz="4" w:space="0" w:color="auto"/>
            </w:tcBorders>
            <w:shd w:val="clear" w:color="auto" w:fill="auto"/>
            <w:vAlign w:val="bottom"/>
          </w:tcPr>
          <w:p w:rsidR="00D0122C" w:rsidRPr="00821556" w:rsidRDefault="00D0122C" w:rsidP="00135409">
            <w:pPr>
              <w:pStyle w:val="TableFigHeadingtotal"/>
              <w:jc w:val="right"/>
              <w:rPr>
                <w:rFonts w:cs="Arial"/>
              </w:rPr>
            </w:pPr>
            <w:r w:rsidRPr="00821556">
              <w:rPr>
                <w:rFonts w:cs="Arial"/>
              </w:rPr>
              <w:t>Indigenous children</w:t>
            </w:r>
            <w:r w:rsidR="00453503">
              <w:rPr>
                <w:rFonts w:cs="Arial"/>
              </w:rPr>
              <w:br/>
              <w:t>Number</w:t>
            </w:r>
          </w:p>
        </w:tc>
        <w:tc>
          <w:tcPr>
            <w:tcW w:w="1236" w:type="pct"/>
            <w:tcBorders>
              <w:top w:val="single" w:sz="4" w:space="0" w:color="auto"/>
              <w:bottom w:val="single" w:sz="4" w:space="0" w:color="auto"/>
            </w:tcBorders>
            <w:shd w:val="clear" w:color="auto" w:fill="auto"/>
            <w:vAlign w:val="bottom"/>
          </w:tcPr>
          <w:p w:rsidR="00D0122C" w:rsidRPr="00821556" w:rsidRDefault="00D0122C" w:rsidP="00135409">
            <w:pPr>
              <w:pStyle w:val="TableFigHeadingtotal"/>
              <w:jc w:val="right"/>
              <w:rPr>
                <w:rFonts w:cs="Arial"/>
              </w:rPr>
            </w:pPr>
            <w:r w:rsidRPr="00821556">
              <w:rPr>
                <w:rFonts w:cs="Arial"/>
              </w:rPr>
              <w:t>Non-Indigenous children</w:t>
            </w:r>
            <w:r w:rsidR="00453503">
              <w:rPr>
                <w:rFonts w:cs="Arial"/>
              </w:rPr>
              <w:br/>
              <w:t>Number</w:t>
            </w:r>
          </w:p>
        </w:tc>
        <w:tc>
          <w:tcPr>
            <w:tcW w:w="1235" w:type="pct"/>
            <w:tcBorders>
              <w:top w:val="single" w:sz="4" w:space="0" w:color="auto"/>
              <w:bottom w:val="single" w:sz="4" w:space="0" w:color="auto"/>
            </w:tcBorders>
            <w:shd w:val="clear" w:color="auto" w:fill="auto"/>
            <w:vAlign w:val="bottom"/>
          </w:tcPr>
          <w:p w:rsidR="00D0122C" w:rsidRPr="00821556" w:rsidRDefault="00D0122C" w:rsidP="00135409">
            <w:pPr>
              <w:pStyle w:val="TableFigHeadingtotal"/>
              <w:jc w:val="right"/>
              <w:rPr>
                <w:rFonts w:cs="Arial"/>
              </w:rPr>
            </w:pPr>
            <w:r w:rsidRPr="00821556">
              <w:rPr>
                <w:rFonts w:cs="Arial"/>
              </w:rPr>
              <w:t>All children</w:t>
            </w:r>
            <w:r w:rsidR="00453503">
              <w:rPr>
                <w:rFonts w:cs="Arial"/>
              </w:rPr>
              <w:br/>
              <w:t>Number</w:t>
            </w:r>
          </w:p>
        </w:tc>
      </w:tr>
      <w:tr w:rsidR="00F33EBA" w:rsidRPr="00821556" w:rsidTr="00F33EBA">
        <w:tc>
          <w:tcPr>
            <w:tcW w:w="1294" w:type="pct"/>
            <w:shd w:val="clear" w:color="auto" w:fill="auto"/>
            <w:vAlign w:val="bottom"/>
          </w:tcPr>
          <w:p w:rsidR="00D0122C" w:rsidRPr="00520DEC" w:rsidRDefault="00D0122C" w:rsidP="00135409">
            <w:pPr>
              <w:pStyle w:val="TableFigText"/>
              <w:rPr>
                <w:rFonts w:cs="Arial"/>
              </w:rPr>
            </w:pPr>
            <w:r w:rsidRPr="00520DEC">
              <w:rPr>
                <w:rFonts w:cs="Arial"/>
              </w:rPr>
              <w:t>0–4</w:t>
            </w:r>
          </w:p>
        </w:tc>
        <w:tc>
          <w:tcPr>
            <w:tcW w:w="1236" w:type="pct"/>
            <w:shd w:val="clear" w:color="auto" w:fill="auto"/>
            <w:vAlign w:val="bottom"/>
          </w:tcPr>
          <w:p w:rsidR="00D0122C" w:rsidRPr="00821556" w:rsidRDefault="00D0122C" w:rsidP="00861132">
            <w:pPr>
              <w:pStyle w:val="TableFigText"/>
              <w:jc w:val="right"/>
              <w:rPr>
                <w:rFonts w:cs="Arial"/>
              </w:rPr>
            </w:pPr>
            <w:r w:rsidRPr="00821556">
              <w:rPr>
                <w:rFonts w:cs="Arial"/>
              </w:rPr>
              <w:t>6668</w:t>
            </w:r>
          </w:p>
        </w:tc>
        <w:tc>
          <w:tcPr>
            <w:tcW w:w="1236" w:type="pct"/>
            <w:shd w:val="clear" w:color="auto" w:fill="auto"/>
            <w:vAlign w:val="bottom"/>
          </w:tcPr>
          <w:p w:rsidR="00D0122C" w:rsidRPr="00821556" w:rsidRDefault="00D0122C" w:rsidP="00861132">
            <w:pPr>
              <w:pStyle w:val="TableFigText"/>
              <w:jc w:val="right"/>
              <w:rPr>
                <w:rFonts w:cs="Arial"/>
              </w:rPr>
            </w:pPr>
            <w:r w:rsidRPr="00821556">
              <w:rPr>
                <w:rFonts w:cs="Arial"/>
              </w:rPr>
              <w:t>13</w:t>
            </w:r>
            <w:r>
              <w:rPr>
                <w:rFonts w:cs="Arial"/>
              </w:rPr>
              <w:t> </w:t>
            </w:r>
            <w:r w:rsidRPr="00821556">
              <w:rPr>
                <w:rFonts w:cs="Arial"/>
              </w:rPr>
              <w:t>168</w:t>
            </w:r>
          </w:p>
        </w:tc>
        <w:tc>
          <w:tcPr>
            <w:tcW w:w="1235" w:type="pct"/>
            <w:shd w:val="clear" w:color="auto" w:fill="auto"/>
            <w:vAlign w:val="bottom"/>
          </w:tcPr>
          <w:p w:rsidR="00D0122C" w:rsidRPr="00821556" w:rsidRDefault="00D0122C" w:rsidP="007D0353">
            <w:pPr>
              <w:pStyle w:val="TableFigText"/>
              <w:jc w:val="right"/>
              <w:rPr>
                <w:rFonts w:cs="Arial"/>
              </w:rPr>
            </w:pPr>
            <w:r w:rsidRPr="00821556">
              <w:rPr>
                <w:rFonts w:cs="Arial"/>
              </w:rPr>
              <w:t>22</w:t>
            </w:r>
            <w:r>
              <w:rPr>
                <w:rFonts w:cs="Arial"/>
              </w:rPr>
              <w:t> </w:t>
            </w:r>
            <w:r w:rsidRPr="00821556">
              <w:rPr>
                <w:rFonts w:cs="Arial"/>
              </w:rPr>
              <w:t>580</w:t>
            </w:r>
          </w:p>
        </w:tc>
      </w:tr>
      <w:tr w:rsidR="00F33EBA" w:rsidRPr="00821556" w:rsidTr="00F33EBA">
        <w:tc>
          <w:tcPr>
            <w:tcW w:w="1294" w:type="pct"/>
            <w:shd w:val="clear" w:color="auto" w:fill="auto"/>
            <w:vAlign w:val="bottom"/>
          </w:tcPr>
          <w:p w:rsidR="00D0122C" w:rsidRPr="00520DEC" w:rsidRDefault="00D0122C" w:rsidP="00135409">
            <w:pPr>
              <w:pStyle w:val="TableFigText"/>
              <w:rPr>
                <w:rFonts w:cs="Arial"/>
              </w:rPr>
            </w:pPr>
            <w:r w:rsidRPr="00520DEC">
              <w:rPr>
                <w:rFonts w:cs="Arial"/>
              </w:rPr>
              <w:t>5–9</w:t>
            </w:r>
          </w:p>
        </w:tc>
        <w:tc>
          <w:tcPr>
            <w:tcW w:w="1236" w:type="pct"/>
            <w:shd w:val="clear" w:color="auto" w:fill="auto"/>
            <w:vAlign w:val="bottom"/>
          </w:tcPr>
          <w:p w:rsidR="00D0122C" w:rsidRPr="00821556" w:rsidRDefault="00D0122C" w:rsidP="00861132">
            <w:pPr>
              <w:pStyle w:val="TableFigText"/>
              <w:jc w:val="right"/>
              <w:rPr>
                <w:rFonts w:cs="Arial"/>
              </w:rPr>
            </w:pPr>
            <w:r w:rsidRPr="00821556">
              <w:rPr>
                <w:rFonts w:cs="Arial"/>
              </w:rPr>
              <w:t>4502</w:t>
            </w:r>
          </w:p>
        </w:tc>
        <w:tc>
          <w:tcPr>
            <w:tcW w:w="1236" w:type="pct"/>
            <w:shd w:val="clear" w:color="auto" w:fill="auto"/>
            <w:vAlign w:val="bottom"/>
          </w:tcPr>
          <w:p w:rsidR="00D0122C" w:rsidRPr="00821556" w:rsidRDefault="00D0122C" w:rsidP="00861132">
            <w:pPr>
              <w:pStyle w:val="TableFigText"/>
              <w:jc w:val="right"/>
              <w:rPr>
                <w:rFonts w:cs="Arial"/>
              </w:rPr>
            </w:pPr>
            <w:r w:rsidRPr="00821556">
              <w:rPr>
                <w:rFonts w:cs="Arial"/>
              </w:rPr>
              <w:t>9714</w:t>
            </w:r>
          </w:p>
        </w:tc>
        <w:tc>
          <w:tcPr>
            <w:tcW w:w="1235" w:type="pct"/>
            <w:shd w:val="clear" w:color="auto" w:fill="auto"/>
            <w:vAlign w:val="bottom"/>
          </w:tcPr>
          <w:p w:rsidR="00D0122C" w:rsidRPr="00821556" w:rsidRDefault="00D0122C" w:rsidP="007D0353">
            <w:pPr>
              <w:pStyle w:val="TableFigText"/>
              <w:jc w:val="right"/>
              <w:rPr>
                <w:rFonts w:cs="Arial"/>
              </w:rPr>
            </w:pPr>
            <w:r w:rsidRPr="00821556">
              <w:rPr>
                <w:rFonts w:cs="Arial"/>
              </w:rPr>
              <w:t>16</w:t>
            </w:r>
            <w:r>
              <w:rPr>
                <w:rFonts w:cs="Arial"/>
              </w:rPr>
              <w:t> </w:t>
            </w:r>
            <w:r w:rsidRPr="00821556">
              <w:rPr>
                <w:rFonts w:cs="Arial"/>
              </w:rPr>
              <w:t>276</w:t>
            </w:r>
          </w:p>
        </w:tc>
      </w:tr>
      <w:tr w:rsidR="00F33EBA" w:rsidRPr="00821556" w:rsidTr="00F33EBA">
        <w:tc>
          <w:tcPr>
            <w:tcW w:w="1294" w:type="pct"/>
            <w:shd w:val="clear" w:color="auto" w:fill="auto"/>
            <w:vAlign w:val="bottom"/>
          </w:tcPr>
          <w:p w:rsidR="00D0122C" w:rsidRPr="00520DEC" w:rsidRDefault="00D0122C" w:rsidP="00135409">
            <w:pPr>
              <w:pStyle w:val="TableFigText"/>
              <w:rPr>
                <w:rFonts w:cs="Arial"/>
              </w:rPr>
            </w:pPr>
            <w:r w:rsidRPr="00520DEC">
              <w:rPr>
                <w:rFonts w:cs="Arial"/>
              </w:rPr>
              <w:t>10–14</w:t>
            </w:r>
          </w:p>
        </w:tc>
        <w:tc>
          <w:tcPr>
            <w:tcW w:w="1236" w:type="pct"/>
            <w:shd w:val="clear" w:color="auto" w:fill="auto"/>
            <w:vAlign w:val="bottom"/>
          </w:tcPr>
          <w:p w:rsidR="00D0122C" w:rsidRPr="00821556" w:rsidRDefault="00D0122C" w:rsidP="00861132">
            <w:pPr>
              <w:pStyle w:val="TableFigText"/>
              <w:jc w:val="right"/>
              <w:rPr>
                <w:rFonts w:cs="Arial"/>
              </w:rPr>
            </w:pPr>
            <w:r w:rsidRPr="00821556">
              <w:rPr>
                <w:rFonts w:cs="Arial"/>
              </w:rPr>
              <w:t>3394</w:t>
            </w:r>
          </w:p>
        </w:tc>
        <w:tc>
          <w:tcPr>
            <w:tcW w:w="1236" w:type="pct"/>
            <w:shd w:val="clear" w:color="auto" w:fill="auto"/>
            <w:vAlign w:val="bottom"/>
          </w:tcPr>
          <w:p w:rsidR="00D0122C" w:rsidRPr="00821556" w:rsidRDefault="00D0122C" w:rsidP="00861132">
            <w:pPr>
              <w:pStyle w:val="TableFigText"/>
              <w:jc w:val="right"/>
              <w:rPr>
                <w:rFonts w:cs="Arial"/>
              </w:rPr>
            </w:pPr>
            <w:r w:rsidRPr="00821556">
              <w:rPr>
                <w:rFonts w:cs="Arial"/>
              </w:rPr>
              <w:t>8247</w:t>
            </w:r>
          </w:p>
        </w:tc>
        <w:tc>
          <w:tcPr>
            <w:tcW w:w="1235" w:type="pct"/>
            <w:shd w:val="clear" w:color="auto" w:fill="auto"/>
            <w:vAlign w:val="bottom"/>
          </w:tcPr>
          <w:p w:rsidR="00D0122C" w:rsidRPr="00821556" w:rsidRDefault="00D0122C" w:rsidP="007D0353">
            <w:pPr>
              <w:pStyle w:val="TableFigText"/>
              <w:jc w:val="right"/>
              <w:rPr>
                <w:rFonts w:cs="Arial"/>
              </w:rPr>
            </w:pPr>
            <w:r w:rsidRPr="00821556">
              <w:rPr>
                <w:rFonts w:cs="Arial"/>
              </w:rPr>
              <w:t>13</w:t>
            </w:r>
            <w:r>
              <w:rPr>
                <w:rFonts w:cs="Arial"/>
              </w:rPr>
              <w:t> </w:t>
            </w:r>
            <w:r w:rsidRPr="00821556">
              <w:rPr>
                <w:rFonts w:cs="Arial"/>
              </w:rPr>
              <w:t>475</w:t>
            </w:r>
          </w:p>
        </w:tc>
      </w:tr>
      <w:tr w:rsidR="00F33EBA" w:rsidRPr="00821556" w:rsidTr="00F33EBA">
        <w:tc>
          <w:tcPr>
            <w:tcW w:w="1294" w:type="pct"/>
            <w:shd w:val="clear" w:color="auto" w:fill="auto"/>
            <w:vAlign w:val="bottom"/>
          </w:tcPr>
          <w:p w:rsidR="00D0122C" w:rsidRPr="00520DEC" w:rsidRDefault="00D0122C" w:rsidP="00135409">
            <w:pPr>
              <w:pStyle w:val="TableFigText"/>
              <w:rPr>
                <w:rFonts w:cs="Arial"/>
              </w:rPr>
            </w:pPr>
            <w:r w:rsidRPr="00520DEC">
              <w:rPr>
                <w:rFonts w:cs="Arial"/>
              </w:rPr>
              <w:t>15–17</w:t>
            </w:r>
          </w:p>
        </w:tc>
        <w:tc>
          <w:tcPr>
            <w:tcW w:w="1236" w:type="pct"/>
            <w:shd w:val="clear" w:color="auto" w:fill="auto"/>
            <w:vAlign w:val="bottom"/>
          </w:tcPr>
          <w:p w:rsidR="00D0122C" w:rsidRPr="00821556" w:rsidRDefault="00D0122C" w:rsidP="00861132">
            <w:pPr>
              <w:pStyle w:val="TableFigText"/>
              <w:jc w:val="right"/>
              <w:rPr>
                <w:rFonts w:cs="Arial"/>
              </w:rPr>
            </w:pPr>
            <w:r w:rsidRPr="00821556">
              <w:rPr>
                <w:rFonts w:cs="Arial"/>
              </w:rPr>
              <w:t>2928</w:t>
            </w:r>
          </w:p>
        </w:tc>
        <w:tc>
          <w:tcPr>
            <w:tcW w:w="1236" w:type="pct"/>
            <w:shd w:val="clear" w:color="auto" w:fill="auto"/>
            <w:vAlign w:val="bottom"/>
          </w:tcPr>
          <w:p w:rsidR="00D0122C" w:rsidRPr="00821556" w:rsidRDefault="00D0122C" w:rsidP="00861132">
            <w:pPr>
              <w:pStyle w:val="TableFigText"/>
              <w:jc w:val="right"/>
              <w:rPr>
                <w:rFonts w:cs="Arial"/>
              </w:rPr>
            </w:pPr>
            <w:r w:rsidRPr="00821556">
              <w:rPr>
                <w:rFonts w:cs="Arial"/>
              </w:rPr>
              <w:t>9925</w:t>
            </w:r>
          </w:p>
        </w:tc>
        <w:tc>
          <w:tcPr>
            <w:tcW w:w="1235" w:type="pct"/>
            <w:shd w:val="clear" w:color="auto" w:fill="auto"/>
            <w:vAlign w:val="bottom"/>
          </w:tcPr>
          <w:p w:rsidR="00D0122C" w:rsidRPr="00821556" w:rsidRDefault="00D0122C" w:rsidP="007D0353">
            <w:pPr>
              <w:pStyle w:val="TableFigText"/>
              <w:jc w:val="right"/>
              <w:rPr>
                <w:rFonts w:cs="Arial"/>
              </w:rPr>
            </w:pPr>
            <w:r w:rsidRPr="00821556">
              <w:rPr>
                <w:rFonts w:cs="Arial"/>
              </w:rPr>
              <w:t>14</w:t>
            </w:r>
            <w:r>
              <w:rPr>
                <w:rFonts w:cs="Arial"/>
              </w:rPr>
              <w:t> </w:t>
            </w:r>
            <w:r w:rsidRPr="00821556">
              <w:rPr>
                <w:rFonts w:cs="Arial"/>
              </w:rPr>
              <w:t>945</w:t>
            </w:r>
          </w:p>
        </w:tc>
      </w:tr>
      <w:tr w:rsidR="00F33EBA" w:rsidRPr="00821556" w:rsidTr="00F33EBA">
        <w:tc>
          <w:tcPr>
            <w:tcW w:w="1294" w:type="pct"/>
            <w:shd w:val="clear" w:color="auto" w:fill="auto"/>
            <w:vAlign w:val="bottom"/>
          </w:tcPr>
          <w:p w:rsidR="00D0122C" w:rsidRPr="00520DEC" w:rsidRDefault="00D0122C" w:rsidP="00135409">
            <w:pPr>
              <w:pStyle w:val="TableFigHeadingtotal"/>
              <w:rPr>
                <w:rFonts w:cs="Arial"/>
                <w:b w:val="0"/>
              </w:rPr>
            </w:pPr>
            <w:r w:rsidRPr="00520DEC">
              <w:rPr>
                <w:rFonts w:cs="Arial"/>
                <w:b w:val="0"/>
              </w:rPr>
              <w:t>Total 0–17</w:t>
            </w:r>
          </w:p>
        </w:tc>
        <w:tc>
          <w:tcPr>
            <w:tcW w:w="1236" w:type="pct"/>
            <w:shd w:val="clear" w:color="auto" w:fill="auto"/>
            <w:vAlign w:val="bottom"/>
          </w:tcPr>
          <w:p w:rsidR="00D0122C" w:rsidRPr="00821556" w:rsidRDefault="00D0122C" w:rsidP="00861132">
            <w:pPr>
              <w:pStyle w:val="TableFigText"/>
              <w:jc w:val="right"/>
              <w:rPr>
                <w:rFonts w:cs="Arial"/>
                <w:b/>
              </w:rPr>
            </w:pPr>
            <w:r w:rsidRPr="00821556">
              <w:rPr>
                <w:rFonts w:cs="Arial"/>
                <w:b/>
              </w:rPr>
              <w:t>17</w:t>
            </w:r>
            <w:r>
              <w:rPr>
                <w:rFonts w:cs="Arial"/>
                <w:b/>
              </w:rPr>
              <w:t> </w:t>
            </w:r>
            <w:r w:rsidRPr="00821556">
              <w:rPr>
                <w:rFonts w:cs="Arial"/>
                <w:b/>
              </w:rPr>
              <w:t>492</w:t>
            </w:r>
          </w:p>
        </w:tc>
        <w:tc>
          <w:tcPr>
            <w:tcW w:w="1236" w:type="pct"/>
            <w:shd w:val="clear" w:color="auto" w:fill="auto"/>
            <w:vAlign w:val="bottom"/>
          </w:tcPr>
          <w:p w:rsidR="00D0122C" w:rsidRPr="00821556" w:rsidRDefault="00D0122C" w:rsidP="00861132">
            <w:pPr>
              <w:pStyle w:val="TableFigText"/>
              <w:jc w:val="right"/>
              <w:rPr>
                <w:rFonts w:cs="Arial"/>
                <w:b/>
              </w:rPr>
            </w:pPr>
            <w:r w:rsidRPr="00821556">
              <w:rPr>
                <w:rFonts w:cs="Arial"/>
                <w:b/>
              </w:rPr>
              <w:t>41</w:t>
            </w:r>
            <w:r>
              <w:rPr>
                <w:rFonts w:cs="Arial"/>
                <w:b/>
              </w:rPr>
              <w:t> </w:t>
            </w:r>
            <w:r w:rsidRPr="00821556">
              <w:rPr>
                <w:rFonts w:cs="Arial"/>
                <w:b/>
              </w:rPr>
              <w:t>053</w:t>
            </w:r>
          </w:p>
        </w:tc>
        <w:tc>
          <w:tcPr>
            <w:tcW w:w="1235" w:type="pct"/>
            <w:shd w:val="clear" w:color="auto" w:fill="auto"/>
            <w:vAlign w:val="bottom"/>
          </w:tcPr>
          <w:p w:rsidR="00D0122C" w:rsidRPr="00821556" w:rsidRDefault="00D0122C" w:rsidP="007D0353">
            <w:pPr>
              <w:pStyle w:val="TableFigText"/>
              <w:jc w:val="right"/>
              <w:rPr>
                <w:rFonts w:cs="Arial"/>
                <w:b/>
              </w:rPr>
            </w:pPr>
            <w:r w:rsidRPr="00821556">
              <w:rPr>
                <w:rFonts w:cs="Arial"/>
                <w:b/>
              </w:rPr>
              <w:t>67</w:t>
            </w:r>
            <w:r>
              <w:rPr>
                <w:rFonts w:cs="Arial"/>
                <w:b/>
              </w:rPr>
              <w:t> </w:t>
            </w:r>
            <w:r w:rsidRPr="00821556">
              <w:rPr>
                <w:rFonts w:cs="Arial"/>
                <w:b/>
              </w:rPr>
              <w:t>277</w:t>
            </w:r>
          </w:p>
        </w:tc>
      </w:tr>
      <w:tr w:rsidR="00F33EBA" w:rsidRPr="00821556" w:rsidTr="00F33EBA">
        <w:tc>
          <w:tcPr>
            <w:tcW w:w="1294" w:type="pct"/>
            <w:shd w:val="clear" w:color="auto" w:fill="auto"/>
            <w:vAlign w:val="bottom"/>
          </w:tcPr>
          <w:p w:rsidR="00453503" w:rsidRPr="00520DEC" w:rsidRDefault="00453503" w:rsidP="00135409">
            <w:pPr>
              <w:pStyle w:val="TableFigText"/>
              <w:rPr>
                <w:rFonts w:cs="Arial"/>
              </w:rPr>
            </w:pPr>
          </w:p>
        </w:tc>
        <w:tc>
          <w:tcPr>
            <w:tcW w:w="1236" w:type="pct"/>
            <w:shd w:val="clear" w:color="auto" w:fill="auto"/>
            <w:vAlign w:val="bottom"/>
          </w:tcPr>
          <w:p w:rsidR="00453503" w:rsidRPr="00821556" w:rsidRDefault="00453503" w:rsidP="003F4913">
            <w:pPr>
              <w:pStyle w:val="TableFigHeadingtotal"/>
              <w:jc w:val="right"/>
              <w:rPr>
                <w:rFonts w:cs="Arial"/>
              </w:rPr>
            </w:pPr>
            <w:r w:rsidRPr="00821556">
              <w:rPr>
                <w:rFonts w:cs="Arial"/>
              </w:rPr>
              <w:t>Indigenous children</w:t>
            </w:r>
            <w:r>
              <w:rPr>
                <w:rFonts w:cs="Arial"/>
              </w:rPr>
              <w:br/>
              <w:t>Rate per 1000 children</w:t>
            </w:r>
          </w:p>
        </w:tc>
        <w:tc>
          <w:tcPr>
            <w:tcW w:w="1236" w:type="pct"/>
            <w:shd w:val="clear" w:color="auto" w:fill="auto"/>
            <w:vAlign w:val="bottom"/>
          </w:tcPr>
          <w:p w:rsidR="00453503" w:rsidRPr="00821556" w:rsidRDefault="00453503" w:rsidP="003F4913">
            <w:pPr>
              <w:pStyle w:val="TableFigHeadingtotal"/>
              <w:jc w:val="right"/>
              <w:rPr>
                <w:rFonts w:cs="Arial"/>
              </w:rPr>
            </w:pPr>
            <w:r w:rsidRPr="00821556">
              <w:rPr>
                <w:rFonts w:cs="Arial"/>
              </w:rPr>
              <w:t>Non-Indigenous children</w:t>
            </w:r>
            <w:r>
              <w:rPr>
                <w:rFonts w:cs="Arial"/>
              </w:rPr>
              <w:br/>
              <w:t>Rate per 1000 children</w:t>
            </w:r>
          </w:p>
        </w:tc>
        <w:tc>
          <w:tcPr>
            <w:tcW w:w="1235" w:type="pct"/>
            <w:shd w:val="clear" w:color="auto" w:fill="auto"/>
            <w:vAlign w:val="bottom"/>
          </w:tcPr>
          <w:p w:rsidR="00453503" w:rsidRPr="00821556" w:rsidRDefault="00453503" w:rsidP="003F4913">
            <w:pPr>
              <w:pStyle w:val="TableFigHeadingtotal"/>
              <w:jc w:val="right"/>
              <w:rPr>
                <w:rFonts w:cs="Arial"/>
              </w:rPr>
            </w:pPr>
            <w:r w:rsidRPr="00821556">
              <w:rPr>
                <w:rFonts w:cs="Arial"/>
              </w:rPr>
              <w:t>All children</w:t>
            </w:r>
            <w:r>
              <w:rPr>
                <w:rFonts w:cs="Arial"/>
              </w:rPr>
              <w:br/>
              <w:t>Rate per 1000 children</w:t>
            </w:r>
          </w:p>
        </w:tc>
      </w:tr>
      <w:tr w:rsidR="00F33EBA" w:rsidRPr="00821556" w:rsidTr="00F33EBA">
        <w:tc>
          <w:tcPr>
            <w:tcW w:w="1294" w:type="pct"/>
            <w:shd w:val="clear" w:color="auto" w:fill="auto"/>
            <w:vAlign w:val="bottom"/>
          </w:tcPr>
          <w:p w:rsidR="00453503" w:rsidRPr="00520DEC" w:rsidRDefault="00453503" w:rsidP="00135409">
            <w:pPr>
              <w:pStyle w:val="TableFigText"/>
              <w:rPr>
                <w:rFonts w:cs="Arial"/>
              </w:rPr>
            </w:pPr>
            <w:r w:rsidRPr="00520DEC">
              <w:rPr>
                <w:rFonts w:cs="Arial"/>
              </w:rPr>
              <w:t>0–4</w:t>
            </w:r>
          </w:p>
        </w:tc>
        <w:tc>
          <w:tcPr>
            <w:tcW w:w="1236" w:type="pct"/>
            <w:shd w:val="clear" w:color="auto" w:fill="auto"/>
            <w:vAlign w:val="bottom"/>
          </w:tcPr>
          <w:p w:rsidR="00453503" w:rsidRPr="00821556" w:rsidRDefault="00453503" w:rsidP="00135409">
            <w:pPr>
              <w:pStyle w:val="TableFigText"/>
              <w:jc w:val="right"/>
              <w:rPr>
                <w:rFonts w:cs="Arial"/>
              </w:rPr>
            </w:pPr>
            <w:r w:rsidRPr="00821556">
              <w:rPr>
                <w:rFonts w:cs="Arial"/>
              </w:rPr>
              <w:t>92.8</w:t>
            </w:r>
          </w:p>
        </w:tc>
        <w:tc>
          <w:tcPr>
            <w:tcW w:w="1236" w:type="pct"/>
            <w:shd w:val="clear" w:color="auto" w:fill="auto"/>
            <w:vAlign w:val="bottom"/>
          </w:tcPr>
          <w:p w:rsidR="00453503" w:rsidRPr="00821556" w:rsidRDefault="00453503" w:rsidP="00135409">
            <w:pPr>
              <w:pStyle w:val="TableFigText"/>
              <w:jc w:val="right"/>
              <w:rPr>
                <w:rFonts w:cs="Arial"/>
              </w:rPr>
            </w:pPr>
            <w:r w:rsidRPr="00821556">
              <w:rPr>
                <w:rFonts w:cs="Arial"/>
              </w:rPr>
              <w:t>9.4</w:t>
            </w:r>
          </w:p>
        </w:tc>
        <w:tc>
          <w:tcPr>
            <w:tcW w:w="1235" w:type="pct"/>
            <w:shd w:val="clear" w:color="auto" w:fill="auto"/>
            <w:vAlign w:val="bottom"/>
          </w:tcPr>
          <w:p w:rsidR="00453503" w:rsidRPr="00821556" w:rsidRDefault="00453503" w:rsidP="00135409">
            <w:pPr>
              <w:pStyle w:val="TableFigText"/>
              <w:jc w:val="right"/>
              <w:rPr>
                <w:rFonts w:cs="Arial"/>
              </w:rPr>
            </w:pPr>
            <w:r w:rsidRPr="00821556">
              <w:rPr>
                <w:rFonts w:cs="Arial"/>
              </w:rPr>
              <w:t>15.4</w:t>
            </w:r>
          </w:p>
        </w:tc>
      </w:tr>
      <w:tr w:rsidR="00F33EBA" w:rsidRPr="00821556" w:rsidTr="00F33EBA">
        <w:tc>
          <w:tcPr>
            <w:tcW w:w="1294" w:type="pct"/>
            <w:shd w:val="clear" w:color="auto" w:fill="auto"/>
            <w:vAlign w:val="bottom"/>
          </w:tcPr>
          <w:p w:rsidR="00453503" w:rsidRPr="00520DEC" w:rsidRDefault="00453503" w:rsidP="00135409">
            <w:pPr>
              <w:pStyle w:val="TableFigText"/>
              <w:rPr>
                <w:rFonts w:cs="Arial"/>
              </w:rPr>
            </w:pPr>
            <w:r w:rsidRPr="00520DEC">
              <w:rPr>
                <w:rFonts w:cs="Arial"/>
              </w:rPr>
              <w:t>5–9</w:t>
            </w:r>
          </w:p>
        </w:tc>
        <w:tc>
          <w:tcPr>
            <w:tcW w:w="1236" w:type="pct"/>
            <w:shd w:val="clear" w:color="auto" w:fill="auto"/>
            <w:vAlign w:val="bottom"/>
          </w:tcPr>
          <w:p w:rsidR="00453503" w:rsidRPr="00821556" w:rsidRDefault="00453503" w:rsidP="00135409">
            <w:pPr>
              <w:pStyle w:val="TableFigText"/>
              <w:jc w:val="right"/>
              <w:rPr>
                <w:rFonts w:cs="Arial"/>
              </w:rPr>
            </w:pPr>
            <w:r w:rsidRPr="00821556">
              <w:rPr>
                <w:rFonts w:cs="Arial"/>
              </w:rPr>
              <w:t>69.8</w:t>
            </w:r>
          </w:p>
        </w:tc>
        <w:tc>
          <w:tcPr>
            <w:tcW w:w="1236" w:type="pct"/>
            <w:shd w:val="clear" w:color="auto" w:fill="auto"/>
            <w:vAlign w:val="bottom"/>
          </w:tcPr>
          <w:p w:rsidR="00453503" w:rsidRPr="00821556" w:rsidRDefault="00453503" w:rsidP="00135409">
            <w:pPr>
              <w:pStyle w:val="TableFigText"/>
              <w:jc w:val="right"/>
              <w:rPr>
                <w:rFonts w:cs="Arial"/>
              </w:rPr>
            </w:pPr>
            <w:r w:rsidRPr="00821556">
              <w:rPr>
                <w:rFonts w:cs="Arial"/>
              </w:rPr>
              <w:t>7.3</w:t>
            </w:r>
          </w:p>
        </w:tc>
        <w:tc>
          <w:tcPr>
            <w:tcW w:w="1235" w:type="pct"/>
            <w:shd w:val="clear" w:color="auto" w:fill="auto"/>
            <w:vAlign w:val="bottom"/>
          </w:tcPr>
          <w:p w:rsidR="00453503" w:rsidRPr="00821556" w:rsidRDefault="00453503" w:rsidP="00135409">
            <w:pPr>
              <w:pStyle w:val="TableFigText"/>
              <w:jc w:val="right"/>
              <w:rPr>
                <w:rFonts w:cs="Arial"/>
              </w:rPr>
            </w:pPr>
            <w:r w:rsidRPr="00821556">
              <w:rPr>
                <w:rFonts w:cs="Arial"/>
              </w:rPr>
              <w:t>11.7</w:t>
            </w:r>
          </w:p>
        </w:tc>
      </w:tr>
      <w:tr w:rsidR="00F33EBA" w:rsidRPr="00821556" w:rsidTr="00F33EBA">
        <w:tc>
          <w:tcPr>
            <w:tcW w:w="1294" w:type="pct"/>
            <w:shd w:val="clear" w:color="auto" w:fill="auto"/>
            <w:vAlign w:val="bottom"/>
          </w:tcPr>
          <w:p w:rsidR="00453503" w:rsidRPr="00520DEC" w:rsidRDefault="00453503" w:rsidP="00135409">
            <w:pPr>
              <w:pStyle w:val="TableFigText"/>
              <w:rPr>
                <w:rFonts w:cs="Arial"/>
              </w:rPr>
            </w:pPr>
            <w:r w:rsidRPr="00520DEC">
              <w:rPr>
                <w:rFonts w:cs="Arial"/>
              </w:rPr>
              <w:t>10–14</w:t>
            </w:r>
          </w:p>
        </w:tc>
        <w:tc>
          <w:tcPr>
            <w:tcW w:w="1236" w:type="pct"/>
            <w:shd w:val="clear" w:color="auto" w:fill="auto"/>
            <w:vAlign w:val="bottom"/>
          </w:tcPr>
          <w:p w:rsidR="00453503" w:rsidRPr="00821556" w:rsidRDefault="00453503" w:rsidP="00135409">
            <w:pPr>
              <w:pStyle w:val="TableFigText"/>
              <w:jc w:val="right"/>
              <w:rPr>
                <w:rFonts w:cs="Arial"/>
              </w:rPr>
            </w:pPr>
            <w:r w:rsidRPr="00821556">
              <w:rPr>
                <w:rFonts w:cs="Arial"/>
              </w:rPr>
              <w:t>52.1</w:t>
            </w:r>
          </w:p>
        </w:tc>
        <w:tc>
          <w:tcPr>
            <w:tcW w:w="1236" w:type="pct"/>
            <w:shd w:val="clear" w:color="auto" w:fill="auto"/>
            <w:vAlign w:val="bottom"/>
          </w:tcPr>
          <w:p w:rsidR="00453503" w:rsidRPr="00821556" w:rsidRDefault="00453503" w:rsidP="00135409">
            <w:pPr>
              <w:pStyle w:val="TableFigText"/>
              <w:jc w:val="right"/>
              <w:rPr>
                <w:rFonts w:cs="Arial"/>
              </w:rPr>
            </w:pPr>
            <w:r w:rsidRPr="00821556">
              <w:rPr>
                <w:rFonts w:cs="Arial"/>
              </w:rPr>
              <w:t>6.3</w:t>
            </w:r>
          </w:p>
        </w:tc>
        <w:tc>
          <w:tcPr>
            <w:tcW w:w="1235" w:type="pct"/>
            <w:shd w:val="clear" w:color="auto" w:fill="auto"/>
            <w:vAlign w:val="bottom"/>
          </w:tcPr>
          <w:p w:rsidR="00453503" w:rsidRPr="00821556" w:rsidRDefault="00453503" w:rsidP="00135409">
            <w:pPr>
              <w:pStyle w:val="TableFigText"/>
              <w:jc w:val="right"/>
              <w:rPr>
                <w:rFonts w:cs="Arial"/>
              </w:rPr>
            </w:pPr>
            <w:r w:rsidRPr="00821556">
              <w:rPr>
                <w:rFonts w:cs="Arial"/>
              </w:rPr>
              <w:t>9.8</w:t>
            </w:r>
          </w:p>
        </w:tc>
      </w:tr>
      <w:tr w:rsidR="00F33EBA" w:rsidRPr="00821556" w:rsidTr="00F33EBA">
        <w:tc>
          <w:tcPr>
            <w:tcW w:w="1294" w:type="pct"/>
            <w:shd w:val="clear" w:color="auto" w:fill="auto"/>
            <w:vAlign w:val="bottom"/>
          </w:tcPr>
          <w:p w:rsidR="00453503" w:rsidRPr="00520DEC" w:rsidRDefault="00453503" w:rsidP="00135409">
            <w:pPr>
              <w:pStyle w:val="TableFigText"/>
              <w:rPr>
                <w:rFonts w:cs="Arial"/>
              </w:rPr>
            </w:pPr>
            <w:r w:rsidRPr="00520DEC">
              <w:rPr>
                <w:rFonts w:cs="Arial"/>
              </w:rPr>
              <w:t>15–17</w:t>
            </w:r>
          </w:p>
        </w:tc>
        <w:tc>
          <w:tcPr>
            <w:tcW w:w="1236" w:type="pct"/>
            <w:shd w:val="clear" w:color="auto" w:fill="auto"/>
            <w:vAlign w:val="bottom"/>
          </w:tcPr>
          <w:p w:rsidR="00453503" w:rsidRPr="00821556" w:rsidRDefault="00453503" w:rsidP="00135409">
            <w:pPr>
              <w:pStyle w:val="TableFigText"/>
              <w:jc w:val="right"/>
              <w:rPr>
                <w:rFonts w:cs="Arial"/>
              </w:rPr>
            </w:pPr>
            <w:r w:rsidRPr="00821556">
              <w:rPr>
                <w:rFonts w:cs="Arial"/>
              </w:rPr>
              <w:t>75.4</w:t>
            </w:r>
          </w:p>
        </w:tc>
        <w:tc>
          <w:tcPr>
            <w:tcW w:w="1236" w:type="pct"/>
            <w:shd w:val="clear" w:color="auto" w:fill="auto"/>
            <w:vAlign w:val="bottom"/>
          </w:tcPr>
          <w:p w:rsidR="00453503" w:rsidRPr="00821556" w:rsidRDefault="00453503" w:rsidP="00135409">
            <w:pPr>
              <w:pStyle w:val="TableFigText"/>
              <w:jc w:val="right"/>
              <w:rPr>
                <w:rFonts w:cs="Arial"/>
              </w:rPr>
            </w:pPr>
            <w:r w:rsidRPr="00821556">
              <w:rPr>
                <w:rFonts w:cs="Arial"/>
              </w:rPr>
              <w:t>12.0</w:t>
            </w:r>
          </w:p>
        </w:tc>
        <w:tc>
          <w:tcPr>
            <w:tcW w:w="1235" w:type="pct"/>
            <w:shd w:val="clear" w:color="auto" w:fill="auto"/>
            <w:vAlign w:val="bottom"/>
          </w:tcPr>
          <w:p w:rsidR="00453503" w:rsidRPr="00821556" w:rsidRDefault="00453503" w:rsidP="00135409">
            <w:pPr>
              <w:pStyle w:val="TableFigText"/>
              <w:jc w:val="right"/>
              <w:rPr>
                <w:rFonts w:cs="Arial"/>
              </w:rPr>
            </w:pPr>
            <w:r w:rsidRPr="00821556">
              <w:rPr>
                <w:rFonts w:cs="Arial"/>
              </w:rPr>
              <w:t>17.3</w:t>
            </w:r>
          </w:p>
        </w:tc>
      </w:tr>
      <w:tr w:rsidR="00F33EBA" w:rsidRPr="00821556" w:rsidTr="00F33EBA">
        <w:tc>
          <w:tcPr>
            <w:tcW w:w="1294" w:type="pct"/>
            <w:tcBorders>
              <w:bottom w:val="single" w:sz="4" w:space="0" w:color="auto"/>
            </w:tcBorders>
            <w:shd w:val="clear" w:color="auto" w:fill="auto"/>
            <w:vAlign w:val="bottom"/>
          </w:tcPr>
          <w:p w:rsidR="00453503" w:rsidRPr="00520DEC" w:rsidRDefault="00453503" w:rsidP="00135409">
            <w:pPr>
              <w:pStyle w:val="TableFigHeadingtotal"/>
              <w:rPr>
                <w:rFonts w:cs="Arial"/>
                <w:b w:val="0"/>
              </w:rPr>
            </w:pPr>
            <w:r w:rsidRPr="00520DEC">
              <w:rPr>
                <w:rFonts w:cs="Arial"/>
                <w:b w:val="0"/>
              </w:rPr>
              <w:t>Total 0–17</w:t>
            </w:r>
          </w:p>
        </w:tc>
        <w:tc>
          <w:tcPr>
            <w:tcW w:w="1236" w:type="pct"/>
            <w:tcBorders>
              <w:bottom w:val="single" w:sz="4" w:space="0" w:color="auto"/>
            </w:tcBorders>
            <w:shd w:val="clear" w:color="auto" w:fill="auto"/>
            <w:vAlign w:val="bottom"/>
          </w:tcPr>
          <w:p w:rsidR="00453503" w:rsidRPr="00821556" w:rsidRDefault="00453503" w:rsidP="00135409">
            <w:pPr>
              <w:pStyle w:val="TableFigText"/>
              <w:jc w:val="right"/>
              <w:rPr>
                <w:rFonts w:cs="Arial"/>
                <w:b/>
              </w:rPr>
            </w:pPr>
            <w:r w:rsidRPr="00821556">
              <w:rPr>
                <w:rFonts w:cs="Arial"/>
                <w:b/>
              </w:rPr>
              <w:t>72.8</w:t>
            </w:r>
          </w:p>
        </w:tc>
        <w:tc>
          <w:tcPr>
            <w:tcW w:w="1236" w:type="pct"/>
            <w:tcBorders>
              <w:bottom w:val="single" w:sz="4" w:space="0" w:color="auto"/>
            </w:tcBorders>
            <w:shd w:val="clear" w:color="auto" w:fill="auto"/>
            <w:vAlign w:val="bottom"/>
          </w:tcPr>
          <w:p w:rsidR="00453503" w:rsidRPr="00821556" w:rsidRDefault="00453503" w:rsidP="00135409">
            <w:pPr>
              <w:pStyle w:val="TableFigText"/>
              <w:jc w:val="right"/>
              <w:rPr>
                <w:rFonts w:cs="Arial"/>
                <w:b/>
              </w:rPr>
            </w:pPr>
            <w:r w:rsidRPr="00821556">
              <w:rPr>
                <w:rFonts w:cs="Arial"/>
                <w:b/>
              </w:rPr>
              <w:t>8.4</w:t>
            </w:r>
          </w:p>
        </w:tc>
        <w:tc>
          <w:tcPr>
            <w:tcW w:w="1235" w:type="pct"/>
            <w:tcBorders>
              <w:bottom w:val="single" w:sz="4" w:space="0" w:color="auto"/>
            </w:tcBorders>
            <w:shd w:val="clear" w:color="auto" w:fill="auto"/>
            <w:vAlign w:val="bottom"/>
          </w:tcPr>
          <w:p w:rsidR="00453503" w:rsidRPr="00821556" w:rsidRDefault="00453503" w:rsidP="00135409">
            <w:pPr>
              <w:pStyle w:val="TableFigText"/>
              <w:jc w:val="right"/>
              <w:rPr>
                <w:rFonts w:cs="Arial"/>
                <w:b/>
              </w:rPr>
            </w:pPr>
            <w:r w:rsidRPr="00821556">
              <w:rPr>
                <w:rFonts w:cs="Arial"/>
                <w:b/>
              </w:rPr>
              <w:t>13.2</w:t>
            </w:r>
          </w:p>
        </w:tc>
      </w:tr>
    </w:tbl>
    <w:p w:rsidR="00D0122C" w:rsidRPr="00EA7C35" w:rsidRDefault="00D0122C" w:rsidP="00D66FAA">
      <w:pPr>
        <w:pStyle w:val="StyleArial7ptLeft0cmHanging05cmBefore6pt"/>
      </w:pPr>
      <w:r w:rsidRPr="00EA7C35">
        <w:t>Notes</w:t>
      </w:r>
      <w:r w:rsidRPr="00EA7C35">
        <w:tab/>
        <w:t xml:space="preserve"> </w:t>
      </w:r>
    </w:p>
    <w:p w:rsidR="00D0122C" w:rsidRPr="00EA7C35" w:rsidRDefault="00D0122C" w:rsidP="00453503">
      <w:pPr>
        <w:pStyle w:val="StyleArial7ptLeft0cmHanging05cmBefore6pt"/>
        <w:ind w:left="284" w:hanging="284"/>
      </w:pPr>
      <w:r w:rsidRPr="00EA7C35">
        <w:t>1.</w:t>
      </w:r>
      <w:r w:rsidRPr="00EA7C35">
        <w:tab/>
        <w:t xml:space="preserve">‘All children’ includes 8732 children whose Indigenous status was unknown (13.0% of all children). </w:t>
      </w:r>
    </w:p>
    <w:p w:rsidR="00D0122C" w:rsidRPr="00EA7C35" w:rsidRDefault="00D0122C" w:rsidP="00453503">
      <w:pPr>
        <w:pStyle w:val="StyleArial7ptLeft0cmHanging05cmBefore6pt"/>
        <w:ind w:left="284" w:hanging="284"/>
      </w:pPr>
      <w:r w:rsidRPr="00EA7C35">
        <w:t xml:space="preserve">2. </w:t>
      </w:r>
      <w:r w:rsidRPr="00EA7C35">
        <w:tab/>
        <w:t>Data are weighted to adjust for non-sampling error (details provided in AIHW 2012b). Categories may not add to Total due to rounding.</w:t>
      </w:r>
      <w:r w:rsidR="00A43557" w:rsidRPr="00EA7C35">
        <w:t xml:space="preserve"> </w:t>
      </w:r>
    </w:p>
    <w:p w:rsidR="009E62BB" w:rsidRPr="00EA7C35" w:rsidRDefault="00D0122C" w:rsidP="00D66FAA">
      <w:pPr>
        <w:pStyle w:val="StyleArial7ptLeft0cmHanging05cmBefore6pt"/>
      </w:pPr>
      <w:r w:rsidRPr="00EA7C35">
        <w:t xml:space="preserve">Source: AIHW Specialist Homelessness Services data </w:t>
      </w:r>
      <w:proofErr w:type="gramStart"/>
      <w:r w:rsidRPr="00EA7C35">
        <w:t>collection</w:t>
      </w:r>
      <w:r w:rsidR="000C0ACD" w:rsidRPr="00EA7C35">
        <w:t>,</w:t>
      </w:r>
      <w:proofErr w:type="gramEnd"/>
      <w:r w:rsidR="000C0ACD" w:rsidRPr="00EA7C35">
        <w:t xml:space="preserve"> previously published in FaHCSIA 2013</w:t>
      </w:r>
      <w:r w:rsidRPr="00EA7C35">
        <w:t>.</w:t>
      </w:r>
    </w:p>
    <w:p w:rsidR="009E62BB" w:rsidRDefault="009E62BB">
      <w:pPr>
        <w:rPr>
          <w:rFonts w:ascii="Arial" w:hAnsi="Arial" w:cs="Arial"/>
          <w:sz w:val="14"/>
          <w:lang w:eastAsia="en-US"/>
        </w:rPr>
      </w:pPr>
      <w:r>
        <w:br w:type="page"/>
      </w:r>
    </w:p>
    <w:p w:rsidR="00DE5836" w:rsidRPr="00356B6E" w:rsidRDefault="00DE5836" w:rsidP="00B940CF">
      <w:pPr>
        <w:pStyle w:val="Heading1"/>
      </w:pPr>
      <w:bookmarkStart w:id="154" w:name="_Toc400007744"/>
      <w:bookmarkStart w:id="155" w:name="_Toc400711485"/>
      <w:r>
        <w:t>Chapter six: Outcome 4</w:t>
      </w:r>
      <w:r>
        <w:noBreakHyphen/>
        <w:t>Children who have been abused or neglected receive the support and care they need for their safety and wellbeing</w:t>
      </w:r>
      <w:bookmarkEnd w:id="154"/>
      <w:bookmarkEnd w:id="155"/>
    </w:p>
    <w:p w:rsidR="00F13829" w:rsidRPr="001466E1" w:rsidRDefault="00754A9B" w:rsidP="00B71ABA">
      <w:pPr>
        <w:pBdr>
          <w:top w:val="single" w:sz="4" w:space="1" w:color="auto"/>
          <w:left w:val="single" w:sz="4" w:space="4" w:color="auto"/>
          <w:bottom w:val="single" w:sz="4" w:space="1" w:color="auto"/>
          <w:right w:val="single" w:sz="4" w:space="4" w:color="auto"/>
        </w:pBdr>
        <w:tabs>
          <w:tab w:val="left" w:pos="851"/>
        </w:tabs>
        <w:ind w:left="851" w:right="826"/>
        <w:jc w:val="center"/>
        <w:rPr>
          <w:rFonts w:ascii="Arial" w:hAnsi="Arial" w:cs="Arial"/>
          <w:sz w:val="18"/>
          <w:szCs w:val="18"/>
        </w:rPr>
      </w:pPr>
      <w:r w:rsidRPr="001466E1">
        <w:rPr>
          <w:rFonts w:ascii="Arial" w:hAnsi="Arial" w:cs="Arial"/>
          <w:sz w:val="28"/>
          <w:szCs w:val="28"/>
        </w:rPr>
        <w:t>C</w:t>
      </w:r>
      <w:r w:rsidR="00F7630E" w:rsidRPr="001466E1">
        <w:rPr>
          <w:rFonts w:ascii="Arial" w:hAnsi="Arial" w:cs="Arial"/>
          <w:sz w:val="28"/>
          <w:szCs w:val="28"/>
        </w:rPr>
        <w:t>hildren and young people who have been abused (or are at</w:t>
      </w:r>
      <w:r w:rsidR="007742C5" w:rsidRPr="001466E1">
        <w:rPr>
          <w:rFonts w:ascii="Arial" w:hAnsi="Arial" w:cs="Arial"/>
          <w:sz w:val="28"/>
          <w:szCs w:val="28"/>
        </w:rPr>
        <w:t xml:space="preserve"> </w:t>
      </w:r>
      <w:r w:rsidR="00F7630E" w:rsidRPr="001466E1">
        <w:rPr>
          <w:rFonts w:ascii="Arial" w:hAnsi="Arial" w:cs="Arial"/>
          <w:sz w:val="28"/>
          <w:szCs w:val="28"/>
        </w:rPr>
        <w:t>risk of abuse) receive timely, high-quality child protection and other support services to secure their safety and promote their long-term wellbeing.</w:t>
      </w:r>
    </w:p>
    <w:p w:rsidR="00F7630E" w:rsidRPr="00571A17" w:rsidRDefault="00F7630E" w:rsidP="00B71ABA">
      <w:pPr>
        <w:pStyle w:val="Heading2"/>
        <w:spacing w:before="240"/>
      </w:pPr>
      <w:bookmarkStart w:id="156" w:name="_Toc400007745"/>
      <w:bookmarkStart w:id="157" w:name="_Toc400711486"/>
      <w:r w:rsidRPr="00571A17">
        <w:t>Overview</w:t>
      </w:r>
      <w:bookmarkEnd w:id="156"/>
      <w:bookmarkEnd w:id="157"/>
    </w:p>
    <w:p w:rsidR="001466E1" w:rsidRDefault="00571A17" w:rsidP="00F7630E">
      <w:pPr>
        <w:rPr>
          <w:rFonts w:ascii="Calibri" w:hAnsi="Calibri" w:cs="Calibri"/>
          <w:sz w:val="24"/>
          <w:szCs w:val="24"/>
        </w:rPr>
      </w:pPr>
      <w:r>
        <w:rPr>
          <w:rFonts w:ascii="Calibri" w:hAnsi="Calibri" w:cs="Calibri"/>
          <w:sz w:val="24"/>
          <w:szCs w:val="24"/>
        </w:rPr>
        <w:t xml:space="preserve">The </w:t>
      </w:r>
      <w:r w:rsidR="00EC5572">
        <w:rPr>
          <w:rFonts w:ascii="Calibri" w:hAnsi="Calibri" w:cs="Calibri"/>
          <w:sz w:val="24"/>
          <w:szCs w:val="24"/>
        </w:rPr>
        <w:t>National Priorities</w:t>
      </w:r>
      <w:r>
        <w:rPr>
          <w:rFonts w:ascii="Calibri" w:hAnsi="Calibri" w:cs="Calibri"/>
          <w:sz w:val="24"/>
          <w:szCs w:val="24"/>
        </w:rPr>
        <w:t xml:space="preserve"> under the Section Action Plan against Outcome 4 are underpinned by a recognition that children and young people who have experienced abuse and neglect need high-quality child protection services that are evidence based, child-focused and address children’s developmental needs. </w:t>
      </w:r>
      <w:r w:rsidR="005E50CA">
        <w:rPr>
          <w:rFonts w:ascii="Calibri" w:hAnsi="Calibri" w:cs="Calibri"/>
          <w:sz w:val="24"/>
          <w:szCs w:val="24"/>
        </w:rPr>
        <w:t xml:space="preserve">These </w:t>
      </w:r>
      <w:r w:rsidR="00EC5572">
        <w:rPr>
          <w:rFonts w:ascii="Calibri" w:hAnsi="Calibri" w:cs="Calibri"/>
          <w:sz w:val="24"/>
          <w:szCs w:val="24"/>
        </w:rPr>
        <w:t>National Priorities</w:t>
      </w:r>
      <w:r w:rsidR="005E50CA">
        <w:rPr>
          <w:rFonts w:ascii="Calibri" w:hAnsi="Calibri" w:cs="Calibri"/>
          <w:sz w:val="24"/>
          <w:szCs w:val="24"/>
        </w:rPr>
        <w:t xml:space="preserve"> are:</w:t>
      </w:r>
    </w:p>
    <w:p w:rsidR="007F70A1" w:rsidRDefault="002B440C" w:rsidP="00114E2B">
      <w:pPr>
        <w:pStyle w:val="ListBullet"/>
      </w:pPr>
      <w:r>
        <w:t>Enhancing</w:t>
      </w:r>
      <w:r w:rsidR="007F70A1">
        <w:t xml:space="preserve"> the Evidence B</w:t>
      </w:r>
      <w:r w:rsidR="005E50CA">
        <w:t xml:space="preserve">ase </w:t>
      </w:r>
    </w:p>
    <w:p w:rsidR="005E50CA" w:rsidRDefault="00804098" w:rsidP="00114E2B">
      <w:pPr>
        <w:pStyle w:val="ListBullet3"/>
      </w:pPr>
      <w:r>
        <w:t>This a</w:t>
      </w:r>
      <w:r w:rsidR="007F70A1">
        <w:t xml:space="preserve">ims </w:t>
      </w:r>
      <w:r w:rsidR="005E50CA">
        <w:t xml:space="preserve">to improve data collections relating to </w:t>
      </w:r>
      <w:r w:rsidR="007F70A1">
        <w:t>children’s health, development and wellbeing.</w:t>
      </w:r>
    </w:p>
    <w:p w:rsidR="007F70A1" w:rsidRDefault="007F70A1" w:rsidP="00114E2B">
      <w:pPr>
        <w:pStyle w:val="ListBullet"/>
      </w:pPr>
      <w:r>
        <w:t>Filling Research G</w:t>
      </w:r>
      <w:r w:rsidR="005E50CA">
        <w:t xml:space="preserve">aps </w:t>
      </w:r>
    </w:p>
    <w:p w:rsidR="005E50CA" w:rsidRDefault="00804098" w:rsidP="00114E2B">
      <w:pPr>
        <w:pStyle w:val="ListBullet3"/>
      </w:pPr>
      <w:r>
        <w:t>This s</w:t>
      </w:r>
      <w:r w:rsidR="007F70A1">
        <w:t xml:space="preserve">upports research focused on </w:t>
      </w:r>
      <w:r w:rsidR="00CD7FE9">
        <w:t>issues relevant to protecting children from abuse and neglect</w:t>
      </w:r>
      <w:r w:rsidR="007F70A1">
        <w:t>.</w:t>
      </w:r>
    </w:p>
    <w:p w:rsidR="00C05434" w:rsidRDefault="00C05434" w:rsidP="00114E2B">
      <w:pPr>
        <w:pStyle w:val="ListBullet"/>
      </w:pPr>
      <w:r>
        <w:t>National Standards for Out-of-Home Care</w:t>
      </w:r>
    </w:p>
    <w:p w:rsidR="0086062C" w:rsidRDefault="00804098" w:rsidP="00114E2B">
      <w:pPr>
        <w:pStyle w:val="ListBullet3"/>
      </w:pPr>
      <w:r>
        <w:t>This i</w:t>
      </w:r>
      <w:r w:rsidR="00CD7FE9">
        <w:t>dentifies opportunities to improve outcomes for children and young people in out-of-home care</w:t>
      </w:r>
      <w:r>
        <w:t>.</w:t>
      </w:r>
    </w:p>
    <w:p w:rsidR="0086062C" w:rsidRDefault="0086062C" w:rsidP="00114E2B">
      <w:pPr>
        <w:pStyle w:val="ListBullet"/>
      </w:pPr>
      <w:r>
        <w:t>Transitioning to Independence</w:t>
      </w:r>
    </w:p>
    <w:p w:rsidR="005E50CA" w:rsidRDefault="00804098" w:rsidP="00114E2B">
      <w:pPr>
        <w:pStyle w:val="ListBullet3"/>
      </w:pPr>
      <w:r>
        <w:t xml:space="preserve">This provides </w:t>
      </w:r>
      <w:r w:rsidR="005E50CA">
        <w:t xml:space="preserve">support </w:t>
      </w:r>
      <w:r w:rsidR="00CD7FE9">
        <w:t xml:space="preserve">in areas such as health, housing, education and employment </w:t>
      </w:r>
      <w:r w:rsidR="005E50CA">
        <w:t>to vulnerable young people transitioning to independence</w:t>
      </w:r>
      <w:r w:rsidR="00571A17">
        <w:t xml:space="preserve"> from out-of-home care</w:t>
      </w:r>
      <w:r w:rsidR="00CD7FE9">
        <w:t>.</w:t>
      </w:r>
    </w:p>
    <w:p w:rsidR="0086062C" w:rsidRDefault="0086062C" w:rsidP="00114E2B">
      <w:pPr>
        <w:pStyle w:val="ListBullet"/>
      </w:pPr>
      <w:r>
        <w:t>Improving Support for C</w:t>
      </w:r>
      <w:r w:rsidR="00571A17">
        <w:t xml:space="preserve">arers </w:t>
      </w:r>
    </w:p>
    <w:p w:rsidR="00571A17" w:rsidRPr="00571A17" w:rsidRDefault="00804098" w:rsidP="00114E2B">
      <w:pPr>
        <w:pStyle w:val="ListBullet3"/>
      </w:pPr>
      <w:r>
        <w:t>This a</w:t>
      </w:r>
      <w:r w:rsidR="00CD7FE9">
        <w:t xml:space="preserve">ddresses issues </w:t>
      </w:r>
      <w:r w:rsidR="00AF49D8">
        <w:t>facing</w:t>
      </w:r>
      <w:r w:rsidR="00CD7FE9">
        <w:t xml:space="preserve"> carers </w:t>
      </w:r>
      <w:r w:rsidR="00571A17">
        <w:t>of children and young people unable to live at home with their own families</w:t>
      </w:r>
      <w:r w:rsidR="00AF49D8">
        <w:t xml:space="preserve"> by exploring opportunities for professional care, removing barriers to caring for working families and developing a national survey to better understand what carers need</w:t>
      </w:r>
      <w:r w:rsidR="00571A17">
        <w:t>.</w:t>
      </w:r>
    </w:p>
    <w:p w:rsidR="004F5AB4" w:rsidRPr="004F5AB4" w:rsidRDefault="004F5AB4" w:rsidP="00DC1A15">
      <w:pPr>
        <w:pStyle w:val="ListBullet"/>
      </w:pPr>
      <w:r w:rsidRPr="004F5AB4">
        <w:t>Sector Development</w:t>
      </w:r>
    </w:p>
    <w:p w:rsidR="00F11CB3" w:rsidRDefault="00804098" w:rsidP="00DC1A15">
      <w:pPr>
        <w:pStyle w:val="ListBullet3"/>
      </w:pPr>
      <w:r>
        <w:t>This s</w:t>
      </w:r>
      <w:r w:rsidR="004F5AB4" w:rsidRPr="004F5AB4">
        <w:t>trengthens support for the education, professional development and retention of the child protection workforce, including enabling the Indigenous workforce to be more actively involved in the Tertiary child protection system.</w:t>
      </w:r>
    </w:p>
    <w:p w:rsidR="004F5AB4" w:rsidRDefault="004F5AB4" w:rsidP="00F7630E">
      <w:pPr>
        <w:rPr>
          <w:rFonts w:ascii="Calibri" w:hAnsi="Calibri" w:cs="Calibri"/>
          <w:sz w:val="24"/>
          <w:szCs w:val="24"/>
        </w:rPr>
      </w:pPr>
    </w:p>
    <w:p w:rsidR="006A3BF0" w:rsidRDefault="00DC1A15" w:rsidP="00F7630E">
      <w:pPr>
        <w:rPr>
          <w:rFonts w:ascii="Calibri" w:hAnsi="Calibri" w:cs="Calibri"/>
          <w:sz w:val="24"/>
          <w:szCs w:val="24"/>
        </w:rPr>
      </w:pPr>
      <w:r>
        <w:rPr>
          <w:rFonts w:ascii="Calibri" w:hAnsi="Calibri" w:cs="Calibri"/>
          <w:sz w:val="24"/>
          <w:szCs w:val="24"/>
        </w:rPr>
        <w:t xml:space="preserve">The actions taken by each jurisdiction under these National Priorities, including other associated supporting actions, are described in detail below. </w:t>
      </w:r>
      <w:r w:rsidR="006A3BF0">
        <w:rPr>
          <w:rFonts w:ascii="Calibri" w:hAnsi="Calibri" w:cs="Calibri"/>
          <w:sz w:val="24"/>
          <w:szCs w:val="24"/>
        </w:rPr>
        <w:t xml:space="preserve">There are </w:t>
      </w:r>
      <w:r w:rsidR="00C77E18">
        <w:rPr>
          <w:rFonts w:ascii="Calibri" w:hAnsi="Calibri" w:cs="Calibri"/>
          <w:sz w:val="24"/>
          <w:szCs w:val="24"/>
        </w:rPr>
        <w:t>five</w:t>
      </w:r>
      <w:r w:rsidR="00C25CA9">
        <w:rPr>
          <w:rFonts w:ascii="Calibri" w:hAnsi="Calibri" w:cs="Calibri"/>
          <w:sz w:val="24"/>
          <w:szCs w:val="24"/>
        </w:rPr>
        <w:t xml:space="preserve"> </w:t>
      </w:r>
      <w:r w:rsidR="006A3BF0">
        <w:rPr>
          <w:rFonts w:ascii="Calibri" w:hAnsi="Calibri" w:cs="Calibri"/>
          <w:sz w:val="24"/>
          <w:szCs w:val="24"/>
        </w:rPr>
        <w:t>indicators to measure progress towards Outcome 4</w:t>
      </w:r>
      <w:r>
        <w:rPr>
          <w:rFonts w:ascii="Calibri" w:hAnsi="Calibri" w:cs="Calibri"/>
          <w:sz w:val="24"/>
          <w:szCs w:val="24"/>
        </w:rPr>
        <w:t xml:space="preserve">, and they will be discussed at the end of this </w:t>
      </w:r>
      <w:r w:rsidR="008D421A">
        <w:rPr>
          <w:rFonts w:ascii="Calibri" w:hAnsi="Calibri" w:cs="Calibri"/>
          <w:sz w:val="24"/>
          <w:szCs w:val="24"/>
        </w:rPr>
        <w:t>c</w:t>
      </w:r>
      <w:r>
        <w:rPr>
          <w:rFonts w:ascii="Calibri" w:hAnsi="Calibri" w:cs="Calibri"/>
          <w:sz w:val="24"/>
          <w:szCs w:val="24"/>
        </w:rPr>
        <w:t>hapter</w:t>
      </w:r>
      <w:r w:rsidR="006A3BF0">
        <w:rPr>
          <w:rFonts w:ascii="Calibri" w:hAnsi="Calibri" w:cs="Calibri"/>
          <w:sz w:val="24"/>
          <w:szCs w:val="24"/>
        </w:rPr>
        <w:t>:</w:t>
      </w:r>
    </w:p>
    <w:p w:rsidR="006A3BF0" w:rsidRDefault="006A3BF0" w:rsidP="00DC1A15">
      <w:pPr>
        <w:pStyle w:val="ListBullet"/>
      </w:pPr>
      <w:r>
        <w:t>Child protection substantiations</w:t>
      </w:r>
    </w:p>
    <w:p w:rsidR="006A3BF0" w:rsidRDefault="006A3BF0" w:rsidP="00DC1A15">
      <w:pPr>
        <w:pStyle w:val="ListBullet"/>
      </w:pPr>
      <w:r>
        <w:t>Placement stability</w:t>
      </w:r>
    </w:p>
    <w:p w:rsidR="006A3BF0" w:rsidRDefault="006A3BF0" w:rsidP="00DC1A15">
      <w:pPr>
        <w:pStyle w:val="ListBullet"/>
      </w:pPr>
      <w:r>
        <w:t>Literacy and numeracy</w:t>
      </w:r>
    </w:p>
    <w:p w:rsidR="006A3BF0" w:rsidRDefault="006A3BF0" w:rsidP="00DC1A15">
      <w:pPr>
        <w:pStyle w:val="ListBullet"/>
      </w:pPr>
      <w:r>
        <w:t>Leaving care plans</w:t>
      </w:r>
    </w:p>
    <w:p w:rsidR="00C25CA9" w:rsidRPr="00DC1A15" w:rsidRDefault="00C25CA9" w:rsidP="00DC1A15">
      <w:pPr>
        <w:pStyle w:val="ListBullet"/>
        <w:rPr>
          <w:rFonts w:eastAsia="Calibri"/>
          <w:lang w:eastAsia="en-US"/>
        </w:rPr>
      </w:pPr>
      <w:r>
        <w:t>Cross-sector clients</w:t>
      </w:r>
      <w:r w:rsidR="00DC1A15">
        <w:t>.</w:t>
      </w:r>
    </w:p>
    <w:p w:rsidR="00D176F0" w:rsidRPr="00ED097C" w:rsidRDefault="00D176F0" w:rsidP="00ED097C">
      <w:pPr>
        <w:pStyle w:val="Heading2"/>
      </w:pPr>
      <w:bookmarkStart w:id="158" w:name="_Toc400007746"/>
      <w:bookmarkStart w:id="159" w:name="_Toc400711487"/>
      <w:r w:rsidRPr="00ED097C">
        <w:t>Australian, state and territory government activities</w:t>
      </w:r>
      <w:bookmarkEnd w:id="158"/>
      <w:bookmarkEnd w:id="159"/>
    </w:p>
    <w:p w:rsidR="00A93CAE" w:rsidRPr="004C1915" w:rsidRDefault="00A93CAE" w:rsidP="00831A39">
      <w:pPr>
        <w:pStyle w:val="Heading3"/>
      </w:pPr>
      <w:bookmarkStart w:id="160" w:name="_Toc400007747"/>
      <w:r w:rsidRPr="004C1915">
        <w:t>Australian Government</w:t>
      </w:r>
      <w:bookmarkEnd w:id="160"/>
    </w:p>
    <w:p w:rsidR="000612B4" w:rsidRPr="00706368" w:rsidRDefault="000612B4" w:rsidP="003C414F">
      <w:pPr>
        <w:pStyle w:val="Heading4"/>
      </w:pPr>
      <w:r w:rsidRPr="00706368">
        <w:t>Enhancing the Evidence Base</w:t>
      </w:r>
    </w:p>
    <w:p w:rsidR="000612B4" w:rsidRPr="00DC1B19" w:rsidRDefault="001038FD" w:rsidP="0086062C">
      <w:pPr>
        <w:rPr>
          <w:rStyle w:val="StyleBodyCalibri12pt"/>
        </w:rPr>
      </w:pPr>
      <w:r w:rsidRPr="00DC1B19">
        <w:rPr>
          <w:rStyle w:val="StyleBodyCalibri12pt"/>
        </w:rPr>
        <w:t xml:space="preserve">The </w:t>
      </w:r>
      <w:r w:rsidR="00D31C59" w:rsidRPr="00DC1B19">
        <w:rPr>
          <w:rStyle w:val="StyleBodyCalibri12pt"/>
        </w:rPr>
        <w:t xml:space="preserve">Australian </w:t>
      </w:r>
      <w:r w:rsidRPr="00DC1B19">
        <w:rPr>
          <w:rStyle w:val="StyleBodyCalibri12pt"/>
        </w:rPr>
        <w:t xml:space="preserve">Government is funding AIHW to </w:t>
      </w:r>
      <w:r w:rsidR="000C0ACD" w:rsidRPr="00DC1B19">
        <w:rPr>
          <w:rStyle w:val="StyleBodyCalibri12pt"/>
        </w:rPr>
        <w:t xml:space="preserve">work with states and territories to implement </w:t>
      </w:r>
      <w:r w:rsidR="0059292D" w:rsidRPr="00DC1B19">
        <w:rPr>
          <w:rStyle w:val="StyleBodyCalibri12pt"/>
        </w:rPr>
        <w:t xml:space="preserve">the </w:t>
      </w:r>
      <w:r w:rsidRPr="00DC1B19">
        <w:rPr>
          <w:rStyle w:val="StyleBodyCalibri12pt"/>
        </w:rPr>
        <w:t>CP NMDS.</w:t>
      </w:r>
      <w:r w:rsidR="007764A2" w:rsidRPr="00DC1B19">
        <w:rPr>
          <w:rStyle w:val="StyleBodyCalibri12pt"/>
        </w:rPr>
        <w:t xml:space="preserve"> </w:t>
      </w:r>
      <w:r w:rsidRPr="00DC1B19">
        <w:rPr>
          <w:rStyle w:val="StyleBodyCalibri12pt"/>
        </w:rPr>
        <w:t xml:space="preserve">This is a unit record database and will replace the </w:t>
      </w:r>
      <w:r w:rsidR="00D12115" w:rsidRPr="00DC1B19">
        <w:rPr>
          <w:rStyle w:val="StyleBodyCalibri12pt"/>
        </w:rPr>
        <w:t>aggregate-</w:t>
      </w:r>
      <w:r w:rsidRPr="00DC1B19">
        <w:rPr>
          <w:rStyle w:val="StyleBodyCalibri12pt"/>
        </w:rPr>
        <w:t>level collection currently used to provide data under the National Framework.</w:t>
      </w:r>
      <w:r w:rsidR="007764A2" w:rsidRPr="00DC1B19">
        <w:rPr>
          <w:rStyle w:val="StyleBodyCalibri12pt"/>
        </w:rPr>
        <w:t xml:space="preserve"> </w:t>
      </w:r>
      <w:r w:rsidRPr="00DC1B19">
        <w:rPr>
          <w:rStyle w:val="StyleBodyCalibri12pt"/>
        </w:rPr>
        <w:t>The CP NMDS was implemented on 1 July 2013</w:t>
      </w:r>
      <w:r w:rsidR="004B5C65" w:rsidRPr="00DC1B19">
        <w:rPr>
          <w:rStyle w:val="StyleBodyCalibri12pt"/>
        </w:rPr>
        <w:t>,</w:t>
      </w:r>
      <w:r w:rsidRPr="00DC1B19">
        <w:rPr>
          <w:rStyle w:val="StyleBodyCalibri12pt"/>
        </w:rPr>
        <w:t xml:space="preserve"> and the first year of </w:t>
      </w:r>
      <w:r w:rsidR="00133970" w:rsidRPr="00DC1B19">
        <w:rPr>
          <w:rStyle w:val="StyleBodyCalibri12pt"/>
        </w:rPr>
        <w:t xml:space="preserve">data </w:t>
      </w:r>
      <w:r w:rsidR="000C0ACD" w:rsidRPr="00DC1B19">
        <w:rPr>
          <w:rStyle w:val="StyleBodyCalibri12pt"/>
        </w:rPr>
        <w:t xml:space="preserve">from this collection </w:t>
      </w:r>
      <w:r w:rsidR="00133970" w:rsidRPr="00DC1B19">
        <w:rPr>
          <w:rStyle w:val="StyleBodyCalibri12pt"/>
        </w:rPr>
        <w:t xml:space="preserve">will be reported in 2014. </w:t>
      </w:r>
    </w:p>
    <w:p w:rsidR="0086062C" w:rsidRPr="003C414F" w:rsidRDefault="003C414F" w:rsidP="003C414F">
      <w:pPr>
        <w:pStyle w:val="Heading4"/>
        <w:rPr>
          <w:lang w:val="en-AU"/>
        </w:rPr>
      </w:pPr>
      <w:r>
        <w:t>Filling Research Gaps</w:t>
      </w:r>
    </w:p>
    <w:p w:rsidR="0086062C" w:rsidRPr="00BB7510" w:rsidRDefault="0086062C" w:rsidP="0086062C">
      <w:pPr>
        <w:rPr>
          <w:rFonts w:ascii="Calibri" w:hAnsi="Calibri" w:cs="Calibri"/>
          <w:b/>
          <w:i/>
          <w:sz w:val="24"/>
          <w:szCs w:val="24"/>
        </w:rPr>
      </w:pPr>
      <w:r w:rsidRPr="00BB7510">
        <w:rPr>
          <w:rFonts w:ascii="Calibri" w:hAnsi="Calibri" w:cs="Calibri"/>
          <w:iCs/>
          <w:sz w:val="24"/>
          <w:szCs w:val="24"/>
        </w:rPr>
        <w:t>The Aboriginal and Torres Strait Islander Promising Practice Profiles were published by the Australian Institute of Family Studies on the Child Family Community Australia website on 18</w:t>
      </w:r>
      <w:r w:rsidR="000072B2">
        <w:rPr>
          <w:rFonts w:ascii="Calibri" w:hAnsi="Calibri" w:cs="Calibri"/>
          <w:iCs/>
          <w:sz w:val="24"/>
          <w:szCs w:val="24"/>
        </w:rPr>
        <w:t> </w:t>
      </w:r>
      <w:r w:rsidRPr="00BB7510">
        <w:rPr>
          <w:rFonts w:ascii="Calibri" w:hAnsi="Calibri" w:cs="Calibri"/>
          <w:iCs/>
          <w:sz w:val="24"/>
          <w:szCs w:val="24"/>
        </w:rPr>
        <w:t>March 2013.</w:t>
      </w:r>
      <w:r w:rsidR="00195927">
        <w:rPr>
          <w:rFonts w:ascii="Calibri" w:hAnsi="Calibri" w:cs="Calibri"/>
          <w:iCs/>
          <w:sz w:val="24"/>
          <w:szCs w:val="24"/>
        </w:rPr>
        <w:t xml:space="preserve"> The</w:t>
      </w:r>
      <w:r w:rsidRPr="00BB7510">
        <w:rPr>
          <w:rFonts w:ascii="Calibri" w:hAnsi="Calibri" w:cs="Calibri"/>
          <w:iCs/>
          <w:sz w:val="24"/>
          <w:szCs w:val="24"/>
        </w:rPr>
        <w:t xml:space="preserve"> Profiles describe some of the promising approaches used by Australian service delivery agencies in their efforts to help Aboriginal and Torres Strait Islander families and communities to protect their children. </w:t>
      </w:r>
    </w:p>
    <w:p w:rsidR="0086062C" w:rsidRPr="00831A39" w:rsidRDefault="0086062C" w:rsidP="0086062C">
      <w:pPr>
        <w:rPr>
          <w:rFonts w:ascii="Calibri" w:hAnsi="Calibri" w:cs="Calibri"/>
          <w:sz w:val="24"/>
          <w:szCs w:val="24"/>
        </w:rPr>
      </w:pPr>
    </w:p>
    <w:p w:rsidR="0086062C" w:rsidRDefault="0086062C" w:rsidP="0086062C">
      <w:pPr>
        <w:rPr>
          <w:rFonts w:ascii="Calibri" w:hAnsi="Calibri" w:cs="Calibri"/>
          <w:iCs/>
          <w:sz w:val="24"/>
          <w:szCs w:val="24"/>
        </w:rPr>
      </w:pPr>
      <w:r w:rsidRPr="00BB7510">
        <w:rPr>
          <w:rFonts w:ascii="Calibri" w:hAnsi="Calibri" w:cs="Calibri"/>
          <w:iCs/>
          <w:sz w:val="24"/>
          <w:szCs w:val="24"/>
        </w:rPr>
        <w:t>The Profiles will be further developed through an online, interactive resource that will showcase proactive, positive and innovative approaches for working with Aboriginal and Torres Strait Islander families and children.</w:t>
      </w:r>
      <w:r w:rsidR="00195927">
        <w:rPr>
          <w:rFonts w:ascii="Calibri" w:hAnsi="Calibri" w:cs="Calibri"/>
          <w:iCs/>
          <w:sz w:val="24"/>
          <w:szCs w:val="24"/>
        </w:rPr>
        <w:t xml:space="preserve"> </w:t>
      </w:r>
      <w:r w:rsidRPr="00BB7510">
        <w:rPr>
          <w:rFonts w:ascii="Calibri" w:hAnsi="Calibri" w:cs="Calibri"/>
          <w:iCs/>
          <w:sz w:val="24"/>
          <w:szCs w:val="24"/>
        </w:rPr>
        <w:t xml:space="preserve">The online resource will provide practitioners, community leaders, researchers, </w:t>
      </w:r>
      <w:r w:rsidR="00C8305C">
        <w:rPr>
          <w:rFonts w:ascii="Calibri" w:hAnsi="Calibri" w:cs="Calibri"/>
          <w:iCs/>
          <w:sz w:val="24"/>
          <w:szCs w:val="24"/>
        </w:rPr>
        <w:t>community sector</w:t>
      </w:r>
      <w:r w:rsidRPr="00BB7510">
        <w:rPr>
          <w:rFonts w:ascii="Calibri" w:hAnsi="Calibri" w:cs="Calibri"/>
          <w:iCs/>
          <w:sz w:val="24"/>
          <w:szCs w:val="24"/>
        </w:rPr>
        <w:t xml:space="preserve"> organisations and governments with access to promising practice profiles, case studies and other resources to guide their work with Aboriginal and Torres Strait Islander families and children.</w:t>
      </w:r>
    </w:p>
    <w:p w:rsidR="0086062C" w:rsidRDefault="0086062C" w:rsidP="0027796B">
      <w:pPr>
        <w:rPr>
          <w:rFonts w:ascii="Calibri" w:hAnsi="Calibri" w:cs="Calibri"/>
          <w:sz w:val="24"/>
          <w:szCs w:val="24"/>
        </w:rPr>
      </w:pPr>
    </w:p>
    <w:p w:rsidR="003B22A9" w:rsidRDefault="000612B4" w:rsidP="000612B4">
      <w:pPr>
        <w:rPr>
          <w:rFonts w:ascii="Calibri" w:hAnsi="Calibri" w:cs="Calibri"/>
          <w:sz w:val="24"/>
          <w:szCs w:val="24"/>
        </w:rPr>
      </w:pPr>
      <w:r w:rsidRPr="000612B4">
        <w:rPr>
          <w:rFonts w:ascii="Calibri" w:hAnsi="Calibri" w:cs="Calibri"/>
          <w:sz w:val="24"/>
          <w:szCs w:val="24"/>
        </w:rPr>
        <w:t xml:space="preserve">The inaugural National Research Agenda was developed in consultation with researchers and </w:t>
      </w:r>
      <w:r w:rsidR="00C8305C">
        <w:rPr>
          <w:rFonts w:ascii="Calibri" w:hAnsi="Calibri" w:cs="Calibri"/>
          <w:sz w:val="24"/>
          <w:szCs w:val="24"/>
        </w:rPr>
        <w:t>community sector</w:t>
      </w:r>
      <w:r w:rsidRPr="000612B4">
        <w:rPr>
          <w:rFonts w:ascii="Calibri" w:hAnsi="Calibri" w:cs="Calibri"/>
          <w:sz w:val="24"/>
          <w:szCs w:val="24"/>
        </w:rPr>
        <w:t xml:space="preserve"> organisations working with children and families</w:t>
      </w:r>
      <w:r w:rsidR="00195927">
        <w:rPr>
          <w:rFonts w:ascii="Calibri" w:hAnsi="Calibri" w:cs="Calibri"/>
          <w:sz w:val="24"/>
          <w:szCs w:val="24"/>
        </w:rPr>
        <w:t>,</w:t>
      </w:r>
      <w:r w:rsidRPr="000612B4">
        <w:rPr>
          <w:rFonts w:ascii="Calibri" w:hAnsi="Calibri" w:cs="Calibri"/>
          <w:sz w:val="24"/>
          <w:szCs w:val="24"/>
        </w:rPr>
        <w:t xml:space="preserve"> to identify research opportunities and priorities and expand the evidence base around issues in Australia relevant to protecting children from abuse and neglect. The following five research priorities emerged from these consultations:</w:t>
      </w:r>
    </w:p>
    <w:p w:rsidR="000612B4" w:rsidRPr="000612B4" w:rsidRDefault="000612B4" w:rsidP="00B914F4">
      <w:pPr>
        <w:pStyle w:val="ListBullet"/>
      </w:pPr>
      <w:r w:rsidRPr="000612B4">
        <w:t>Prevention—the effectiveness of responses in preventing child maltreatment</w:t>
      </w:r>
    </w:p>
    <w:p w:rsidR="000612B4" w:rsidRPr="000612B4" w:rsidRDefault="000612B4" w:rsidP="00B914F4">
      <w:pPr>
        <w:pStyle w:val="ListBullet"/>
      </w:pPr>
      <w:r w:rsidRPr="000612B4">
        <w:t>Protection and therapeutic responses—the effectiveness of preventative initiatives in protecting children and young people, along with the effectiveness of responses when maltreatment has occurred</w:t>
      </w:r>
    </w:p>
    <w:p w:rsidR="000612B4" w:rsidRPr="000612B4" w:rsidRDefault="000612B4" w:rsidP="00B914F4">
      <w:pPr>
        <w:pStyle w:val="ListBullet"/>
      </w:pPr>
      <w:r w:rsidRPr="000612B4">
        <w:t>Care—alternative out-of-home care arrangements</w:t>
      </w:r>
    </w:p>
    <w:p w:rsidR="000612B4" w:rsidRPr="000612B4" w:rsidRDefault="000612B4" w:rsidP="00B914F4">
      <w:pPr>
        <w:pStyle w:val="ListBullet"/>
      </w:pPr>
      <w:r w:rsidRPr="000612B4">
        <w:t>Systems—how to make joined-up service delivery across agencies, the workforce and organisations more effective</w:t>
      </w:r>
    </w:p>
    <w:p w:rsidR="000612B4" w:rsidRPr="000612B4" w:rsidRDefault="000612B4" w:rsidP="00B914F4">
      <w:pPr>
        <w:pStyle w:val="ListBullet"/>
      </w:pPr>
      <w:r w:rsidRPr="000612B4">
        <w:t>Maltreatment types—the prevalence of various forms of child maltreatment and how types of maltreatment interact.</w:t>
      </w:r>
    </w:p>
    <w:p w:rsidR="000612B4" w:rsidRPr="000612B4" w:rsidRDefault="000612B4" w:rsidP="000612B4">
      <w:pPr>
        <w:rPr>
          <w:rFonts w:ascii="Calibri" w:hAnsi="Calibri" w:cs="Calibri"/>
          <w:sz w:val="24"/>
          <w:szCs w:val="24"/>
        </w:rPr>
      </w:pPr>
    </w:p>
    <w:p w:rsidR="000612B4" w:rsidRPr="000612B4" w:rsidRDefault="000612B4" w:rsidP="000612B4">
      <w:pPr>
        <w:rPr>
          <w:rFonts w:ascii="Calibri" w:hAnsi="Calibri" w:cs="Calibri"/>
          <w:sz w:val="24"/>
          <w:szCs w:val="24"/>
        </w:rPr>
      </w:pPr>
      <w:r w:rsidRPr="000612B4">
        <w:rPr>
          <w:rFonts w:ascii="Calibri" w:hAnsi="Calibri" w:cs="Calibri"/>
          <w:sz w:val="24"/>
          <w:szCs w:val="24"/>
        </w:rPr>
        <w:t xml:space="preserve">SCCDS agreed </w:t>
      </w:r>
      <w:r w:rsidR="000072B2" w:rsidRPr="000612B4">
        <w:rPr>
          <w:rFonts w:ascii="Calibri" w:hAnsi="Calibri" w:cs="Calibri"/>
          <w:sz w:val="24"/>
          <w:szCs w:val="24"/>
        </w:rPr>
        <w:t xml:space="preserve">at its October 2011 meeting </w:t>
      </w:r>
      <w:r w:rsidRPr="000612B4">
        <w:rPr>
          <w:rFonts w:ascii="Calibri" w:hAnsi="Calibri" w:cs="Calibri"/>
          <w:sz w:val="24"/>
          <w:szCs w:val="24"/>
        </w:rPr>
        <w:t>to provide $600</w:t>
      </w:r>
      <w:r w:rsidR="000072B2">
        <w:rPr>
          <w:rFonts w:ascii="Calibri" w:hAnsi="Calibri" w:cs="Calibri"/>
          <w:sz w:val="24"/>
          <w:szCs w:val="24"/>
        </w:rPr>
        <w:t> </w:t>
      </w:r>
      <w:r w:rsidRPr="000612B4">
        <w:rPr>
          <w:rFonts w:ascii="Calibri" w:hAnsi="Calibri" w:cs="Calibri"/>
          <w:sz w:val="24"/>
          <w:szCs w:val="24"/>
        </w:rPr>
        <w:t>000 over three years to fund projects under the National Research Agenda. Following a competitive selection process in 2012</w:t>
      </w:r>
      <w:r w:rsidR="000072B2">
        <w:rPr>
          <w:rFonts w:ascii="Calibri" w:hAnsi="Calibri" w:cs="Calibri"/>
          <w:sz w:val="24"/>
          <w:szCs w:val="24"/>
        </w:rPr>
        <w:t>–</w:t>
      </w:r>
      <w:r w:rsidRPr="000612B4">
        <w:rPr>
          <w:rFonts w:ascii="Calibri" w:hAnsi="Calibri" w:cs="Calibri"/>
          <w:sz w:val="24"/>
          <w:szCs w:val="24"/>
        </w:rPr>
        <w:t>13, three projects were selected at a total cost of $527</w:t>
      </w:r>
      <w:r w:rsidR="000072B2">
        <w:rPr>
          <w:rFonts w:ascii="Calibri" w:hAnsi="Calibri" w:cs="Calibri"/>
          <w:sz w:val="24"/>
          <w:szCs w:val="24"/>
        </w:rPr>
        <w:t> </w:t>
      </w:r>
      <w:r w:rsidRPr="000612B4">
        <w:rPr>
          <w:rFonts w:ascii="Calibri" w:hAnsi="Calibri" w:cs="Calibri"/>
          <w:sz w:val="24"/>
          <w:szCs w:val="24"/>
        </w:rPr>
        <w:t>132.</w:t>
      </w:r>
      <w:r w:rsidR="007764A2">
        <w:rPr>
          <w:rFonts w:ascii="Calibri" w:hAnsi="Calibri" w:cs="Calibri"/>
          <w:sz w:val="24"/>
          <w:szCs w:val="24"/>
        </w:rPr>
        <w:t xml:space="preserve"> </w:t>
      </w:r>
      <w:r w:rsidRPr="000612B4">
        <w:rPr>
          <w:rFonts w:ascii="Calibri" w:hAnsi="Calibri" w:cs="Calibri"/>
          <w:sz w:val="24"/>
          <w:szCs w:val="24"/>
        </w:rPr>
        <w:t>The successful projects were:</w:t>
      </w:r>
    </w:p>
    <w:p w:rsidR="000612B4" w:rsidRPr="000612B4" w:rsidRDefault="000612B4" w:rsidP="00B914F4">
      <w:pPr>
        <w:pStyle w:val="ListBullet"/>
      </w:pPr>
      <w:r w:rsidRPr="000612B4">
        <w:t>Understanding the conditions necessary to create a child safe and child friendly community</w:t>
      </w:r>
      <w:r w:rsidR="000072B2">
        <w:t>—</w:t>
      </w:r>
      <w:r w:rsidRPr="000612B4">
        <w:t xml:space="preserve">Social Policy Research Centre </w:t>
      </w:r>
    </w:p>
    <w:p w:rsidR="000612B4" w:rsidRPr="000612B4" w:rsidRDefault="000612B4" w:rsidP="00B914F4">
      <w:pPr>
        <w:pStyle w:val="ListBullet"/>
      </w:pPr>
      <w:r w:rsidRPr="000612B4">
        <w:t>Intercultural dialogue: Building relationships, building communities</w:t>
      </w:r>
      <w:r w:rsidR="000072B2">
        <w:t>—</w:t>
      </w:r>
      <w:r w:rsidR="00036F0B">
        <w:t>ACU</w:t>
      </w:r>
      <w:r w:rsidRPr="000612B4">
        <w:t xml:space="preserve"> </w:t>
      </w:r>
    </w:p>
    <w:p w:rsidR="000612B4" w:rsidRPr="000612B4" w:rsidRDefault="000612B4" w:rsidP="00B914F4">
      <w:pPr>
        <w:pStyle w:val="ListBullet"/>
      </w:pPr>
      <w:r w:rsidRPr="000612B4">
        <w:t>Exploring outcomes for Aboriginal and Torres Strait Islander children throug</w:t>
      </w:r>
      <w:r w:rsidRPr="00450A9D">
        <w:t xml:space="preserve">h </w:t>
      </w:r>
      <w:r w:rsidR="009B2B97" w:rsidRPr="00450A9D">
        <w:t>IFS</w:t>
      </w:r>
      <w:r w:rsidRPr="00450A9D">
        <w:t xml:space="preserve"> services</w:t>
      </w:r>
      <w:r w:rsidR="000072B2">
        <w:t>—</w:t>
      </w:r>
      <w:r w:rsidR="00CC16F4">
        <w:t>SNAICC</w:t>
      </w:r>
      <w:r w:rsidRPr="000612B4">
        <w:t>.</w:t>
      </w:r>
    </w:p>
    <w:p w:rsidR="000612B4" w:rsidRPr="000612B4" w:rsidRDefault="000612B4" w:rsidP="000612B4">
      <w:pPr>
        <w:rPr>
          <w:rFonts w:ascii="Calibri" w:hAnsi="Calibri" w:cs="Calibri"/>
          <w:sz w:val="24"/>
          <w:szCs w:val="24"/>
        </w:rPr>
      </w:pPr>
    </w:p>
    <w:p w:rsidR="000612B4" w:rsidRDefault="000612B4" w:rsidP="000612B4">
      <w:pPr>
        <w:rPr>
          <w:rFonts w:ascii="Calibri" w:hAnsi="Calibri" w:cs="Calibri"/>
          <w:sz w:val="24"/>
          <w:szCs w:val="24"/>
        </w:rPr>
      </w:pPr>
      <w:r w:rsidRPr="000612B4">
        <w:rPr>
          <w:rFonts w:ascii="Calibri" w:hAnsi="Calibri" w:cs="Calibri"/>
          <w:sz w:val="24"/>
          <w:szCs w:val="24"/>
        </w:rPr>
        <w:t>These projects will be progressively completed over the next financial year</w:t>
      </w:r>
      <w:r w:rsidR="000072B2">
        <w:rPr>
          <w:rFonts w:ascii="Calibri" w:hAnsi="Calibri" w:cs="Calibri"/>
          <w:sz w:val="24"/>
          <w:szCs w:val="24"/>
        </w:rPr>
        <w:t>,</w:t>
      </w:r>
      <w:r w:rsidRPr="000612B4">
        <w:rPr>
          <w:rFonts w:ascii="Calibri" w:hAnsi="Calibri" w:cs="Calibri"/>
          <w:sz w:val="24"/>
          <w:szCs w:val="24"/>
        </w:rPr>
        <w:t xml:space="preserve"> and the results </w:t>
      </w:r>
      <w:r w:rsidR="000072B2">
        <w:rPr>
          <w:rFonts w:ascii="Calibri" w:hAnsi="Calibri" w:cs="Calibri"/>
          <w:sz w:val="24"/>
          <w:szCs w:val="24"/>
        </w:rPr>
        <w:t xml:space="preserve">will be </w:t>
      </w:r>
      <w:r w:rsidRPr="000612B4">
        <w:rPr>
          <w:rFonts w:ascii="Calibri" w:hAnsi="Calibri" w:cs="Calibri"/>
          <w:sz w:val="24"/>
          <w:szCs w:val="24"/>
        </w:rPr>
        <w:t>used to inform future policy and service delivery in the child protection sector.</w:t>
      </w:r>
    </w:p>
    <w:p w:rsidR="00831A39" w:rsidRDefault="00831A39">
      <w:pPr>
        <w:rPr>
          <w:rFonts w:ascii="Calibri" w:hAnsi="Calibri" w:cs="Calibri"/>
          <w:i/>
          <w:sz w:val="24"/>
          <w:szCs w:val="24"/>
        </w:rPr>
      </w:pPr>
      <w:r>
        <w:rPr>
          <w:rFonts w:ascii="Calibri" w:hAnsi="Calibri" w:cs="Calibri"/>
          <w:i/>
          <w:sz w:val="24"/>
          <w:szCs w:val="24"/>
        </w:rPr>
        <w:br w:type="page"/>
      </w:r>
    </w:p>
    <w:p w:rsidR="00A33790" w:rsidRDefault="00E17089" w:rsidP="00F56F9B">
      <w:pPr>
        <w:pStyle w:val="Heading4"/>
      </w:pPr>
      <w:r w:rsidRPr="00E17089">
        <w:t>National Standar</w:t>
      </w:r>
      <w:r w:rsidR="0086062C">
        <w:t>ds for Out-of-Home Care</w:t>
      </w:r>
    </w:p>
    <w:p w:rsidR="00164694" w:rsidRPr="00164694" w:rsidRDefault="00164694" w:rsidP="00164694">
      <w:pPr>
        <w:rPr>
          <w:rFonts w:ascii="Calibri" w:hAnsi="Calibri" w:cs="Calibri"/>
          <w:sz w:val="24"/>
          <w:szCs w:val="24"/>
        </w:rPr>
      </w:pPr>
      <w:r w:rsidRPr="00164694">
        <w:rPr>
          <w:rFonts w:ascii="Calibri" w:hAnsi="Calibri" w:cs="Calibri"/>
          <w:sz w:val="24"/>
          <w:szCs w:val="24"/>
        </w:rPr>
        <w:t>The National Standards fo</w:t>
      </w:r>
      <w:r w:rsidR="000072B2">
        <w:rPr>
          <w:rFonts w:ascii="Calibri" w:hAnsi="Calibri" w:cs="Calibri"/>
          <w:sz w:val="24"/>
          <w:szCs w:val="24"/>
        </w:rPr>
        <w:t>r</w:t>
      </w:r>
      <w:r w:rsidRPr="00164694">
        <w:rPr>
          <w:rFonts w:ascii="Calibri" w:hAnsi="Calibri" w:cs="Calibri"/>
          <w:sz w:val="24"/>
          <w:szCs w:val="24"/>
        </w:rPr>
        <w:t xml:space="preserve"> Out-of-Home Care (the National Standards) commenced operation on 1 July 2011.</w:t>
      </w:r>
      <w:r w:rsidR="007764A2">
        <w:rPr>
          <w:rFonts w:ascii="Calibri" w:hAnsi="Calibri" w:cs="Calibri"/>
          <w:sz w:val="24"/>
          <w:szCs w:val="24"/>
        </w:rPr>
        <w:t xml:space="preserve"> </w:t>
      </w:r>
      <w:r w:rsidRPr="00164694">
        <w:rPr>
          <w:rFonts w:ascii="Calibri" w:hAnsi="Calibri" w:cs="Calibri"/>
          <w:sz w:val="24"/>
          <w:szCs w:val="24"/>
        </w:rPr>
        <w:t>The purpose of the National Standards is to drive improvements in the quality of out-of-home care across Australia, so that children and young people in care have the same opportunities as other children and young people to achieve their potential.</w:t>
      </w:r>
    </w:p>
    <w:p w:rsidR="00164694" w:rsidRPr="00164694" w:rsidRDefault="00164694" w:rsidP="00164694">
      <w:pPr>
        <w:rPr>
          <w:rFonts w:ascii="Calibri" w:hAnsi="Calibri" w:cs="Calibri"/>
          <w:sz w:val="24"/>
          <w:szCs w:val="24"/>
        </w:rPr>
      </w:pPr>
    </w:p>
    <w:p w:rsidR="00164694" w:rsidRDefault="00063158" w:rsidP="00164694">
      <w:pPr>
        <w:rPr>
          <w:rFonts w:ascii="Calibri" w:hAnsi="Calibri" w:cs="Calibri"/>
          <w:sz w:val="24"/>
          <w:szCs w:val="24"/>
        </w:rPr>
      </w:pPr>
      <w:r>
        <w:rPr>
          <w:rFonts w:ascii="Calibri" w:hAnsi="Calibri" w:cs="Calibri"/>
          <w:sz w:val="24"/>
          <w:szCs w:val="24"/>
        </w:rPr>
        <w:t>T</w:t>
      </w:r>
      <w:r w:rsidR="000072B2" w:rsidRPr="00164694">
        <w:rPr>
          <w:rFonts w:ascii="Calibri" w:hAnsi="Calibri" w:cs="Calibri"/>
          <w:sz w:val="24"/>
          <w:szCs w:val="24"/>
        </w:rPr>
        <w:t xml:space="preserve">he </w:t>
      </w:r>
      <w:r w:rsidR="00D31C59">
        <w:rPr>
          <w:rFonts w:ascii="Calibri" w:hAnsi="Calibri" w:cs="Calibri"/>
          <w:sz w:val="24"/>
          <w:szCs w:val="24"/>
        </w:rPr>
        <w:t>Australian Government</w:t>
      </w:r>
      <w:r w:rsidR="00164694" w:rsidRPr="00164694">
        <w:rPr>
          <w:rFonts w:ascii="Calibri" w:hAnsi="Calibri" w:cs="Calibri"/>
          <w:sz w:val="24"/>
          <w:szCs w:val="24"/>
        </w:rPr>
        <w:t xml:space="preserve"> has been working with state and territory governments to develop a set of measures to report on the impact of the National Standards</w:t>
      </w:r>
      <w:r>
        <w:rPr>
          <w:rFonts w:ascii="Calibri" w:hAnsi="Calibri" w:cs="Calibri"/>
          <w:sz w:val="24"/>
          <w:szCs w:val="24"/>
        </w:rPr>
        <w:t xml:space="preserve"> in driving these imp</w:t>
      </w:r>
      <w:r w:rsidR="00436FC7">
        <w:rPr>
          <w:rFonts w:ascii="Calibri" w:hAnsi="Calibri" w:cs="Calibri"/>
          <w:sz w:val="24"/>
          <w:szCs w:val="24"/>
        </w:rPr>
        <w:t>r</w:t>
      </w:r>
      <w:r>
        <w:rPr>
          <w:rFonts w:ascii="Calibri" w:hAnsi="Calibri" w:cs="Calibri"/>
          <w:sz w:val="24"/>
          <w:szCs w:val="24"/>
        </w:rPr>
        <w:t>ovements</w:t>
      </w:r>
      <w:r w:rsidR="00164694" w:rsidRPr="00164694">
        <w:rPr>
          <w:rFonts w:ascii="Calibri" w:hAnsi="Calibri" w:cs="Calibri"/>
          <w:sz w:val="24"/>
          <w:szCs w:val="24"/>
        </w:rPr>
        <w:t xml:space="preserve">. A </w:t>
      </w:r>
      <w:r w:rsidR="00164694" w:rsidRPr="009E62BB">
        <w:rPr>
          <w:rFonts w:ascii="Calibri" w:hAnsi="Calibri" w:cs="Calibri"/>
          <w:sz w:val="24"/>
          <w:szCs w:val="24"/>
        </w:rPr>
        <w:t>full list of t</w:t>
      </w:r>
      <w:r w:rsidR="00164694" w:rsidRPr="00164694">
        <w:rPr>
          <w:rFonts w:ascii="Calibri" w:hAnsi="Calibri" w:cs="Calibri"/>
          <w:sz w:val="24"/>
          <w:szCs w:val="24"/>
        </w:rPr>
        <w:t>he measures for the National Standa</w:t>
      </w:r>
      <w:r w:rsidR="00164694">
        <w:rPr>
          <w:rFonts w:ascii="Calibri" w:hAnsi="Calibri" w:cs="Calibri"/>
          <w:sz w:val="24"/>
          <w:szCs w:val="24"/>
        </w:rPr>
        <w:t xml:space="preserve">rds is contained in </w:t>
      </w:r>
      <w:r w:rsidR="00D12115">
        <w:rPr>
          <w:rFonts w:ascii="Calibri" w:hAnsi="Calibri" w:cs="Calibri"/>
          <w:sz w:val="24"/>
          <w:szCs w:val="24"/>
        </w:rPr>
        <w:t xml:space="preserve">Appendix </w:t>
      </w:r>
      <w:r w:rsidR="00164694">
        <w:rPr>
          <w:rFonts w:ascii="Calibri" w:hAnsi="Calibri" w:cs="Calibri"/>
          <w:sz w:val="24"/>
          <w:szCs w:val="24"/>
        </w:rPr>
        <w:t>C.</w:t>
      </w:r>
      <w:r w:rsidR="00164694" w:rsidRPr="00164694">
        <w:rPr>
          <w:rFonts w:ascii="Calibri" w:hAnsi="Calibri" w:cs="Calibri"/>
          <w:sz w:val="24"/>
          <w:szCs w:val="24"/>
        </w:rPr>
        <w:t xml:space="preserve"> </w:t>
      </w:r>
    </w:p>
    <w:p w:rsidR="006E0DCF" w:rsidRDefault="006E0DCF" w:rsidP="00164694">
      <w:pPr>
        <w:rPr>
          <w:rFonts w:ascii="Calibri" w:hAnsi="Calibri" w:cs="Calibri"/>
          <w:sz w:val="24"/>
          <w:szCs w:val="24"/>
        </w:rPr>
      </w:pPr>
    </w:p>
    <w:p w:rsidR="00063158" w:rsidRDefault="00063158" w:rsidP="00164694">
      <w:pPr>
        <w:rPr>
          <w:rFonts w:ascii="Calibri" w:hAnsi="Calibri" w:cs="Calibri"/>
          <w:sz w:val="24"/>
          <w:szCs w:val="24"/>
        </w:rPr>
      </w:pPr>
      <w:r w:rsidRPr="00063158">
        <w:rPr>
          <w:rFonts w:ascii="Calibri" w:hAnsi="Calibri" w:cs="Calibri"/>
          <w:sz w:val="24"/>
          <w:szCs w:val="24"/>
        </w:rPr>
        <w:t>Ministers agreed to a progressive timeframe through to 2015 for reporting on these measures, with further improvement and development for reporting beyond 2015 to be considered in the future. Seven of the 22 measures are reported against in this report.</w:t>
      </w:r>
    </w:p>
    <w:p w:rsidR="00063158" w:rsidRDefault="00063158" w:rsidP="00164694">
      <w:pPr>
        <w:rPr>
          <w:rFonts w:ascii="Calibri" w:hAnsi="Calibri" w:cs="Calibri"/>
          <w:sz w:val="24"/>
          <w:szCs w:val="24"/>
        </w:rPr>
      </w:pPr>
    </w:p>
    <w:p w:rsidR="00164694" w:rsidRPr="00164694" w:rsidRDefault="00164694" w:rsidP="00164694">
      <w:pPr>
        <w:rPr>
          <w:rFonts w:ascii="Calibri" w:hAnsi="Calibri" w:cs="Calibri"/>
          <w:sz w:val="24"/>
          <w:szCs w:val="24"/>
        </w:rPr>
      </w:pPr>
      <w:r w:rsidRPr="00164694">
        <w:rPr>
          <w:rFonts w:ascii="Calibri" w:hAnsi="Calibri" w:cs="Calibri"/>
          <w:sz w:val="24"/>
          <w:szCs w:val="24"/>
        </w:rPr>
        <w:t>Additional measures are being introduced progressively</w:t>
      </w:r>
      <w:r w:rsidR="000202F8">
        <w:rPr>
          <w:rFonts w:ascii="Calibri" w:hAnsi="Calibri" w:cs="Calibri"/>
          <w:sz w:val="24"/>
          <w:szCs w:val="24"/>
        </w:rPr>
        <w:t>,</w:t>
      </w:r>
      <w:r w:rsidRPr="00164694">
        <w:rPr>
          <w:rFonts w:ascii="Calibri" w:hAnsi="Calibri" w:cs="Calibri"/>
          <w:sz w:val="24"/>
          <w:szCs w:val="24"/>
        </w:rPr>
        <w:t xml:space="preserve"> including eight measures that will be reported on in the 2015 National Report on the views of children and young people in out-of-home care. This </w:t>
      </w:r>
      <w:r w:rsidR="00063158">
        <w:rPr>
          <w:rFonts w:ascii="Calibri" w:hAnsi="Calibri" w:cs="Calibri"/>
          <w:sz w:val="24"/>
          <w:szCs w:val="24"/>
        </w:rPr>
        <w:t>National R</w:t>
      </w:r>
      <w:r w:rsidR="00063158" w:rsidRPr="00164694">
        <w:rPr>
          <w:rFonts w:ascii="Calibri" w:hAnsi="Calibri" w:cs="Calibri"/>
          <w:sz w:val="24"/>
          <w:szCs w:val="24"/>
        </w:rPr>
        <w:t xml:space="preserve">eport </w:t>
      </w:r>
      <w:r w:rsidRPr="00164694">
        <w:rPr>
          <w:rFonts w:ascii="Calibri" w:hAnsi="Calibri" w:cs="Calibri"/>
          <w:sz w:val="24"/>
          <w:szCs w:val="24"/>
        </w:rPr>
        <w:t>aims to enrich administrative data by adding qualitative and quantitative information about children and young people’s experiences of the out-of-home care system.</w:t>
      </w:r>
    </w:p>
    <w:p w:rsidR="00164694" w:rsidRDefault="00164694" w:rsidP="00164694">
      <w:pPr>
        <w:rPr>
          <w:rFonts w:ascii="Calibri" w:hAnsi="Calibri" w:cs="Calibri"/>
          <w:sz w:val="24"/>
          <w:szCs w:val="24"/>
        </w:rPr>
      </w:pPr>
    </w:p>
    <w:p w:rsidR="00063158" w:rsidRDefault="00063158" w:rsidP="00164694">
      <w:pPr>
        <w:rPr>
          <w:rFonts w:ascii="Calibri" w:hAnsi="Calibri" w:cs="Calibri"/>
          <w:sz w:val="24"/>
          <w:szCs w:val="24"/>
        </w:rPr>
      </w:pPr>
      <w:r w:rsidRPr="00063158">
        <w:rPr>
          <w:rFonts w:ascii="Calibri" w:hAnsi="Calibri" w:cs="Calibri"/>
          <w:sz w:val="24"/>
          <w:szCs w:val="24"/>
        </w:rPr>
        <w:t>The CP NMDS also includes data on some measures for the National Standards for Out-of-Home Care.</w:t>
      </w:r>
    </w:p>
    <w:p w:rsidR="00164694" w:rsidRPr="00A422F0" w:rsidRDefault="00164694" w:rsidP="00164694">
      <w:pPr>
        <w:rPr>
          <w:rFonts w:ascii="Calibri" w:hAnsi="Calibri" w:cs="Calibri"/>
          <w:sz w:val="24"/>
          <w:szCs w:val="24"/>
        </w:rPr>
      </w:pPr>
    </w:p>
    <w:p w:rsidR="008B61D4" w:rsidRPr="008B61D4" w:rsidRDefault="00063158" w:rsidP="008B61D4">
      <w:pPr>
        <w:rPr>
          <w:rFonts w:ascii="Calibri" w:hAnsi="Calibri" w:cs="Calibri"/>
          <w:sz w:val="24"/>
          <w:szCs w:val="24"/>
        </w:rPr>
      </w:pPr>
      <w:r w:rsidRPr="00DC1B19">
        <w:rPr>
          <w:rStyle w:val="StyleBodyCalibri12pt"/>
        </w:rPr>
        <w:t xml:space="preserve">Standard 3 of the National Standards requires that Aboriginal and Torres Strait Islander communities participate in decisions concerning the care and placement of their children and young people. </w:t>
      </w:r>
      <w:r w:rsidR="000202F8" w:rsidRPr="00DC1B19">
        <w:rPr>
          <w:rStyle w:val="StyleBodyCalibri12pt"/>
        </w:rPr>
        <w:t xml:space="preserve">The over-representation of Indigenous children in out-of-home care is an issue of concern and is being addressed collaboratively. </w:t>
      </w:r>
      <w:r w:rsidR="008B61D4" w:rsidRPr="008B61D4">
        <w:rPr>
          <w:rFonts w:ascii="Calibri" w:hAnsi="Calibri" w:cs="Calibri"/>
          <w:sz w:val="24"/>
          <w:szCs w:val="24"/>
        </w:rPr>
        <w:t xml:space="preserve">The </w:t>
      </w:r>
      <w:r w:rsidR="00314725">
        <w:rPr>
          <w:rFonts w:ascii="Calibri" w:hAnsi="Calibri" w:cs="Calibri"/>
          <w:sz w:val="24"/>
          <w:szCs w:val="24"/>
        </w:rPr>
        <w:t>ATSICPP</w:t>
      </w:r>
      <w:r w:rsidR="008B61D4" w:rsidRPr="008B61D4">
        <w:rPr>
          <w:rFonts w:ascii="Calibri" w:hAnsi="Calibri" w:cs="Calibri"/>
          <w:sz w:val="24"/>
          <w:szCs w:val="24"/>
        </w:rPr>
        <w:t xml:space="preserve"> workshop on 20 May 2013 is one way </w:t>
      </w:r>
      <w:r w:rsidR="008B61D4" w:rsidRPr="008B61D4">
        <w:rPr>
          <w:rFonts w:ascii="Calibri" w:hAnsi="Calibri" w:cs="Calibri"/>
          <w:bCs/>
          <w:sz w:val="24"/>
          <w:szCs w:val="24"/>
        </w:rPr>
        <w:t xml:space="preserve">the </w:t>
      </w:r>
      <w:r w:rsidR="00D31C59">
        <w:rPr>
          <w:rFonts w:ascii="Calibri" w:hAnsi="Calibri" w:cs="Calibri"/>
          <w:bCs/>
          <w:sz w:val="24"/>
          <w:szCs w:val="24"/>
        </w:rPr>
        <w:t>Australian</w:t>
      </w:r>
      <w:r w:rsidR="00D31C59" w:rsidRPr="008B61D4">
        <w:rPr>
          <w:rFonts w:ascii="Calibri" w:hAnsi="Calibri" w:cs="Calibri"/>
          <w:bCs/>
          <w:sz w:val="24"/>
          <w:szCs w:val="24"/>
        </w:rPr>
        <w:t xml:space="preserve"> </w:t>
      </w:r>
      <w:r w:rsidR="00D31C59">
        <w:rPr>
          <w:rFonts w:ascii="Calibri" w:hAnsi="Calibri" w:cs="Calibri"/>
          <w:bCs/>
          <w:sz w:val="24"/>
          <w:szCs w:val="24"/>
        </w:rPr>
        <w:t>G</w:t>
      </w:r>
      <w:r w:rsidR="008B61D4" w:rsidRPr="008B61D4">
        <w:rPr>
          <w:rFonts w:ascii="Calibri" w:hAnsi="Calibri" w:cs="Calibri"/>
          <w:bCs/>
          <w:sz w:val="24"/>
          <w:szCs w:val="24"/>
        </w:rPr>
        <w:t xml:space="preserve">overnment, state and territory governments, </w:t>
      </w:r>
      <w:r w:rsidR="000202F8">
        <w:rPr>
          <w:rFonts w:ascii="Calibri" w:hAnsi="Calibri" w:cs="Calibri"/>
          <w:bCs/>
          <w:sz w:val="24"/>
          <w:szCs w:val="24"/>
        </w:rPr>
        <w:t xml:space="preserve">the </w:t>
      </w:r>
      <w:r w:rsidR="00C8305C">
        <w:rPr>
          <w:rFonts w:ascii="Calibri" w:hAnsi="Calibri" w:cs="Calibri"/>
          <w:bCs/>
          <w:sz w:val="24"/>
          <w:szCs w:val="24"/>
        </w:rPr>
        <w:t>community</w:t>
      </w:r>
      <w:r w:rsidR="008B61D4" w:rsidRPr="008B61D4">
        <w:rPr>
          <w:rFonts w:ascii="Calibri" w:hAnsi="Calibri" w:cs="Calibri"/>
          <w:bCs/>
          <w:sz w:val="24"/>
          <w:szCs w:val="24"/>
        </w:rPr>
        <w:t xml:space="preserve"> sector and </w:t>
      </w:r>
      <w:r w:rsidR="000202F8">
        <w:rPr>
          <w:rFonts w:ascii="Calibri" w:hAnsi="Calibri" w:cs="Calibri"/>
          <w:bCs/>
          <w:sz w:val="24"/>
          <w:szCs w:val="24"/>
        </w:rPr>
        <w:t xml:space="preserve">the </w:t>
      </w:r>
      <w:r w:rsidR="008B61D4" w:rsidRPr="008B61D4">
        <w:rPr>
          <w:rFonts w:ascii="Calibri" w:hAnsi="Calibri" w:cs="Calibri"/>
          <w:bCs/>
          <w:sz w:val="24"/>
          <w:szCs w:val="24"/>
        </w:rPr>
        <w:t xml:space="preserve">community are working together to </w:t>
      </w:r>
      <w:r w:rsidR="000202F8">
        <w:rPr>
          <w:rFonts w:ascii="Calibri" w:hAnsi="Calibri" w:cs="Calibri"/>
          <w:bCs/>
          <w:sz w:val="24"/>
          <w:szCs w:val="24"/>
        </w:rPr>
        <w:t>improve the options for</w:t>
      </w:r>
      <w:r w:rsidR="008B61D4" w:rsidRPr="008B61D4">
        <w:rPr>
          <w:rFonts w:ascii="Calibri" w:hAnsi="Calibri" w:cs="Calibri"/>
          <w:bCs/>
          <w:sz w:val="24"/>
          <w:szCs w:val="24"/>
        </w:rPr>
        <w:t xml:space="preserve"> Aboriginal and Torres Strait Islander children in out-of-home care</w:t>
      </w:r>
      <w:r w:rsidR="000202F8">
        <w:rPr>
          <w:rFonts w:ascii="Calibri" w:hAnsi="Calibri" w:cs="Calibri"/>
          <w:bCs/>
          <w:sz w:val="24"/>
          <w:szCs w:val="24"/>
        </w:rPr>
        <w:t xml:space="preserve"> and to ensure the continuation of their cultural and community connections</w:t>
      </w:r>
      <w:r w:rsidR="008B61D4" w:rsidRPr="008B61D4">
        <w:rPr>
          <w:rFonts w:ascii="Calibri" w:hAnsi="Calibri" w:cs="Calibri"/>
          <w:bCs/>
          <w:sz w:val="24"/>
          <w:szCs w:val="24"/>
        </w:rPr>
        <w:t>.</w:t>
      </w:r>
    </w:p>
    <w:p w:rsidR="008B61D4" w:rsidRDefault="008B61D4" w:rsidP="008B61D4">
      <w:pPr>
        <w:rPr>
          <w:rFonts w:ascii="Calibri" w:hAnsi="Calibri" w:cs="Calibri"/>
          <w:sz w:val="24"/>
          <w:szCs w:val="24"/>
        </w:rPr>
      </w:pPr>
    </w:p>
    <w:p w:rsidR="008B61D4" w:rsidRDefault="008B61D4" w:rsidP="008B61D4">
      <w:pPr>
        <w:rPr>
          <w:rFonts w:ascii="Calibri" w:hAnsi="Calibri" w:cs="Calibri"/>
          <w:sz w:val="24"/>
          <w:szCs w:val="24"/>
        </w:rPr>
      </w:pPr>
      <w:r w:rsidRPr="008B61D4">
        <w:rPr>
          <w:rFonts w:ascii="Calibri" w:hAnsi="Calibri" w:cs="Calibri"/>
          <w:sz w:val="24"/>
          <w:szCs w:val="24"/>
        </w:rPr>
        <w:t xml:space="preserve">The workshop provided a valuable opportunity to discuss barriers and explore opportunities to enhance the application and nationally consistent reporting of the </w:t>
      </w:r>
      <w:r w:rsidR="00314725">
        <w:rPr>
          <w:rFonts w:ascii="Calibri" w:hAnsi="Calibri" w:cs="Calibri"/>
          <w:sz w:val="24"/>
          <w:szCs w:val="24"/>
        </w:rPr>
        <w:t>ATSICPP</w:t>
      </w:r>
      <w:r w:rsidRPr="008B61D4">
        <w:rPr>
          <w:rFonts w:ascii="Calibri" w:hAnsi="Calibri" w:cs="Calibri"/>
          <w:sz w:val="24"/>
          <w:szCs w:val="24"/>
        </w:rPr>
        <w:t xml:space="preserve"> (the Principle).</w:t>
      </w:r>
      <w:r w:rsidR="003B22A9">
        <w:rPr>
          <w:rFonts w:ascii="Calibri" w:hAnsi="Calibri" w:cs="Calibri"/>
          <w:sz w:val="24"/>
          <w:szCs w:val="24"/>
        </w:rPr>
        <w:t xml:space="preserve"> </w:t>
      </w:r>
      <w:r w:rsidRPr="008B61D4">
        <w:rPr>
          <w:rFonts w:ascii="Calibri" w:hAnsi="Calibri" w:cs="Calibri"/>
          <w:sz w:val="24"/>
          <w:szCs w:val="24"/>
        </w:rPr>
        <w:t>The workshop identified many areas for improvement, with practical actions including collaborative effort to:</w:t>
      </w:r>
    </w:p>
    <w:p w:rsidR="008B61D4" w:rsidRPr="008B61D4" w:rsidRDefault="008B61D4" w:rsidP="00B914F4">
      <w:pPr>
        <w:pStyle w:val="ListBullet"/>
      </w:pPr>
      <w:r w:rsidRPr="008B61D4">
        <w:t xml:space="preserve">raise awareness and develop resources to support child protection workers, </w:t>
      </w:r>
      <w:r w:rsidR="000F3D73" w:rsidRPr="008B61D4">
        <w:t>Magistrate</w:t>
      </w:r>
      <w:r w:rsidRPr="008B61D4">
        <w:t>s and others in the judicial systems about the purpose of the Principle</w:t>
      </w:r>
    </w:p>
    <w:p w:rsidR="008B61D4" w:rsidRPr="008B61D4" w:rsidRDefault="008B61D4" w:rsidP="00B914F4">
      <w:pPr>
        <w:pStyle w:val="ListBullet"/>
      </w:pPr>
      <w:r w:rsidRPr="008B61D4">
        <w:t xml:space="preserve">ensure that child protection concepts and </w:t>
      </w:r>
      <w:r w:rsidR="006E0DCF">
        <w:t xml:space="preserve">the </w:t>
      </w:r>
      <w:r w:rsidRPr="008B61D4">
        <w:t xml:space="preserve">decision making process </w:t>
      </w:r>
      <w:r w:rsidR="006E0DCF">
        <w:t>are</w:t>
      </w:r>
      <w:r w:rsidR="006E0DCF" w:rsidRPr="008B61D4">
        <w:t xml:space="preserve"> </w:t>
      </w:r>
      <w:r w:rsidRPr="008B61D4">
        <w:t>articulated in language and with cultural sensitivity that is readily understood by Aboriginal and Torres Strait Islander families</w:t>
      </w:r>
    </w:p>
    <w:p w:rsidR="008B61D4" w:rsidRPr="008B61D4" w:rsidRDefault="008B61D4" w:rsidP="00B914F4">
      <w:pPr>
        <w:pStyle w:val="ListBullet"/>
      </w:pPr>
      <w:r w:rsidRPr="008B61D4">
        <w:t>ensure that Aboriginal and Torres Strait Islander</w:t>
      </w:r>
      <w:r w:rsidR="00F547B2">
        <w:t xml:space="preserve"> people</w:t>
      </w:r>
      <w:r w:rsidRPr="008B61D4">
        <w:t xml:space="preserve"> entering the child protection system retain their Aboriginal or Torres Strait Islander identities and </w:t>
      </w:r>
      <w:r w:rsidR="00BB52A3">
        <w:t xml:space="preserve">that </w:t>
      </w:r>
      <w:r w:rsidRPr="008B61D4">
        <w:t>cultural care plans are developed in consultation with the child</w:t>
      </w:r>
      <w:r w:rsidR="00195927">
        <w:t>ren</w:t>
      </w:r>
      <w:r w:rsidRPr="008B61D4">
        <w:t xml:space="preserve"> and their families and communities</w:t>
      </w:r>
    </w:p>
    <w:p w:rsidR="008B61D4" w:rsidRPr="008B61D4" w:rsidRDefault="008B61D4" w:rsidP="00B914F4">
      <w:pPr>
        <w:pStyle w:val="ListBullet"/>
      </w:pPr>
      <w:r w:rsidRPr="008B61D4">
        <w:t>review barriers for recruiting Aboriginal and Torres Strait Islander carers</w:t>
      </w:r>
    </w:p>
    <w:p w:rsidR="008B61D4" w:rsidRPr="008B61D4" w:rsidRDefault="008B61D4" w:rsidP="00B914F4">
      <w:pPr>
        <w:pStyle w:val="ListBullet"/>
      </w:pPr>
      <w:proofErr w:type="gramStart"/>
      <w:r w:rsidRPr="008B61D4">
        <w:t>explore</w:t>
      </w:r>
      <w:proofErr w:type="gramEnd"/>
      <w:r w:rsidRPr="008B61D4">
        <w:t xml:space="preserve"> ways to measure and record the number and rate of children diverted from out-of-home care and able to stay with their families, not just those who enter care.</w:t>
      </w:r>
    </w:p>
    <w:p w:rsidR="008B61D4" w:rsidRDefault="008B61D4" w:rsidP="008B61D4">
      <w:pPr>
        <w:rPr>
          <w:rFonts w:ascii="Calibri" w:hAnsi="Calibri" w:cs="Calibri"/>
          <w:sz w:val="24"/>
          <w:szCs w:val="24"/>
        </w:rPr>
      </w:pPr>
    </w:p>
    <w:p w:rsidR="008D0BFC" w:rsidRPr="00045FAA" w:rsidRDefault="008B61D4" w:rsidP="00045FAA">
      <w:pPr>
        <w:rPr>
          <w:rFonts w:ascii="Calibri" w:hAnsi="Calibri" w:cs="Calibri"/>
          <w:sz w:val="24"/>
          <w:szCs w:val="24"/>
        </w:rPr>
      </w:pPr>
      <w:r w:rsidRPr="008B61D4">
        <w:rPr>
          <w:rFonts w:ascii="Calibri" w:hAnsi="Calibri" w:cs="Calibri"/>
          <w:sz w:val="24"/>
          <w:szCs w:val="24"/>
        </w:rPr>
        <w:t xml:space="preserve">The workshop acknowledged that the Principle and its implementation </w:t>
      </w:r>
      <w:r w:rsidR="00195927">
        <w:rPr>
          <w:rFonts w:ascii="Calibri" w:hAnsi="Calibri" w:cs="Calibri"/>
          <w:sz w:val="24"/>
          <w:szCs w:val="24"/>
        </w:rPr>
        <w:t>will be</w:t>
      </w:r>
      <w:r w:rsidRPr="008B61D4">
        <w:rPr>
          <w:rFonts w:ascii="Calibri" w:hAnsi="Calibri" w:cs="Calibri"/>
          <w:sz w:val="24"/>
          <w:szCs w:val="24"/>
        </w:rPr>
        <w:t xml:space="preserve"> part of broader work to reduce the number of Aboriginal and Torres Strait Islander children in the child protection system.</w:t>
      </w:r>
    </w:p>
    <w:p w:rsidR="006132AA" w:rsidRPr="008A3251" w:rsidRDefault="006132AA" w:rsidP="00BB7510">
      <w:pPr>
        <w:rPr>
          <w:rFonts w:ascii="Calibri" w:hAnsi="Calibri" w:cs="Calibri"/>
          <w:iCs/>
          <w:sz w:val="24"/>
          <w:szCs w:val="24"/>
        </w:rPr>
      </w:pPr>
    </w:p>
    <w:p w:rsidR="00831A39" w:rsidRDefault="00831A39">
      <w:pPr>
        <w:rPr>
          <w:rFonts w:ascii="Calibri" w:hAnsi="Calibri" w:cs="Calibri"/>
          <w:i/>
          <w:sz w:val="24"/>
          <w:szCs w:val="24"/>
        </w:rPr>
      </w:pPr>
      <w:r>
        <w:br w:type="page"/>
      </w:r>
    </w:p>
    <w:p w:rsidR="00965599" w:rsidRPr="00706368" w:rsidRDefault="002B440C" w:rsidP="00F56F9B">
      <w:pPr>
        <w:pStyle w:val="Heading4"/>
      </w:pPr>
      <w:r w:rsidRPr="00706368">
        <w:t>Transitioning to Independence</w:t>
      </w:r>
    </w:p>
    <w:p w:rsidR="00164694" w:rsidRPr="00164694" w:rsidRDefault="00164694" w:rsidP="00164694">
      <w:pPr>
        <w:rPr>
          <w:rFonts w:ascii="Calibri" w:hAnsi="Calibri" w:cs="Calibri"/>
          <w:sz w:val="24"/>
          <w:szCs w:val="24"/>
        </w:rPr>
      </w:pPr>
      <w:r w:rsidRPr="00164694">
        <w:rPr>
          <w:rFonts w:ascii="Calibri" w:hAnsi="Calibri" w:cs="Calibri"/>
          <w:sz w:val="24"/>
          <w:szCs w:val="24"/>
        </w:rPr>
        <w:t xml:space="preserve">The Second Action Plan acknowledges the importance of supporting young people transitioning from out-of-home care to </w:t>
      </w:r>
      <w:r w:rsidR="004B6026">
        <w:rPr>
          <w:rFonts w:ascii="Calibri" w:hAnsi="Calibri" w:cs="Calibri"/>
          <w:sz w:val="24"/>
          <w:szCs w:val="24"/>
        </w:rPr>
        <w:t xml:space="preserve">achieve </w:t>
      </w:r>
      <w:r w:rsidRPr="00164694">
        <w:rPr>
          <w:rFonts w:ascii="Calibri" w:hAnsi="Calibri" w:cs="Calibri"/>
          <w:sz w:val="24"/>
          <w:szCs w:val="24"/>
        </w:rPr>
        <w:t xml:space="preserve">secure social and economic independence and </w:t>
      </w:r>
      <w:r w:rsidR="004B6026">
        <w:rPr>
          <w:rFonts w:ascii="Calibri" w:hAnsi="Calibri" w:cs="Calibri"/>
          <w:sz w:val="24"/>
          <w:szCs w:val="24"/>
        </w:rPr>
        <w:t xml:space="preserve">to </w:t>
      </w:r>
      <w:r w:rsidRPr="00164694">
        <w:rPr>
          <w:rFonts w:ascii="Calibri" w:hAnsi="Calibri" w:cs="Calibri"/>
          <w:sz w:val="24"/>
          <w:szCs w:val="24"/>
        </w:rPr>
        <w:t>build</w:t>
      </w:r>
      <w:r w:rsidR="007B461F">
        <w:rPr>
          <w:rFonts w:ascii="Calibri" w:hAnsi="Calibri" w:cs="Calibri"/>
          <w:sz w:val="24"/>
          <w:szCs w:val="24"/>
        </w:rPr>
        <w:t xml:space="preserve"> </w:t>
      </w:r>
      <w:r w:rsidRPr="00164694">
        <w:rPr>
          <w:rFonts w:ascii="Calibri" w:hAnsi="Calibri" w:cs="Calibri"/>
          <w:sz w:val="24"/>
          <w:szCs w:val="24"/>
        </w:rPr>
        <w:t>successful lives.</w:t>
      </w:r>
    </w:p>
    <w:p w:rsidR="006E0DCF" w:rsidRDefault="006E0DCF" w:rsidP="00164694">
      <w:pPr>
        <w:rPr>
          <w:rFonts w:ascii="Calibri" w:hAnsi="Calibri" w:cs="Calibri"/>
          <w:sz w:val="24"/>
          <w:szCs w:val="24"/>
        </w:rPr>
      </w:pPr>
    </w:p>
    <w:p w:rsidR="00164694" w:rsidRDefault="00164694" w:rsidP="00164694">
      <w:pPr>
        <w:rPr>
          <w:rFonts w:ascii="Calibri" w:hAnsi="Calibri" w:cs="Calibri"/>
          <w:sz w:val="24"/>
          <w:szCs w:val="24"/>
        </w:rPr>
      </w:pPr>
      <w:r w:rsidRPr="00164694">
        <w:rPr>
          <w:rFonts w:ascii="Calibri" w:hAnsi="Calibri" w:cs="Calibri"/>
          <w:sz w:val="24"/>
          <w:szCs w:val="24"/>
        </w:rPr>
        <w:t>Reforms to the Transition to Independent Living Allowance (TILA)</w:t>
      </w:r>
      <w:r w:rsidR="006A3BF0">
        <w:rPr>
          <w:rFonts w:ascii="Calibri" w:hAnsi="Calibri" w:cs="Calibri"/>
          <w:sz w:val="24"/>
          <w:szCs w:val="24"/>
        </w:rPr>
        <w:t xml:space="preserve">, </w:t>
      </w:r>
      <w:r w:rsidR="00063158">
        <w:rPr>
          <w:rFonts w:ascii="Calibri" w:hAnsi="Calibri" w:cs="Calibri"/>
          <w:sz w:val="24"/>
          <w:szCs w:val="24"/>
        </w:rPr>
        <w:t xml:space="preserve">agreed </w:t>
      </w:r>
      <w:r w:rsidRPr="00164694">
        <w:rPr>
          <w:rFonts w:ascii="Calibri" w:hAnsi="Calibri" w:cs="Calibri"/>
          <w:sz w:val="24"/>
          <w:szCs w:val="24"/>
        </w:rPr>
        <w:t>in the 2013</w:t>
      </w:r>
      <w:r w:rsidR="00AD38AD">
        <w:rPr>
          <w:rFonts w:ascii="Calibri" w:hAnsi="Calibri" w:cs="Calibri"/>
          <w:sz w:val="24"/>
          <w:szCs w:val="24"/>
        </w:rPr>
        <w:t>–</w:t>
      </w:r>
      <w:r w:rsidRPr="00164694">
        <w:rPr>
          <w:rFonts w:ascii="Calibri" w:hAnsi="Calibri" w:cs="Calibri"/>
          <w:sz w:val="24"/>
          <w:szCs w:val="24"/>
        </w:rPr>
        <w:t>14 Budget</w:t>
      </w:r>
      <w:r w:rsidR="006A3BF0">
        <w:rPr>
          <w:rFonts w:ascii="Calibri" w:hAnsi="Calibri" w:cs="Calibri"/>
          <w:sz w:val="24"/>
          <w:szCs w:val="24"/>
        </w:rPr>
        <w:t>,</w:t>
      </w:r>
      <w:r w:rsidRPr="00164694">
        <w:rPr>
          <w:rFonts w:ascii="Calibri" w:hAnsi="Calibri" w:cs="Calibri"/>
          <w:sz w:val="24"/>
          <w:szCs w:val="24"/>
        </w:rPr>
        <w:t xml:space="preserve"> come into effect 1 January 2014.</w:t>
      </w:r>
      <w:r w:rsidR="007764A2">
        <w:rPr>
          <w:rFonts w:ascii="Calibri" w:hAnsi="Calibri" w:cs="Calibri"/>
          <w:sz w:val="24"/>
          <w:szCs w:val="24"/>
        </w:rPr>
        <w:t xml:space="preserve"> </w:t>
      </w:r>
      <w:r w:rsidRPr="00164694">
        <w:rPr>
          <w:rFonts w:ascii="Calibri" w:hAnsi="Calibri" w:cs="Calibri"/>
          <w:sz w:val="24"/>
          <w:szCs w:val="24"/>
        </w:rPr>
        <w:t xml:space="preserve">TILA is a $1500 </w:t>
      </w:r>
      <w:r w:rsidR="00D31C59">
        <w:rPr>
          <w:rFonts w:ascii="Calibri" w:hAnsi="Calibri" w:cs="Calibri"/>
          <w:sz w:val="24"/>
          <w:szCs w:val="24"/>
        </w:rPr>
        <w:t>Australian Government</w:t>
      </w:r>
      <w:r w:rsidRPr="00164694">
        <w:rPr>
          <w:rFonts w:ascii="Calibri" w:hAnsi="Calibri" w:cs="Calibri"/>
          <w:sz w:val="24"/>
          <w:szCs w:val="24"/>
        </w:rPr>
        <w:t xml:space="preserve"> payment to young people leaving care</w:t>
      </w:r>
      <w:r w:rsidR="00AD38AD">
        <w:rPr>
          <w:rFonts w:ascii="Calibri" w:hAnsi="Calibri" w:cs="Calibri"/>
          <w:sz w:val="24"/>
          <w:szCs w:val="24"/>
        </w:rPr>
        <w:t>,</w:t>
      </w:r>
      <w:r w:rsidRPr="00164694">
        <w:rPr>
          <w:rFonts w:ascii="Calibri" w:hAnsi="Calibri" w:cs="Calibri"/>
          <w:sz w:val="24"/>
          <w:szCs w:val="24"/>
        </w:rPr>
        <w:t xml:space="preserve"> to meet some of the costs of moving to independent living.</w:t>
      </w:r>
      <w:r w:rsidR="007764A2">
        <w:rPr>
          <w:rFonts w:ascii="Calibri" w:hAnsi="Calibri" w:cs="Calibri"/>
          <w:sz w:val="24"/>
          <w:szCs w:val="24"/>
        </w:rPr>
        <w:t xml:space="preserve"> </w:t>
      </w:r>
      <w:r w:rsidR="00345C45">
        <w:rPr>
          <w:rFonts w:ascii="Calibri" w:hAnsi="Calibri" w:cs="Calibri"/>
          <w:sz w:val="24"/>
          <w:szCs w:val="24"/>
        </w:rPr>
        <w:t>DSS</w:t>
      </w:r>
      <w:r w:rsidRPr="00164694">
        <w:rPr>
          <w:rFonts w:ascii="Calibri" w:hAnsi="Calibri" w:cs="Calibri"/>
          <w:sz w:val="24"/>
          <w:szCs w:val="24"/>
        </w:rPr>
        <w:t xml:space="preserve"> and state and territory governments are working together to embed TILA into state and territory leaving care processes.</w:t>
      </w:r>
    </w:p>
    <w:p w:rsidR="00164694" w:rsidRPr="00164694" w:rsidRDefault="00164694" w:rsidP="00164694">
      <w:pPr>
        <w:rPr>
          <w:rFonts w:ascii="Calibri" w:hAnsi="Calibri" w:cs="Calibri"/>
          <w:sz w:val="24"/>
          <w:szCs w:val="24"/>
        </w:rPr>
      </w:pPr>
    </w:p>
    <w:p w:rsidR="0099213C" w:rsidRDefault="00063158" w:rsidP="00164694">
      <w:pPr>
        <w:rPr>
          <w:rFonts w:ascii="Calibri" w:hAnsi="Calibri" w:cs="Calibri"/>
          <w:i/>
          <w:iCs/>
          <w:sz w:val="24"/>
          <w:szCs w:val="24"/>
        </w:rPr>
      </w:pPr>
      <w:r>
        <w:rPr>
          <w:rFonts w:ascii="Calibri" w:hAnsi="Calibri" w:cs="Calibri"/>
          <w:sz w:val="24"/>
          <w:szCs w:val="24"/>
        </w:rPr>
        <w:t>State and territory gover</w:t>
      </w:r>
      <w:r w:rsidR="00B65535">
        <w:rPr>
          <w:rFonts w:ascii="Calibri" w:hAnsi="Calibri" w:cs="Calibri"/>
          <w:sz w:val="24"/>
          <w:szCs w:val="24"/>
        </w:rPr>
        <w:t>n</w:t>
      </w:r>
      <w:bookmarkStart w:id="161" w:name="Monday"/>
      <w:bookmarkEnd w:id="161"/>
      <w:r>
        <w:rPr>
          <w:rFonts w:ascii="Calibri" w:hAnsi="Calibri" w:cs="Calibri"/>
          <w:sz w:val="24"/>
          <w:szCs w:val="24"/>
        </w:rPr>
        <w:t>ments</w:t>
      </w:r>
      <w:r w:rsidRPr="00164694">
        <w:rPr>
          <w:rFonts w:ascii="Calibri" w:hAnsi="Calibri" w:cs="Calibri"/>
          <w:sz w:val="24"/>
          <w:szCs w:val="24"/>
        </w:rPr>
        <w:t xml:space="preserve"> </w:t>
      </w:r>
      <w:r w:rsidR="00164694" w:rsidRPr="00164694">
        <w:rPr>
          <w:rFonts w:ascii="Calibri" w:hAnsi="Calibri" w:cs="Calibri"/>
          <w:sz w:val="24"/>
          <w:szCs w:val="24"/>
        </w:rPr>
        <w:t xml:space="preserve">are </w:t>
      </w:r>
      <w:r w:rsidRPr="00164694">
        <w:rPr>
          <w:rFonts w:ascii="Calibri" w:hAnsi="Calibri" w:cs="Calibri"/>
          <w:sz w:val="24"/>
          <w:szCs w:val="24"/>
        </w:rPr>
        <w:t>deliver</w:t>
      </w:r>
      <w:r>
        <w:rPr>
          <w:rFonts w:ascii="Calibri" w:hAnsi="Calibri" w:cs="Calibri"/>
          <w:sz w:val="24"/>
          <w:szCs w:val="24"/>
        </w:rPr>
        <w:t>ing services</w:t>
      </w:r>
      <w:r w:rsidRPr="00164694">
        <w:rPr>
          <w:rFonts w:ascii="Calibri" w:hAnsi="Calibri" w:cs="Calibri"/>
          <w:sz w:val="24"/>
          <w:szCs w:val="24"/>
        </w:rPr>
        <w:t xml:space="preserve"> </w:t>
      </w:r>
      <w:r w:rsidR="00164694" w:rsidRPr="00164694">
        <w:rPr>
          <w:rFonts w:ascii="Calibri" w:hAnsi="Calibri" w:cs="Calibri"/>
          <w:sz w:val="24"/>
          <w:szCs w:val="24"/>
        </w:rPr>
        <w:t xml:space="preserve">to ensure that there are appropriate housing options and support for young people leaving out-of-home care. </w:t>
      </w:r>
    </w:p>
    <w:p w:rsidR="002B440C" w:rsidRPr="00706368" w:rsidRDefault="002B440C" w:rsidP="00F56F9B">
      <w:pPr>
        <w:pStyle w:val="Heading4"/>
      </w:pPr>
      <w:r w:rsidRPr="00706368">
        <w:t>Improving Support for Carers</w:t>
      </w:r>
    </w:p>
    <w:p w:rsidR="00164694" w:rsidRPr="00164694" w:rsidRDefault="00164694" w:rsidP="00164694">
      <w:pPr>
        <w:rPr>
          <w:rFonts w:ascii="Calibri" w:hAnsi="Calibri" w:cs="Calibri"/>
          <w:sz w:val="24"/>
          <w:szCs w:val="24"/>
        </w:rPr>
      </w:pPr>
      <w:r w:rsidRPr="00164694">
        <w:rPr>
          <w:rFonts w:ascii="Calibri" w:hAnsi="Calibri" w:cs="Calibri"/>
          <w:sz w:val="24"/>
          <w:szCs w:val="24"/>
        </w:rPr>
        <w:t>Australia’s child protection system relies upon people who volunteer to act as out-of-home carers.</w:t>
      </w:r>
      <w:r w:rsidR="007764A2">
        <w:rPr>
          <w:rFonts w:ascii="Calibri" w:hAnsi="Calibri" w:cs="Calibri"/>
          <w:sz w:val="24"/>
          <w:szCs w:val="24"/>
        </w:rPr>
        <w:t xml:space="preserve"> </w:t>
      </w:r>
      <w:r w:rsidRPr="00164694">
        <w:rPr>
          <w:rFonts w:ascii="Calibri" w:hAnsi="Calibri" w:cs="Calibri"/>
          <w:sz w:val="24"/>
          <w:szCs w:val="24"/>
        </w:rPr>
        <w:t>In order to provide high</w:t>
      </w:r>
      <w:r w:rsidR="007B461F">
        <w:rPr>
          <w:rFonts w:ascii="Calibri" w:hAnsi="Calibri" w:cs="Calibri"/>
          <w:sz w:val="24"/>
          <w:szCs w:val="24"/>
        </w:rPr>
        <w:t>-</w:t>
      </w:r>
      <w:r w:rsidR="0058792F" w:rsidRPr="00164694">
        <w:rPr>
          <w:rFonts w:ascii="Calibri" w:hAnsi="Calibri" w:cs="Calibri"/>
          <w:sz w:val="24"/>
          <w:szCs w:val="24"/>
        </w:rPr>
        <w:t>quality</w:t>
      </w:r>
      <w:r w:rsidR="007B461F">
        <w:rPr>
          <w:rFonts w:ascii="Calibri" w:hAnsi="Calibri" w:cs="Calibri"/>
          <w:sz w:val="24"/>
          <w:szCs w:val="24"/>
        </w:rPr>
        <w:t xml:space="preserve"> </w:t>
      </w:r>
      <w:r w:rsidRPr="00164694">
        <w:rPr>
          <w:rFonts w:ascii="Calibri" w:hAnsi="Calibri" w:cs="Calibri"/>
          <w:sz w:val="24"/>
          <w:szCs w:val="24"/>
        </w:rPr>
        <w:t xml:space="preserve">care for these vulnerable children and improve life outcomes, out-of-home carers need assistance and support. The Second Action </w:t>
      </w:r>
      <w:r w:rsidR="0058792F">
        <w:rPr>
          <w:rFonts w:ascii="Calibri" w:hAnsi="Calibri" w:cs="Calibri"/>
          <w:sz w:val="24"/>
          <w:szCs w:val="24"/>
        </w:rPr>
        <w:t>P</w:t>
      </w:r>
      <w:r w:rsidR="0058792F" w:rsidRPr="00164694">
        <w:rPr>
          <w:rFonts w:ascii="Calibri" w:hAnsi="Calibri" w:cs="Calibri"/>
          <w:sz w:val="24"/>
          <w:szCs w:val="24"/>
        </w:rPr>
        <w:t xml:space="preserve">lan </w:t>
      </w:r>
      <w:r w:rsidRPr="00164694">
        <w:rPr>
          <w:rFonts w:ascii="Calibri" w:hAnsi="Calibri" w:cs="Calibri"/>
          <w:sz w:val="24"/>
          <w:szCs w:val="24"/>
        </w:rPr>
        <w:t xml:space="preserve">contains several actions designed to improve support for carers. </w:t>
      </w:r>
    </w:p>
    <w:p w:rsidR="00164694" w:rsidRPr="00164694" w:rsidRDefault="00164694" w:rsidP="00164694">
      <w:pPr>
        <w:rPr>
          <w:rFonts w:ascii="Calibri" w:hAnsi="Calibri" w:cs="Calibri"/>
          <w:sz w:val="24"/>
          <w:szCs w:val="24"/>
        </w:rPr>
      </w:pPr>
    </w:p>
    <w:p w:rsidR="002B440C" w:rsidRDefault="00164694" w:rsidP="00164694">
      <w:pPr>
        <w:rPr>
          <w:rFonts w:ascii="Calibri" w:hAnsi="Calibri" w:cs="Calibri"/>
          <w:sz w:val="24"/>
          <w:szCs w:val="24"/>
        </w:rPr>
      </w:pPr>
      <w:r w:rsidRPr="00164694">
        <w:rPr>
          <w:rFonts w:ascii="Calibri" w:hAnsi="Calibri" w:cs="Calibri"/>
          <w:sz w:val="24"/>
          <w:szCs w:val="24"/>
        </w:rPr>
        <w:t xml:space="preserve">The </w:t>
      </w:r>
      <w:r w:rsidR="00D31C59">
        <w:rPr>
          <w:rFonts w:ascii="Calibri" w:hAnsi="Calibri" w:cs="Calibri"/>
          <w:sz w:val="24"/>
          <w:szCs w:val="24"/>
        </w:rPr>
        <w:t>Australian</w:t>
      </w:r>
      <w:r w:rsidR="00D31C59" w:rsidRPr="00164694">
        <w:rPr>
          <w:rFonts w:ascii="Calibri" w:hAnsi="Calibri" w:cs="Calibri"/>
          <w:sz w:val="24"/>
          <w:szCs w:val="24"/>
        </w:rPr>
        <w:t xml:space="preserve"> </w:t>
      </w:r>
      <w:r w:rsidRPr="00164694">
        <w:rPr>
          <w:rFonts w:ascii="Calibri" w:hAnsi="Calibri" w:cs="Calibri"/>
          <w:sz w:val="24"/>
          <w:szCs w:val="24"/>
        </w:rPr>
        <w:t>Government, in partnership with state and territory governments, is investigating the barriers and opportunities for developing and implementing professional foster care in Australia.</w:t>
      </w:r>
      <w:r w:rsidR="007764A2">
        <w:rPr>
          <w:rFonts w:ascii="Calibri" w:hAnsi="Calibri" w:cs="Calibri"/>
          <w:sz w:val="24"/>
          <w:szCs w:val="24"/>
        </w:rPr>
        <w:t xml:space="preserve"> </w:t>
      </w:r>
      <w:r w:rsidRPr="00164694">
        <w:rPr>
          <w:rFonts w:ascii="Calibri" w:hAnsi="Calibri" w:cs="Calibri"/>
          <w:sz w:val="24"/>
          <w:szCs w:val="24"/>
        </w:rPr>
        <w:t xml:space="preserve">A final report will outline the key challenges </w:t>
      </w:r>
      <w:r w:rsidR="00314C9F">
        <w:rPr>
          <w:rFonts w:ascii="Calibri" w:hAnsi="Calibri" w:cs="Calibri"/>
          <w:sz w:val="24"/>
          <w:szCs w:val="24"/>
        </w:rPr>
        <w:t>within</w:t>
      </w:r>
      <w:r w:rsidRPr="00164694">
        <w:rPr>
          <w:rFonts w:ascii="Calibri" w:hAnsi="Calibri" w:cs="Calibri"/>
          <w:sz w:val="24"/>
          <w:szCs w:val="24"/>
        </w:rPr>
        <w:t xml:space="preserve"> </w:t>
      </w:r>
      <w:r w:rsidR="00AD38AD" w:rsidRPr="00164694">
        <w:rPr>
          <w:rFonts w:ascii="Calibri" w:hAnsi="Calibri" w:cs="Calibri"/>
          <w:sz w:val="24"/>
          <w:szCs w:val="24"/>
        </w:rPr>
        <w:t>out-of-home care</w:t>
      </w:r>
      <w:r w:rsidRPr="00164694">
        <w:rPr>
          <w:rFonts w:ascii="Calibri" w:hAnsi="Calibri" w:cs="Calibri"/>
          <w:sz w:val="24"/>
          <w:szCs w:val="24"/>
        </w:rPr>
        <w:t xml:space="preserve"> systems </w:t>
      </w:r>
      <w:r w:rsidR="006A3BF0">
        <w:rPr>
          <w:rFonts w:ascii="Calibri" w:hAnsi="Calibri" w:cs="Calibri"/>
          <w:sz w:val="24"/>
          <w:szCs w:val="24"/>
        </w:rPr>
        <w:t xml:space="preserve">that </w:t>
      </w:r>
      <w:proofErr w:type="spellStart"/>
      <w:r w:rsidR="008A50D1" w:rsidRPr="004B6026">
        <w:rPr>
          <w:rFonts w:ascii="Calibri" w:hAnsi="Calibri" w:cs="Calibri"/>
          <w:sz w:val="24"/>
          <w:szCs w:val="24"/>
        </w:rPr>
        <w:t>professionalisation</w:t>
      </w:r>
      <w:proofErr w:type="spellEnd"/>
      <w:r w:rsidR="008A50D1">
        <w:rPr>
          <w:rFonts w:ascii="Calibri" w:hAnsi="Calibri" w:cs="Calibri"/>
          <w:sz w:val="24"/>
          <w:szCs w:val="24"/>
        </w:rPr>
        <w:t xml:space="preserve"> of foster care seeks to address and investigate </w:t>
      </w:r>
      <w:r w:rsidRPr="00164694">
        <w:rPr>
          <w:rFonts w:ascii="Calibri" w:hAnsi="Calibri" w:cs="Calibri"/>
          <w:sz w:val="24"/>
          <w:szCs w:val="24"/>
        </w:rPr>
        <w:t>policy options</w:t>
      </w:r>
      <w:r w:rsidR="00A43557">
        <w:rPr>
          <w:rFonts w:ascii="Calibri" w:hAnsi="Calibri" w:cs="Calibri"/>
          <w:sz w:val="24"/>
          <w:szCs w:val="24"/>
        </w:rPr>
        <w:t xml:space="preserve"> </w:t>
      </w:r>
      <w:r w:rsidR="006A3BF0">
        <w:rPr>
          <w:rFonts w:ascii="Calibri" w:hAnsi="Calibri" w:cs="Calibri"/>
          <w:sz w:val="24"/>
          <w:szCs w:val="24"/>
        </w:rPr>
        <w:t>for a national professional foster care model</w:t>
      </w:r>
      <w:r w:rsidRPr="00164694">
        <w:rPr>
          <w:rFonts w:ascii="Calibri" w:hAnsi="Calibri" w:cs="Calibri"/>
          <w:sz w:val="24"/>
          <w:szCs w:val="24"/>
        </w:rPr>
        <w:t>.</w:t>
      </w:r>
      <w:r w:rsidR="007764A2">
        <w:rPr>
          <w:rFonts w:ascii="Calibri" w:hAnsi="Calibri" w:cs="Calibri"/>
          <w:sz w:val="24"/>
          <w:szCs w:val="24"/>
        </w:rPr>
        <w:t xml:space="preserve"> </w:t>
      </w:r>
    </w:p>
    <w:p w:rsidR="00164694" w:rsidRDefault="00164694" w:rsidP="00164694">
      <w:pPr>
        <w:rPr>
          <w:rFonts w:ascii="Calibri" w:hAnsi="Calibri" w:cs="Calibri"/>
          <w:sz w:val="24"/>
          <w:szCs w:val="24"/>
        </w:rPr>
      </w:pPr>
    </w:p>
    <w:p w:rsidR="002B440C" w:rsidRDefault="00164694" w:rsidP="00BB7510">
      <w:pPr>
        <w:rPr>
          <w:rFonts w:ascii="Calibri" w:hAnsi="Calibri" w:cs="Calibri"/>
          <w:iCs/>
          <w:sz w:val="24"/>
          <w:szCs w:val="24"/>
        </w:rPr>
      </w:pPr>
      <w:r w:rsidRPr="00164694">
        <w:rPr>
          <w:rFonts w:ascii="Calibri" w:hAnsi="Calibri" w:cs="Calibri"/>
          <w:iCs/>
          <w:sz w:val="24"/>
          <w:szCs w:val="24"/>
        </w:rPr>
        <w:t xml:space="preserve">The </w:t>
      </w:r>
      <w:r w:rsidR="00D31C59">
        <w:rPr>
          <w:rFonts w:ascii="Calibri" w:hAnsi="Calibri" w:cs="Calibri"/>
          <w:iCs/>
          <w:sz w:val="24"/>
          <w:szCs w:val="24"/>
        </w:rPr>
        <w:t>Australian Government</w:t>
      </w:r>
      <w:r w:rsidRPr="00164694">
        <w:rPr>
          <w:rFonts w:ascii="Calibri" w:hAnsi="Calibri" w:cs="Calibri"/>
          <w:iCs/>
          <w:sz w:val="24"/>
          <w:szCs w:val="24"/>
        </w:rPr>
        <w:t xml:space="preserve"> has commenced initial work on mapping state and territory carer recruitment policies to improve opportunities</w:t>
      </w:r>
      <w:r w:rsidR="006E0DCF">
        <w:rPr>
          <w:rFonts w:ascii="Calibri" w:hAnsi="Calibri" w:cs="Calibri"/>
          <w:iCs/>
          <w:sz w:val="24"/>
          <w:szCs w:val="24"/>
        </w:rPr>
        <w:t>,</w:t>
      </w:r>
      <w:r w:rsidRPr="00164694">
        <w:rPr>
          <w:rFonts w:ascii="Calibri" w:hAnsi="Calibri" w:cs="Calibri"/>
          <w:iCs/>
          <w:sz w:val="24"/>
          <w:szCs w:val="24"/>
        </w:rPr>
        <w:t xml:space="preserve"> remove barriers</w:t>
      </w:r>
      <w:r w:rsidR="00AD38AD">
        <w:rPr>
          <w:rFonts w:ascii="Calibri" w:hAnsi="Calibri" w:cs="Calibri"/>
          <w:iCs/>
          <w:sz w:val="24"/>
          <w:szCs w:val="24"/>
        </w:rPr>
        <w:t xml:space="preserve"> and</w:t>
      </w:r>
      <w:r w:rsidRPr="00164694">
        <w:rPr>
          <w:rFonts w:ascii="Calibri" w:hAnsi="Calibri" w:cs="Calibri"/>
          <w:iCs/>
          <w:sz w:val="24"/>
          <w:szCs w:val="24"/>
        </w:rPr>
        <w:t xml:space="preserve"> enable working families to become carers.</w:t>
      </w:r>
    </w:p>
    <w:p w:rsidR="004F5AB4" w:rsidRPr="0085314D" w:rsidRDefault="004F5AB4" w:rsidP="00F56F9B">
      <w:pPr>
        <w:pStyle w:val="Heading4"/>
      </w:pPr>
      <w:r w:rsidRPr="0085314D">
        <w:t>Sector Development</w:t>
      </w:r>
    </w:p>
    <w:p w:rsidR="004F5AB4" w:rsidRDefault="004F5AB4" w:rsidP="004F5AB4">
      <w:pPr>
        <w:rPr>
          <w:rFonts w:ascii="Calibri" w:hAnsi="Calibri" w:cs="Calibri"/>
          <w:sz w:val="24"/>
          <w:szCs w:val="24"/>
        </w:rPr>
      </w:pPr>
      <w:r w:rsidRPr="004F5AB4">
        <w:rPr>
          <w:rFonts w:ascii="Calibri" w:hAnsi="Calibri" w:cs="Calibri"/>
          <w:sz w:val="24"/>
          <w:szCs w:val="24"/>
        </w:rPr>
        <w:t xml:space="preserve">As a first step in progressing work on the development of a </w:t>
      </w:r>
      <w:proofErr w:type="spellStart"/>
      <w:r w:rsidRPr="004F5AB4">
        <w:rPr>
          <w:rFonts w:ascii="Calibri" w:hAnsi="Calibri" w:cs="Calibri"/>
          <w:sz w:val="24"/>
          <w:szCs w:val="24"/>
        </w:rPr>
        <w:t>para</w:t>
      </w:r>
      <w:proofErr w:type="spellEnd"/>
      <w:r w:rsidRPr="004F5AB4">
        <w:rPr>
          <w:rFonts w:ascii="Calibri" w:hAnsi="Calibri" w:cs="Calibri"/>
          <w:sz w:val="24"/>
          <w:szCs w:val="24"/>
        </w:rPr>
        <w:t xml:space="preserve">-professional workforce, the Australian and NSW Governments will develop </w:t>
      </w:r>
      <w:r w:rsidR="003D30B0">
        <w:rPr>
          <w:rFonts w:ascii="Calibri" w:hAnsi="Calibri" w:cs="Calibri"/>
          <w:sz w:val="24"/>
          <w:szCs w:val="24"/>
        </w:rPr>
        <w:t>a</w:t>
      </w:r>
      <w:r w:rsidRPr="004F5AB4">
        <w:rPr>
          <w:rFonts w:ascii="Calibri" w:hAnsi="Calibri" w:cs="Calibri"/>
          <w:sz w:val="24"/>
          <w:szCs w:val="24"/>
        </w:rPr>
        <w:t xml:space="preserve"> paper to scope relevant issues, building on the findings of the </w:t>
      </w:r>
      <w:r w:rsidRPr="00F6059B">
        <w:rPr>
          <w:rFonts w:ascii="Calibri" w:hAnsi="Calibri" w:cs="Calibri"/>
          <w:i/>
          <w:sz w:val="24"/>
          <w:szCs w:val="24"/>
        </w:rPr>
        <w:t>Who Works in Community Services</w:t>
      </w:r>
      <w:r w:rsidRPr="004F5AB4">
        <w:rPr>
          <w:rFonts w:ascii="Calibri" w:hAnsi="Calibri" w:cs="Calibri"/>
          <w:sz w:val="24"/>
          <w:szCs w:val="24"/>
        </w:rPr>
        <w:t xml:space="preserve"> (Martin &amp; Healy 2010) WPP and the </w:t>
      </w:r>
      <w:r w:rsidRPr="00D207A7">
        <w:rPr>
          <w:rFonts w:ascii="Calibri" w:hAnsi="Calibri" w:cs="Calibri"/>
          <w:i/>
          <w:sz w:val="24"/>
          <w:szCs w:val="24"/>
        </w:rPr>
        <w:t>National Analysis of Workforce Trends in Statutory Child Protection</w:t>
      </w:r>
      <w:r w:rsidRPr="004F5AB4">
        <w:rPr>
          <w:rFonts w:ascii="Calibri" w:hAnsi="Calibri" w:cs="Calibri"/>
          <w:sz w:val="24"/>
          <w:szCs w:val="24"/>
        </w:rPr>
        <w:t xml:space="preserve"> project (McArthur &amp; Thomson 2012). </w:t>
      </w:r>
    </w:p>
    <w:p w:rsidR="00801FCA" w:rsidRPr="004F5AB4" w:rsidRDefault="00801FCA" w:rsidP="004F5AB4">
      <w:pPr>
        <w:rPr>
          <w:rFonts w:ascii="Calibri" w:hAnsi="Calibri" w:cs="Calibri"/>
          <w:sz w:val="24"/>
          <w:szCs w:val="24"/>
        </w:rPr>
      </w:pPr>
    </w:p>
    <w:p w:rsidR="004F5AB4" w:rsidRDefault="004F5AB4" w:rsidP="004F5AB4">
      <w:pPr>
        <w:rPr>
          <w:rFonts w:ascii="Calibri" w:hAnsi="Calibri" w:cs="Calibri"/>
          <w:sz w:val="24"/>
          <w:szCs w:val="24"/>
        </w:rPr>
      </w:pPr>
      <w:r w:rsidRPr="004F5AB4">
        <w:rPr>
          <w:rFonts w:ascii="Calibri" w:hAnsi="Calibri" w:cs="Calibri"/>
          <w:sz w:val="24"/>
          <w:szCs w:val="24"/>
        </w:rPr>
        <w:t xml:space="preserve">The Australian Government will also coordinate information gathering from jurisdictions and the </w:t>
      </w:r>
      <w:r w:rsidR="00C8305C">
        <w:rPr>
          <w:rFonts w:ascii="Calibri" w:hAnsi="Calibri" w:cs="Calibri"/>
          <w:sz w:val="24"/>
          <w:szCs w:val="24"/>
        </w:rPr>
        <w:t>community</w:t>
      </w:r>
      <w:r w:rsidRPr="004F5AB4">
        <w:rPr>
          <w:rFonts w:ascii="Calibri" w:hAnsi="Calibri" w:cs="Calibri"/>
          <w:sz w:val="24"/>
          <w:szCs w:val="24"/>
        </w:rPr>
        <w:t xml:space="preserve"> sector on initiatives planned or already underway to strengthen pathways for Aboriginal and Torres Strait Islander workers and build professional and cultural expertise in remote service provision.</w:t>
      </w:r>
    </w:p>
    <w:p w:rsidR="00801FCA" w:rsidRPr="004F5AB4" w:rsidRDefault="00801FCA" w:rsidP="004F5AB4">
      <w:pPr>
        <w:rPr>
          <w:rFonts w:ascii="Calibri" w:hAnsi="Calibri" w:cs="Calibri"/>
          <w:sz w:val="24"/>
          <w:szCs w:val="24"/>
        </w:rPr>
      </w:pPr>
    </w:p>
    <w:p w:rsidR="00164694" w:rsidRDefault="004F5AB4" w:rsidP="004F5AB4">
      <w:pPr>
        <w:rPr>
          <w:rFonts w:ascii="Calibri" w:hAnsi="Calibri" w:cs="Calibri"/>
          <w:sz w:val="24"/>
          <w:szCs w:val="24"/>
        </w:rPr>
      </w:pPr>
      <w:r w:rsidRPr="004F5AB4">
        <w:rPr>
          <w:rFonts w:ascii="Calibri" w:hAnsi="Calibri" w:cs="Calibri"/>
          <w:sz w:val="24"/>
          <w:szCs w:val="24"/>
        </w:rPr>
        <w:t>Mandatory reporting schemes are critical to keeping children safe in the community. The Australian Government has provided funding to Victoria for research on mandatory reporting schemes across Australia, to identify elements that enhance their success.</w:t>
      </w:r>
      <w:r w:rsidR="00A43557">
        <w:rPr>
          <w:rFonts w:ascii="Calibri" w:hAnsi="Calibri" w:cs="Calibri"/>
          <w:sz w:val="24"/>
          <w:szCs w:val="24"/>
        </w:rPr>
        <w:t xml:space="preserve"> </w:t>
      </w:r>
      <w:r w:rsidRPr="004F5AB4">
        <w:rPr>
          <w:rFonts w:ascii="Calibri" w:hAnsi="Calibri" w:cs="Calibri"/>
          <w:sz w:val="24"/>
          <w:szCs w:val="24"/>
        </w:rPr>
        <w:t>The Victorian Government has contracted the Queensland University of Technology (QUT) to undertake the research.</w:t>
      </w:r>
    </w:p>
    <w:p w:rsidR="004F5AB4" w:rsidRDefault="004F5AB4" w:rsidP="004F5AB4">
      <w:pPr>
        <w:rPr>
          <w:rFonts w:ascii="Calibri" w:hAnsi="Calibri" w:cs="Calibri"/>
          <w:sz w:val="24"/>
          <w:szCs w:val="24"/>
        </w:rPr>
      </w:pPr>
    </w:p>
    <w:p w:rsidR="00C34AC4" w:rsidRDefault="00C34AC4" w:rsidP="004F5AB4">
      <w:pPr>
        <w:rPr>
          <w:rFonts w:ascii="Calibri" w:hAnsi="Calibri" w:cs="Calibri"/>
          <w:sz w:val="24"/>
          <w:szCs w:val="24"/>
        </w:rPr>
      </w:pPr>
      <w:r w:rsidRPr="00C34AC4">
        <w:rPr>
          <w:rFonts w:ascii="Calibri" w:hAnsi="Calibri" w:cs="Calibri"/>
          <w:sz w:val="24"/>
          <w:szCs w:val="24"/>
        </w:rPr>
        <w:t xml:space="preserve">Following Ministers’ endorsement, the </w:t>
      </w:r>
      <w:r w:rsidRPr="00D207A7">
        <w:rPr>
          <w:rFonts w:ascii="Calibri" w:hAnsi="Calibri" w:cs="Calibri"/>
          <w:i/>
          <w:sz w:val="24"/>
          <w:szCs w:val="24"/>
        </w:rPr>
        <w:t>National Analysis of Workforce Trends in Statutory Child Protection</w:t>
      </w:r>
      <w:r w:rsidRPr="00C34AC4">
        <w:rPr>
          <w:rFonts w:ascii="Calibri" w:hAnsi="Calibri" w:cs="Calibri"/>
          <w:sz w:val="24"/>
          <w:szCs w:val="24"/>
        </w:rPr>
        <w:t xml:space="preserve"> report (McArthur &amp; Thomson 2012) was publicly released on 12 December 2012. The report was produced by the Institute of Child Protection Studies at the </w:t>
      </w:r>
      <w:r w:rsidR="00036F0B">
        <w:rPr>
          <w:rFonts w:ascii="Calibri" w:hAnsi="Calibri" w:cs="Calibri"/>
          <w:sz w:val="24"/>
          <w:szCs w:val="24"/>
        </w:rPr>
        <w:t>ACU</w:t>
      </w:r>
      <w:r w:rsidRPr="00C34AC4">
        <w:rPr>
          <w:rFonts w:ascii="Calibri" w:hAnsi="Calibri" w:cs="Calibri"/>
          <w:sz w:val="24"/>
          <w:szCs w:val="24"/>
        </w:rPr>
        <w:t>. Findings from the report are informing future work under the Sector Development national priority under the Second Action Plan.</w:t>
      </w:r>
    </w:p>
    <w:p w:rsidR="00C34AC4" w:rsidRPr="00ED097C" w:rsidRDefault="00C34AC4" w:rsidP="00F7630E">
      <w:pPr>
        <w:rPr>
          <w:rFonts w:ascii="Calibri" w:hAnsi="Calibri" w:cs="Calibri"/>
          <w:b/>
          <w:sz w:val="24"/>
          <w:szCs w:val="24"/>
        </w:rPr>
      </w:pPr>
    </w:p>
    <w:p w:rsidR="00ED097C" w:rsidRDefault="00ED097C">
      <w:pPr>
        <w:rPr>
          <w:rFonts w:ascii="Calibri" w:hAnsi="Calibri" w:cs="Calibri"/>
          <w:b/>
          <w:i/>
          <w:sz w:val="24"/>
          <w:szCs w:val="24"/>
        </w:rPr>
      </w:pPr>
      <w:r>
        <w:rPr>
          <w:rFonts w:ascii="Calibri" w:hAnsi="Calibri" w:cs="Calibri"/>
          <w:b/>
          <w:i/>
          <w:sz w:val="24"/>
          <w:szCs w:val="24"/>
        </w:rPr>
        <w:br w:type="page"/>
      </w:r>
    </w:p>
    <w:p w:rsidR="00BD5D4E" w:rsidRDefault="00BD5D4E" w:rsidP="00792804">
      <w:pPr>
        <w:pStyle w:val="Heading3"/>
      </w:pPr>
      <w:bookmarkStart w:id="162" w:name="_Toc400007748"/>
      <w:r w:rsidRPr="00821556">
        <w:t>Australian Capital Territory</w:t>
      </w:r>
      <w:bookmarkEnd w:id="162"/>
    </w:p>
    <w:p w:rsidR="00C673F8" w:rsidRPr="00706368" w:rsidRDefault="004628A1" w:rsidP="00F56F9B">
      <w:pPr>
        <w:pStyle w:val="Heading4"/>
      </w:pPr>
      <w:r w:rsidRPr="00706368">
        <w:t>National Standar</w:t>
      </w:r>
      <w:r w:rsidR="008930A8" w:rsidRPr="00706368">
        <w:t>ds for Out-of-Home Care</w:t>
      </w:r>
    </w:p>
    <w:p w:rsidR="00C673F8" w:rsidRDefault="004628A1" w:rsidP="00F7630E">
      <w:pPr>
        <w:rPr>
          <w:rFonts w:ascii="Calibri" w:hAnsi="Calibri" w:cs="Calibri"/>
          <w:sz w:val="24"/>
          <w:szCs w:val="24"/>
        </w:rPr>
      </w:pPr>
      <w:r w:rsidRPr="004628A1">
        <w:rPr>
          <w:rFonts w:ascii="Calibri" w:hAnsi="Calibri" w:cs="Calibri"/>
          <w:sz w:val="24"/>
          <w:szCs w:val="24"/>
        </w:rPr>
        <w:t>The</w:t>
      </w:r>
      <w:r w:rsidR="003B22A9">
        <w:rPr>
          <w:rFonts w:ascii="Calibri" w:hAnsi="Calibri" w:cs="Calibri"/>
          <w:sz w:val="24"/>
          <w:szCs w:val="24"/>
        </w:rPr>
        <w:t xml:space="preserve"> ACT has been developing an Out-of-</w:t>
      </w:r>
      <w:r w:rsidRPr="004628A1">
        <w:rPr>
          <w:rFonts w:ascii="Calibri" w:hAnsi="Calibri" w:cs="Calibri"/>
          <w:sz w:val="24"/>
          <w:szCs w:val="24"/>
        </w:rPr>
        <w:t xml:space="preserve">Home Care Five Year Strategy. The Strategy will focus on providing </w:t>
      </w:r>
      <w:r w:rsidR="00AD38AD" w:rsidRPr="004628A1">
        <w:rPr>
          <w:rFonts w:ascii="Calibri" w:hAnsi="Calibri" w:cs="Calibri"/>
          <w:sz w:val="24"/>
          <w:szCs w:val="24"/>
        </w:rPr>
        <w:t>long</w:t>
      </w:r>
      <w:r w:rsidR="00AD38AD">
        <w:rPr>
          <w:rFonts w:ascii="Calibri" w:hAnsi="Calibri" w:cs="Calibri"/>
          <w:sz w:val="24"/>
          <w:szCs w:val="24"/>
        </w:rPr>
        <w:t>-</w:t>
      </w:r>
      <w:r w:rsidRPr="004628A1">
        <w:rPr>
          <w:rFonts w:ascii="Calibri" w:hAnsi="Calibri" w:cs="Calibri"/>
          <w:sz w:val="24"/>
          <w:szCs w:val="24"/>
        </w:rPr>
        <w:t>term planning</w:t>
      </w:r>
      <w:r w:rsidR="003B22A9">
        <w:rPr>
          <w:rFonts w:ascii="Calibri" w:hAnsi="Calibri" w:cs="Calibri"/>
          <w:sz w:val="24"/>
          <w:szCs w:val="24"/>
        </w:rPr>
        <w:t xml:space="preserve"> for the development of an out-of-</w:t>
      </w:r>
      <w:r w:rsidRPr="004628A1">
        <w:rPr>
          <w:rFonts w:ascii="Calibri" w:hAnsi="Calibri" w:cs="Calibri"/>
          <w:sz w:val="24"/>
          <w:szCs w:val="24"/>
        </w:rPr>
        <w:t xml:space="preserve">home care sector that is better able to respond to </w:t>
      </w:r>
      <w:r w:rsidR="00AD38AD">
        <w:rPr>
          <w:rFonts w:ascii="Calibri" w:hAnsi="Calibri" w:cs="Calibri"/>
          <w:sz w:val="24"/>
          <w:szCs w:val="24"/>
        </w:rPr>
        <w:t xml:space="preserve">the </w:t>
      </w:r>
      <w:r w:rsidRPr="004628A1">
        <w:rPr>
          <w:rFonts w:ascii="Calibri" w:hAnsi="Calibri" w:cs="Calibri"/>
          <w:sz w:val="24"/>
          <w:szCs w:val="24"/>
        </w:rPr>
        <w:t>increasing complexities of children and young people who are entering the care system.</w:t>
      </w:r>
      <w:r w:rsidR="0057232C">
        <w:rPr>
          <w:rFonts w:ascii="Calibri" w:hAnsi="Calibri" w:cs="Calibri"/>
          <w:sz w:val="24"/>
          <w:szCs w:val="24"/>
        </w:rPr>
        <w:t xml:space="preserve"> </w:t>
      </w:r>
    </w:p>
    <w:p w:rsidR="004628A1" w:rsidRPr="00706368" w:rsidRDefault="004628A1" w:rsidP="00F56F9B">
      <w:pPr>
        <w:pStyle w:val="Heading4"/>
      </w:pPr>
      <w:r w:rsidRPr="00706368">
        <w:t>Transi</w:t>
      </w:r>
      <w:r w:rsidR="008930A8" w:rsidRPr="00706368">
        <w:t>tioning to Independence</w:t>
      </w:r>
    </w:p>
    <w:p w:rsidR="004628A1" w:rsidRDefault="004628A1" w:rsidP="00F7630E">
      <w:pPr>
        <w:rPr>
          <w:rFonts w:ascii="Calibri" w:hAnsi="Calibri" w:cs="Calibri"/>
          <w:sz w:val="24"/>
          <w:szCs w:val="24"/>
        </w:rPr>
      </w:pPr>
      <w:r w:rsidRPr="004628A1">
        <w:rPr>
          <w:rFonts w:ascii="Calibri" w:hAnsi="Calibri" w:cs="Calibri"/>
          <w:sz w:val="24"/>
          <w:szCs w:val="24"/>
        </w:rPr>
        <w:t xml:space="preserve">The ACT is implementing many initiatives to ensure consistency of support and services for all children and families. </w:t>
      </w:r>
      <w:r w:rsidR="003B22A9">
        <w:rPr>
          <w:rFonts w:ascii="Calibri" w:hAnsi="Calibri" w:cs="Calibri"/>
          <w:sz w:val="24"/>
          <w:szCs w:val="24"/>
        </w:rPr>
        <w:t xml:space="preserve">One of the initiatives that </w:t>
      </w:r>
      <w:r w:rsidR="002D6DD6">
        <w:rPr>
          <w:rFonts w:ascii="Calibri" w:hAnsi="Calibri" w:cs="Calibri"/>
          <w:sz w:val="24"/>
          <w:szCs w:val="24"/>
        </w:rPr>
        <w:t>have</w:t>
      </w:r>
      <w:r w:rsidRPr="004628A1">
        <w:rPr>
          <w:rFonts w:ascii="Calibri" w:hAnsi="Calibri" w:cs="Calibri"/>
          <w:sz w:val="24"/>
          <w:szCs w:val="24"/>
        </w:rPr>
        <w:t xml:space="preserve"> been implemented is a case management service that works closely with young people</w:t>
      </w:r>
      <w:r w:rsidR="003B22A9">
        <w:rPr>
          <w:rFonts w:ascii="Calibri" w:hAnsi="Calibri" w:cs="Calibri"/>
          <w:sz w:val="24"/>
          <w:szCs w:val="24"/>
        </w:rPr>
        <w:t xml:space="preserve"> who are transitioning from out-of-</w:t>
      </w:r>
      <w:r w:rsidRPr="004628A1">
        <w:rPr>
          <w:rFonts w:ascii="Calibri" w:hAnsi="Calibri" w:cs="Calibri"/>
          <w:sz w:val="24"/>
          <w:szCs w:val="24"/>
        </w:rPr>
        <w:t>home care to adulthood and provides e</w:t>
      </w:r>
      <w:r w:rsidR="003B22A9">
        <w:rPr>
          <w:rFonts w:ascii="Calibri" w:hAnsi="Calibri" w:cs="Calibri"/>
          <w:sz w:val="24"/>
          <w:szCs w:val="24"/>
        </w:rPr>
        <w:t>xtended support to young people up to the age of 25 years</w:t>
      </w:r>
      <w:r w:rsidRPr="004628A1">
        <w:rPr>
          <w:rFonts w:ascii="Calibri" w:hAnsi="Calibri" w:cs="Calibri"/>
          <w:sz w:val="24"/>
          <w:szCs w:val="24"/>
        </w:rPr>
        <w:t xml:space="preserve"> who have left care. The Youth Support and Transition Team provides support to young people following their transition from care, including access to brokerage funding, assistance to access personal records and documents and ongoing emotional and practical support. </w:t>
      </w:r>
      <w:proofErr w:type="gramStart"/>
      <w:r w:rsidRPr="004628A1">
        <w:rPr>
          <w:rFonts w:ascii="Calibri" w:hAnsi="Calibri" w:cs="Calibri"/>
          <w:sz w:val="24"/>
          <w:szCs w:val="24"/>
        </w:rPr>
        <w:t>Staff also support</w:t>
      </w:r>
      <w:proofErr w:type="gramEnd"/>
      <w:r w:rsidRPr="004628A1">
        <w:rPr>
          <w:rFonts w:ascii="Calibri" w:hAnsi="Calibri" w:cs="Calibri"/>
          <w:sz w:val="24"/>
          <w:szCs w:val="24"/>
        </w:rPr>
        <w:t xml:space="preserve"> young people to access mainstream supports and services, in particular</w:t>
      </w:r>
      <w:r w:rsidR="00FA6FD8">
        <w:rPr>
          <w:rFonts w:ascii="Calibri" w:hAnsi="Calibri" w:cs="Calibri"/>
          <w:sz w:val="24"/>
          <w:szCs w:val="24"/>
        </w:rPr>
        <w:t>,</w:t>
      </w:r>
      <w:r w:rsidRPr="004628A1">
        <w:rPr>
          <w:rFonts w:ascii="Calibri" w:hAnsi="Calibri" w:cs="Calibri"/>
          <w:sz w:val="24"/>
          <w:szCs w:val="24"/>
        </w:rPr>
        <w:t xml:space="preserve"> housing, training, education and employment.</w:t>
      </w:r>
    </w:p>
    <w:p w:rsidR="00C673F8" w:rsidRDefault="00C673F8" w:rsidP="00F7630E">
      <w:pPr>
        <w:rPr>
          <w:rFonts w:ascii="Calibri" w:hAnsi="Calibri" w:cs="Calibri"/>
          <w:sz w:val="24"/>
          <w:szCs w:val="24"/>
        </w:rPr>
      </w:pPr>
    </w:p>
    <w:p w:rsidR="00C673F8" w:rsidRPr="00C673F8" w:rsidRDefault="00C673F8" w:rsidP="00C673F8">
      <w:pPr>
        <w:rPr>
          <w:rFonts w:ascii="Calibri" w:hAnsi="Calibri" w:cs="Calibri"/>
          <w:sz w:val="24"/>
          <w:szCs w:val="24"/>
        </w:rPr>
      </w:pPr>
      <w:r w:rsidRPr="00C673F8">
        <w:rPr>
          <w:rFonts w:ascii="Calibri" w:hAnsi="Calibri" w:cs="Calibri"/>
          <w:sz w:val="24"/>
          <w:szCs w:val="24"/>
        </w:rPr>
        <w:t xml:space="preserve">The ACT has established targeted youth housing and homelessness programs and services. A priority target group </w:t>
      </w:r>
      <w:r w:rsidR="00FA6FD8">
        <w:rPr>
          <w:rFonts w:ascii="Calibri" w:hAnsi="Calibri" w:cs="Calibri"/>
          <w:sz w:val="24"/>
          <w:szCs w:val="24"/>
        </w:rPr>
        <w:t>is</w:t>
      </w:r>
      <w:r w:rsidR="00FA6FD8" w:rsidRPr="00C673F8">
        <w:rPr>
          <w:rFonts w:ascii="Calibri" w:hAnsi="Calibri" w:cs="Calibri"/>
          <w:sz w:val="24"/>
          <w:szCs w:val="24"/>
        </w:rPr>
        <w:t xml:space="preserve"> </w:t>
      </w:r>
      <w:r w:rsidRPr="00C673F8">
        <w:rPr>
          <w:rFonts w:ascii="Calibri" w:hAnsi="Calibri" w:cs="Calibri"/>
          <w:sz w:val="24"/>
          <w:szCs w:val="24"/>
        </w:rPr>
        <w:t xml:space="preserve">young people </w:t>
      </w:r>
      <w:r w:rsidR="00FA6FD8" w:rsidRPr="00C673F8">
        <w:rPr>
          <w:rFonts w:ascii="Calibri" w:hAnsi="Calibri" w:cs="Calibri"/>
          <w:sz w:val="24"/>
          <w:szCs w:val="24"/>
        </w:rPr>
        <w:t>leav</w:t>
      </w:r>
      <w:r w:rsidR="00FA6FD8">
        <w:rPr>
          <w:rFonts w:ascii="Calibri" w:hAnsi="Calibri" w:cs="Calibri"/>
          <w:sz w:val="24"/>
          <w:szCs w:val="24"/>
        </w:rPr>
        <w:t>ing</w:t>
      </w:r>
      <w:r w:rsidR="00FA6FD8" w:rsidRPr="00C673F8">
        <w:rPr>
          <w:rFonts w:ascii="Calibri" w:hAnsi="Calibri" w:cs="Calibri"/>
          <w:sz w:val="24"/>
          <w:szCs w:val="24"/>
        </w:rPr>
        <w:t xml:space="preserve"> </w:t>
      </w:r>
      <w:r w:rsidRPr="00C673F8">
        <w:rPr>
          <w:rFonts w:ascii="Calibri" w:hAnsi="Calibri" w:cs="Calibri"/>
          <w:sz w:val="24"/>
          <w:szCs w:val="24"/>
        </w:rPr>
        <w:t>care.</w:t>
      </w:r>
    </w:p>
    <w:p w:rsidR="00C673F8" w:rsidRPr="00C673F8" w:rsidRDefault="00C673F8" w:rsidP="00C673F8">
      <w:pPr>
        <w:rPr>
          <w:rFonts w:ascii="Calibri" w:hAnsi="Calibri" w:cs="Calibri"/>
          <w:sz w:val="24"/>
          <w:szCs w:val="24"/>
        </w:rPr>
      </w:pPr>
    </w:p>
    <w:p w:rsidR="00C673F8" w:rsidRPr="00C673F8" w:rsidRDefault="00C673F8" w:rsidP="00C673F8">
      <w:pPr>
        <w:rPr>
          <w:rFonts w:ascii="Calibri" w:hAnsi="Calibri" w:cs="Calibri"/>
          <w:sz w:val="24"/>
          <w:szCs w:val="24"/>
        </w:rPr>
      </w:pPr>
      <w:r w:rsidRPr="00C673F8">
        <w:rPr>
          <w:rFonts w:ascii="Calibri" w:hAnsi="Calibri" w:cs="Calibri"/>
          <w:sz w:val="24"/>
          <w:szCs w:val="24"/>
        </w:rPr>
        <w:t xml:space="preserve">The Youth Housing Program assists young people to sustain a </w:t>
      </w:r>
      <w:r w:rsidR="0058792F" w:rsidRPr="00C673F8">
        <w:rPr>
          <w:rFonts w:ascii="Calibri" w:hAnsi="Calibri" w:cs="Calibri"/>
          <w:sz w:val="24"/>
          <w:szCs w:val="24"/>
        </w:rPr>
        <w:t>long</w:t>
      </w:r>
      <w:r w:rsidR="0058792F">
        <w:rPr>
          <w:rFonts w:ascii="Calibri" w:hAnsi="Calibri" w:cs="Calibri"/>
          <w:sz w:val="24"/>
          <w:szCs w:val="24"/>
        </w:rPr>
        <w:t>-</w:t>
      </w:r>
      <w:r w:rsidRPr="00C673F8">
        <w:rPr>
          <w:rFonts w:ascii="Calibri" w:hAnsi="Calibri" w:cs="Calibri"/>
          <w:sz w:val="24"/>
          <w:szCs w:val="24"/>
        </w:rPr>
        <w:t>term tenancy and to engage with education, employment and the community. The program specifically targets young people aged 16 to 25 who are transitioning from the Youth Community Justice System, Care and Protection or Homelessness Services.</w:t>
      </w:r>
    </w:p>
    <w:p w:rsidR="00C673F8" w:rsidRPr="00C673F8" w:rsidRDefault="00C673F8" w:rsidP="00C673F8">
      <w:pPr>
        <w:rPr>
          <w:rFonts w:ascii="Calibri" w:hAnsi="Calibri" w:cs="Calibri"/>
          <w:sz w:val="24"/>
          <w:szCs w:val="24"/>
        </w:rPr>
      </w:pPr>
    </w:p>
    <w:p w:rsidR="00C673F8" w:rsidRDefault="00C673F8" w:rsidP="00C673F8">
      <w:pPr>
        <w:rPr>
          <w:rFonts w:ascii="Calibri" w:hAnsi="Calibri" w:cs="Calibri"/>
          <w:sz w:val="24"/>
          <w:szCs w:val="24"/>
        </w:rPr>
      </w:pPr>
      <w:r w:rsidRPr="00C673F8">
        <w:rPr>
          <w:rFonts w:ascii="Calibri" w:hAnsi="Calibri" w:cs="Calibri"/>
          <w:sz w:val="24"/>
          <w:szCs w:val="24"/>
        </w:rPr>
        <w:t>The Youth Housing and Homelessness Services support young people ac</w:t>
      </w:r>
      <w:r w:rsidR="003B22A9">
        <w:rPr>
          <w:rFonts w:ascii="Calibri" w:hAnsi="Calibri" w:cs="Calibri"/>
          <w:sz w:val="24"/>
          <w:szCs w:val="24"/>
        </w:rPr>
        <w:t>ross early intervention, crisis</w:t>
      </w:r>
      <w:r w:rsidRPr="00C673F8">
        <w:rPr>
          <w:rFonts w:ascii="Calibri" w:hAnsi="Calibri" w:cs="Calibri"/>
          <w:sz w:val="24"/>
          <w:szCs w:val="24"/>
        </w:rPr>
        <w:t xml:space="preserve"> and stabilisation. The services engage young </w:t>
      </w:r>
      <w:r w:rsidR="00FA6FD8">
        <w:rPr>
          <w:rFonts w:ascii="Calibri" w:hAnsi="Calibri" w:cs="Calibri"/>
          <w:sz w:val="24"/>
          <w:szCs w:val="24"/>
        </w:rPr>
        <w:t>people</w:t>
      </w:r>
      <w:r w:rsidR="00FA6FD8" w:rsidRPr="00C673F8">
        <w:rPr>
          <w:rFonts w:ascii="Calibri" w:hAnsi="Calibri" w:cs="Calibri"/>
          <w:sz w:val="24"/>
          <w:szCs w:val="24"/>
        </w:rPr>
        <w:t xml:space="preserve"> </w:t>
      </w:r>
      <w:r w:rsidRPr="00C673F8">
        <w:rPr>
          <w:rFonts w:ascii="Calibri" w:hAnsi="Calibri" w:cs="Calibri"/>
          <w:sz w:val="24"/>
          <w:szCs w:val="24"/>
        </w:rPr>
        <w:t>at risk of homeless</w:t>
      </w:r>
      <w:r w:rsidR="003B22A9">
        <w:rPr>
          <w:rFonts w:ascii="Calibri" w:hAnsi="Calibri" w:cs="Calibri"/>
          <w:sz w:val="24"/>
          <w:szCs w:val="24"/>
        </w:rPr>
        <w:t>ness because of family conflict</w:t>
      </w:r>
      <w:r w:rsidRPr="00C673F8">
        <w:rPr>
          <w:rFonts w:ascii="Calibri" w:hAnsi="Calibri" w:cs="Calibri"/>
          <w:sz w:val="24"/>
          <w:szCs w:val="24"/>
        </w:rPr>
        <w:t xml:space="preserve"> and divert them from entering crisis accommodation. The young people are support</w:t>
      </w:r>
      <w:r w:rsidR="003B22A9">
        <w:rPr>
          <w:rFonts w:ascii="Calibri" w:hAnsi="Calibri" w:cs="Calibri"/>
          <w:sz w:val="24"/>
          <w:szCs w:val="24"/>
        </w:rPr>
        <w:t>ed to remain in the family home or</w:t>
      </w:r>
      <w:r w:rsidRPr="00C673F8">
        <w:rPr>
          <w:rFonts w:ascii="Calibri" w:hAnsi="Calibri" w:cs="Calibri"/>
          <w:sz w:val="24"/>
          <w:szCs w:val="24"/>
        </w:rPr>
        <w:t xml:space="preserve"> reside with natural supports as a sustainable alternative. </w:t>
      </w:r>
      <w:r w:rsidR="00C97557">
        <w:rPr>
          <w:rFonts w:ascii="Calibri" w:hAnsi="Calibri" w:cs="Calibri"/>
          <w:sz w:val="24"/>
          <w:szCs w:val="24"/>
        </w:rPr>
        <w:t>S</w:t>
      </w:r>
      <w:r w:rsidRPr="00C673F8">
        <w:rPr>
          <w:rFonts w:ascii="Calibri" w:hAnsi="Calibri" w:cs="Calibri"/>
          <w:sz w:val="24"/>
          <w:szCs w:val="24"/>
        </w:rPr>
        <w:t xml:space="preserve">ome young people who enter crisis accommodation are also supported to access </w:t>
      </w:r>
      <w:r w:rsidR="009F1F7E" w:rsidRPr="00C673F8">
        <w:rPr>
          <w:rFonts w:ascii="Calibri" w:hAnsi="Calibri" w:cs="Calibri"/>
          <w:sz w:val="24"/>
          <w:szCs w:val="24"/>
        </w:rPr>
        <w:t>longer</w:t>
      </w:r>
      <w:r w:rsidR="009F1F7E">
        <w:rPr>
          <w:rFonts w:ascii="Calibri" w:hAnsi="Calibri" w:cs="Calibri"/>
          <w:sz w:val="24"/>
          <w:szCs w:val="24"/>
        </w:rPr>
        <w:t>-</w:t>
      </w:r>
      <w:r w:rsidRPr="00C673F8">
        <w:rPr>
          <w:rFonts w:ascii="Calibri" w:hAnsi="Calibri" w:cs="Calibri"/>
          <w:sz w:val="24"/>
          <w:szCs w:val="24"/>
        </w:rPr>
        <w:t>term accommodation, including private rental, social housing or transitional accommodation. The services are:</w:t>
      </w:r>
    </w:p>
    <w:p w:rsidR="00C673F8" w:rsidRPr="00C673F8" w:rsidRDefault="00C673F8" w:rsidP="00B914F4">
      <w:pPr>
        <w:pStyle w:val="ListBullet"/>
      </w:pPr>
      <w:r w:rsidRPr="00C673F8">
        <w:t xml:space="preserve">Housing Support Service </w:t>
      </w:r>
    </w:p>
    <w:p w:rsidR="00C673F8" w:rsidRPr="00C673F8" w:rsidRDefault="00C673F8" w:rsidP="00B914F4">
      <w:pPr>
        <w:pStyle w:val="ListBullet"/>
      </w:pPr>
      <w:r w:rsidRPr="00C673F8">
        <w:t xml:space="preserve">Crisis Mediation Service </w:t>
      </w:r>
    </w:p>
    <w:p w:rsidR="00C673F8" w:rsidRPr="00C673F8" w:rsidRDefault="00C673F8" w:rsidP="00B914F4">
      <w:pPr>
        <w:pStyle w:val="ListBullet"/>
      </w:pPr>
      <w:r w:rsidRPr="00C673F8">
        <w:t>Emergency Accommodation Network</w:t>
      </w:r>
    </w:p>
    <w:p w:rsidR="00C673F8" w:rsidRPr="00C673F8" w:rsidRDefault="00C673F8" w:rsidP="00B914F4">
      <w:pPr>
        <w:pStyle w:val="ListBullet"/>
      </w:pPr>
      <w:r w:rsidRPr="00C673F8">
        <w:t>Friendly Landlord Service</w:t>
      </w:r>
    </w:p>
    <w:p w:rsidR="00C673F8" w:rsidRPr="00C673F8" w:rsidRDefault="00C673F8" w:rsidP="00B914F4">
      <w:pPr>
        <w:pStyle w:val="ListBullet"/>
      </w:pPr>
      <w:r w:rsidRPr="00C673F8">
        <w:t xml:space="preserve">Youth Identified Accommodation and Support Program </w:t>
      </w:r>
    </w:p>
    <w:p w:rsidR="00C673F8" w:rsidRPr="00C673F8" w:rsidRDefault="00C673F8" w:rsidP="00B914F4">
      <w:pPr>
        <w:pStyle w:val="ListBullet"/>
      </w:pPr>
      <w:r w:rsidRPr="00C673F8">
        <w:t>Mentoring, Life Skills and Social Enterprise Service</w:t>
      </w:r>
    </w:p>
    <w:p w:rsidR="00C673F8" w:rsidRDefault="00C673F8" w:rsidP="00B914F4">
      <w:pPr>
        <w:pStyle w:val="ListBullet"/>
      </w:pPr>
      <w:r w:rsidRPr="00C673F8">
        <w:t>Parent Accommodation Support Program.</w:t>
      </w:r>
    </w:p>
    <w:p w:rsidR="00C673F8" w:rsidRDefault="00C673F8" w:rsidP="00F7630E">
      <w:pPr>
        <w:rPr>
          <w:rFonts w:ascii="Calibri" w:hAnsi="Calibri" w:cs="Calibri"/>
          <w:sz w:val="24"/>
          <w:szCs w:val="24"/>
        </w:rPr>
      </w:pPr>
    </w:p>
    <w:p w:rsidR="00C673F8" w:rsidRDefault="00C673F8" w:rsidP="00F7630E">
      <w:pPr>
        <w:rPr>
          <w:rFonts w:ascii="Calibri" w:hAnsi="Calibri" w:cs="Calibri"/>
          <w:sz w:val="24"/>
          <w:szCs w:val="24"/>
        </w:rPr>
      </w:pPr>
      <w:r w:rsidRPr="00C673F8">
        <w:rPr>
          <w:rFonts w:ascii="Calibri" w:hAnsi="Calibri" w:cs="Calibri"/>
          <w:sz w:val="24"/>
          <w:szCs w:val="24"/>
        </w:rPr>
        <w:t>Housing ACT employs two youth housing managers and a team leader to engage with young people</w:t>
      </w:r>
      <w:r w:rsidR="003B22A9">
        <w:rPr>
          <w:rFonts w:ascii="Calibri" w:hAnsi="Calibri" w:cs="Calibri"/>
          <w:sz w:val="24"/>
          <w:szCs w:val="24"/>
        </w:rPr>
        <w:t xml:space="preserve"> at risk</w:t>
      </w:r>
      <w:r w:rsidRPr="00C673F8">
        <w:rPr>
          <w:rFonts w:ascii="Calibri" w:hAnsi="Calibri" w:cs="Calibri"/>
          <w:sz w:val="24"/>
          <w:szCs w:val="24"/>
        </w:rPr>
        <w:t>. The youth housing managers work with the young people from their i</w:t>
      </w:r>
      <w:r w:rsidR="003B22A9">
        <w:rPr>
          <w:rFonts w:ascii="Calibri" w:hAnsi="Calibri" w:cs="Calibri"/>
          <w:sz w:val="24"/>
          <w:szCs w:val="24"/>
        </w:rPr>
        <w:t>nitial contact with Housing ACT</w:t>
      </w:r>
      <w:r w:rsidRPr="00C673F8">
        <w:rPr>
          <w:rFonts w:ascii="Calibri" w:hAnsi="Calibri" w:cs="Calibri"/>
          <w:sz w:val="24"/>
          <w:szCs w:val="24"/>
        </w:rPr>
        <w:t xml:space="preserve"> through the application and allocation process and on to tenancy management.</w:t>
      </w:r>
    </w:p>
    <w:p w:rsidR="00C673F8" w:rsidRPr="00706368" w:rsidRDefault="00ED574A" w:rsidP="00F56F9B">
      <w:pPr>
        <w:pStyle w:val="Heading4"/>
      </w:pPr>
      <w:r>
        <w:t>Improving Support for Carers</w:t>
      </w:r>
    </w:p>
    <w:p w:rsidR="00C673F8" w:rsidRPr="00C673F8" w:rsidRDefault="00C673F8" w:rsidP="00C673F8">
      <w:pPr>
        <w:rPr>
          <w:rFonts w:ascii="Calibri" w:hAnsi="Calibri" w:cs="Calibri"/>
          <w:sz w:val="24"/>
          <w:szCs w:val="24"/>
        </w:rPr>
      </w:pPr>
      <w:r w:rsidRPr="00C673F8">
        <w:rPr>
          <w:rFonts w:ascii="Calibri" w:hAnsi="Calibri" w:cs="Calibri"/>
          <w:sz w:val="24"/>
          <w:szCs w:val="24"/>
        </w:rPr>
        <w:t>The ACT surveyed foster carers and kinship carers throughout July and August 2013. The findings from the surv</w:t>
      </w:r>
      <w:r w:rsidR="003B22A9">
        <w:rPr>
          <w:rFonts w:ascii="Calibri" w:hAnsi="Calibri" w:cs="Calibri"/>
          <w:sz w:val="24"/>
          <w:szCs w:val="24"/>
        </w:rPr>
        <w:t>ey will help to develop the Out-of-</w:t>
      </w:r>
      <w:r w:rsidRPr="00C673F8">
        <w:rPr>
          <w:rFonts w:ascii="Calibri" w:hAnsi="Calibri" w:cs="Calibri"/>
          <w:sz w:val="24"/>
          <w:szCs w:val="24"/>
        </w:rPr>
        <w:t xml:space="preserve">Home Care Five Year Strategy. The survey will </w:t>
      </w:r>
      <w:r w:rsidR="00450207">
        <w:rPr>
          <w:rFonts w:ascii="Calibri" w:hAnsi="Calibri" w:cs="Calibri"/>
          <w:sz w:val="24"/>
          <w:szCs w:val="24"/>
        </w:rPr>
        <w:t xml:space="preserve">also </w:t>
      </w:r>
      <w:r w:rsidRPr="00C673F8">
        <w:rPr>
          <w:rFonts w:ascii="Calibri" w:hAnsi="Calibri" w:cs="Calibri"/>
          <w:sz w:val="24"/>
          <w:szCs w:val="24"/>
        </w:rPr>
        <w:t xml:space="preserve">help </w:t>
      </w:r>
      <w:r w:rsidR="00DF6A9B">
        <w:rPr>
          <w:rFonts w:ascii="Calibri" w:hAnsi="Calibri" w:cs="Calibri"/>
          <w:sz w:val="24"/>
          <w:szCs w:val="24"/>
        </w:rPr>
        <w:t xml:space="preserve">the department </w:t>
      </w:r>
      <w:r w:rsidRPr="00C673F8">
        <w:rPr>
          <w:rFonts w:ascii="Calibri" w:hAnsi="Calibri" w:cs="Calibri"/>
          <w:sz w:val="24"/>
          <w:szCs w:val="24"/>
        </w:rPr>
        <w:t>to understand the current profile of carer</w:t>
      </w:r>
      <w:r w:rsidR="00450207">
        <w:rPr>
          <w:rFonts w:ascii="Calibri" w:hAnsi="Calibri" w:cs="Calibri"/>
          <w:sz w:val="24"/>
          <w:szCs w:val="24"/>
        </w:rPr>
        <w:t>s, including identifying who</w:t>
      </w:r>
      <w:r w:rsidRPr="00C673F8">
        <w:rPr>
          <w:rFonts w:ascii="Calibri" w:hAnsi="Calibri" w:cs="Calibri"/>
          <w:sz w:val="24"/>
          <w:szCs w:val="24"/>
        </w:rPr>
        <w:t xml:space="preserve"> our </w:t>
      </w:r>
      <w:proofErr w:type="spellStart"/>
      <w:r w:rsidRPr="00C673F8">
        <w:rPr>
          <w:rFonts w:ascii="Calibri" w:hAnsi="Calibri" w:cs="Calibri"/>
          <w:sz w:val="24"/>
          <w:szCs w:val="24"/>
        </w:rPr>
        <w:t>carers</w:t>
      </w:r>
      <w:proofErr w:type="spellEnd"/>
      <w:r w:rsidR="00450207">
        <w:rPr>
          <w:rFonts w:ascii="Calibri" w:hAnsi="Calibri" w:cs="Calibri"/>
          <w:sz w:val="24"/>
          <w:szCs w:val="24"/>
        </w:rPr>
        <w:t xml:space="preserve"> </w:t>
      </w:r>
      <w:proofErr w:type="gramStart"/>
      <w:r w:rsidR="00450207">
        <w:rPr>
          <w:rFonts w:ascii="Calibri" w:hAnsi="Calibri" w:cs="Calibri"/>
          <w:sz w:val="24"/>
          <w:szCs w:val="24"/>
        </w:rPr>
        <w:t>are,</w:t>
      </w:r>
      <w:proofErr w:type="gramEnd"/>
      <w:r w:rsidR="00450207">
        <w:rPr>
          <w:rFonts w:ascii="Calibri" w:hAnsi="Calibri" w:cs="Calibri"/>
          <w:sz w:val="24"/>
          <w:szCs w:val="24"/>
        </w:rPr>
        <w:t xml:space="preserve"> what supports they need and whether </w:t>
      </w:r>
      <w:r w:rsidRPr="00C673F8">
        <w:rPr>
          <w:rFonts w:ascii="Calibri" w:hAnsi="Calibri" w:cs="Calibri"/>
          <w:sz w:val="24"/>
          <w:szCs w:val="24"/>
        </w:rPr>
        <w:t xml:space="preserve">they </w:t>
      </w:r>
      <w:r w:rsidR="00450207">
        <w:rPr>
          <w:rFonts w:ascii="Calibri" w:hAnsi="Calibri" w:cs="Calibri"/>
          <w:sz w:val="24"/>
          <w:szCs w:val="24"/>
        </w:rPr>
        <w:t xml:space="preserve">are </w:t>
      </w:r>
      <w:r w:rsidRPr="00C673F8">
        <w:rPr>
          <w:rFonts w:ascii="Calibri" w:hAnsi="Calibri" w:cs="Calibri"/>
          <w:sz w:val="24"/>
          <w:szCs w:val="24"/>
        </w:rPr>
        <w:t xml:space="preserve">receiving enough </w:t>
      </w:r>
      <w:r w:rsidR="00450207">
        <w:rPr>
          <w:rFonts w:ascii="Calibri" w:hAnsi="Calibri" w:cs="Calibri"/>
          <w:sz w:val="24"/>
          <w:szCs w:val="24"/>
        </w:rPr>
        <w:t>or the right training</w:t>
      </w:r>
      <w:r w:rsidRPr="00C673F8">
        <w:rPr>
          <w:rFonts w:ascii="Calibri" w:hAnsi="Calibri" w:cs="Calibri"/>
          <w:sz w:val="24"/>
          <w:szCs w:val="24"/>
        </w:rPr>
        <w:t xml:space="preserve">. </w:t>
      </w:r>
    </w:p>
    <w:p w:rsidR="00C673F8" w:rsidRPr="00C673F8" w:rsidRDefault="00C673F8" w:rsidP="00C673F8">
      <w:pPr>
        <w:rPr>
          <w:rFonts w:ascii="Calibri" w:hAnsi="Calibri" w:cs="Calibri"/>
          <w:sz w:val="24"/>
          <w:szCs w:val="24"/>
        </w:rPr>
      </w:pPr>
    </w:p>
    <w:p w:rsidR="00C673F8" w:rsidRDefault="00C673F8" w:rsidP="00C673F8">
      <w:pPr>
        <w:rPr>
          <w:rFonts w:ascii="Calibri" w:hAnsi="Calibri" w:cs="Calibri"/>
          <w:sz w:val="24"/>
          <w:szCs w:val="24"/>
        </w:rPr>
      </w:pPr>
      <w:r w:rsidRPr="00C673F8">
        <w:rPr>
          <w:rFonts w:ascii="Calibri" w:hAnsi="Calibri" w:cs="Calibri"/>
          <w:sz w:val="24"/>
          <w:szCs w:val="24"/>
        </w:rPr>
        <w:t xml:space="preserve">The ACT has commenced work to develop a national carer survey by contacting other jurisdictions to determine </w:t>
      </w:r>
      <w:r w:rsidR="00C97557">
        <w:rPr>
          <w:rFonts w:ascii="Calibri" w:hAnsi="Calibri" w:cs="Calibri"/>
          <w:sz w:val="24"/>
          <w:szCs w:val="24"/>
        </w:rPr>
        <w:t>whether</w:t>
      </w:r>
      <w:r w:rsidRPr="00C673F8">
        <w:rPr>
          <w:rFonts w:ascii="Calibri" w:hAnsi="Calibri" w:cs="Calibri"/>
          <w:sz w:val="24"/>
          <w:szCs w:val="24"/>
        </w:rPr>
        <w:t xml:space="preserve"> they currently issue a survey to foster carers. This information is being compiled to inform the development of the national carer survey.</w:t>
      </w:r>
    </w:p>
    <w:p w:rsidR="00C673F8" w:rsidRDefault="00C673F8" w:rsidP="00F7630E">
      <w:pPr>
        <w:rPr>
          <w:rFonts w:ascii="Calibri" w:hAnsi="Calibri" w:cs="Calibri"/>
          <w:sz w:val="24"/>
          <w:szCs w:val="24"/>
        </w:rPr>
      </w:pPr>
    </w:p>
    <w:p w:rsidR="00C673F8" w:rsidRDefault="00C673F8" w:rsidP="00F7630E">
      <w:pPr>
        <w:rPr>
          <w:rFonts w:ascii="Calibri" w:hAnsi="Calibri" w:cs="Calibri"/>
          <w:sz w:val="24"/>
          <w:szCs w:val="24"/>
        </w:rPr>
      </w:pPr>
      <w:r w:rsidRPr="00C673F8">
        <w:rPr>
          <w:rFonts w:ascii="Calibri" w:hAnsi="Calibri" w:cs="Calibri"/>
          <w:sz w:val="24"/>
          <w:szCs w:val="24"/>
        </w:rPr>
        <w:t xml:space="preserve">The ACT has established the Kinship Care Support Team to provide support to kinship carers to achieve outcomes in the best interests of children and young people. The team also works with the </w:t>
      </w:r>
      <w:r w:rsidR="006605C3">
        <w:rPr>
          <w:rFonts w:ascii="Calibri" w:hAnsi="Calibri" w:cs="Calibri"/>
          <w:sz w:val="24"/>
          <w:szCs w:val="24"/>
        </w:rPr>
        <w:t>Australian</w:t>
      </w:r>
      <w:r w:rsidR="006605C3" w:rsidRPr="00C673F8">
        <w:rPr>
          <w:rFonts w:ascii="Calibri" w:hAnsi="Calibri" w:cs="Calibri"/>
          <w:sz w:val="24"/>
          <w:szCs w:val="24"/>
        </w:rPr>
        <w:t xml:space="preserve"> </w:t>
      </w:r>
      <w:r w:rsidRPr="00C673F8">
        <w:rPr>
          <w:rFonts w:ascii="Calibri" w:hAnsi="Calibri" w:cs="Calibri"/>
          <w:sz w:val="24"/>
          <w:szCs w:val="24"/>
        </w:rPr>
        <w:t>Childhood Foundation to assess and train carers and to provide a therapeutic program for children or carers within their home environment.</w:t>
      </w:r>
      <w:r w:rsidR="00951EFC" w:rsidRPr="00951EFC">
        <w:t xml:space="preserve"> </w:t>
      </w:r>
      <w:r w:rsidR="00951EFC" w:rsidRPr="00951EFC">
        <w:rPr>
          <w:rFonts w:ascii="Calibri" w:hAnsi="Calibri" w:cs="Calibri"/>
          <w:sz w:val="24"/>
          <w:szCs w:val="24"/>
        </w:rPr>
        <w:t xml:space="preserve">The ACT has also engaged the Australian Childhood Foundation to provide therapeutic support for kinship carers. The program is called </w:t>
      </w:r>
      <w:r w:rsidR="00801FCA">
        <w:rPr>
          <w:rFonts w:ascii="Calibri" w:hAnsi="Calibri" w:cs="Calibri"/>
          <w:sz w:val="24"/>
          <w:szCs w:val="24"/>
        </w:rPr>
        <w:t>‘</w:t>
      </w:r>
      <w:r w:rsidR="00951EFC" w:rsidRPr="00951EFC">
        <w:rPr>
          <w:rFonts w:ascii="Calibri" w:hAnsi="Calibri" w:cs="Calibri"/>
          <w:sz w:val="24"/>
          <w:szCs w:val="24"/>
        </w:rPr>
        <w:t>Side By Side</w:t>
      </w:r>
      <w:r w:rsidR="00801FCA">
        <w:rPr>
          <w:rFonts w:ascii="Calibri" w:hAnsi="Calibri" w:cs="Calibri"/>
          <w:sz w:val="24"/>
          <w:szCs w:val="24"/>
        </w:rPr>
        <w:t>’</w:t>
      </w:r>
      <w:r w:rsidR="00951EFC" w:rsidRPr="00951EFC">
        <w:rPr>
          <w:rFonts w:ascii="Calibri" w:hAnsi="Calibri" w:cs="Calibri"/>
          <w:sz w:val="24"/>
          <w:szCs w:val="24"/>
        </w:rPr>
        <w:t>.</w:t>
      </w:r>
    </w:p>
    <w:p w:rsidR="00BD5D4E" w:rsidRPr="00821556" w:rsidRDefault="00BD5D4E" w:rsidP="00792804">
      <w:pPr>
        <w:pStyle w:val="Heading3"/>
      </w:pPr>
      <w:bookmarkStart w:id="163" w:name="_Toc400007749"/>
      <w:r w:rsidRPr="00821556">
        <w:t>New South Wales</w:t>
      </w:r>
      <w:bookmarkEnd w:id="163"/>
    </w:p>
    <w:p w:rsidR="00C30319" w:rsidRPr="00F56F9B" w:rsidRDefault="00FB0CED" w:rsidP="00F56F9B">
      <w:pPr>
        <w:pStyle w:val="Heading4"/>
        <w:rPr>
          <w:lang w:val="en-AU"/>
        </w:rPr>
      </w:pPr>
      <w:r w:rsidRPr="00706368">
        <w:t>National</w:t>
      </w:r>
      <w:r w:rsidR="00F56F9B">
        <w:t xml:space="preserve"> Standards for Out-of-Home Care</w:t>
      </w:r>
    </w:p>
    <w:p w:rsidR="00A46B04" w:rsidRPr="00DC1B19" w:rsidRDefault="00450207" w:rsidP="00A46B04">
      <w:pPr>
        <w:rPr>
          <w:rStyle w:val="StyleBodyCalibri12pt"/>
        </w:rPr>
      </w:pPr>
      <w:r w:rsidRPr="00DC1B19">
        <w:rPr>
          <w:rStyle w:val="StyleBodyCalibri12pt"/>
        </w:rPr>
        <w:t xml:space="preserve">NSW is undertaking </w:t>
      </w:r>
      <w:r w:rsidR="00A46B04" w:rsidRPr="00DC1B19">
        <w:rPr>
          <w:rStyle w:val="StyleBodyCalibri12pt"/>
        </w:rPr>
        <w:t>a large-scale representative longitudinal study</w:t>
      </w:r>
      <w:r w:rsidR="008823AE" w:rsidRPr="00DC1B19">
        <w:rPr>
          <w:rStyle w:val="StyleBodyCalibri12pt"/>
        </w:rPr>
        <w:t>—</w:t>
      </w:r>
      <w:r w:rsidRPr="00DC1B19">
        <w:rPr>
          <w:rStyle w:val="StyleBodyCalibri12pt"/>
        </w:rPr>
        <w:t>Pathways of Care</w:t>
      </w:r>
      <w:r w:rsidR="008823AE" w:rsidRPr="00DC1B19">
        <w:rPr>
          <w:rStyle w:val="StyleBodyCalibri12pt"/>
        </w:rPr>
        <w:t>—</w:t>
      </w:r>
      <w:r w:rsidR="00A46B04" w:rsidRPr="00DC1B19">
        <w:rPr>
          <w:rStyle w:val="StyleBodyCalibri12pt"/>
        </w:rPr>
        <w:t xml:space="preserve">that will follow children and young people aged 0 to 17 years entering </w:t>
      </w:r>
      <w:r w:rsidRPr="00DC1B19">
        <w:rPr>
          <w:rStyle w:val="StyleBodyCalibri12pt"/>
        </w:rPr>
        <w:t>out-of-home care</w:t>
      </w:r>
      <w:r w:rsidR="00A46B04" w:rsidRPr="00DC1B19">
        <w:rPr>
          <w:rStyle w:val="StyleBodyCalibri12pt"/>
        </w:rPr>
        <w:t xml:space="preserve"> on Children’s Court orders for the first time. The aim of the study is to provide a robust evidence base to inform the </w:t>
      </w:r>
      <w:r w:rsidRPr="00DC1B19">
        <w:rPr>
          <w:rStyle w:val="StyleBodyCalibri12pt"/>
        </w:rPr>
        <w:t>out-of-home care</w:t>
      </w:r>
      <w:r w:rsidR="00A46B04" w:rsidRPr="00DC1B19">
        <w:rPr>
          <w:rStyle w:val="StyleBodyCalibri12pt"/>
        </w:rPr>
        <w:t xml:space="preserve"> service system to improve the outcomes for children and young people in </w:t>
      </w:r>
      <w:r w:rsidRPr="00DC1B19">
        <w:rPr>
          <w:rStyle w:val="StyleBodyCalibri12pt"/>
        </w:rPr>
        <w:t>out-of-home care</w:t>
      </w:r>
      <w:r w:rsidR="00A46B04" w:rsidRPr="00DC1B19">
        <w:rPr>
          <w:rStyle w:val="StyleBodyCalibri12pt"/>
        </w:rPr>
        <w:t xml:space="preserve">. The study will collect detailed information about the characteristics and circumstances of children and young people on entry to care, the experiences of children and young people in </w:t>
      </w:r>
      <w:r w:rsidRPr="00DC1B19">
        <w:rPr>
          <w:rStyle w:val="StyleBodyCalibri12pt"/>
        </w:rPr>
        <w:t>out-of-home care</w:t>
      </w:r>
      <w:r w:rsidR="00A46B04" w:rsidRPr="00DC1B19">
        <w:rPr>
          <w:rStyle w:val="StyleBodyCalibri12pt"/>
        </w:rPr>
        <w:t xml:space="preserve"> and their life course development (socio-emotional wellbeing, cognitive/learning and physical health)</w:t>
      </w:r>
      <w:r w:rsidRPr="00DC1B19">
        <w:rPr>
          <w:rStyle w:val="StyleBodyCalibri12pt"/>
        </w:rPr>
        <w:t>,</w:t>
      </w:r>
      <w:r w:rsidR="00A46B04" w:rsidRPr="00DC1B19">
        <w:rPr>
          <w:rStyle w:val="StyleBodyCalibri12pt"/>
        </w:rPr>
        <w:t xml:space="preserve"> to distil the factors that influence their outcomes. </w:t>
      </w:r>
    </w:p>
    <w:p w:rsidR="00A46B04" w:rsidRPr="00DC1B19" w:rsidRDefault="00A46B04" w:rsidP="00A46B04">
      <w:pPr>
        <w:rPr>
          <w:rStyle w:val="StyleBodyCalibri12pt"/>
        </w:rPr>
      </w:pPr>
    </w:p>
    <w:p w:rsidR="001D7308" w:rsidRPr="00DC1B19" w:rsidRDefault="001D7308" w:rsidP="001D7308">
      <w:pPr>
        <w:rPr>
          <w:rStyle w:val="StyleBodyCalibri12pt"/>
        </w:rPr>
      </w:pPr>
      <w:r w:rsidRPr="00DC1B19">
        <w:rPr>
          <w:rStyle w:val="StyleBodyCalibri12pt"/>
        </w:rPr>
        <w:t xml:space="preserve">FACS is implementing Practice First in CS. Practice First is a model for child protection service delivery developed within, and for, NSW. Practice </w:t>
      </w:r>
      <w:proofErr w:type="gramStart"/>
      <w:r w:rsidRPr="00DC1B19">
        <w:rPr>
          <w:rStyle w:val="StyleBodyCalibri12pt"/>
        </w:rPr>
        <w:t>First</w:t>
      </w:r>
      <w:proofErr w:type="gramEnd"/>
      <w:r w:rsidRPr="00DC1B19">
        <w:rPr>
          <w:rStyle w:val="StyleBodyCalibri12pt"/>
        </w:rPr>
        <w:t xml:space="preserve"> is a model in three parts</w:t>
      </w:r>
      <w:r w:rsidR="00961C28" w:rsidRPr="00DC1B19">
        <w:rPr>
          <w:rStyle w:val="StyleBodyCalibri12pt"/>
        </w:rPr>
        <w:t>:</w:t>
      </w:r>
      <w:r w:rsidRPr="00DC1B19">
        <w:rPr>
          <w:rStyle w:val="StyleBodyCalibri12pt"/>
        </w:rPr>
        <w:t xml:space="preserve"> principles to unite, inspire and guide the work; structures to support decision making; and systems for intervention. Practice </w:t>
      </w:r>
      <w:proofErr w:type="gramStart"/>
      <w:r w:rsidRPr="00DC1B19">
        <w:rPr>
          <w:rStyle w:val="StyleBodyCalibri12pt"/>
        </w:rPr>
        <w:t>First</w:t>
      </w:r>
      <w:proofErr w:type="gramEnd"/>
      <w:r w:rsidRPr="00DC1B19">
        <w:rPr>
          <w:rStyle w:val="StyleBodyCalibri12pt"/>
        </w:rPr>
        <w:t xml:space="preserve"> emphasises the importance of relationship</w:t>
      </w:r>
      <w:r w:rsidR="00961C28" w:rsidRPr="00DC1B19">
        <w:rPr>
          <w:rStyle w:val="StyleBodyCalibri12pt"/>
        </w:rPr>
        <w:t>-</w:t>
      </w:r>
      <w:r w:rsidRPr="00DC1B19">
        <w:rPr>
          <w:rStyle w:val="StyleBodyCalibri12pt"/>
        </w:rPr>
        <w:t>based practice, a strong appreciation of context and a culture that shares decision making and supports family work.</w:t>
      </w:r>
      <w:r w:rsidR="00A973E8" w:rsidRPr="00DC1B19">
        <w:rPr>
          <w:rStyle w:val="StyleBodyCalibri12pt"/>
        </w:rPr>
        <w:t xml:space="preserve"> </w:t>
      </w:r>
      <w:r w:rsidRPr="00DC1B19">
        <w:rPr>
          <w:rStyle w:val="StyleBodyCalibri12pt"/>
        </w:rPr>
        <w:t xml:space="preserve">The model has been trialled at Bathurst and Mudgee Community Services Centres since March 2012 and at an additional 15 sites since December 2012. A further </w:t>
      </w:r>
      <w:r w:rsidR="00961C28" w:rsidRPr="00DC1B19">
        <w:rPr>
          <w:rStyle w:val="StyleBodyCalibri12pt"/>
        </w:rPr>
        <w:t>seven</w:t>
      </w:r>
      <w:r w:rsidRPr="00DC1B19">
        <w:rPr>
          <w:rStyle w:val="StyleBodyCalibri12pt"/>
        </w:rPr>
        <w:t xml:space="preserve"> sites commenced </w:t>
      </w:r>
      <w:r w:rsidR="00961C28" w:rsidRPr="00DC1B19">
        <w:rPr>
          <w:rStyle w:val="StyleBodyCalibri12pt"/>
        </w:rPr>
        <w:t xml:space="preserve">in </w:t>
      </w:r>
      <w:r w:rsidRPr="00DC1B19">
        <w:rPr>
          <w:rStyle w:val="StyleBodyCalibri12pt"/>
        </w:rPr>
        <w:t>November 2013. Professor Eileen Munro from the London School of Economics has recently completed a review of Practice First</w:t>
      </w:r>
      <w:r w:rsidR="00961C28" w:rsidRPr="00DC1B19">
        <w:rPr>
          <w:rStyle w:val="StyleBodyCalibri12pt"/>
        </w:rPr>
        <w:t>,</w:t>
      </w:r>
      <w:r w:rsidRPr="00DC1B19">
        <w:rPr>
          <w:rStyle w:val="StyleBodyCalibri12pt"/>
        </w:rPr>
        <w:t xml:space="preserve"> including its implementation</w:t>
      </w:r>
      <w:r w:rsidR="00961C28" w:rsidRPr="00DC1B19">
        <w:rPr>
          <w:rStyle w:val="StyleBodyCalibri12pt"/>
        </w:rPr>
        <w:t xml:space="preserve"> and</w:t>
      </w:r>
      <w:r w:rsidRPr="00DC1B19">
        <w:rPr>
          <w:rStyle w:val="StyleBodyCalibri12pt"/>
        </w:rPr>
        <w:t xml:space="preserve"> the initial impact it has had on the reasoning processes and behaviour of workers</w:t>
      </w:r>
      <w:r w:rsidR="00961C28" w:rsidRPr="00DC1B19">
        <w:rPr>
          <w:rStyle w:val="StyleBodyCalibri12pt"/>
        </w:rPr>
        <w:t>, s</w:t>
      </w:r>
      <w:r w:rsidRPr="00DC1B19">
        <w:rPr>
          <w:rStyle w:val="StyleBodyCalibri12pt"/>
        </w:rPr>
        <w:t>ervice outputs and family outcomes to date.</w:t>
      </w:r>
      <w:r w:rsidR="00A973E8" w:rsidRPr="00DC1B19">
        <w:rPr>
          <w:rStyle w:val="StyleBodyCalibri12pt"/>
        </w:rPr>
        <w:t xml:space="preserve"> </w:t>
      </w:r>
    </w:p>
    <w:p w:rsidR="001D7308" w:rsidRPr="00DC1B19" w:rsidRDefault="001D7308" w:rsidP="001D7308">
      <w:pPr>
        <w:rPr>
          <w:rStyle w:val="StyleBodyCalibri12pt"/>
        </w:rPr>
      </w:pPr>
    </w:p>
    <w:p w:rsidR="00A46B04" w:rsidRPr="00DC1B19" w:rsidRDefault="001D7308" w:rsidP="001D7308">
      <w:pPr>
        <w:rPr>
          <w:rStyle w:val="StyleBodyCalibri12pt"/>
        </w:rPr>
      </w:pPr>
      <w:r w:rsidRPr="00DC1B19">
        <w:rPr>
          <w:rStyle w:val="StyleBodyCalibri12pt"/>
        </w:rPr>
        <w:t>A report has now been received from Professor Munro which has provided FACS with key insights about aspects of the model and its implementation that are essential to any early success and those that are critical to provide ongoing support to sites.</w:t>
      </w:r>
      <w:r w:rsidR="00A973E8" w:rsidRPr="00DC1B19">
        <w:rPr>
          <w:rStyle w:val="StyleBodyCalibri12pt"/>
        </w:rPr>
        <w:t xml:space="preserve"> </w:t>
      </w:r>
    </w:p>
    <w:p w:rsidR="00A46B04" w:rsidRPr="00DC1B19" w:rsidRDefault="00A46B04" w:rsidP="00A46B04">
      <w:pPr>
        <w:rPr>
          <w:rStyle w:val="StyleBodyCalibri12pt"/>
        </w:rPr>
      </w:pPr>
    </w:p>
    <w:p w:rsidR="00A46B04" w:rsidRPr="00DC1B19" w:rsidRDefault="00A46B04" w:rsidP="00A46B04">
      <w:pPr>
        <w:rPr>
          <w:rStyle w:val="StyleBodyCalibri12pt"/>
        </w:rPr>
      </w:pPr>
      <w:r w:rsidRPr="00DC1B19">
        <w:rPr>
          <w:rStyle w:val="StyleBodyCalibri12pt"/>
        </w:rPr>
        <w:t xml:space="preserve">NSW Health and </w:t>
      </w:r>
      <w:proofErr w:type="gramStart"/>
      <w:r w:rsidRPr="00DC1B19">
        <w:rPr>
          <w:rStyle w:val="StyleBodyCalibri12pt"/>
        </w:rPr>
        <w:t>F</w:t>
      </w:r>
      <w:r w:rsidR="001B415B" w:rsidRPr="00DC1B19">
        <w:rPr>
          <w:rStyle w:val="StyleBodyCalibri12pt"/>
        </w:rPr>
        <w:t>A</w:t>
      </w:r>
      <w:r w:rsidRPr="00DC1B19">
        <w:rPr>
          <w:rStyle w:val="StyleBodyCalibri12pt"/>
        </w:rPr>
        <w:t>CS</w:t>
      </w:r>
      <w:r w:rsidR="009E62BB" w:rsidRPr="00DC1B19">
        <w:rPr>
          <w:rStyle w:val="StyleBodyCalibri12pt"/>
        </w:rPr>
        <w:t>(</w:t>
      </w:r>
      <w:proofErr w:type="gramEnd"/>
      <w:r w:rsidRPr="00DC1B19">
        <w:rPr>
          <w:rStyle w:val="StyleBodyCalibri12pt"/>
        </w:rPr>
        <w:t>CS) continue to ensure that children and youn</w:t>
      </w:r>
      <w:r w:rsidR="00450207" w:rsidRPr="00DC1B19">
        <w:rPr>
          <w:rStyle w:val="StyleBodyCalibri12pt"/>
        </w:rPr>
        <w:t>g people entering statutory out-of-</w:t>
      </w:r>
      <w:r w:rsidRPr="00DC1B19">
        <w:rPr>
          <w:rStyle w:val="StyleBodyCalibri12pt"/>
        </w:rPr>
        <w:t>home care receive the health screening, assessments and services they require</w:t>
      </w:r>
      <w:r w:rsidR="00314C9F" w:rsidRPr="00DC1B19">
        <w:rPr>
          <w:rStyle w:val="StyleBodyCalibri12pt"/>
        </w:rPr>
        <w:t>,</w:t>
      </w:r>
      <w:r w:rsidR="00C25CA9" w:rsidRPr="00DC1B19">
        <w:rPr>
          <w:rStyle w:val="StyleBodyCalibri12pt"/>
        </w:rPr>
        <w:t xml:space="preserve"> </w:t>
      </w:r>
      <w:r w:rsidR="00314C9F" w:rsidRPr="00DC1B19">
        <w:rPr>
          <w:rStyle w:val="StyleBodyCalibri12pt"/>
        </w:rPr>
        <w:t xml:space="preserve">as is </w:t>
      </w:r>
      <w:r w:rsidR="00C25CA9" w:rsidRPr="00DC1B19">
        <w:rPr>
          <w:rStyle w:val="StyleBodyCalibri12pt"/>
        </w:rPr>
        <w:t>consistent with the National Standards</w:t>
      </w:r>
      <w:r w:rsidRPr="00DC1B19">
        <w:rPr>
          <w:rStyle w:val="StyleBodyCalibri12pt"/>
        </w:rPr>
        <w:t xml:space="preserve">. </w:t>
      </w:r>
    </w:p>
    <w:p w:rsidR="00A46B04" w:rsidRPr="00DC1B19" w:rsidRDefault="00A46B04" w:rsidP="00A46B04">
      <w:pPr>
        <w:rPr>
          <w:rStyle w:val="StyleBodyCalibri12pt"/>
        </w:rPr>
      </w:pPr>
    </w:p>
    <w:p w:rsidR="00A46B04" w:rsidRPr="00DC1B19" w:rsidRDefault="00A46B04" w:rsidP="00A46B04">
      <w:pPr>
        <w:rPr>
          <w:rStyle w:val="StyleBodyCalibri12pt"/>
        </w:rPr>
      </w:pPr>
      <w:r w:rsidRPr="00DC1B19">
        <w:rPr>
          <w:rStyle w:val="StyleBodyCalibri12pt"/>
        </w:rPr>
        <w:t xml:space="preserve">NSW Health has procured the Nous Group to undertake a formative evaluation of the NSW health assessment, intervention and review process for children and young people in </w:t>
      </w:r>
      <w:r w:rsidR="00450207" w:rsidRPr="00DC1B19">
        <w:rPr>
          <w:rStyle w:val="StyleBodyCalibri12pt"/>
        </w:rPr>
        <w:t>out-of-home care</w:t>
      </w:r>
      <w:r w:rsidRPr="00DC1B19">
        <w:rPr>
          <w:rStyle w:val="StyleBodyCalibri12pt"/>
        </w:rPr>
        <w:t>. The evaluation report is scheduled to be completed by October 2013.</w:t>
      </w:r>
      <w:r w:rsidR="007764A2" w:rsidRPr="00DC1B19">
        <w:rPr>
          <w:rStyle w:val="StyleBodyCalibri12pt"/>
        </w:rPr>
        <w:t xml:space="preserve"> </w:t>
      </w:r>
    </w:p>
    <w:p w:rsidR="00A46B04" w:rsidRPr="00DC1B19" w:rsidRDefault="00A46B04" w:rsidP="00A46B04">
      <w:pPr>
        <w:rPr>
          <w:rStyle w:val="StyleBodyCalibri12pt"/>
        </w:rPr>
      </w:pPr>
    </w:p>
    <w:p w:rsidR="00A46B04" w:rsidRPr="00DC1B19" w:rsidRDefault="00A46B04" w:rsidP="00A46B04">
      <w:pPr>
        <w:rPr>
          <w:rStyle w:val="StyleBodyCalibri12pt"/>
        </w:rPr>
      </w:pPr>
      <w:r w:rsidRPr="00DC1B19">
        <w:rPr>
          <w:rStyle w:val="StyleBodyCalibri12pt"/>
        </w:rPr>
        <w:t>Children an</w:t>
      </w:r>
      <w:r w:rsidR="00450207" w:rsidRPr="00DC1B19">
        <w:rPr>
          <w:rStyle w:val="StyleBodyCalibri12pt"/>
        </w:rPr>
        <w:t>d young people in statutory out-of-</w:t>
      </w:r>
      <w:r w:rsidRPr="00DC1B19">
        <w:rPr>
          <w:rStyle w:val="StyleBodyCalibri12pt"/>
        </w:rPr>
        <w:t xml:space="preserve">home care who attend a government, Catholic or independent school </w:t>
      </w:r>
      <w:r w:rsidR="001D7308" w:rsidRPr="00DC1B19">
        <w:rPr>
          <w:rStyle w:val="StyleBodyCalibri12pt"/>
        </w:rPr>
        <w:t xml:space="preserve">will have </w:t>
      </w:r>
      <w:r w:rsidRPr="00DC1B19">
        <w:rPr>
          <w:rStyle w:val="StyleBodyCalibri12pt"/>
        </w:rPr>
        <w:t xml:space="preserve">an individual education plan </w:t>
      </w:r>
      <w:r w:rsidR="001D7308" w:rsidRPr="00DC1B19">
        <w:rPr>
          <w:rStyle w:val="StyleBodyCalibri12pt"/>
        </w:rPr>
        <w:t xml:space="preserve">developed </w:t>
      </w:r>
      <w:r w:rsidRPr="00DC1B19">
        <w:rPr>
          <w:rStyle w:val="StyleBodyCalibri12pt"/>
        </w:rPr>
        <w:t xml:space="preserve">within 30 school days of the school being notified that the child or young person is in statutory </w:t>
      </w:r>
      <w:r w:rsidR="00A24361" w:rsidRPr="00DC1B19">
        <w:rPr>
          <w:rStyle w:val="StyleBodyCalibri12pt"/>
        </w:rPr>
        <w:t>out-of-</w:t>
      </w:r>
      <w:r w:rsidRPr="00DC1B19">
        <w:rPr>
          <w:rStyle w:val="StyleBodyCalibri12pt"/>
        </w:rPr>
        <w:t xml:space="preserve">home care. Their education plan is reviewed annually. </w:t>
      </w:r>
    </w:p>
    <w:p w:rsidR="00A46B04" w:rsidRPr="00DC1B19" w:rsidRDefault="00A46B04" w:rsidP="00A46B04">
      <w:pPr>
        <w:rPr>
          <w:rStyle w:val="StyleBodyCalibri12pt"/>
        </w:rPr>
      </w:pPr>
    </w:p>
    <w:p w:rsidR="00A46B04" w:rsidRPr="00DC1B19" w:rsidRDefault="00961C28" w:rsidP="00A46B04">
      <w:pPr>
        <w:rPr>
          <w:rStyle w:val="StyleBodyCalibri12pt"/>
        </w:rPr>
      </w:pPr>
      <w:r w:rsidRPr="00DC1B19">
        <w:rPr>
          <w:rStyle w:val="StyleBodyCalibri12pt"/>
        </w:rPr>
        <w:t>Out-of-</w:t>
      </w:r>
      <w:r w:rsidR="00A46B04" w:rsidRPr="00DC1B19">
        <w:rPr>
          <w:rStyle w:val="StyleBodyCalibri12pt"/>
        </w:rPr>
        <w:t xml:space="preserve">home care coordinators from the Department of Education and Communities work with other education staff to build the capacity of teachers and schools in supporting children and young people in </w:t>
      </w:r>
      <w:r w:rsidR="00641DC7" w:rsidRPr="00DC1B19">
        <w:rPr>
          <w:rStyle w:val="StyleBodyCalibri12pt"/>
        </w:rPr>
        <w:t>out-of-home</w:t>
      </w:r>
      <w:r w:rsidR="00A46B04" w:rsidRPr="00DC1B19">
        <w:rPr>
          <w:rStyle w:val="StyleBodyCalibri12pt"/>
        </w:rPr>
        <w:t xml:space="preserve"> care to enhance their educational outcomes. </w:t>
      </w:r>
    </w:p>
    <w:p w:rsidR="00A46B04" w:rsidRPr="00DC1B19" w:rsidRDefault="00A46B04" w:rsidP="00A46B04">
      <w:pPr>
        <w:rPr>
          <w:rStyle w:val="StyleBodyCalibri12pt"/>
        </w:rPr>
      </w:pPr>
    </w:p>
    <w:p w:rsidR="00A46B04" w:rsidRPr="00DC1B19" w:rsidRDefault="00A46B04" w:rsidP="00A46B04">
      <w:pPr>
        <w:rPr>
          <w:rStyle w:val="StyleBodyCalibri12pt"/>
        </w:rPr>
      </w:pPr>
      <w:r w:rsidRPr="00DC1B19">
        <w:rPr>
          <w:rStyle w:val="StyleBodyCalibri12pt"/>
        </w:rPr>
        <w:t>The NSW Government is investing $24.5</w:t>
      </w:r>
      <w:r w:rsidR="000E4D64" w:rsidRPr="00DC1B19">
        <w:rPr>
          <w:rStyle w:val="StyleBodyCalibri12pt"/>
        </w:rPr>
        <w:t xml:space="preserve"> </w:t>
      </w:r>
      <w:r w:rsidRPr="00DC1B19">
        <w:rPr>
          <w:rStyle w:val="StyleBodyCalibri12pt"/>
        </w:rPr>
        <w:t>m</w:t>
      </w:r>
      <w:r w:rsidR="000E4D64" w:rsidRPr="00DC1B19">
        <w:rPr>
          <w:rStyle w:val="StyleBodyCalibri12pt"/>
        </w:rPr>
        <w:t>illion</w:t>
      </w:r>
      <w:r w:rsidRPr="00DC1B19">
        <w:rPr>
          <w:rStyle w:val="StyleBodyCalibri12pt"/>
        </w:rPr>
        <w:t xml:space="preserve"> to purchase</w:t>
      </w:r>
      <w:r w:rsidR="00450207" w:rsidRPr="00DC1B19">
        <w:rPr>
          <w:rStyle w:val="StyleBodyCalibri12pt"/>
        </w:rPr>
        <w:t xml:space="preserve"> up to 50 new properties in NSW. Half of these</w:t>
      </w:r>
      <w:r w:rsidRPr="00DC1B19">
        <w:rPr>
          <w:rStyle w:val="StyleBodyCalibri12pt"/>
        </w:rPr>
        <w:t xml:space="preserve"> will be for vulnerable young people who need stability and support to transition towards independence</w:t>
      </w:r>
      <w:r w:rsidR="00450207" w:rsidRPr="00DC1B19">
        <w:rPr>
          <w:rStyle w:val="StyleBodyCalibri12pt"/>
        </w:rPr>
        <w:t xml:space="preserve">. The other half will be </w:t>
      </w:r>
      <w:r w:rsidRPr="00DC1B19">
        <w:rPr>
          <w:rStyle w:val="StyleBodyCalibri12pt"/>
        </w:rPr>
        <w:t xml:space="preserve">for women and children escaping domestic and family violence. These properties will be located close to employment and education opportunities, services and transport. The properties will be managed by two new specialist not-for-profit housing companies working closely with the </w:t>
      </w:r>
      <w:r w:rsidR="00D76DCA" w:rsidRPr="00DC1B19">
        <w:rPr>
          <w:rStyle w:val="StyleBodyCalibri12pt"/>
        </w:rPr>
        <w:t xml:space="preserve">Peak </w:t>
      </w:r>
      <w:r w:rsidRPr="00DC1B19">
        <w:rPr>
          <w:rStyle w:val="StyleBodyCalibri12pt"/>
        </w:rPr>
        <w:t>homelessness bodies.</w:t>
      </w:r>
      <w:r w:rsidR="007764A2" w:rsidRPr="00DC1B19">
        <w:rPr>
          <w:rStyle w:val="StyleBodyCalibri12pt"/>
        </w:rPr>
        <w:t xml:space="preserve"> </w:t>
      </w:r>
    </w:p>
    <w:p w:rsidR="00A46B04" w:rsidRPr="00DC1B19" w:rsidRDefault="00A46B04" w:rsidP="00A46B04">
      <w:pPr>
        <w:rPr>
          <w:rStyle w:val="StyleBodyCalibri12pt"/>
        </w:rPr>
      </w:pPr>
    </w:p>
    <w:p w:rsidR="00A46B04" w:rsidRPr="00DC1B19" w:rsidRDefault="00A46B04" w:rsidP="00A46B04">
      <w:pPr>
        <w:rPr>
          <w:rStyle w:val="StyleBodyCalibri12pt"/>
        </w:rPr>
      </w:pPr>
      <w:r w:rsidRPr="00DC1B19">
        <w:rPr>
          <w:rStyle w:val="StyleBodyCalibri12pt"/>
        </w:rPr>
        <w:t xml:space="preserve">The Private Rental Subsidy for Young People (Northern Region Trial) continues to provide short or </w:t>
      </w:r>
      <w:r w:rsidR="00A24361" w:rsidRPr="00DC1B19">
        <w:rPr>
          <w:rStyle w:val="StyleBodyCalibri12pt"/>
        </w:rPr>
        <w:t>medium-</w:t>
      </w:r>
      <w:r w:rsidRPr="00DC1B19">
        <w:rPr>
          <w:rStyle w:val="StyleBodyCalibri12pt"/>
        </w:rPr>
        <w:t>term financial assistance and support services to assist young people aged 16 to 25 years in Newcastle and the Hunter. The subsidy targets young people who are eligible for soc</w:t>
      </w:r>
      <w:r w:rsidR="00450207" w:rsidRPr="00DC1B19">
        <w:rPr>
          <w:rStyle w:val="StyleBodyCalibri12pt"/>
        </w:rPr>
        <w:t>ial housing and are leaving out-of-h</w:t>
      </w:r>
      <w:r w:rsidR="005E0737" w:rsidRPr="00DC1B19">
        <w:rPr>
          <w:rStyle w:val="StyleBodyCalibri12pt"/>
        </w:rPr>
        <w:t>ome</w:t>
      </w:r>
      <w:r w:rsidR="00A24361" w:rsidRPr="00DC1B19">
        <w:rPr>
          <w:rStyle w:val="StyleBodyCalibri12pt"/>
        </w:rPr>
        <w:t xml:space="preserve"> </w:t>
      </w:r>
      <w:r w:rsidR="005E0737" w:rsidRPr="00DC1B19">
        <w:rPr>
          <w:rStyle w:val="StyleBodyCalibri12pt"/>
        </w:rPr>
        <w:t>c</w:t>
      </w:r>
      <w:r w:rsidR="00450207" w:rsidRPr="00DC1B19">
        <w:rPr>
          <w:rStyle w:val="StyleBodyCalibri12pt"/>
        </w:rPr>
        <w:t>are or</w:t>
      </w:r>
      <w:r w:rsidRPr="00DC1B19">
        <w:rPr>
          <w:rStyle w:val="StyleBodyCalibri12pt"/>
        </w:rPr>
        <w:t xml:space="preserve"> juvenile justice or experiencing domestic and family violence. The trial will conclude in 2013</w:t>
      </w:r>
      <w:r w:rsidR="00A24361" w:rsidRPr="00DC1B19">
        <w:rPr>
          <w:rStyle w:val="StyleBodyCalibri12pt"/>
        </w:rPr>
        <w:t>–</w:t>
      </w:r>
      <w:r w:rsidRPr="00DC1B19">
        <w:rPr>
          <w:rStyle w:val="StyleBodyCalibri12pt"/>
        </w:rPr>
        <w:t>14</w:t>
      </w:r>
      <w:r w:rsidR="00A24361" w:rsidRPr="00DC1B19">
        <w:rPr>
          <w:rStyle w:val="StyleBodyCalibri12pt"/>
        </w:rPr>
        <w:t>,</w:t>
      </w:r>
      <w:r w:rsidRPr="00DC1B19">
        <w:rPr>
          <w:rStyle w:val="StyleBodyCalibri12pt"/>
        </w:rPr>
        <w:t xml:space="preserve"> and an independent evaluation will be finalised in late 2014.</w:t>
      </w:r>
    </w:p>
    <w:p w:rsidR="00C25CA9" w:rsidRDefault="00C25CA9" w:rsidP="00F56F9B">
      <w:pPr>
        <w:pStyle w:val="Heading4"/>
      </w:pPr>
      <w:r w:rsidRPr="00314C9F">
        <w:t>Improving Support for Carers</w:t>
      </w:r>
    </w:p>
    <w:p w:rsidR="00A46B04" w:rsidRPr="00DC1B19" w:rsidRDefault="00A46B04" w:rsidP="00314C9F">
      <w:pPr>
        <w:rPr>
          <w:rStyle w:val="StyleBodyCalibri12pt"/>
        </w:rPr>
      </w:pPr>
      <w:r w:rsidRPr="00DC1B19">
        <w:rPr>
          <w:rStyle w:val="StyleBodyCalibri12pt"/>
        </w:rPr>
        <w:t xml:space="preserve">Connecting Carers NSW continues to receive funding from FACS to provide free information, training and support to foster, relative and kinship carers across NSW. This includes a 24-hour carer support line service and training for carers on various topics relating to children’s development, health and </w:t>
      </w:r>
      <w:r w:rsidR="008A1566" w:rsidRPr="00DC1B19">
        <w:rPr>
          <w:rStyle w:val="StyleBodyCalibri12pt"/>
        </w:rPr>
        <w:t>wellbeing</w:t>
      </w:r>
      <w:r w:rsidR="005E0737" w:rsidRPr="00DC1B19">
        <w:rPr>
          <w:rStyle w:val="StyleBodyCalibri12pt"/>
        </w:rPr>
        <w:t>, self-care</w:t>
      </w:r>
      <w:r w:rsidRPr="00DC1B19">
        <w:rPr>
          <w:rStyle w:val="StyleBodyCalibri12pt"/>
        </w:rPr>
        <w:t xml:space="preserve"> and aspects of engaging with the care system. Connecting Carers NSW also hosts or facilitates carer conferences and events, family camps and support groups.</w:t>
      </w:r>
    </w:p>
    <w:p w:rsidR="00A46B04" w:rsidRPr="00DC1B19" w:rsidRDefault="00A46B04" w:rsidP="00A46B04">
      <w:pPr>
        <w:rPr>
          <w:rStyle w:val="StyleBodyCalibri12pt"/>
        </w:rPr>
      </w:pPr>
    </w:p>
    <w:p w:rsidR="005E0737" w:rsidRPr="00DC1B19" w:rsidRDefault="00A46B04" w:rsidP="00A46B04">
      <w:pPr>
        <w:rPr>
          <w:rStyle w:val="StyleBodyCalibri12pt"/>
        </w:rPr>
      </w:pPr>
      <w:r w:rsidRPr="00DC1B19">
        <w:rPr>
          <w:rStyle w:val="StyleBodyCalibri12pt"/>
        </w:rPr>
        <w:t xml:space="preserve">Supports and resources for Aboriginal carers in NSW continue to be provided through specialist Aboriginal organisations funded by FACS. This includes the Aboriginal Child, Family and Community Care </w:t>
      </w:r>
      <w:r w:rsidR="005E0737" w:rsidRPr="00DC1B19">
        <w:rPr>
          <w:rStyle w:val="StyleBodyCalibri12pt"/>
        </w:rPr>
        <w:t>State Secretariat (NSW) (</w:t>
      </w:r>
      <w:proofErr w:type="spellStart"/>
      <w:r w:rsidR="005E0737" w:rsidRPr="00DC1B19">
        <w:rPr>
          <w:rStyle w:val="StyleBodyCalibri12pt"/>
        </w:rPr>
        <w:t>AbSec</w:t>
      </w:r>
      <w:proofErr w:type="spellEnd"/>
      <w:r w:rsidR="005E0737" w:rsidRPr="00DC1B19">
        <w:rPr>
          <w:rStyle w:val="StyleBodyCalibri12pt"/>
        </w:rPr>
        <w:t>) and</w:t>
      </w:r>
      <w:r w:rsidRPr="00DC1B19">
        <w:rPr>
          <w:rStyle w:val="StyleBodyCalibri12pt"/>
        </w:rPr>
        <w:t xml:space="preserve"> the Aboriginal State-wi</w:t>
      </w:r>
      <w:r w:rsidR="005E0737" w:rsidRPr="00DC1B19">
        <w:rPr>
          <w:rStyle w:val="StyleBodyCalibri12pt"/>
        </w:rPr>
        <w:t xml:space="preserve">de Foster Carer Support Service. These </w:t>
      </w:r>
      <w:r w:rsidR="00711CFB" w:rsidRPr="00DC1B19">
        <w:rPr>
          <w:rStyle w:val="StyleBodyCalibri12pt"/>
        </w:rPr>
        <w:t>organisations</w:t>
      </w:r>
      <w:r w:rsidR="005E0737" w:rsidRPr="00DC1B19">
        <w:rPr>
          <w:rStyle w:val="StyleBodyCalibri12pt"/>
        </w:rPr>
        <w:t xml:space="preserve"> support</w:t>
      </w:r>
      <w:r w:rsidRPr="00DC1B19">
        <w:rPr>
          <w:rStyle w:val="StyleBodyCalibri12pt"/>
        </w:rPr>
        <w:t xml:space="preserve"> Aboriginal kinship carers and non-Aboriginal carers caring for Aboriginal children by providing</w:t>
      </w:r>
      <w:r w:rsidR="005E0737" w:rsidRPr="00DC1B19">
        <w:rPr>
          <w:rStyle w:val="StyleBodyCalibri12pt"/>
        </w:rPr>
        <w:t>:</w:t>
      </w:r>
    </w:p>
    <w:p w:rsidR="0071707E" w:rsidRDefault="00A46B04" w:rsidP="00B914F4">
      <w:pPr>
        <w:pStyle w:val="ListBullet"/>
      </w:pPr>
      <w:r w:rsidRPr="005E0737">
        <w:t>a foster care ad</w:t>
      </w:r>
      <w:r w:rsidR="005E0737" w:rsidRPr="005E0737">
        <w:t>vice line</w:t>
      </w:r>
    </w:p>
    <w:p w:rsidR="005E0737" w:rsidRPr="005E0737" w:rsidRDefault="005E0737" w:rsidP="00B914F4">
      <w:pPr>
        <w:pStyle w:val="ListBullet"/>
      </w:pPr>
      <w:r w:rsidRPr="005E0737">
        <w:t>carer support groups</w:t>
      </w:r>
      <w:r w:rsidR="00A46B04" w:rsidRPr="005E0737">
        <w:t xml:space="preserve"> </w:t>
      </w:r>
    </w:p>
    <w:p w:rsidR="005E0737" w:rsidRPr="005E0737" w:rsidRDefault="005E0737" w:rsidP="00B914F4">
      <w:pPr>
        <w:pStyle w:val="ListBullet"/>
      </w:pPr>
      <w:r w:rsidRPr="005E0737">
        <w:t>network opportunities</w:t>
      </w:r>
    </w:p>
    <w:p w:rsidR="005E0737" w:rsidRPr="005E0737" w:rsidRDefault="005E0737" w:rsidP="00B914F4">
      <w:pPr>
        <w:pStyle w:val="ListBullet"/>
      </w:pPr>
      <w:r w:rsidRPr="005E0737">
        <w:t>regional and state seminar</w:t>
      </w:r>
      <w:r w:rsidR="004255AC">
        <w:t>s</w:t>
      </w:r>
    </w:p>
    <w:p w:rsidR="005E0737" w:rsidRPr="005E0737" w:rsidRDefault="00A46B04" w:rsidP="00B914F4">
      <w:pPr>
        <w:pStyle w:val="ListBullet"/>
      </w:pPr>
      <w:r w:rsidRPr="005E0737">
        <w:t>trai</w:t>
      </w:r>
      <w:r w:rsidR="005E0737" w:rsidRPr="005E0737">
        <w:t>ning and a quarterly newsletter</w:t>
      </w:r>
      <w:r w:rsidRPr="005E0737">
        <w:t xml:space="preserve"> </w:t>
      </w:r>
    </w:p>
    <w:p w:rsidR="005E0737" w:rsidRPr="005E0737" w:rsidRDefault="00A46B04" w:rsidP="00B914F4">
      <w:pPr>
        <w:pStyle w:val="ListBullet"/>
      </w:pPr>
      <w:r w:rsidRPr="005E0737">
        <w:t>representation at l</w:t>
      </w:r>
      <w:r w:rsidR="005E0737" w:rsidRPr="005E0737">
        <w:t>ocal, regional and state levels</w:t>
      </w:r>
    </w:p>
    <w:p w:rsidR="005E0737" w:rsidRPr="005E0737" w:rsidRDefault="00A46B04" w:rsidP="00B914F4">
      <w:pPr>
        <w:pStyle w:val="ListBullet"/>
      </w:pPr>
      <w:r w:rsidRPr="005E0737">
        <w:t>a register of Aborig</w:t>
      </w:r>
      <w:r w:rsidR="005E0737" w:rsidRPr="005E0737">
        <w:t>inal foster and kinship carers</w:t>
      </w:r>
    </w:p>
    <w:p w:rsidR="005E0737" w:rsidRPr="005E0737" w:rsidRDefault="00A46B04" w:rsidP="00B914F4">
      <w:pPr>
        <w:pStyle w:val="ListBullet"/>
      </w:pPr>
      <w:r w:rsidRPr="005E0737">
        <w:t>advice to agencies about recruitment o</w:t>
      </w:r>
      <w:r w:rsidR="005E0737" w:rsidRPr="005E0737">
        <w:t>f Aboriginal foster carers</w:t>
      </w:r>
    </w:p>
    <w:p w:rsidR="00A46B04" w:rsidRPr="005E0737" w:rsidRDefault="00A46B04" w:rsidP="00B914F4">
      <w:pPr>
        <w:pStyle w:val="ListBullet"/>
      </w:pPr>
      <w:proofErr w:type="gramStart"/>
      <w:r w:rsidRPr="005E0737">
        <w:t>an</w:t>
      </w:r>
      <w:proofErr w:type="gramEnd"/>
      <w:r w:rsidRPr="005E0737">
        <w:t xml:space="preserve"> annual Aboriginal foster care conference.</w:t>
      </w:r>
    </w:p>
    <w:p w:rsidR="00B914F4" w:rsidRPr="00DC1B19" w:rsidRDefault="00B914F4" w:rsidP="00A46B04">
      <w:pPr>
        <w:rPr>
          <w:rStyle w:val="StyleBodyCalibri12pt"/>
        </w:rPr>
      </w:pPr>
    </w:p>
    <w:p w:rsidR="00FB0CED" w:rsidRPr="00DC1B19" w:rsidRDefault="00A46B04" w:rsidP="00A46B04">
      <w:pPr>
        <w:rPr>
          <w:rStyle w:val="StyleBodyCalibri12pt"/>
        </w:rPr>
      </w:pPr>
      <w:r w:rsidRPr="00DC1B19">
        <w:rPr>
          <w:rStyle w:val="StyleBodyCalibri12pt"/>
        </w:rPr>
        <w:t xml:space="preserve">A new Code of Conduct for authorised foster, relative and kinship carers was introduced by FACS in early 2013. The new Code supports the development of a positive relationship between a </w:t>
      </w:r>
      <w:proofErr w:type="spellStart"/>
      <w:r w:rsidRPr="00DC1B19">
        <w:rPr>
          <w:rStyle w:val="StyleBodyCalibri12pt"/>
        </w:rPr>
        <w:t>carer</w:t>
      </w:r>
      <w:proofErr w:type="spellEnd"/>
      <w:r w:rsidRPr="00DC1B19">
        <w:rPr>
          <w:rStyle w:val="StyleBodyCalibri12pt"/>
        </w:rPr>
        <w:t>, a child or young person and the designated agency</w:t>
      </w:r>
      <w:r w:rsidR="005E0737" w:rsidRPr="00DC1B19">
        <w:rPr>
          <w:rStyle w:val="StyleBodyCalibri12pt"/>
        </w:rPr>
        <w:t xml:space="preserve"> which supervises the placement. This Code</w:t>
      </w:r>
      <w:r w:rsidRPr="00DC1B19">
        <w:rPr>
          <w:rStyle w:val="StyleBodyCalibri12pt"/>
        </w:rPr>
        <w:t xml:space="preserve"> </w:t>
      </w:r>
      <w:r w:rsidR="005E0737" w:rsidRPr="00DC1B19">
        <w:rPr>
          <w:rStyle w:val="StyleBodyCalibri12pt"/>
        </w:rPr>
        <w:t>recognises</w:t>
      </w:r>
      <w:r w:rsidRPr="00DC1B19">
        <w:rPr>
          <w:rStyle w:val="StyleBodyCalibri12pt"/>
        </w:rPr>
        <w:t xml:space="preserve"> that the safety and welfare of children and young people in out-of-home care are best served by promoting the strength and closeness of these relationships.</w:t>
      </w:r>
    </w:p>
    <w:p w:rsidR="00A46B04" w:rsidRPr="00DC1B19" w:rsidRDefault="00A46B04" w:rsidP="00A46B04">
      <w:pPr>
        <w:rPr>
          <w:rStyle w:val="StyleBodyCalibri12pt"/>
        </w:rPr>
      </w:pPr>
    </w:p>
    <w:p w:rsidR="00A46B04" w:rsidRPr="00DC1B19" w:rsidRDefault="00A46B04" w:rsidP="00A46B04">
      <w:pPr>
        <w:rPr>
          <w:rStyle w:val="StyleBodyCalibri12pt"/>
        </w:rPr>
      </w:pPr>
      <w:r w:rsidRPr="00DC1B19">
        <w:rPr>
          <w:rStyle w:val="StyleBodyCalibri12pt"/>
        </w:rPr>
        <w:t>The NSW Reparative Parenting Program</w:t>
      </w:r>
      <w:r w:rsidR="005E0737" w:rsidRPr="00DC1B19">
        <w:rPr>
          <w:rStyle w:val="StyleBodyCalibri12pt"/>
        </w:rPr>
        <w:t xml:space="preserve"> (RPP)</w:t>
      </w:r>
      <w:r w:rsidRPr="00DC1B19">
        <w:rPr>
          <w:rStyle w:val="StyleBodyCalibri12pt"/>
        </w:rPr>
        <w:t xml:space="preserve"> for carers was recentl</w:t>
      </w:r>
      <w:r w:rsidR="005E0737" w:rsidRPr="00DC1B19">
        <w:rPr>
          <w:rStyle w:val="StyleBodyCalibri12pt"/>
        </w:rPr>
        <w:t>y evaluated. The group program</w:t>
      </w:r>
      <w:r w:rsidRPr="00DC1B19">
        <w:rPr>
          <w:rStyle w:val="StyleBodyCalibri12pt"/>
        </w:rPr>
        <w:t xml:space="preserve"> was developed by health and community services clinicians. </w:t>
      </w:r>
      <w:r w:rsidR="005E0737" w:rsidRPr="00DC1B19">
        <w:rPr>
          <w:rStyle w:val="StyleBodyCalibri12pt"/>
        </w:rPr>
        <w:t>The program</w:t>
      </w:r>
      <w:r w:rsidRPr="00DC1B19">
        <w:rPr>
          <w:rStyle w:val="StyleBodyCalibri12pt"/>
        </w:rPr>
        <w:t xml:space="preserve"> aims to educate carers about the impact of trauma and attachment disruptions on the children in their care, to allow carers to reflect on their own reactions and stresses and to find strategies to be</w:t>
      </w:r>
      <w:r w:rsidR="005E0737" w:rsidRPr="00DC1B19">
        <w:rPr>
          <w:rStyle w:val="StyleBodyCalibri12pt"/>
        </w:rPr>
        <w:t xml:space="preserve">tter manage the children and </w:t>
      </w:r>
      <w:r w:rsidRPr="00DC1B19">
        <w:rPr>
          <w:rStyle w:val="StyleBodyCalibri12pt"/>
        </w:rPr>
        <w:t xml:space="preserve">sustain their connection to them. Evaluation findings revealed that: </w:t>
      </w:r>
    </w:p>
    <w:p w:rsidR="00F56F9B" w:rsidRDefault="00F56F9B">
      <w:pPr>
        <w:rPr>
          <w:rFonts w:ascii="Calibri" w:hAnsi="Calibri"/>
          <w:sz w:val="24"/>
        </w:rPr>
      </w:pPr>
      <w:r>
        <w:br w:type="page"/>
      </w:r>
    </w:p>
    <w:p w:rsidR="00A46B04" w:rsidRPr="005E0737" w:rsidRDefault="00A46B04" w:rsidP="00B914F4">
      <w:pPr>
        <w:pStyle w:val="ListBullet"/>
      </w:pPr>
      <w:r w:rsidRPr="005E0737">
        <w:t xml:space="preserve">Carer stress reduced significantly during the course of the groups. </w:t>
      </w:r>
    </w:p>
    <w:p w:rsidR="00A46B04" w:rsidRPr="005E0737" w:rsidRDefault="00A46B04" w:rsidP="00B914F4">
      <w:pPr>
        <w:pStyle w:val="ListBullet"/>
      </w:pPr>
      <w:r w:rsidRPr="005E0737">
        <w:t>Placement</w:t>
      </w:r>
      <w:r w:rsidR="007764A2">
        <w:t xml:space="preserve"> </w:t>
      </w:r>
      <w:r w:rsidRPr="005E0737">
        <w:t>breakdown during the program was very low.</w:t>
      </w:r>
    </w:p>
    <w:p w:rsidR="00A46B04" w:rsidRPr="005E0737" w:rsidRDefault="00A46B04" w:rsidP="00B914F4">
      <w:pPr>
        <w:pStyle w:val="ListBullet"/>
      </w:pPr>
      <w:r w:rsidRPr="005E0737">
        <w:t>Many carers reported significant increases in confidence in managing disruptive and aggressive outbursts, which are significantly correlated with placement breakdown.</w:t>
      </w:r>
    </w:p>
    <w:p w:rsidR="00A46B04" w:rsidRPr="005E0737" w:rsidRDefault="00A46B04" w:rsidP="005E0737">
      <w:pPr>
        <w:ind w:left="567" w:hanging="283"/>
        <w:rPr>
          <w:rFonts w:asciiTheme="minorHAnsi" w:hAnsiTheme="minorHAnsi" w:cs="Calibri"/>
          <w:sz w:val="24"/>
          <w:szCs w:val="24"/>
        </w:rPr>
      </w:pPr>
    </w:p>
    <w:p w:rsidR="00A46B04" w:rsidRPr="00DC1B19" w:rsidRDefault="00A46B04" w:rsidP="00A46B04">
      <w:pPr>
        <w:rPr>
          <w:rStyle w:val="StyleBodyCalibri12pt"/>
        </w:rPr>
      </w:pPr>
      <w:r w:rsidRPr="00DC1B19">
        <w:rPr>
          <w:rStyle w:val="StyleBodyCalibri12pt"/>
        </w:rPr>
        <w:t xml:space="preserve">A training process was developed to support practitioners in delivering the </w:t>
      </w:r>
      <w:r w:rsidR="005E0737" w:rsidRPr="00DC1B19">
        <w:rPr>
          <w:rStyle w:val="StyleBodyCalibri12pt"/>
        </w:rPr>
        <w:t>RPP</w:t>
      </w:r>
      <w:r w:rsidRPr="00DC1B19">
        <w:rPr>
          <w:rStyle w:val="StyleBodyCalibri12pt"/>
        </w:rPr>
        <w:t xml:space="preserve">. </w:t>
      </w:r>
      <w:r w:rsidR="005E0737" w:rsidRPr="00DC1B19">
        <w:rPr>
          <w:rStyle w:val="StyleBodyCalibri12pt"/>
        </w:rPr>
        <w:t xml:space="preserve">A total of </w:t>
      </w:r>
      <w:r w:rsidRPr="00DC1B19">
        <w:rPr>
          <w:rStyle w:val="StyleBodyCalibri12pt"/>
        </w:rPr>
        <w:t xml:space="preserve">56 clinicians from </w:t>
      </w:r>
      <w:r w:rsidR="00AB65E9" w:rsidRPr="00DC1B19">
        <w:rPr>
          <w:rStyle w:val="StyleBodyCalibri12pt"/>
        </w:rPr>
        <w:t>NSW Health</w:t>
      </w:r>
      <w:r w:rsidRPr="00DC1B19">
        <w:rPr>
          <w:rStyle w:val="StyleBodyCalibri12pt"/>
        </w:rPr>
        <w:t xml:space="preserve">, </w:t>
      </w:r>
      <w:proofErr w:type="gramStart"/>
      <w:r w:rsidRPr="00DC1B19">
        <w:rPr>
          <w:rStyle w:val="StyleBodyCalibri12pt"/>
        </w:rPr>
        <w:t>FACS</w:t>
      </w:r>
      <w:r w:rsidR="0059292D" w:rsidRPr="00DC1B19">
        <w:rPr>
          <w:rStyle w:val="StyleBodyCalibri12pt"/>
        </w:rPr>
        <w:t>(</w:t>
      </w:r>
      <w:proofErr w:type="gramEnd"/>
      <w:r w:rsidR="0059292D" w:rsidRPr="00DC1B19">
        <w:rPr>
          <w:rStyle w:val="StyleBodyCalibri12pt"/>
        </w:rPr>
        <w:t>CS)</w:t>
      </w:r>
      <w:r w:rsidRPr="00DC1B19">
        <w:rPr>
          <w:rStyle w:val="StyleBodyCalibri12pt"/>
        </w:rPr>
        <w:t xml:space="preserve"> and</w:t>
      </w:r>
      <w:r w:rsidR="005E67E8" w:rsidRPr="00DC1B19">
        <w:rPr>
          <w:rStyle w:val="StyleBodyCalibri12pt"/>
        </w:rPr>
        <w:t xml:space="preserve"> community sector organisation</w:t>
      </w:r>
      <w:r w:rsidRPr="00DC1B19">
        <w:rPr>
          <w:rStyle w:val="StyleBodyCalibri12pt"/>
        </w:rPr>
        <w:t>s were tr</w:t>
      </w:r>
      <w:r w:rsidR="005E0737" w:rsidRPr="00DC1B19">
        <w:rPr>
          <w:rStyle w:val="StyleBodyCalibri12pt"/>
        </w:rPr>
        <w:t>ained in the program</w:t>
      </w:r>
      <w:r w:rsidRPr="00DC1B19">
        <w:rPr>
          <w:rStyle w:val="StyleBodyCalibri12pt"/>
        </w:rPr>
        <w:t xml:space="preserve"> and </w:t>
      </w:r>
      <w:r w:rsidR="005E0737" w:rsidRPr="00DC1B19">
        <w:rPr>
          <w:rStyle w:val="StyleBodyCalibri12pt"/>
        </w:rPr>
        <w:t xml:space="preserve">subsequently </w:t>
      </w:r>
      <w:r w:rsidRPr="00DC1B19">
        <w:rPr>
          <w:rStyle w:val="StyleBodyCalibri12pt"/>
        </w:rPr>
        <w:t xml:space="preserve">ran </w:t>
      </w:r>
      <w:r w:rsidR="005E0737" w:rsidRPr="00DC1B19">
        <w:rPr>
          <w:rStyle w:val="StyleBodyCalibri12pt"/>
        </w:rPr>
        <w:t>groups together in 17 areas in eight</w:t>
      </w:r>
      <w:r w:rsidRPr="00DC1B19">
        <w:rPr>
          <w:rStyle w:val="StyleBodyCalibri12pt"/>
        </w:rPr>
        <w:t xml:space="preserve"> Local </w:t>
      </w:r>
      <w:r w:rsidR="004255AC" w:rsidRPr="00DC1B19">
        <w:rPr>
          <w:rStyle w:val="StyleBodyCalibri12pt"/>
        </w:rPr>
        <w:t>H</w:t>
      </w:r>
      <w:r w:rsidRPr="00DC1B19">
        <w:rPr>
          <w:rStyle w:val="StyleBodyCalibri12pt"/>
        </w:rPr>
        <w:t xml:space="preserve">ealth Networks. The RPP appears to be a </w:t>
      </w:r>
      <w:r w:rsidR="00F12AE5" w:rsidRPr="00DC1B19">
        <w:rPr>
          <w:rStyle w:val="StyleBodyCalibri12pt"/>
        </w:rPr>
        <w:t>cost-</w:t>
      </w:r>
      <w:r w:rsidRPr="00DC1B19">
        <w:rPr>
          <w:rStyle w:val="StyleBodyCalibri12pt"/>
        </w:rPr>
        <w:t xml:space="preserve">effective and </w:t>
      </w:r>
      <w:r w:rsidR="003F2F16" w:rsidRPr="00DC1B19">
        <w:rPr>
          <w:rStyle w:val="StyleBodyCalibri12pt"/>
        </w:rPr>
        <w:t>client-</w:t>
      </w:r>
      <w:r w:rsidRPr="00DC1B19">
        <w:rPr>
          <w:rStyle w:val="StyleBodyCalibri12pt"/>
        </w:rPr>
        <w:t>friendly way of decreasing stress in carers and improving knowledge and skills.</w:t>
      </w:r>
    </w:p>
    <w:p w:rsidR="003D3DB7" w:rsidRPr="00B71ABA" w:rsidRDefault="003D3DB7" w:rsidP="00F56F9B">
      <w:pPr>
        <w:pStyle w:val="Heading4"/>
        <w:rPr>
          <w:i/>
        </w:rPr>
      </w:pPr>
      <w:r w:rsidRPr="00706368">
        <w:t>Transitioning to Independence</w:t>
      </w:r>
    </w:p>
    <w:p w:rsidR="003D3DB7" w:rsidRPr="00A76681"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b/>
          <w:sz w:val="24"/>
          <w:szCs w:val="24"/>
        </w:rPr>
      </w:pPr>
      <w:r>
        <w:rPr>
          <w:rFonts w:ascii="Calibri" w:hAnsi="Calibri"/>
          <w:b/>
          <w:sz w:val="24"/>
          <w:szCs w:val="24"/>
        </w:rPr>
        <w:t>New</w:t>
      </w:r>
      <w:r w:rsidRPr="00A76681">
        <w:rPr>
          <w:rFonts w:ascii="Calibri" w:hAnsi="Calibri"/>
          <w:b/>
          <w:sz w:val="24"/>
          <w:szCs w:val="24"/>
        </w:rPr>
        <w:t xml:space="preserve"> Leaving Care Planner </w:t>
      </w:r>
    </w:p>
    <w:p w:rsidR="003D3DB7" w:rsidRPr="002C58DF"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szCs w:val="24"/>
        </w:rPr>
      </w:pPr>
      <w:r w:rsidRPr="002C58DF">
        <w:rPr>
          <w:rFonts w:ascii="Calibri" w:hAnsi="Calibri"/>
          <w:sz w:val="24"/>
          <w:szCs w:val="24"/>
        </w:rPr>
        <w:t xml:space="preserve">Youth Care United Protestant Association </w:t>
      </w:r>
      <w:r>
        <w:rPr>
          <w:rFonts w:ascii="Calibri" w:hAnsi="Calibri"/>
          <w:sz w:val="24"/>
          <w:szCs w:val="24"/>
        </w:rPr>
        <w:t>(</w:t>
      </w:r>
      <w:r w:rsidRPr="002C58DF">
        <w:rPr>
          <w:rFonts w:ascii="Calibri" w:hAnsi="Calibri"/>
          <w:sz w:val="24"/>
          <w:szCs w:val="24"/>
        </w:rPr>
        <w:t>UPA</w:t>
      </w:r>
      <w:r>
        <w:rPr>
          <w:rFonts w:ascii="Calibri" w:hAnsi="Calibri"/>
          <w:sz w:val="24"/>
          <w:szCs w:val="24"/>
        </w:rPr>
        <w:t>)</w:t>
      </w:r>
      <w:r w:rsidRPr="002C58DF">
        <w:rPr>
          <w:rFonts w:ascii="Calibri" w:hAnsi="Calibri"/>
          <w:sz w:val="24"/>
          <w:szCs w:val="24"/>
        </w:rPr>
        <w:t>, Alstonville NSW</w:t>
      </w:r>
    </w:p>
    <w:p w:rsidR="003D3DB7"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szCs w:val="24"/>
        </w:rPr>
      </w:pPr>
    </w:p>
    <w:p w:rsidR="003D3DB7" w:rsidRPr="00A76681"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szCs w:val="24"/>
        </w:rPr>
      </w:pPr>
      <w:r w:rsidRPr="00A76681">
        <w:rPr>
          <w:rFonts w:ascii="Calibri" w:hAnsi="Calibri"/>
          <w:sz w:val="24"/>
          <w:szCs w:val="24"/>
        </w:rPr>
        <w:t xml:space="preserve">Preparing to leave care can be stressful, and many 17 year olds feel confused and nervous about what a FACS Leaving Care Plan (LCP) involves. </w:t>
      </w:r>
      <w:r>
        <w:rPr>
          <w:rFonts w:ascii="Calibri" w:hAnsi="Calibri"/>
          <w:sz w:val="24"/>
          <w:szCs w:val="24"/>
        </w:rPr>
        <w:t>UPA</w:t>
      </w:r>
      <w:r w:rsidRPr="00A76681">
        <w:rPr>
          <w:rFonts w:ascii="Calibri" w:hAnsi="Calibri"/>
          <w:sz w:val="24"/>
          <w:szCs w:val="24"/>
        </w:rPr>
        <w:t xml:space="preserve"> </w:t>
      </w:r>
      <w:r>
        <w:rPr>
          <w:rFonts w:ascii="Calibri" w:hAnsi="Calibri"/>
          <w:sz w:val="24"/>
          <w:szCs w:val="24"/>
        </w:rPr>
        <w:t xml:space="preserve">Alstonville </w:t>
      </w:r>
      <w:r w:rsidRPr="00A76681">
        <w:rPr>
          <w:rFonts w:ascii="Calibri" w:hAnsi="Calibri"/>
          <w:sz w:val="24"/>
          <w:szCs w:val="24"/>
        </w:rPr>
        <w:t xml:space="preserve">consulted young people themselves, as well as staff and carers who help them to complete the plan, and identified a gap in the resource guide for staff and carers. </w:t>
      </w:r>
      <w:r>
        <w:rPr>
          <w:rFonts w:ascii="Calibri" w:hAnsi="Calibri"/>
          <w:sz w:val="24"/>
          <w:szCs w:val="24"/>
        </w:rPr>
        <w:t xml:space="preserve">We </w:t>
      </w:r>
      <w:r w:rsidRPr="00A76681">
        <w:rPr>
          <w:rFonts w:ascii="Calibri" w:hAnsi="Calibri"/>
          <w:sz w:val="24"/>
          <w:szCs w:val="24"/>
        </w:rPr>
        <w:t xml:space="preserve">developed something totally new and tangible for young people themselves. As well as financial advice, we wanted it to contain other information and to be skills based. It targets young people from the age of 15, giving them several years of preparation time, and </w:t>
      </w:r>
      <w:r>
        <w:rPr>
          <w:rFonts w:ascii="Calibri" w:hAnsi="Calibri"/>
          <w:sz w:val="24"/>
          <w:szCs w:val="24"/>
        </w:rPr>
        <w:t xml:space="preserve">it </w:t>
      </w:r>
      <w:r w:rsidRPr="00A76681">
        <w:rPr>
          <w:rFonts w:ascii="Calibri" w:hAnsi="Calibri"/>
          <w:sz w:val="24"/>
          <w:szCs w:val="24"/>
        </w:rPr>
        <w:t>is in three sections</w:t>
      </w:r>
      <w:r>
        <w:rPr>
          <w:rFonts w:ascii="Calibri" w:hAnsi="Calibri"/>
          <w:sz w:val="24"/>
          <w:szCs w:val="24"/>
        </w:rPr>
        <w:t xml:space="preserve"> or modules</w:t>
      </w:r>
      <w:r w:rsidRPr="00A76681">
        <w:rPr>
          <w:rFonts w:ascii="Calibri" w:hAnsi="Calibri"/>
          <w:sz w:val="24"/>
          <w:szCs w:val="24"/>
        </w:rPr>
        <w:t xml:space="preserve">—to be given to 15, 16 and 17 year olds as soon as the young person </w:t>
      </w:r>
      <w:r w:rsidR="006605C3" w:rsidRPr="00A76681">
        <w:rPr>
          <w:rFonts w:ascii="Calibri" w:hAnsi="Calibri"/>
          <w:sz w:val="24"/>
          <w:szCs w:val="24"/>
        </w:rPr>
        <w:t>reache</w:t>
      </w:r>
      <w:r w:rsidR="006605C3">
        <w:rPr>
          <w:rFonts w:ascii="Calibri" w:hAnsi="Calibri"/>
          <w:sz w:val="24"/>
          <w:szCs w:val="24"/>
        </w:rPr>
        <w:t>s</w:t>
      </w:r>
      <w:r w:rsidR="006605C3" w:rsidRPr="00A76681">
        <w:rPr>
          <w:rFonts w:ascii="Calibri" w:hAnsi="Calibri"/>
          <w:sz w:val="24"/>
          <w:szCs w:val="24"/>
        </w:rPr>
        <w:t xml:space="preserve"> </w:t>
      </w:r>
      <w:r w:rsidRPr="00A76681">
        <w:rPr>
          <w:rFonts w:ascii="Calibri" w:hAnsi="Calibri"/>
          <w:sz w:val="24"/>
          <w:szCs w:val="24"/>
        </w:rPr>
        <w:t>each age.</w:t>
      </w:r>
    </w:p>
    <w:p w:rsidR="003D3DB7"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szCs w:val="24"/>
        </w:rPr>
      </w:pPr>
    </w:p>
    <w:p w:rsidR="003D3DB7" w:rsidRPr="00A76681"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szCs w:val="24"/>
        </w:rPr>
      </w:pPr>
      <w:r w:rsidRPr="00A76681">
        <w:rPr>
          <w:rFonts w:ascii="Calibri" w:hAnsi="Calibri"/>
          <w:sz w:val="24"/>
          <w:szCs w:val="24"/>
        </w:rPr>
        <w:t>Helpful information is imparted through checklists, self-assessments to measure progress, setting up appointments and attending skill and knowledge building days. As a working document, it enables the workers, carers and young people to compare over the years what skills and information they</w:t>
      </w:r>
      <w:r w:rsidR="00C77E18">
        <w:rPr>
          <w:rFonts w:ascii="Calibri" w:hAnsi="Calibri"/>
          <w:sz w:val="24"/>
          <w:szCs w:val="24"/>
        </w:rPr>
        <w:t xml:space="preserve"> have</w:t>
      </w:r>
      <w:r w:rsidRPr="00A76681">
        <w:rPr>
          <w:rFonts w:ascii="Calibri" w:hAnsi="Calibri"/>
          <w:sz w:val="24"/>
          <w:szCs w:val="24"/>
        </w:rPr>
        <w:t xml:space="preserve"> learn</w:t>
      </w:r>
      <w:r w:rsidR="00C77E18">
        <w:rPr>
          <w:rFonts w:ascii="Calibri" w:hAnsi="Calibri"/>
          <w:sz w:val="24"/>
          <w:szCs w:val="24"/>
        </w:rPr>
        <w:t>ed</w:t>
      </w:r>
      <w:r w:rsidRPr="00A76681">
        <w:rPr>
          <w:rFonts w:ascii="Calibri" w:hAnsi="Calibri"/>
          <w:sz w:val="24"/>
          <w:szCs w:val="24"/>
        </w:rPr>
        <w:t>. It is strengths based and builds skills and knowledge in ways that are exciting and enjoyable. The overall look of the LCP books has been redesigned to include graffiti-styled writing and pictures which are more appealing to the young people using them.</w:t>
      </w:r>
    </w:p>
    <w:p w:rsidR="003D3DB7"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szCs w:val="24"/>
        </w:rPr>
      </w:pPr>
    </w:p>
    <w:p w:rsidR="003D3DB7"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szCs w:val="24"/>
        </w:rPr>
      </w:pPr>
      <w:r>
        <w:rPr>
          <w:rFonts w:ascii="Calibri" w:hAnsi="Calibri"/>
          <w:sz w:val="24"/>
          <w:szCs w:val="24"/>
        </w:rPr>
        <w:t>At 15 years, topics covered are:</w:t>
      </w:r>
    </w:p>
    <w:p w:rsidR="003D3DB7" w:rsidRPr="003405BC"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spacing w:before="0"/>
        <w:ind w:left="357" w:hanging="357"/>
        <w:rPr>
          <w:szCs w:val="24"/>
        </w:rPr>
      </w:pPr>
      <w:r w:rsidRPr="00A76681">
        <w:t>Living and Social Skills</w:t>
      </w:r>
    </w:p>
    <w:p w:rsidR="003D3DB7" w:rsidRPr="003405BC"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spacing w:before="0"/>
        <w:ind w:left="357" w:hanging="357"/>
        <w:rPr>
          <w:szCs w:val="24"/>
        </w:rPr>
      </w:pPr>
      <w:r w:rsidRPr="00A76681">
        <w:t>Self-Care Skills</w:t>
      </w:r>
    </w:p>
    <w:p w:rsidR="003D3DB7" w:rsidRPr="003405BC"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spacing w:before="0"/>
        <w:ind w:left="357" w:hanging="357"/>
        <w:rPr>
          <w:szCs w:val="24"/>
        </w:rPr>
      </w:pPr>
      <w:r w:rsidRPr="00A76681">
        <w:t>Relationship and Sex Education</w:t>
      </w:r>
      <w:r>
        <w:t xml:space="preserve">, including an </w:t>
      </w:r>
      <w:r w:rsidRPr="003405BC">
        <w:rPr>
          <w:szCs w:val="24"/>
        </w:rPr>
        <w:t xml:space="preserve">appointment at SHAIDS, </w:t>
      </w:r>
      <w:r w:rsidR="00E24664">
        <w:rPr>
          <w:szCs w:val="24"/>
        </w:rPr>
        <w:t>a</w:t>
      </w:r>
      <w:r>
        <w:rPr>
          <w:szCs w:val="24"/>
        </w:rPr>
        <w:t xml:space="preserve"> Sexual Health Service, </w:t>
      </w:r>
      <w:r w:rsidRPr="003405BC">
        <w:rPr>
          <w:szCs w:val="24"/>
        </w:rPr>
        <w:t xml:space="preserve">where </w:t>
      </w:r>
      <w:r w:rsidR="00E24664">
        <w:rPr>
          <w:szCs w:val="24"/>
        </w:rPr>
        <w:t>they receive information on STIs, STD</w:t>
      </w:r>
      <w:r w:rsidRPr="003405BC">
        <w:rPr>
          <w:szCs w:val="24"/>
        </w:rPr>
        <w:t>s, safe sex and contraception</w:t>
      </w:r>
      <w:r>
        <w:rPr>
          <w:szCs w:val="24"/>
        </w:rPr>
        <w:t xml:space="preserve"> and a client</w:t>
      </w:r>
      <w:r w:rsidRPr="003405BC">
        <w:rPr>
          <w:szCs w:val="24"/>
        </w:rPr>
        <w:t xml:space="preserve"> number allowing them to return at any time for help and advice</w:t>
      </w:r>
      <w:r>
        <w:rPr>
          <w:szCs w:val="24"/>
        </w:rPr>
        <w:t>; they</w:t>
      </w:r>
      <w:r w:rsidRPr="003405BC">
        <w:rPr>
          <w:szCs w:val="24"/>
        </w:rPr>
        <w:t xml:space="preserve"> also receive information and support on bisexual, gay, lesbian and transgender issues at </w:t>
      </w:r>
      <w:r w:rsidR="004B43A4">
        <w:rPr>
          <w:szCs w:val="24"/>
        </w:rPr>
        <w:t>the AIDS Council of NSW (ACON)</w:t>
      </w:r>
      <w:r w:rsidRPr="003405BC">
        <w:rPr>
          <w:szCs w:val="24"/>
        </w:rPr>
        <w:t xml:space="preserve"> </w:t>
      </w:r>
    </w:p>
    <w:p w:rsidR="003D3DB7"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spacing w:before="0"/>
      </w:pPr>
      <w:r w:rsidRPr="00A76681">
        <w:t>Drug and Alcohol Information</w:t>
      </w:r>
    </w:p>
    <w:p w:rsidR="003D3DB7"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spacing w:before="0"/>
      </w:pPr>
      <w:r w:rsidRPr="00A76681">
        <w:t>Personal Safety</w:t>
      </w:r>
    </w:p>
    <w:p w:rsidR="003D3DB7" w:rsidRPr="003405BC"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spacing w:before="0"/>
      </w:pPr>
      <w:r w:rsidRPr="00A76681">
        <w:t>Food and Nutrition</w:t>
      </w:r>
      <w:r>
        <w:t xml:space="preserve">, including a book containing recipes and </w:t>
      </w:r>
      <w:r w:rsidRPr="00A76681">
        <w:rPr>
          <w:szCs w:val="24"/>
        </w:rPr>
        <w:t>with plenty of writing space for additional recipes and notes</w:t>
      </w:r>
    </w:p>
    <w:p w:rsidR="003D3DB7" w:rsidRPr="00A76681"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spacing w:before="0"/>
      </w:pPr>
      <w:r w:rsidRPr="00A76681">
        <w:t>Employment Options</w:t>
      </w:r>
      <w:r>
        <w:t xml:space="preserve">, including how to </w:t>
      </w:r>
      <w:r w:rsidRPr="00A76681">
        <w:rPr>
          <w:szCs w:val="24"/>
        </w:rPr>
        <w:t xml:space="preserve">apply for a tax file number and how to write a </w:t>
      </w:r>
      <w:r w:rsidR="00864F39" w:rsidRPr="00A76681">
        <w:rPr>
          <w:szCs w:val="24"/>
        </w:rPr>
        <w:t>résum</w:t>
      </w:r>
      <w:r w:rsidR="00864F39">
        <w:rPr>
          <w:szCs w:val="24"/>
        </w:rPr>
        <w:t>é</w:t>
      </w:r>
    </w:p>
    <w:p w:rsidR="003D3DB7"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spacing w:before="0"/>
      </w:pPr>
      <w:r w:rsidRPr="00A76681">
        <w:t>ADHC Referral</w:t>
      </w:r>
    </w:p>
    <w:p w:rsidR="003D3DB7"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spacing w:before="0"/>
        <w:rPr>
          <w:szCs w:val="24"/>
        </w:rPr>
      </w:pPr>
      <w:proofErr w:type="gramStart"/>
      <w:r w:rsidRPr="00A76681">
        <w:t>a</w:t>
      </w:r>
      <w:proofErr w:type="gramEnd"/>
      <w:r w:rsidRPr="00A76681">
        <w:t xml:space="preserve"> Useful Numbers List</w:t>
      </w:r>
      <w:r>
        <w:t xml:space="preserve">, including </w:t>
      </w:r>
      <w:r w:rsidRPr="00A76681">
        <w:rPr>
          <w:szCs w:val="24"/>
        </w:rPr>
        <w:t>Centrelink, health and legal services</w:t>
      </w:r>
      <w:r>
        <w:rPr>
          <w:szCs w:val="24"/>
        </w:rPr>
        <w:t xml:space="preserve"> and </w:t>
      </w:r>
      <w:r w:rsidRPr="00A76681">
        <w:rPr>
          <w:szCs w:val="24"/>
        </w:rPr>
        <w:t>E</w:t>
      </w:r>
      <w:r>
        <w:rPr>
          <w:szCs w:val="24"/>
        </w:rPr>
        <w:t>mergency numbers</w:t>
      </w:r>
      <w:r w:rsidRPr="00A76681">
        <w:rPr>
          <w:szCs w:val="24"/>
        </w:rPr>
        <w:t>.</w:t>
      </w:r>
    </w:p>
    <w:p w:rsidR="00792804" w:rsidRDefault="00792804">
      <w:pPr>
        <w:rPr>
          <w:rFonts w:ascii="Calibri" w:hAnsi="Calibri"/>
          <w:sz w:val="24"/>
          <w:szCs w:val="24"/>
        </w:rPr>
      </w:pPr>
      <w:r>
        <w:rPr>
          <w:szCs w:val="24"/>
        </w:rPr>
        <w:br w:type="page"/>
      </w:r>
    </w:p>
    <w:p w:rsidR="003D3DB7" w:rsidRDefault="003D3DB7" w:rsidP="003D3DB7">
      <w:pPr>
        <w:pStyle w:val="ListBullet"/>
        <w:numPr>
          <w:ilvl w:val="0"/>
          <w:numId w:val="0"/>
        </w:numPr>
        <w:pBdr>
          <w:top w:val="single" w:sz="12" w:space="1" w:color="006600"/>
          <w:left w:val="single" w:sz="12" w:space="4" w:color="006600"/>
          <w:bottom w:val="single" w:sz="12" w:space="1" w:color="006600"/>
          <w:right w:val="single" w:sz="12" w:space="4" w:color="006600"/>
        </w:pBdr>
        <w:shd w:val="clear" w:color="auto" w:fill="D1FFD1"/>
        <w:spacing w:before="0"/>
        <w:rPr>
          <w:szCs w:val="24"/>
        </w:rPr>
      </w:pPr>
    </w:p>
    <w:p w:rsidR="003D3DB7" w:rsidRPr="00A76681" w:rsidRDefault="003D3DB7" w:rsidP="003D3DB7">
      <w:pPr>
        <w:pStyle w:val="ListBullet"/>
        <w:numPr>
          <w:ilvl w:val="0"/>
          <w:numId w:val="0"/>
        </w:numPr>
        <w:pBdr>
          <w:top w:val="single" w:sz="12" w:space="1" w:color="006600"/>
          <w:left w:val="single" w:sz="12" w:space="4" w:color="006600"/>
          <w:bottom w:val="single" w:sz="12" w:space="1" w:color="006600"/>
          <w:right w:val="single" w:sz="12" w:space="4" w:color="006600"/>
        </w:pBdr>
        <w:shd w:val="clear" w:color="auto" w:fill="D1FFD1"/>
        <w:spacing w:before="0"/>
        <w:rPr>
          <w:szCs w:val="24"/>
        </w:rPr>
      </w:pPr>
      <w:r>
        <w:rPr>
          <w:szCs w:val="24"/>
        </w:rPr>
        <w:t>At 16 years:</w:t>
      </w:r>
    </w:p>
    <w:p w:rsidR="003D3DB7" w:rsidRPr="00A76681"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A76681">
        <w:t>Centrelink and Youth Allowance</w:t>
      </w:r>
    </w:p>
    <w:p w:rsidR="003D3DB7"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A76681">
        <w:t>Financial Independence</w:t>
      </w:r>
      <w:r>
        <w:t>, including a</w:t>
      </w:r>
      <w:r w:rsidRPr="00A76681">
        <w:t xml:space="preserve"> Budgeting and Savings Plan</w:t>
      </w:r>
      <w:r>
        <w:t xml:space="preserve">. </w:t>
      </w:r>
      <w:r w:rsidRPr="00A76681">
        <w:t>To facilitate budgeting, savings and financial independence</w:t>
      </w:r>
      <w:r>
        <w:t>,</w:t>
      </w:r>
      <w:r w:rsidRPr="00A76681">
        <w:t xml:space="preserve"> we help them </w:t>
      </w:r>
      <w:r w:rsidR="003B5655">
        <w:t xml:space="preserve">to </w:t>
      </w:r>
      <w:r w:rsidRPr="00A76681">
        <w:t xml:space="preserve">set up a bank account and apply for the youth allowance. To a young person, a fortnightly payment of $215 may </w:t>
      </w:r>
      <w:r>
        <w:t>seem to be</w:t>
      </w:r>
      <w:r w:rsidRPr="00A76681">
        <w:t xml:space="preserve"> a lot of money, so we support development of a savings plan</w:t>
      </w:r>
      <w:r>
        <w:t xml:space="preserve"> where</w:t>
      </w:r>
      <w:r w:rsidRPr="00A76681">
        <w:t xml:space="preserve"> $100 per fortnight is deposited into a second savings account in the young person’s name but with a co-signatory (usually a </w:t>
      </w:r>
      <w:r w:rsidR="008D421A">
        <w:t>c</w:t>
      </w:r>
      <w:r w:rsidRPr="00A76681">
        <w:t xml:space="preserve">aseworker or long-term </w:t>
      </w:r>
      <w:r w:rsidR="008D421A">
        <w:t>c</w:t>
      </w:r>
      <w:r w:rsidRPr="00A76681">
        <w:t>arer). The young person has the remaining $115 to spend. On reaching 18 years</w:t>
      </w:r>
      <w:r>
        <w:t xml:space="preserve">, </w:t>
      </w:r>
      <w:r w:rsidRPr="00A76681">
        <w:t xml:space="preserve">they should have saved enough to make a large purchase, </w:t>
      </w:r>
      <w:r w:rsidR="003B5655">
        <w:t>such as a</w:t>
      </w:r>
      <w:r w:rsidRPr="00A76681">
        <w:t xml:space="preserve"> car. In the four years </w:t>
      </w:r>
      <w:r w:rsidR="003B5655">
        <w:t>of</w:t>
      </w:r>
      <w:r w:rsidRPr="00A76681">
        <w:t xml:space="preserve"> this scheme, only one young person has refused to participate</w:t>
      </w:r>
    </w:p>
    <w:p w:rsidR="003D3DB7" w:rsidRPr="003405BC"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3405BC">
        <w:t>Enrolling to Vote</w:t>
      </w:r>
    </w:p>
    <w:p w:rsidR="003D3DB7" w:rsidRPr="003405BC"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3405BC">
        <w:t>Getting Around</w:t>
      </w:r>
      <w:r>
        <w:t>—</w:t>
      </w:r>
      <w:r w:rsidRPr="003405BC">
        <w:t>Travel and Transport</w:t>
      </w:r>
      <w:r>
        <w:t>, including</w:t>
      </w:r>
      <w:r w:rsidRPr="003405BC">
        <w:t xml:space="preserve"> information on how to apply for a driving test as well as 10 free driving lessons to help them pass their driving test</w:t>
      </w:r>
    </w:p>
    <w:p w:rsidR="003D3DB7" w:rsidRPr="00A76681"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A76681">
        <w:t>Passport Application</w:t>
      </w:r>
      <w:r>
        <w:t>—</w:t>
      </w:r>
      <w:r w:rsidRPr="00A76681">
        <w:t xml:space="preserve">applications are explained </w:t>
      </w:r>
      <w:r>
        <w:t>in case</w:t>
      </w:r>
      <w:r w:rsidRPr="00A76681">
        <w:t xml:space="preserve"> the young person intend</w:t>
      </w:r>
      <w:r>
        <w:t>s</w:t>
      </w:r>
      <w:r w:rsidRPr="00A76681">
        <w:t xml:space="preserve"> to travel overseas with </w:t>
      </w:r>
      <w:r w:rsidR="003B5655">
        <w:t>his or her</w:t>
      </w:r>
      <w:r w:rsidRPr="00A76681">
        <w:t xml:space="preserve"> carer/s</w:t>
      </w:r>
    </w:p>
    <w:p w:rsidR="003D3DB7" w:rsidRPr="003405BC"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3405BC">
        <w:t>Refreshers</w:t>
      </w:r>
      <w:r>
        <w:t>—</w:t>
      </w:r>
      <w:r w:rsidRPr="003405BC">
        <w:t>Section 15 Checklists and Self-Assessments</w:t>
      </w:r>
      <w:r>
        <w:t>.</w:t>
      </w:r>
    </w:p>
    <w:p w:rsidR="003D3DB7"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b/>
          <w:sz w:val="24"/>
          <w:szCs w:val="24"/>
        </w:rPr>
      </w:pPr>
    </w:p>
    <w:p w:rsidR="003D3DB7" w:rsidRPr="002F55CA"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szCs w:val="24"/>
        </w:rPr>
      </w:pPr>
      <w:r w:rsidRPr="002F55CA">
        <w:rPr>
          <w:rFonts w:ascii="Calibri" w:hAnsi="Calibri"/>
          <w:sz w:val="24"/>
          <w:szCs w:val="24"/>
        </w:rPr>
        <w:t>At 17 years:</w:t>
      </w:r>
    </w:p>
    <w:p w:rsidR="003D3DB7" w:rsidRPr="00A76681"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spacing w:before="0"/>
        <w:ind w:left="357" w:hanging="357"/>
      </w:pPr>
      <w:r w:rsidRPr="00A76681">
        <w:t>Leaving Care Preparation Timeline</w:t>
      </w:r>
    </w:p>
    <w:p w:rsidR="003D3DB7" w:rsidRPr="00A76681"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A76681">
        <w:t>F</w:t>
      </w:r>
      <w:r w:rsidR="001B415B">
        <w:t>A</w:t>
      </w:r>
      <w:r w:rsidRPr="00A76681">
        <w:t>CS After Care Plan</w:t>
      </w:r>
    </w:p>
    <w:p w:rsidR="003D3DB7" w:rsidRPr="00A76681"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A76681">
        <w:t>Original Documents</w:t>
      </w:r>
      <w:r>
        <w:t xml:space="preserve">—including </w:t>
      </w:r>
      <w:r w:rsidRPr="00A76681">
        <w:t>a checklist of all necessary documentation the young person needs to take possession of when leaving care</w:t>
      </w:r>
      <w:r>
        <w:t xml:space="preserve"> and assistance to</w:t>
      </w:r>
      <w:r w:rsidRPr="00A76681">
        <w:t xml:space="preserve"> ensure </w:t>
      </w:r>
      <w:r>
        <w:t xml:space="preserve">that </w:t>
      </w:r>
      <w:r w:rsidRPr="00A76681">
        <w:t>any documents not currently in our or the young person’s possession are obtained and provided before the young person turns 18 years</w:t>
      </w:r>
    </w:p>
    <w:p w:rsidR="003D3DB7" w:rsidRPr="00A76681"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A76681">
        <w:t>Housing</w:t>
      </w:r>
      <w:r>
        <w:t>, which places</w:t>
      </w:r>
      <w:r w:rsidRPr="00A76681">
        <w:rPr>
          <w:szCs w:val="24"/>
        </w:rPr>
        <w:t xml:space="preserve"> an emphasis on assisting them to apply for a ‘T-number’ at the Department of Housing</w:t>
      </w:r>
      <w:r>
        <w:rPr>
          <w:szCs w:val="24"/>
        </w:rPr>
        <w:t>; t</w:t>
      </w:r>
      <w:r w:rsidRPr="00A76681">
        <w:rPr>
          <w:szCs w:val="24"/>
        </w:rPr>
        <w:t>his is meant to help circumvent the already long waiting lists</w:t>
      </w:r>
      <w:r>
        <w:rPr>
          <w:szCs w:val="24"/>
        </w:rPr>
        <w:t xml:space="preserve"> and </w:t>
      </w:r>
      <w:r w:rsidRPr="00A76681">
        <w:rPr>
          <w:szCs w:val="24"/>
        </w:rPr>
        <w:t>will provide more choice if and whe</w:t>
      </w:r>
      <w:r>
        <w:rPr>
          <w:szCs w:val="24"/>
        </w:rPr>
        <w:t>n a place does become available</w:t>
      </w:r>
    </w:p>
    <w:p w:rsidR="003D3DB7" w:rsidRPr="00A76681"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A76681">
        <w:t>Home Essentials</w:t>
      </w:r>
      <w:r>
        <w:rPr>
          <w:szCs w:val="24"/>
        </w:rPr>
        <w:t>—</w:t>
      </w:r>
      <w:r w:rsidRPr="00A76681">
        <w:rPr>
          <w:szCs w:val="24"/>
        </w:rPr>
        <w:t>designed to give young people an idea of what they need to set up their own home</w:t>
      </w:r>
      <w:r w:rsidR="003B5655">
        <w:rPr>
          <w:szCs w:val="24"/>
        </w:rPr>
        <w:t>s</w:t>
      </w:r>
      <w:r>
        <w:rPr>
          <w:szCs w:val="24"/>
        </w:rPr>
        <w:t xml:space="preserve"> and an allocation of</w:t>
      </w:r>
      <w:r w:rsidRPr="00A76681">
        <w:rPr>
          <w:szCs w:val="24"/>
        </w:rPr>
        <w:t xml:space="preserve"> $300 for buying essential items just prior to their 18</w:t>
      </w:r>
      <w:r w:rsidRPr="00A76681">
        <w:rPr>
          <w:szCs w:val="24"/>
          <w:vertAlign w:val="superscript"/>
        </w:rPr>
        <w:t>th</w:t>
      </w:r>
      <w:r w:rsidRPr="00A76681">
        <w:rPr>
          <w:szCs w:val="24"/>
        </w:rPr>
        <w:t xml:space="preserve"> birthday</w:t>
      </w:r>
      <w:r w:rsidR="003B5655">
        <w:rPr>
          <w:szCs w:val="24"/>
        </w:rPr>
        <w:t>s</w:t>
      </w:r>
    </w:p>
    <w:p w:rsidR="003D3DB7" w:rsidRPr="00A76681"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A76681">
        <w:t>Future Plans</w:t>
      </w:r>
    </w:p>
    <w:p w:rsidR="003D3DB7" w:rsidRPr="00A76681"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A76681">
        <w:t>Driving</w:t>
      </w:r>
      <w:r>
        <w:t>—</w:t>
      </w:r>
      <w:r w:rsidRPr="00A76681">
        <w:t>P1 and P2</w:t>
      </w:r>
    </w:p>
    <w:p w:rsidR="003D3DB7" w:rsidRPr="00A76681"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A76681">
        <w:t>Buying A Car</w:t>
      </w:r>
    </w:p>
    <w:p w:rsidR="003D3DB7" w:rsidRPr="00A76681"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A76681">
        <w:t>Access to Personal File</w:t>
      </w:r>
    </w:p>
    <w:p w:rsidR="003D3DB7" w:rsidRPr="00A76681"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A76681">
        <w:t>Access to Savings</w:t>
      </w:r>
    </w:p>
    <w:p w:rsidR="003D3DB7" w:rsidRPr="00A76681"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A76681">
        <w:t>Legal Advice</w:t>
      </w:r>
    </w:p>
    <w:p w:rsidR="003D3DB7" w:rsidRPr="00A76681"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A76681">
        <w:t>How to Vote</w:t>
      </w:r>
    </w:p>
    <w:p w:rsidR="003D3DB7" w:rsidRPr="00A76681"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A76681">
        <w:t>Refreshers</w:t>
      </w:r>
      <w:r>
        <w:t>—</w:t>
      </w:r>
      <w:r w:rsidRPr="00A76681">
        <w:t>Section</w:t>
      </w:r>
      <w:r>
        <w:t>s</w:t>
      </w:r>
      <w:r w:rsidRPr="00A76681">
        <w:t xml:space="preserve"> 15 and 16 Checklists and Self-Assessments</w:t>
      </w:r>
    </w:p>
    <w:p w:rsidR="003D3DB7" w:rsidRPr="00A76681"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szCs w:val="24"/>
        </w:rPr>
      </w:pPr>
    </w:p>
    <w:p w:rsidR="003D3DB7" w:rsidRPr="00A76681"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szCs w:val="24"/>
        </w:rPr>
      </w:pPr>
      <w:r>
        <w:rPr>
          <w:rFonts w:ascii="Calibri" w:hAnsi="Calibri"/>
          <w:sz w:val="24"/>
          <w:szCs w:val="24"/>
        </w:rPr>
        <w:t>In addition, s</w:t>
      </w:r>
      <w:r w:rsidRPr="00A76681">
        <w:rPr>
          <w:rFonts w:ascii="Calibri" w:hAnsi="Calibri"/>
          <w:sz w:val="24"/>
          <w:szCs w:val="24"/>
        </w:rPr>
        <w:t>uccessful interactive programs run during the school holidays include:</w:t>
      </w:r>
    </w:p>
    <w:p w:rsidR="003D3DB7" w:rsidRPr="00A76681"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A76681">
        <w:t>cooking days</w:t>
      </w:r>
      <w:r>
        <w:t>, where y</w:t>
      </w:r>
      <w:r w:rsidRPr="00A76681">
        <w:t xml:space="preserve">oung people learn </w:t>
      </w:r>
      <w:r w:rsidR="003B5655">
        <w:t>e</w:t>
      </w:r>
      <w:r w:rsidR="003B5655" w:rsidRPr="00A76681">
        <w:t xml:space="preserve">ssential hygiene, safe food handling, safe kitchen procedures, team work, food presentation, table setting and table etiquette </w:t>
      </w:r>
      <w:r w:rsidR="003B5655">
        <w:t xml:space="preserve">and </w:t>
      </w:r>
      <w:r w:rsidR="003B5655" w:rsidRPr="00A76681">
        <w:t xml:space="preserve">are also taught </w:t>
      </w:r>
      <w:r w:rsidRPr="00A76681">
        <w:t>to assess how to manage their food budget and to determine whether any money is left to buy additional items to enhance meals</w:t>
      </w:r>
      <w:r>
        <w:t xml:space="preserve"> </w:t>
      </w:r>
    </w:p>
    <w:p w:rsidR="003D3DB7"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A76681">
        <w:t>information days on drugs and alcohol and sex education</w:t>
      </w:r>
    </w:p>
    <w:p w:rsidR="003D3DB7" w:rsidRPr="002F55CA"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A76681">
        <w:rPr>
          <w:szCs w:val="24"/>
        </w:rPr>
        <w:t>Health and Hygiene</w:t>
      </w:r>
    </w:p>
    <w:p w:rsidR="003D3DB7" w:rsidRPr="00A76681"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pPr>
      <w:r w:rsidRPr="00A76681">
        <w:rPr>
          <w:szCs w:val="24"/>
        </w:rPr>
        <w:t>Transport and Services</w:t>
      </w:r>
      <w:r>
        <w:rPr>
          <w:szCs w:val="24"/>
        </w:rPr>
        <w:t>, where t</w:t>
      </w:r>
      <w:r w:rsidRPr="00A76681">
        <w:rPr>
          <w:szCs w:val="24"/>
        </w:rPr>
        <w:t>he 17 year olds in the course take part in an ‘Amazing Race’ scenario</w:t>
      </w:r>
      <w:r>
        <w:rPr>
          <w:szCs w:val="24"/>
        </w:rPr>
        <w:t xml:space="preserve"> challenging</w:t>
      </w:r>
      <w:r w:rsidRPr="00A76681">
        <w:rPr>
          <w:szCs w:val="24"/>
        </w:rPr>
        <w:t xml:space="preserve"> them to find their way to different service providers</w:t>
      </w:r>
      <w:r>
        <w:rPr>
          <w:szCs w:val="24"/>
        </w:rPr>
        <w:t>,</w:t>
      </w:r>
      <w:r w:rsidRPr="00A76681">
        <w:rPr>
          <w:szCs w:val="24"/>
        </w:rPr>
        <w:t xml:space="preserve"> using public transport</w:t>
      </w:r>
      <w:r>
        <w:rPr>
          <w:szCs w:val="24"/>
        </w:rPr>
        <w:t xml:space="preserve"> and devising</w:t>
      </w:r>
      <w:r w:rsidRPr="00A76681">
        <w:rPr>
          <w:szCs w:val="24"/>
        </w:rPr>
        <w:t xml:space="preserve"> strategies to get to the destination</w:t>
      </w:r>
    </w:p>
    <w:p w:rsidR="003D3DB7" w:rsidRPr="002F55CA" w:rsidRDefault="003D3DB7" w:rsidP="003D3DB7">
      <w:pPr>
        <w:pStyle w:val="ListBullet"/>
        <w:pBdr>
          <w:top w:val="single" w:sz="12" w:space="1" w:color="006600"/>
          <w:left w:val="single" w:sz="12" w:space="4" w:color="006600"/>
          <w:bottom w:val="single" w:sz="12" w:space="1" w:color="006600"/>
          <w:right w:val="single" w:sz="12" w:space="4" w:color="006600"/>
        </w:pBdr>
        <w:shd w:val="clear" w:color="auto" w:fill="D1FFD1"/>
        <w:rPr>
          <w:szCs w:val="24"/>
        </w:rPr>
      </w:pPr>
      <w:proofErr w:type="gramStart"/>
      <w:r>
        <w:t>a</w:t>
      </w:r>
      <w:proofErr w:type="gramEnd"/>
      <w:r w:rsidRPr="00A76681">
        <w:t xml:space="preserve"> ‘Job Skills’ course</w:t>
      </w:r>
      <w:r>
        <w:t xml:space="preserve">, run </w:t>
      </w:r>
      <w:r w:rsidRPr="00A76681">
        <w:t>over two days. The first day sees young people learn to write a r</w:t>
      </w:r>
      <w:r w:rsidR="001E4317">
        <w:t>é</w:t>
      </w:r>
      <w:r w:rsidRPr="00A76681">
        <w:t>sum</w:t>
      </w:r>
      <w:r w:rsidR="001E4317">
        <w:t>é</w:t>
      </w:r>
      <w:r w:rsidRPr="00A76681">
        <w:t>, find a job advertisement, write a cover page addressing essential criteria, apply for the job, learn appropriate telephone etiquette</w:t>
      </w:r>
      <w:r>
        <w:t xml:space="preserve"> and</w:t>
      </w:r>
      <w:r w:rsidRPr="00A76681">
        <w:t xml:space="preserve"> appropriate self-grooming, research a company and put relevant information into a portfolio.</w:t>
      </w:r>
      <w:r>
        <w:t xml:space="preserve"> </w:t>
      </w:r>
      <w:r w:rsidRPr="002F55CA">
        <w:rPr>
          <w:szCs w:val="24"/>
        </w:rPr>
        <w:t>Each young person is given $50 to purchase an interview outfit and, with their completed portfolios in hand, they then travel to an interview location and discuss potential interview questions. Each person attends a mock job interview. On completion, participants receive constructive feedback. Within two weeks of the Job Skills Days course</w:t>
      </w:r>
      <w:r w:rsidR="003B5655">
        <w:rPr>
          <w:szCs w:val="24"/>
        </w:rPr>
        <w:t>,</w:t>
      </w:r>
      <w:r w:rsidRPr="002F55CA">
        <w:rPr>
          <w:szCs w:val="24"/>
        </w:rPr>
        <w:t xml:space="preserve"> two attendees </w:t>
      </w:r>
      <w:r w:rsidR="003B5655">
        <w:rPr>
          <w:szCs w:val="24"/>
        </w:rPr>
        <w:t>found</w:t>
      </w:r>
      <w:r w:rsidRPr="002F55CA">
        <w:rPr>
          <w:szCs w:val="24"/>
        </w:rPr>
        <w:t xml:space="preserve"> full</w:t>
      </w:r>
      <w:r w:rsidR="003B5655">
        <w:rPr>
          <w:szCs w:val="24"/>
        </w:rPr>
        <w:t>-</w:t>
      </w:r>
      <w:r w:rsidRPr="002F55CA">
        <w:rPr>
          <w:szCs w:val="24"/>
        </w:rPr>
        <w:t xml:space="preserve">time employment. Participants said they </w:t>
      </w:r>
      <w:r>
        <w:rPr>
          <w:szCs w:val="24"/>
        </w:rPr>
        <w:t>‘</w:t>
      </w:r>
      <w:r w:rsidRPr="002F55CA">
        <w:rPr>
          <w:szCs w:val="24"/>
        </w:rPr>
        <w:t>felt better prepared</w:t>
      </w:r>
      <w:r>
        <w:rPr>
          <w:szCs w:val="24"/>
        </w:rPr>
        <w:t>’</w:t>
      </w:r>
      <w:r w:rsidRPr="002F55CA">
        <w:rPr>
          <w:szCs w:val="24"/>
        </w:rPr>
        <w:t xml:space="preserve"> to find a job on their own and had </w:t>
      </w:r>
      <w:r>
        <w:rPr>
          <w:szCs w:val="24"/>
        </w:rPr>
        <w:t>‘</w:t>
      </w:r>
      <w:r w:rsidRPr="002F55CA">
        <w:rPr>
          <w:szCs w:val="24"/>
        </w:rPr>
        <w:t>more confidence</w:t>
      </w:r>
      <w:r>
        <w:rPr>
          <w:szCs w:val="24"/>
        </w:rPr>
        <w:t>’</w:t>
      </w:r>
      <w:r w:rsidRPr="002F55CA">
        <w:rPr>
          <w:szCs w:val="24"/>
        </w:rPr>
        <w:t xml:space="preserve"> when knowing how to prepare, how to behave and what to say during an interview.</w:t>
      </w:r>
    </w:p>
    <w:p w:rsidR="003D3DB7"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szCs w:val="24"/>
        </w:rPr>
      </w:pPr>
    </w:p>
    <w:p w:rsidR="003D3DB7" w:rsidRPr="00A76681"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b/>
          <w:sz w:val="24"/>
          <w:szCs w:val="24"/>
        </w:rPr>
      </w:pPr>
      <w:r>
        <w:rPr>
          <w:rFonts w:ascii="Calibri" w:hAnsi="Calibri"/>
          <w:b/>
          <w:sz w:val="24"/>
          <w:szCs w:val="24"/>
        </w:rPr>
        <w:t xml:space="preserve">Mentoring and </w:t>
      </w:r>
      <w:r w:rsidRPr="00A76681">
        <w:rPr>
          <w:rFonts w:ascii="Calibri" w:hAnsi="Calibri"/>
          <w:b/>
          <w:sz w:val="24"/>
          <w:szCs w:val="24"/>
        </w:rPr>
        <w:t xml:space="preserve">monitoring </w:t>
      </w:r>
    </w:p>
    <w:p w:rsidR="003D3DB7"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szCs w:val="24"/>
        </w:rPr>
      </w:pPr>
      <w:r w:rsidRPr="00A76681">
        <w:rPr>
          <w:rFonts w:ascii="Calibri" w:hAnsi="Calibri"/>
          <w:sz w:val="24"/>
          <w:szCs w:val="24"/>
        </w:rPr>
        <w:t xml:space="preserve">We have engaged a </w:t>
      </w:r>
      <w:r w:rsidR="003A0617">
        <w:rPr>
          <w:rFonts w:ascii="Calibri" w:hAnsi="Calibri"/>
          <w:sz w:val="24"/>
          <w:szCs w:val="24"/>
        </w:rPr>
        <w:t>m</w:t>
      </w:r>
      <w:r w:rsidRPr="00A76681">
        <w:rPr>
          <w:rFonts w:ascii="Calibri" w:hAnsi="Calibri"/>
          <w:sz w:val="24"/>
          <w:szCs w:val="24"/>
        </w:rPr>
        <w:t>entor to work with our young people and for those old enough to have a</w:t>
      </w:r>
      <w:r w:rsidR="003B5655">
        <w:rPr>
          <w:rFonts w:ascii="Calibri" w:hAnsi="Calibri"/>
          <w:sz w:val="24"/>
          <w:szCs w:val="24"/>
        </w:rPr>
        <w:t>n</w:t>
      </w:r>
      <w:r w:rsidRPr="00A76681">
        <w:rPr>
          <w:rFonts w:ascii="Calibri" w:hAnsi="Calibri"/>
          <w:sz w:val="24"/>
          <w:szCs w:val="24"/>
        </w:rPr>
        <w:t xml:space="preserve"> LCP. </w:t>
      </w:r>
    </w:p>
    <w:p w:rsidR="003D3DB7" w:rsidRPr="00A76681"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szCs w:val="24"/>
        </w:rPr>
      </w:pPr>
    </w:p>
    <w:p w:rsidR="003D3DB7" w:rsidRPr="00A76681"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szCs w:val="24"/>
        </w:rPr>
      </w:pPr>
      <w:r w:rsidRPr="00A76681">
        <w:rPr>
          <w:rFonts w:ascii="Calibri" w:hAnsi="Calibri"/>
          <w:sz w:val="24"/>
          <w:szCs w:val="24"/>
        </w:rPr>
        <w:t>We monitor the progress of young people</w:t>
      </w:r>
      <w:r w:rsidR="003B5655">
        <w:rPr>
          <w:rFonts w:ascii="Calibri" w:hAnsi="Calibri"/>
          <w:sz w:val="24"/>
          <w:szCs w:val="24"/>
        </w:rPr>
        <w:t>,</w:t>
      </w:r>
      <w:r w:rsidRPr="00A76681">
        <w:rPr>
          <w:rFonts w:ascii="Calibri" w:hAnsi="Calibri"/>
          <w:sz w:val="24"/>
          <w:szCs w:val="24"/>
        </w:rPr>
        <w:t xml:space="preserve"> working through their planner during the young person’s and </w:t>
      </w:r>
      <w:r w:rsidR="001E4317">
        <w:rPr>
          <w:rFonts w:ascii="Calibri" w:hAnsi="Calibri"/>
          <w:sz w:val="24"/>
          <w:szCs w:val="24"/>
        </w:rPr>
        <w:t>his or her</w:t>
      </w:r>
      <w:r w:rsidRPr="00A76681">
        <w:rPr>
          <w:rFonts w:ascii="Calibri" w:hAnsi="Calibri"/>
          <w:sz w:val="24"/>
          <w:szCs w:val="24"/>
        </w:rPr>
        <w:t xml:space="preserve"> </w:t>
      </w:r>
      <w:r w:rsidR="003B5655">
        <w:rPr>
          <w:rFonts w:ascii="Calibri" w:hAnsi="Calibri"/>
          <w:sz w:val="24"/>
          <w:szCs w:val="24"/>
        </w:rPr>
        <w:t>carer’s regular visits with the</w:t>
      </w:r>
      <w:r w:rsidRPr="00A76681">
        <w:rPr>
          <w:rFonts w:ascii="Calibri" w:hAnsi="Calibri"/>
          <w:sz w:val="24"/>
          <w:szCs w:val="24"/>
        </w:rPr>
        <w:t xml:space="preserve"> caseworker. We also identify additional supports and needs</w:t>
      </w:r>
      <w:r>
        <w:rPr>
          <w:rFonts w:ascii="Calibri" w:hAnsi="Calibri"/>
          <w:sz w:val="24"/>
          <w:szCs w:val="24"/>
        </w:rPr>
        <w:t>,</w:t>
      </w:r>
      <w:r w:rsidRPr="00A76681">
        <w:rPr>
          <w:rFonts w:ascii="Calibri" w:hAnsi="Calibri"/>
          <w:sz w:val="24"/>
          <w:szCs w:val="24"/>
        </w:rPr>
        <w:t xml:space="preserve"> which are discussed and endorsed during the biannual case conferences.</w:t>
      </w:r>
    </w:p>
    <w:p w:rsidR="003D3DB7"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szCs w:val="24"/>
        </w:rPr>
      </w:pPr>
    </w:p>
    <w:p w:rsidR="003D3DB7" w:rsidRPr="00A76681"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szCs w:val="24"/>
        </w:rPr>
      </w:pPr>
      <w:r w:rsidRPr="00A76681">
        <w:rPr>
          <w:rFonts w:ascii="Calibri" w:hAnsi="Calibri"/>
          <w:sz w:val="24"/>
          <w:szCs w:val="24"/>
        </w:rPr>
        <w:t xml:space="preserve">This process of consultation and communication has enabled Youth Care UPA to continue to refine the LCP to ensure </w:t>
      </w:r>
      <w:r w:rsidR="003B5655">
        <w:rPr>
          <w:rFonts w:ascii="Calibri" w:hAnsi="Calibri"/>
          <w:sz w:val="24"/>
          <w:szCs w:val="24"/>
        </w:rPr>
        <w:t xml:space="preserve">that </w:t>
      </w:r>
      <w:r w:rsidRPr="00A76681">
        <w:rPr>
          <w:rFonts w:ascii="Calibri" w:hAnsi="Calibri"/>
          <w:sz w:val="24"/>
          <w:szCs w:val="24"/>
        </w:rPr>
        <w:t xml:space="preserve">young people are receiving current, informative and useful information and skills relevant to them. </w:t>
      </w:r>
    </w:p>
    <w:p w:rsidR="003D3DB7"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b/>
          <w:sz w:val="24"/>
          <w:szCs w:val="24"/>
        </w:rPr>
      </w:pPr>
    </w:p>
    <w:p w:rsidR="003D3DB7" w:rsidRPr="00A76681"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sz w:val="24"/>
          <w:szCs w:val="24"/>
        </w:rPr>
      </w:pPr>
      <w:r w:rsidRPr="00A76681">
        <w:rPr>
          <w:rFonts w:ascii="Calibri" w:hAnsi="Calibri"/>
          <w:b/>
          <w:sz w:val="24"/>
          <w:szCs w:val="24"/>
        </w:rPr>
        <w:t>Other agency involvement</w:t>
      </w:r>
      <w:r w:rsidRPr="00A76681">
        <w:rPr>
          <w:rFonts w:ascii="Calibri" w:hAnsi="Calibri"/>
          <w:sz w:val="24"/>
          <w:szCs w:val="24"/>
        </w:rPr>
        <w:t xml:space="preserve"> </w:t>
      </w:r>
    </w:p>
    <w:p w:rsidR="003D3DB7" w:rsidRPr="0081104D" w:rsidRDefault="003D3DB7" w:rsidP="003D3DB7">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r w:rsidRPr="00A76681">
        <w:rPr>
          <w:rFonts w:ascii="Calibri" w:hAnsi="Calibri"/>
          <w:sz w:val="24"/>
          <w:szCs w:val="24"/>
        </w:rPr>
        <w:t xml:space="preserve">Around eight </w:t>
      </w:r>
      <w:r>
        <w:rPr>
          <w:rFonts w:ascii="Calibri" w:hAnsi="Calibri"/>
          <w:sz w:val="24"/>
          <w:szCs w:val="24"/>
        </w:rPr>
        <w:t xml:space="preserve">other </w:t>
      </w:r>
      <w:r w:rsidRPr="00A76681">
        <w:rPr>
          <w:rFonts w:ascii="Calibri" w:hAnsi="Calibri"/>
          <w:sz w:val="24"/>
          <w:szCs w:val="24"/>
        </w:rPr>
        <w:t>agencies</w:t>
      </w:r>
      <w:r>
        <w:rPr>
          <w:rFonts w:ascii="Calibri" w:hAnsi="Calibri"/>
          <w:sz w:val="24"/>
          <w:szCs w:val="24"/>
        </w:rPr>
        <w:t>, both local and out of area,</w:t>
      </w:r>
      <w:r w:rsidRPr="00A76681">
        <w:rPr>
          <w:rFonts w:ascii="Calibri" w:hAnsi="Calibri"/>
          <w:sz w:val="24"/>
          <w:szCs w:val="24"/>
        </w:rPr>
        <w:t xml:space="preserve"> are currently trialling or using the LCP</w:t>
      </w:r>
      <w:r>
        <w:rPr>
          <w:rFonts w:ascii="Calibri" w:hAnsi="Calibri"/>
          <w:sz w:val="24"/>
          <w:szCs w:val="24"/>
        </w:rPr>
        <w:t xml:space="preserve">, and </w:t>
      </w:r>
      <w:r w:rsidRPr="00A76681">
        <w:rPr>
          <w:rFonts w:ascii="Calibri" w:hAnsi="Calibri"/>
          <w:sz w:val="24"/>
          <w:szCs w:val="24"/>
        </w:rPr>
        <w:t>feedback is positive. Agencies, Carers and Caseworkers can be creative</w:t>
      </w:r>
      <w:r w:rsidR="003B5655">
        <w:rPr>
          <w:rFonts w:ascii="Calibri" w:hAnsi="Calibri"/>
          <w:sz w:val="24"/>
          <w:szCs w:val="24"/>
        </w:rPr>
        <w:t xml:space="preserve"> in</w:t>
      </w:r>
      <w:r w:rsidRPr="00A76681">
        <w:rPr>
          <w:rFonts w:ascii="Calibri" w:hAnsi="Calibri"/>
          <w:sz w:val="24"/>
          <w:szCs w:val="24"/>
        </w:rPr>
        <w:t xml:space="preserve"> using the LCP to deliver the information and </w:t>
      </w:r>
      <w:r w:rsidR="003B5655">
        <w:rPr>
          <w:rFonts w:ascii="Calibri" w:hAnsi="Calibri"/>
          <w:sz w:val="24"/>
          <w:szCs w:val="24"/>
        </w:rPr>
        <w:t xml:space="preserve">can </w:t>
      </w:r>
      <w:r w:rsidRPr="00A76681">
        <w:rPr>
          <w:rFonts w:ascii="Calibri" w:hAnsi="Calibri"/>
          <w:sz w:val="24"/>
          <w:szCs w:val="24"/>
        </w:rPr>
        <w:t xml:space="preserve">ensure </w:t>
      </w:r>
      <w:r w:rsidR="003B5655">
        <w:rPr>
          <w:rFonts w:ascii="Calibri" w:hAnsi="Calibri"/>
          <w:sz w:val="24"/>
          <w:szCs w:val="24"/>
        </w:rPr>
        <w:t xml:space="preserve">that </w:t>
      </w:r>
      <w:r w:rsidRPr="00A76681">
        <w:rPr>
          <w:rFonts w:ascii="Calibri" w:hAnsi="Calibri"/>
          <w:sz w:val="24"/>
          <w:szCs w:val="24"/>
        </w:rPr>
        <w:t>it is being utilised in the most appropriate way for each young person.</w:t>
      </w:r>
    </w:p>
    <w:p w:rsidR="003D3DB7" w:rsidRPr="00654015" w:rsidRDefault="003D3DB7" w:rsidP="004F5AB4">
      <w:pPr>
        <w:rPr>
          <w:rFonts w:asciiTheme="minorHAnsi" w:hAnsiTheme="minorHAnsi" w:cs="Calibri"/>
          <w:sz w:val="24"/>
          <w:szCs w:val="24"/>
        </w:rPr>
      </w:pPr>
    </w:p>
    <w:p w:rsidR="004F5AB4" w:rsidRPr="00F56F9B" w:rsidRDefault="00F56F9B" w:rsidP="00F56F9B">
      <w:pPr>
        <w:pStyle w:val="Heading4"/>
        <w:rPr>
          <w:lang w:val="en-AU"/>
        </w:rPr>
      </w:pPr>
      <w:r>
        <w:t>Sector Development</w:t>
      </w:r>
    </w:p>
    <w:p w:rsidR="004F5AB4" w:rsidRPr="00DC1B19" w:rsidRDefault="004F5AB4" w:rsidP="004F5AB4">
      <w:pPr>
        <w:rPr>
          <w:rStyle w:val="StyleBodyCalibri12pt"/>
        </w:rPr>
      </w:pPr>
      <w:r w:rsidRPr="00DC1B19">
        <w:rPr>
          <w:rStyle w:val="StyleBodyCalibri12pt"/>
        </w:rPr>
        <w:t xml:space="preserve">The NSW and Australian Governments convened an inter-jurisdictional Reference Group to explore the development of a </w:t>
      </w:r>
      <w:proofErr w:type="spellStart"/>
      <w:r w:rsidRPr="00DC1B19">
        <w:rPr>
          <w:rStyle w:val="StyleBodyCalibri12pt"/>
        </w:rPr>
        <w:t>para</w:t>
      </w:r>
      <w:proofErr w:type="spellEnd"/>
      <w:r w:rsidRPr="00DC1B19">
        <w:rPr>
          <w:rStyle w:val="StyleBodyCalibri12pt"/>
        </w:rPr>
        <w:t xml:space="preserve">-professional workforce. </w:t>
      </w:r>
      <w:r w:rsidR="0066381D" w:rsidRPr="00DC1B19">
        <w:rPr>
          <w:rStyle w:val="StyleBodyCalibri12pt"/>
        </w:rPr>
        <w:t xml:space="preserve">Initial work has included an environmental scan of the child protection workforce to examine the extent to which </w:t>
      </w:r>
      <w:proofErr w:type="spellStart"/>
      <w:r w:rsidR="0066381D" w:rsidRPr="00DC1B19">
        <w:rPr>
          <w:rStyle w:val="StyleBodyCalibri12pt"/>
        </w:rPr>
        <w:t>para</w:t>
      </w:r>
      <w:proofErr w:type="spellEnd"/>
      <w:r w:rsidR="0066381D" w:rsidRPr="00DC1B19">
        <w:rPr>
          <w:rStyle w:val="StyleBodyCalibri12pt"/>
        </w:rPr>
        <w:t xml:space="preserve">-professionals are currently utilised. </w:t>
      </w:r>
      <w:r w:rsidR="00054163" w:rsidRPr="00DC1B19">
        <w:rPr>
          <w:rStyle w:val="StyleBodyCalibri12pt"/>
        </w:rPr>
        <w:t>The outcomes of this work will be shared across jurisdictions once finalised.</w:t>
      </w:r>
    </w:p>
    <w:p w:rsidR="0066381D" w:rsidRPr="00DC1B19" w:rsidRDefault="0066381D" w:rsidP="004F5AB4">
      <w:pPr>
        <w:rPr>
          <w:rStyle w:val="StyleBodyCalibri12pt"/>
        </w:rPr>
      </w:pPr>
    </w:p>
    <w:p w:rsidR="004F5AB4" w:rsidRPr="00DC1B19" w:rsidRDefault="00425B69" w:rsidP="004F5AB4">
      <w:pPr>
        <w:rPr>
          <w:rStyle w:val="StyleBodyCalibri12pt"/>
        </w:rPr>
      </w:pPr>
      <w:r w:rsidRPr="00DC1B19">
        <w:rPr>
          <w:rStyle w:val="StyleBodyCalibri12pt"/>
        </w:rPr>
        <w:t xml:space="preserve">NSW </w:t>
      </w:r>
      <w:r w:rsidR="004F5AB4" w:rsidRPr="00DC1B19">
        <w:rPr>
          <w:rStyle w:val="StyleBodyCalibri12pt"/>
        </w:rPr>
        <w:t>is currently developing a 10-year Aboriginal Out-of-Home Care Capacity Building Plan, in consultation with key stakeholders.</w:t>
      </w:r>
    </w:p>
    <w:p w:rsidR="004F5AB4" w:rsidRPr="00DC1B19" w:rsidRDefault="004F5AB4" w:rsidP="004F5AB4">
      <w:pPr>
        <w:rPr>
          <w:rStyle w:val="StyleBodyCalibri12pt"/>
        </w:rPr>
      </w:pPr>
    </w:p>
    <w:p w:rsidR="004F5AB4" w:rsidRPr="00DC1B19" w:rsidRDefault="004F5AB4" w:rsidP="004F5AB4">
      <w:pPr>
        <w:rPr>
          <w:rStyle w:val="StyleBodyCalibri12pt"/>
        </w:rPr>
      </w:pPr>
      <w:r w:rsidRPr="00DC1B19">
        <w:rPr>
          <w:rStyle w:val="StyleBodyCalibri12pt"/>
        </w:rPr>
        <w:t xml:space="preserve">The NSW Government is committed to transferring the majority of out-of-home care places to the </w:t>
      </w:r>
      <w:r w:rsidR="005E67E8" w:rsidRPr="00DC1B19">
        <w:rPr>
          <w:rStyle w:val="StyleBodyCalibri12pt"/>
        </w:rPr>
        <w:t>community</w:t>
      </w:r>
      <w:r w:rsidRPr="00DC1B19">
        <w:rPr>
          <w:rStyle w:val="StyleBodyCalibri12pt"/>
        </w:rPr>
        <w:t xml:space="preserve"> sector over a 10-year period from 2012. Ensuring sustainable growth and promoting a strong and flexible </w:t>
      </w:r>
      <w:r w:rsidR="00C8305C" w:rsidRPr="00DC1B19">
        <w:rPr>
          <w:rStyle w:val="StyleBodyCalibri12pt"/>
        </w:rPr>
        <w:t>community</w:t>
      </w:r>
      <w:r w:rsidRPr="00DC1B19">
        <w:rPr>
          <w:rStyle w:val="StyleBodyCalibri12pt"/>
        </w:rPr>
        <w:t xml:space="preserve"> sector is </w:t>
      </w:r>
      <w:proofErr w:type="gramStart"/>
      <w:r w:rsidRPr="00DC1B19">
        <w:rPr>
          <w:rStyle w:val="StyleBodyCalibri12pt"/>
        </w:rPr>
        <w:t>key</w:t>
      </w:r>
      <w:proofErr w:type="gramEnd"/>
      <w:r w:rsidRPr="00DC1B19">
        <w:rPr>
          <w:rStyle w:val="StyleBodyCalibri12pt"/>
        </w:rPr>
        <w:t xml:space="preserve"> to ensuring the needs of children and young people are adequately met. One way in which </w:t>
      </w:r>
      <w:r w:rsidR="00F6059B" w:rsidRPr="00DC1B19">
        <w:rPr>
          <w:rStyle w:val="StyleBodyCalibri12pt"/>
        </w:rPr>
        <w:t>CS</w:t>
      </w:r>
      <w:r w:rsidRPr="00DC1B19">
        <w:rPr>
          <w:rStyle w:val="StyleBodyCalibri12pt"/>
        </w:rPr>
        <w:t xml:space="preserve"> is supporting a seamless transfer is by improving its performance monitoring and contractual arrangements with funded service providers.</w:t>
      </w:r>
    </w:p>
    <w:p w:rsidR="00BD5D4E" w:rsidRDefault="00BD5D4E" w:rsidP="00792804">
      <w:pPr>
        <w:pStyle w:val="Heading3"/>
      </w:pPr>
      <w:bookmarkStart w:id="164" w:name="_Toc400007750"/>
      <w:r w:rsidRPr="00164694">
        <w:t>Northern Territory</w:t>
      </w:r>
      <w:bookmarkEnd w:id="164"/>
    </w:p>
    <w:p w:rsidR="006A1C03" w:rsidRPr="00706368" w:rsidRDefault="006A1C03" w:rsidP="00F56F9B">
      <w:pPr>
        <w:pStyle w:val="Heading4"/>
      </w:pPr>
      <w:r w:rsidRPr="00706368">
        <w:t>Filling the Research Gaps</w:t>
      </w:r>
    </w:p>
    <w:p w:rsidR="006A1C03" w:rsidRDefault="000341A5" w:rsidP="00BD5D4E">
      <w:pPr>
        <w:rPr>
          <w:rFonts w:ascii="Calibri" w:hAnsi="Calibri" w:cs="Calibri"/>
          <w:sz w:val="24"/>
          <w:szCs w:val="24"/>
        </w:rPr>
      </w:pPr>
      <w:r>
        <w:rPr>
          <w:rFonts w:ascii="Calibri" w:hAnsi="Calibri" w:cs="Calibri"/>
          <w:sz w:val="24"/>
          <w:szCs w:val="24"/>
        </w:rPr>
        <w:t>DCF</w:t>
      </w:r>
      <w:r w:rsidR="006A1C03" w:rsidRPr="006A1C03">
        <w:rPr>
          <w:rFonts w:ascii="Calibri" w:hAnsi="Calibri" w:cs="Calibri"/>
          <w:sz w:val="24"/>
          <w:szCs w:val="24"/>
        </w:rPr>
        <w:t xml:space="preserve"> has provided NT research expertise into the development of the Terms of Reference for 2012 projects undertaken under the National Research Agenda and will contribute to the evaluation of submitted proposals.</w:t>
      </w:r>
      <w:r w:rsidR="007764A2">
        <w:rPr>
          <w:rFonts w:ascii="Calibri" w:hAnsi="Calibri" w:cs="Calibri"/>
          <w:sz w:val="24"/>
          <w:szCs w:val="24"/>
        </w:rPr>
        <w:t xml:space="preserve"> </w:t>
      </w:r>
      <w:r w:rsidR="006A1C03" w:rsidRPr="006A1C03">
        <w:rPr>
          <w:rFonts w:ascii="Calibri" w:hAnsi="Calibri" w:cs="Calibri"/>
          <w:sz w:val="24"/>
          <w:szCs w:val="24"/>
        </w:rPr>
        <w:t xml:space="preserve">In so doing, it has stressed the need to consider testing research in relation to </w:t>
      </w:r>
      <w:proofErr w:type="spellStart"/>
      <w:r w:rsidR="006A1C03" w:rsidRPr="00FE594B">
        <w:rPr>
          <w:rFonts w:ascii="Calibri" w:hAnsi="Calibri" w:cs="Calibri"/>
          <w:sz w:val="24"/>
          <w:szCs w:val="24"/>
        </w:rPr>
        <w:t>indigeneity</w:t>
      </w:r>
      <w:proofErr w:type="spellEnd"/>
      <w:r w:rsidR="006A1C03" w:rsidRPr="00FE594B">
        <w:rPr>
          <w:rFonts w:ascii="Calibri" w:hAnsi="Calibri" w:cs="Calibri"/>
          <w:sz w:val="24"/>
          <w:szCs w:val="24"/>
        </w:rPr>
        <w:t xml:space="preserve"> </w:t>
      </w:r>
      <w:r w:rsidR="006A1C03" w:rsidRPr="006A1C03">
        <w:rPr>
          <w:rFonts w:ascii="Calibri" w:hAnsi="Calibri" w:cs="Calibri"/>
          <w:sz w:val="24"/>
          <w:szCs w:val="24"/>
        </w:rPr>
        <w:t>and remoteness within larger research projects related to child protection.</w:t>
      </w:r>
    </w:p>
    <w:p w:rsidR="006A1C03" w:rsidRPr="006A1C03" w:rsidRDefault="006A1C03" w:rsidP="00BD5D4E">
      <w:pPr>
        <w:rPr>
          <w:rFonts w:ascii="Calibri" w:hAnsi="Calibri" w:cs="Calibri"/>
          <w:sz w:val="24"/>
          <w:szCs w:val="24"/>
        </w:rPr>
      </w:pPr>
    </w:p>
    <w:p w:rsidR="00B975AA" w:rsidRPr="000433CA" w:rsidRDefault="00B975AA">
      <w:pPr>
        <w:rPr>
          <w:rStyle w:val="StyleBodyCalibri12ptItalic"/>
        </w:rPr>
      </w:pPr>
      <w:r w:rsidRPr="000433CA">
        <w:rPr>
          <w:rStyle w:val="StyleBodyCalibri12ptItalic"/>
        </w:rPr>
        <w:br w:type="page"/>
      </w:r>
    </w:p>
    <w:p w:rsidR="00BD5D4E" w:rsidRPr="00706368" w:rsidRDefault="006A1C03" w:rsidP="00F56F9B">
      <w:pPr>
        <w:pStyle w:val="Heading4"/>
      </w:pPr>
      <w:r w:rsidRPr="00706368">
        <w:t>National Standards for Out-of-Home Care</w:t>
      </w:r>
    </w:p>
    <w:p w:rsidR="006A1C03" w:rsidRDefault="006A1C03" w:rsidP="00BD5D4E">
      <w:pPr>
        <w:rPr>
          <w:rFonts w:ascii="Calibri" w:hAnsi="Calibri" w:cs="Calibri"/>
          <w:sz w:val="24"/>
          <w:szCs w:val="24"/>
        </w:rPr>
      </w:pPr>
      <w:r w:rsidRPr="006A1C03">
        <w:rPr>
          <w:rFonts w:ascii="Calibri" w:hAnsi="Calibri" w:cs="Calibri"/>
          <w:sz w:val="24"/>
          <w:szCs w:val="24"/>
        </w:rPr>
        <w:t>In the Northern Territory</w:t>
      </w:r>
      <w:r w:rsidR="005E0737">
        <w:rPr>
          <w:rFonts w:ascii="Calibri" w:hAnsi="Calibri" w:cs="Calibri"/>
          <w:sz w:val="24"/>
          <w:szCs w:val="24"/>
        </w:rPr>
        <w:t>,</w:t>
      </w:r>
      <w:r w:rsidRPr="006A1C03">
        <w:rPr>
          <w:rFonts w:ascii="Calibri" w:hAnsi="Calibri" w:cs="Calibri"/>
          <w:sz w:val="24"/>
          <w:szCs w:val="24"/>
        </w:rPr>
        <w:t xml:space="preserve"> the </w:t>
      </w:r>
      <w:r w:rsidR="005E0737">
        <w:rPr>
          <w:rFonts w:ascii="Calibri" w:hAnsi="Calibri" w:cs="Calibri"/>
          <w:sz w:val="24"/>
          <w:szCs w:val="24"/>
        </w:rPr>
        <w:t>A</w:t>
      </w:r>
      <w:r w:rsidR="00314725">
        <w:rPr>
          <w:rFonts w:ascii="Calibri" w:hAnsi="Calibri" w:cs="Calibri"/>
          <w:sz w:val="24"/>
          <w:szCs w:val="24"/>
        </w:rPr>
        <w:t>TSI</w:t>
      </w:r>
      <w:r w:rsidR="005E0737">
        <w:rPr>
          <w:rFonts w:ascii="Calibri" w:hAnsi="Calibri" w:cs="Calibri"/>
          <w:sz w:val="24"/>
          <w:szCs w:val="24"/>
        </w:rPr>
        <w:t>CPP</w:t>
      </w:r>
      <w:r w:rsidRPr="006A1C03">
        <w:rPr>
          <w:rFonts w:ascii="Calibri" w:hAnsi="Calibri" w:cs="Calibri"/>
          <w:sz w:val="24"/>
          <w:szCs w:val="24"/>
        </w:rPr>
        <w:t xml:space="preserve"> is enshrined in legislation. An Aboriginal Child Placement Practice guide has been developed for child protection workers, inclusive of finding family models of practice and the use of interpreters</w:t>
      </w:r>
      <w:r w:rsidR="005E0737">
        <w:rPr>
          <w:rFonts w:ascii="Calibri" w:hAnsi="Calibri" w:cs="Calibri"/>
          <w:sz w:val="24"/>
          <w:szCs w:val="24"/>
        </w:rPr>
        <w:t>,</w:t>
      </w:r>
      <w:r w:rsidRPr="006A1C03">
        <w:rPr>
          <w:rFonts w:ascii="Calibri" w:hAnsi="Calibri" w:cs="Calibri"/>
          <w:sz w:val="24"/>
          <w:szCs w:val="24"/>
        </w:rPr>
        <w:t xml:space="preserve"> recognising that</w:t>
      </w:r>
      <w:r w:rsidR="005E0737">
        <w:rPr>
          <w:rFonts w:ascii="Calibri" w:hAnsi="Calibri" w:cs="Calibri"/>
          <w:sz w:val="24"/>
          <w:szCs w:val="24"/>
        </w:rPr>
        <w:t>,</w:t>
      </w:r>
      <w:r w:rsidRPr="006A1C03">
        <w:rPr>
          <w:rFonts w:ascii="Calibri" w:hAnsi="Calibri" w:cs="Calibri"/>
          <w:sz w:val="24"/>
          <w:szCs w:val="24"/>
        </w:rPr>
        <w:t xml:space="preserve"> for many families</w:t>
      </w:r>
      <w:r w:rsidR="005E0737">
        <w:rPr>
          <w:rFonts w:ascii="Calibri" w:hAnsi="Calibri" w:cs="Calibri"/>
          <w:sz w:val="24"/>
          <w:szCs w:val="24"/>
        </w:rPr>
        <w:t>,</w:t>
      </w:r>
      <w:r w:rsidRPr="006A1C03">
        <w:rPr>
          <w:rFonts w:ascii="Calibri" w:hAnsi="Calibri" w:cs="Calibri"/>
          <w:sz w:val="24"/>
          <w:szCs w:val="24"/>
        </w:rPr>
        <w:t xml:space="preserve"> English is their last language.</w:t>
      </w:r>
      <w:r w:rsidR="007764A2">
        <w:rPr>
          <w:rFonts w:ascii="Calibri" w:hAnsi="Calibri" w:cs="Calibri"/>
          <w:sz w:val="24"/>
          <w:szCs w:val="24"/>
        </w:rPr>
        <w:t xml:space="preserve"> </w:t>
      </w:r>
      <w:r w:rsidRPr="006A1C03">
        <w:rPr>
          <w:rFonts w:ascii="Calibri" w:hAnsi="Calibri" w:cs="Calibri"/>
          <w:sz w:val="24"/>
          <w:szCs w:val="24"/>
        </w:rPr>
        <w:t xml:space="preserve">Work continues in </w:t>
      </w:r>
      <w:r w:rsidR="00381A13">
        <w:rPr>
          <w:rFonts w:ascii="Calibri" w:hAnsi="Calibri" w:cs="Calibri"/>
          <w:sz w:val="24"/>
          <w:szCs w:val="24"/>
        </w:rPr>
        <w:t>DCF</w:t>
      </w:r>
      <w:r w:rsidRPr="006A1C03">
        <w:rPr>
          <w:rFonts w:ascii="Calibri" w:hAnsi="Calibri" w:cs="Calibri"/>
          <w:sz w:val="24"/>
          <w:szCs w:val="24"/>
        </w:rPr>
        <w:t xml:space="preserve"> to improve consistent national data reporting of the A</w:t>
      </w:r>
      <w:r w:rsidR="00314725">
        <w:rPr>
          <w:rFonts w:ascii="Calibri" w:hAnsi="Calibri" w:cs="Calibri"/>
          <w:sz w:val="24"/>
          <w:szCs w:val="24"/>
        </w:rPr>
        <w:t>TSI</w:t>
      </w:r>
      <w:r w:rsidRPr="006A1C03">
        <w:rPr>
          <w:rFonts w:ascii="Calibri" w:hAnsi="Calibri" w:cs="Calibri"/>
          <w:sz w:val="24"/>
          <w:szCs w:val="24"/>
        </w:rPr>
        <w:t>C</w:t>
      </w:r>
      <w:r w:rsidR="0044293A">
        <w:rPr>
          <w:rFonts w:ascii="Calibri" w:hAnsi="Calibri" w:cs="Calibri"/>
          <w:sz w:val="24"/>
          <w:szCs w:val="24"/>
        </w:rPr>
        <w:t>P</w:t>
      </w:r>
      <w:r w:rsidRPr="006A1C03">
        <w:rPr>
          <w:rFonts w:ascii="Calibri" w:hAnsi="Calibri" w:cs="Calibri"/>
          <w:sz w:val="24"/>
          <w:szCs w:val="24"/>
        </w:rPr>
        <w:t>P.</w:t>
      </w:r>
    </w:p>
    <w:p w:rsidR="006A1C03" w:rsidRDefault="006A1C03" w:rsidP="00BD5D4E">
      <w:pPr>
        <w:rPr>
          <w:rFonts w:ascii="Calibri" w:hAnsi="Calibri" w:cs="Calibri"/>
          <w:sz w:val="24"/>
          <w:szCs w:val="24"/>
        </w:rPr>
      </w:pPr>
    </w:p>
    <w:p w:rsidR="006A1C03" w:rsidRPr="005E0737" w:rsidRDefault="006A1C03" w:rsidP="006A1C03">
      <w:pPr>
        <w:rPr>
          <w:rFonts w:ascii="Calibri" w:hAnsi="Calibri" w:cs="Calibri"/>
          <w:sz w:val="24"/>
          <w:szCs w:val="24"/>
        </w:rPr>
      </w:pPr>
      <w:bookmarkStart w:id="165" w:name="Sunday"/>
      <w:bookmarkEnd w:id="165"/>
      <w:r w:rsidRPr="006A1C03">
        <w:rPr>
          <w:rFonts w:ascii="Calibri" w:hAnsi="Calibri" w:cs="Calibri"/>
          <w:iCs/>
          <w:sz w:val="24"/>
          <w:szCs w:val="24"/>
        </w:rPr>
        <w:t xml:space="preserve">The proposed amendments to the </w:t>
      </w:r>
      <w:r w:rsidRPr="005E0737">
        <w:rPr>
          <w:rFonts w:ascii="Calibri" w:hAnsi="Calibri" w:cs="Calibri"/>
          <w:i/>
          <w:iCs/>
          <w:sz w:val="24"/>
          <w:szCs w:val="24"/>
        </w:rPr>
        <w:t>Northern Territory Care and Protection of Children Act</w:t>
      </w:r>
      <w:r w:rsidR="00085F82">
        <w:rPr>
          <w:rFonts w:ascii="Calibri" w:hAnsi="Calibri" w:cs="Calibri"/>
          <w:i/>
          <w:iCs/>
          <w:sz w:val="24"/>
          <w:szCs w:val="24"/>
        </w:rPr>
        <w:t xml:space="preserve"> 2007</w:t>
      </w:r>
      <w:r w:rsidR="005E0737">
        <w:rPr>
          <w:rFonts w:ascii="Calibri" w:hAnsi="Calibri" w:cs="Calibri"/>
          <w:iCs/>
          <w:color w:val="FF0000"/>
          <w:sz w:val="24"/>
          <w:szCs w:val="24"/>
        </w:rPr>
        <w:t xml:space="preserve"> </w:t>
      </w:r>
      <w:r w:rsidRPr="006A1C03">
        <w:rPr>
          <w:rFonts w:ascii="Calibri" w:hAnsi="Calibri" w:cs="Calibri"/>
          <w:iCs/>
          <w:sz w:val="24"/>
          <w:szCs w:val="24"/>
        </w:rPr>
        <w:t xml:space="preserve">will address permanency planning and </w:t>
      </w:r>
      <w:r w:rsidR="00085F82" w:rsidRPr="006A1C03">
        <w:rPr>
          <w:rFonts w:ascii="Calibri" w:hAnsi="Calibri" w:cs="Calibri"/>
          <w:iCs/>
          <w:sz w:val="24"/>
          <w:szCs w:val="24"/>
        </w:rPr>
        <w:t>long</w:t>
      </w:r>
      <w:r w:rsidR="00085F82">
        <w:rPr>
          <w:rFonts w:ascii="Calibri" w:hAnsi="Calibri" w:cs="Calibri"/>
          <w:iCs/>
          <w:sz w:val="24"/>
          <w:szCs w:val="24"/>
        </w:rPr>
        <w:t>-</w:t>
      </w:r>
      <w:r w:rsidRPr="006A1C03">
        <w:rPr>
          <w:rFonts w:ascii="Calibri" w:hAnsi="Calibri" w:cs="Calibri"/>
          <w:iCs/>
          <w:sz w:val="24"/>
          <w:szCs w:val="24"/>
        </w:rPr>
        <w:t>term stability of care for children and young people. In the Northern Territory, the introduction of a complexity assessment tool has helped to identify the needs of a child and is utilised in the matching of children in</w:t>
      </w:r>
      <w:r w:rsidR="005E0737">
        <w:rPr>
          <w:rFonts w:ascii="Calibri" w:hAnsi="Calibri" w:cs="Calibri"/>
          <w:iCs/>
          <w:sz w:val="24"/>
          <w:szCs w:val="24"/>
        </w:rPr>
        <w:t xml:space="preserve"> placements. As part of the </w:t>
      </w:r>
      <w:r w:rsidR="00195CD3">
        <w:rPr>
          <w:rFonts w:ascii="Calibri" w:hAnsi="Calibri" w:cs="Calibri"/>
          <w:iCs/>
          <w:sz w:val="24"/>
          <w:szCs w:val="24"/>
        </w:rPr>
        <w:t>o</w:t>
      </w:r>
      <w:r w:rsidR="005E0737">
        <w:rPr>
          <w:rFonts w:ascii="Calibri" w:hAnsi="Calibri" w:cs="Calibri"/>
          <w:iCs/>
          <w:sz w:val="24"/>
          <w:szCs w:val="24"/>
        </w:rPr>
        <w:t>ut-of-</w:t>
      </w:r>
      <w:r w:rsidR="00195CD3">
        <w:rPr>
          <w:rFonts w:ascii="Calibri" w:hAnsi="Calibri" w:cs="Calibri"/>
          <w:iCs/>
          <w:sz w:val="24"/>
          <w:szCs w:val="24"/>
        </w:rPr>
        <w:t>h</w:t>
      </w:r>
      <w:r w:rsidR="005E0737">
        <w:rPr>
          <w:rFonts w:ascii="Calibri" w:hAnsi="Calibri" w:cs="Calibri"/>
          <w:iCs/>
          <w:sz w:val="24"/>
          <w:szCs w:val="24"/>
        </w:rPr>
        <w:t xml:space="preserve">ome </w:t>
      </w:r>
      <w:r w:rsidR="00195CD3">
        <w:rPr>
          <w:rFonts w:ascii="Calibri" w:hAnsi="Calibri" w:cs="Calibri"/>
          <w:iCs/>
          <w:sz w:val="24"/>
          <w:szCs w:val="24"/>
        </w:rPr>
        <w:t>c</w:t>
      </w:r>
      <w:r w:rsidRPr="006A1C03">
        <w:rPr>
          <w:rFonts w:ascii="Calibri" w:hAnsi="Calibri" w:cs="Calibri"/>
          <w:iCs/>
          <w:sz w:val="24"/>
          <w:szCs w:val="24"/>
        </w:rPr>
        <w:t>are reforms</w:t>
      </w:r>
      <w:r w:rsidR="005E0737">
        <w:rPr>
          <w:rFonts w:ascii="Calibri" w:hAnsi="Calibri" w:cs="Calibri"/>
          <w:iCs/>
          <w:sz w:val="24"/>
          <w:szCs w:val="24"/>
        </w:rPr>
        <w:t>,</w:t>
      </w:r>
      <w:r w:rsidRPr="006A1C03">
        <w:rPr>
          <w:rFonts w:ascii="Calibri" w:hAnsi="Calibri" w:cs="Calibri"/>
          <w:iCs/>
          <w:sz w:val="24"/>
          <w:szCs w:val="24"/>
        </w:rPr>
        <w:t xml:space="preserve"> a central placement unit will be set up to ensure a quality and consistent approach to all matching of c</w:t>
      </w:r>
      <w:r w:rsidR="005E0737">
        <w:rPr>
          <w:rFonts w:ascii="Calibri" w:hAnsi="Calibri" w:cs="Calibri"/>
          <w:iCs/>
          <w:sz w:val="24"/>
          <w:szCs w:val="24"/>
        </w:rPr>
        <w:t>hildren and young people in out-of-</w:t>
      </w:r>
      <w:r w:rsidRPr="006A1C03">
        <w:rPr>
          <w:rFonts w:ascii="Calibri" w:hAnsi="Calibri" w:cs="Calibri"/>
          <w:iCs/>
          <w:sz w:val="24"/>
          <w:szCs w:val="24"/>
        </w:rPr>
        <w:t>home care placements.</w:t>
      </w:r>
    </w:p>
    <w:p w:rsidR="006A1C03" w:rsidRDefault="006A1C03" w:rsidP="006A1C03">
      <w:pPr>
        <w:rPr>
          <w:rFonts w:ascii="Calibri" w:hAnsi="Calibri" w:cs="Calibri"/>
          <w:iCs/>
          <w:sz w:val="24"/>
          <w:szCs w:val="24"/>
        </w:rPr>
      </w:pPr>
    </w:p>
    <w:p w:rsidR="006A1C03" w:rsidRPr="006A1C03" w:rsidRDefault="00195CD3" w:rsidP="006A1C03">
      <w:pPr>
        <w:rPr>
          <w:rFonts w:ascii="Calibri" w:hAnsi="Calibri" w:cs="Calibri"/>
          <w:sz w:val="24"/>
          <w:szCs w:val="24"/>
        </w:rPr>
      </w:pPr>
      <w:r>
        <w:rPr>
          <w:rFonts w:ascii="Calibri" w:hAnsi="Calibri" w:cs="Calibri"/>
          <w:iCs/>
          <w:sz w:val="24"/>
          <w:szCs w:val="24"/>
        </w:rPr>
        <w:t>The Northern Territory o</w:t>
      </w:r>
      <w:r w:rsidR="005E0737">
        <w:rPr>
          <w:rFonts w:ascii="Calibri" w:hAnsi="Calibri" w:cs="Calibri"/>
          <w:iCs/>
          <w:sz w:val="24"/>
          <w:szCs w:val="24"/>
        </w:rPr>
        <w:t>ut-of-</w:t>
      </w:r>
      <w:r>
        <w:rPr>
          <w:rFonts w:ascii="Calibri" w:hAnsi="Calibri" w:cs="Calibri"/>
          <w:iCs/>
          <w:sz w:val="24"/>
          <w:szCs w:val="24"/>
        </w:rPr>
        <w:t>h</w:t>
      </w:r>
      <w:r w:rsidR="006A1C03" w:rsidRPr="006A1C03">
        <w:rPr>
          <w:rFonts w:ascii="Calibri" w:hAnsi="Calibri" w:cs="Calibri"/>
          <w:iCs/>
          <w:sz w:val="24"/>
          <w:szCs w:val="24"/>
        </w:rPr>
        <w:t xml:space="preserve">ome </w:t>
      </w:r>
      <w:r>
        <w:rPr>
          <w:rFonts w:ascii="Calibri" w:hAnsi="Calibri" w:cs="Calibri"/>
          <w:iCs/>
          <w:sz w:val="24"/>
          <w:szCs w:val="24"/>
        </w:rPr>
        <w:t>c</w:t>
      </w:r>
      <w:r w:rsidR="006A1C03" w:rsidRPr="006A1C03">
        <w:rPr>
          <w:rFonts w:ascii="Calibri" w:hAnsi="Calibri" w:cs="Calibri"/>
          <w:iCs/>
          <w:sz w:val="24"/>
          <w:szCs w:val="24"/>
        </w:rPr>
        <w:t>are reform includes the development of care standards</w:t>
      </w:r>
      <w:r>
        <w:rPr>
          <w:rFonts w:ascii="Calibri" w:hAnsi="Calibri" w:cs="Calibri"/>
          <w:iCs/>
          <w:sz w:val="24"/>
          <w:szCs w:val="24"/>
        </w:rPr>
        <w:t>,</w:t>
      </w:r>
      <w:r w:rsidR="006A1C03" w:rsidRPr="006A1C03">
        <w:rPr>
          <w:rFonts w:ascii="Calibri" w:hAnsi="Calibri" w:cs="Calibri"/>
          <w:iCs/>
          <w:sz w:val="24"/>
          <w:szCs w:val="24"/>
        </w:rPr>
        <w:t xml:space="preserve"> inclusive of residential and foster and kinship care arrangements.</w:t>
      </w:r>
      <w:r w:rsidR="00A43557">
        <w:rPr>
          <w:rFonts w:ascii="Calibri" w:hAnsi="Calibri" w:cs="Calibri"/>
          <w:iCs/>
          <w:sz w:val="24"/>
          <w:szCs w:val="24"/>
        </w:rPr>
        <w:t xml:space="preserve"> </w:t>
      </w:r>
      <w:r w:rsidR="006A1C03" w:rsidRPr="006A1C03">
        <w:rPr>
          <w:rFonts w:ascii="Calibri" w:hAnsi="Calibri" w:cs="Calibri"/>
          <w:iCs/>
          <w:sz w:val="24"/>
          <w:szCs w:val="24"/>
        </w:rPr>
        <w:t>Further</w:t>
      </w:r>
      <w:r>
        <w:rPr>
          <w:rFonts w:ascii="Calibri" w:hAnsi="Calibri" w:cs="Calibri"/>
          <w:iCs/>
          <w:sz w:val="24"/>
          <w:szCs w:val="24"/>
        </w:rPr>
        <w:t>,</w:t>
      </w:r>
      <w:r w:rsidR="006A1C03" w:rsidRPr="006A1C03">
        <w:rPr>
          <w:rFonts w:ascii="Calibri" w:hAnsi="Calibri" w:cs="Calibri"/>
          <w:iCs/>
          <w:sz w:val="24"/>
          <w:szCs w:val="24"/>
        </w:rPr>
        <w:t xml:space="preserve"> a </w:t>
      </w:r>
      <w:r w:rsidR="00D76DCA">
        <w:rPr>
          <w:rFonts w:ascii="Calibri" w:hAnsi="Calibri" w:cs="Calibri"/>
          <w:iCs/>
          <w:sz w:val="24"/>
          <w:szCs w:val="24"/>
        </w:rPr>
        <w:t>C</w:t>
      </w:r>
      <w:r w:rsidR="00D76DCA" w:rsidRPr="006A1C03">
        <w:rPr>
          <w:rFonts w:ascii="Calibri" w:hAnsi="Calibri" w:cs="Calibri"/>
          <w:iCs/>
          <w:sz w:val="24"/>
          <w:szCs w:val="24"/>
        </w:rPr>
        <w:t xml:space="preserve">harter </w:t>
      </w:r>
      <w:r w:rsidR="006A1C03" w:rsidRPr="006A1C03">
        <w:rPr>
          <w:rFonts w:ascii="Calibri" w:hAnsi="Calibri" w:cs="Calibri"/>
          <w:iCs/>
          <w:sz w:val="24"/>
          <w:szCs w:val="24"/>
        </w:rPr>
        <w:t xml:space="preserve">of </w:t>
      </w:r>
      <w:r w:rsidR="00D76DCA">
        <w:rPr>
          <w:rFonts w:ascii="Calibri" w:hAnsi="Calibri" w:cs="Calibri"/>
          <w:iCs/>
          <w:sz w:val="24"/>
          <w:szCs w:val="24"/>
        </w:rPr>
        <w:t>R</w:t>
      </w:r>
      <w:r w:rsidR="00D76DCA" w:rsidRPr="006A1C03">
        <w:rPr>
          <w:rFonts w:ascii="Calibri" w:hAnsi="Calibri" w:cs="Calibri"/>
          <w:iCs/>
          <w:sz w:val="24"/>
          <w:szCs w:val="24"/>
        </w:rPr>
        <w:t xml:space="preserve">ights </w:t>
      </w:r>
      <w:r w:rsidR="006A1C03" w:rsidRPr="006A1C03">
        <w:rPr>
          <w:rFonts w:ascii="Calibri" w:hAnsi="Calibri" w:cs="Calibri"/>
          <w:iCs/>
          <w:sz w:val="24"/>
          <w:szCs w:val="24"/>
        </w:rPr>
        <w:t xml:space="preserve">for Children in Care is being progressed. These have been built upon the National </w:t>
      </w:r>
      <w:r>
        <w:rPr>
          <w:rFonts w:ascii="Calibri" w:hAnsi="Calibri" w:cs="Calibri"/>
          <w:iCs/>
          <w:sz w:val="24"/>
          <w:szCs w:val="24"/>
        </w:rPr>
        <w:t>Standards for Out-of-</w:t>
      </w:r>
      <w:r w:rsidR="006A1C03" w:rsidRPr="006A1C03">
        <w:rPr>
          <w:rFonts w:ascii="Calibri" w:hAnsi="Calibri" w:cs="Calibri"/>
          <w:iCs/>
          <w:sz w:val="24"/>
          <w:szCs w:val="24"/>
        </w:rPr>
        <w:t xml:space="preserve">Home Care and will enable the </w:t>
      </w:r>
      <w:r>
        <w:rPr>
          <w:rFonts w:ascii="Calibri" w:hAnsi="Calibri" w:cs="Calibri"/>
          <w:iCs/>
          <w:sz w:val="24"/>
          <w:szCs w:val="24"/>
        </w:rPr>
        <w:t xml:space="preserve">Northern </w:t>
      </w:r>
      <w:r w:rsidR="006A1C03" w:rsidRPr="006A1C03">
        <w:rPr>
          <w:rFonts w:ascii="Calibri" w:hAnsi="Calibri" w:cs="Calibri"/>
          <w:iCs/>
          <w:sz w:val="24"/>
          <w:szCs w:val="24"/>
        </w:rPr>
        <w:t>Territory to meet its com</w:t>
      </w:r>
      <w:r w:rsidR="00085F82">
        <w:rPr>
          <w:rFonts w:ascii="Calibri" w:hAnsi="Calibri" w:cs="Calibri"/>
          <w:iCs/>
          <w:sz w:val="24"/>
          <w:szCs w:val="24"/>
        </w:rPr>
        <w:t>m</w:t>
      </w:r>
      <w:r w:rsidR="006A1C03" w:rsidRPr="006A1C03">
        <w:rPr>
          <w:rFonts w:ascii="Calibri" w:hAnsi="Calibri" w:cs="Calibri"/>
          <w:iCs/>
          <w:sz w:val="24"/>
          <w:szCs w:val="24"/>
        </w:rPr>
        <w:t>itments to deliver full reporting on the standards in 2015.</w:t>
      </w:r>
    </w:p>
    <w:p w:rsidR="006A1C03" w:rsidRPr="00706368" w:rsidRDefault="006A1C03" w:rsidP="00F56F9B">
      <w:pPr>
        <w:pStyle w:val="Heading4"/>
      </w:pPr>
      <w:r w:rsidRPr="00706368">
        <w:t>Transitioning to Independence</w:t>
      </w:r>
    </w:p>
    <w:p w:rsidR="006A1C03" w:rsidRDefault="000341A5" w:rsidP="00BD5D4E">
      <w:pPr>
        <w:rPr>
          <w:rFonts w:ascii="Calibri" w:hAnsi="Calibri" w:cs="Calibri"/>
          <w:sz w:val="24"/>
          <w:szCs w:val="24"/>
        </w:rPr>
      </w:pPr>
      <w:r>
        <w:rPr>
          <w:rFonts w:ascii="Calibri" w:hAnsi="Calibri" w:cs="Calibri"/>
          <w:sz w:val="24"/>
          <w:szCs w:val="24"/>
        </w:rPr>
        <w:t>DCF</w:t>
      </w:r>
      <w:r w:rsidR="006A1C03" w:rsidRPr="006A1C03">
        <w:rPr>
          <w:rFonts w:ascii="Calibri" w:hAnsi="Calibri" w:cs="Calibri"/>
          <w:sz w:val="24"/>
          <w:szCs w:val="24"/>
        </w:rPr>
        <w:t xml:space="preserve"> funds the CREATE Foundation NT to deliver the CREATE Your Future Work</w:t>
      </w:r>
      <w:r w:rsidR="00195CD3">
        <w:rPr>
          <w:rFonts w:ascii="Calibri" w:hAnsi="Calibri" w:cs="Calibri"/>
          <w:sz w:val="24"/>
          <w:szCs w:val="24"/>
        </w:rPr>
        <w:t>shop</w:t>
      </w:r>
      <w:r w:rsidR="00085F82">
        <w:rPr>
          <w:rFonts w:ascii="Calibri" w:hAnsi="Calibri" w:cs="Calibri"/>
          <w:sz w:val="24"/>
          <w:szCs w:val="24"/>
        </w:rPr>
        <w:t>,</w:t>
      </w:r>
      <w:r w:rsidR="007764A2">
        <w:rPr>
          <w:rFonts w:ascii="Calibri" w:hAnsi="Calibri" w:cs="Calibri"/>
          <w:sz w:val="24"/>
          <w:szCs w:val="24"/>
        </w:rPr>
        <w:t xml:space="preserve"> </w:t>
      </w:r>
      <w:r w:rsidR="00195CD3">
        <w:rPr>
          <w:rFonts w:ascii="Calibri" w:hAnsi="Calibri" w:cs="Calibri"/>
          <w:sz w:val="24"/>
          <w:szCs w:val="24"/>
        </w:rPr>
        <w:t xml:space="preserve">which is </w:t>
      </w:r>
      <w:r w:rsidR="006A1C03" w:rsidRPr="006A1C03">
        <w:rPr>
          <w:rFonts w:ascii="Calibri" w:hAnsi="Calibri" w:cs="Calibri"/>
          <w:sz w:val="24"/>
          <w:szCs w:val="24"/>
        </w:rPr>
        <w:t>a life skills training program for young people transitioning from care.</w:t>
      </w:r>
      <w:r w:rsidR="007764A2">
        <w:rPr>
          <w:rFonts w:ascii="Calibri" w:hAnsi="Calibri" w:cs="Calibri"/>
          <w:sz w:val="24"/>
          <w:szCs w:val="24"/>
        </w:rPr>
        <w:t xml:space="preserve"> </w:t>
      </w:r>
      <w:r w:rsidR="006A1C03" w:rsidRPr="006A1C03">
        <w:rPr>
          <w:rFonts w:ascii="Calibri" w:hAnsi="Calibri" w:cs="Calibri"/>
          <w:sz w:val="24"/>
          <w:szCs w:val="24"/>
        </w:rPr>
        <w:t xml:space="preserve">Funds are also provided to </w:t>
      </w:r>
      <w:proofErr w:type="spellStart"/>
      <w:r w:rsidR="006A1C03" w:rsidRPr="006A1C03">
        <w:rPr>
          <w:rFonts w:ascii="Calibri" w:hAnsi="Calibri" w:cs="Calibri"/>
          <w:sz w:val="24"/>
          <w:szCs w:val="24"/>
        </w:rPr>
        <w:t>Anglicare</w:t>
      </w:r>
      <w:proofErr w:type="spellEnd"/>
      <w:r w:rsidR="006A1C03" w:rsidRPr="006A1C03">
        <w:rPr>
          <w:rFonts w:ascii="Calibri" w:hAnsi="Calibri" w:cs="Calibri"/>
          <w:sz w:val="24"/>
          <w:szCs w:val="24"/>
        </w:rPr>
        <w:t xml:space="preserve"> NT to deliver the ‘Moving on’ After Care and Brokerage Service to young people who have left care and those who are leaving care.</w:t>
      </w:r>
      <w:r w:rsidR="007764A2">
        <w:rPr>
          <w:rFonts w:ascii="Calibri" w:hAnsi="Calibri" w:cs="Calibri"/>
          <w:sz w:val="24"/>
          <w:szCs w:val="24"/>
        </w:rPr>
        <w:t xml:space="preserve"> </w:t>
      </w:r>
      <w:r w:rsidR="006A1C03" w:rsidRPr="006A1C03">
        <w:rPr>
          <w:rFonts w:ascii="Calibri" w:hAnsi="Calibri" w:cs="Calibri"/>
          <w:sz w:val="24"/>
          <w:szCs w:val="24"/>
        </w:rPr>
        <w:t>Young people aged between 16 and 24 years are able to access the service</w:t>
      </w:r>
      <w:r w:rsidR="00085F82">
        <w:rPr>
          <w:rFonts w:ascii="Calibri" w:hAnsi="Calibri" w:cs="Calibri"/>
          <w:sz w:val="24"/>
          <w:szCs w:val="24"/>
        </w:rPr>
        <w:t>,</w:t>
      </w:r>
      <w:r w:rsidR="006A1C03" w:rsidRPr="006A1C03">
        <w:rPr>
          <w:rFonts w:ascii="Calibri" w:hAnsi="Calibri" w:cs="Calibri"/>
          <w:sz w:val="24"/>
          <w:szCs w:val="24"/>
        </w:rPr>
        <w:t xml:space="preserve"> which provides information, assessment, referral, advocacy, support and case management.</w:t>
      </w:r>
    </w:p>
    <w:p w:rsidR="006A1C03" w:rsidRDefault="006A1C03" w:rsidP="00BD5D4E">
      <w:pPr>
        <w:rPr>
          <w:rFonts w:ascii="Calibri" w:hAnsi="Calibri" w:cs="Calibri"/>
          <w:sz w:val="24"/>
          <w:szCs w:val="24"/>
        </w:rPr>
      </w:pPr>
    </w:p>
    <w:p w:rsidR="006A1C03" w:rsidRDefault="000341A5" w:rsidP="00BD5D4E">
      <w:pPr>
        <w:rPr>
          <w:rFonts w:ascii="Calibri" w:hAnsi="Calibri" w:cs="Calibri"/>
          <w:sz w:val="24"/>
          <w:szCs w:val="24"/>
        </w:rPr>
      </w:pPr>
      <w:r>
        <w:rPr>
          <w:rFonts w:ascii="Calibri" w:hAnsi="Calibri" w:cs="Calibri"/>
          <w:sz w:val="24"/>
          <w:szCs w:val="24"/>
        </w:rPr>
        <w:t>DCF</w:t>
      </w:r>
      <w:r w:rsidR="006A1C03" w:rsidRPr="006A1C03">
        <w:rPr>
          <w:rFonts w:ascii="Calibri" w:hAnsi="Calibri" w:cs="Calibri"/>
          <w:sz w:val="24"/>
          <w:szCs w:val="24"/>
        </w:rPr>
        <w:t xml:space="preserve"> </w:t>
      </w:r>
      <w:r w:rsidR="00195CD3">
        <w:rPr>
          <w:rFonts w:ascii="Calibri" w:hAnsi="Calibri" w:cs="Calibri"/>
          <w:sz w:val="24"/>
          <w:szCs w:val="24"/>
        </w:rPr>
        <w:t xml:space="preserve">also </w:t>
      </w:r>
      <w:r w:rsidR="006A1C03" w:rsidRPr="006A1C03">
        <w:rPr>
          <w:rFonts w:ascii="Calibri" w:hAnsi="Calibri" w:cs="Calibri"/>
          <w:sz w:val="24"/>
          <w:szCs w:val="24"/>
        </w:rPr>
        <w:t>has a partnership with the Department of Education</w:t>
      </w:r>
      <w:r w:rsidR="00085F82">
        <w:rPr>
          <w:rFonts w:ascii="Calibri" w:hAnsi="Calibri" w:cs="Calibri"/>
          <w:sz w:val="24"/>
          <w:szCs w:val="24"/>
        </w:rPr>
        <w:t>,</w:t>
      </w:r>
      <w:r w:rsidR="006A1C03" w:rsidRPr="006A1C03">
        <w:rPr>
          <w:rFonts w:ascii="Calibri" w:hAnsi="Calibri" w:cs="Calibri"/>
          <w:sz w:val="24"/>
          <w:szCs w:val="24"/>
        </w:rPr>
        <w:t xml:space="preserve"> more effectively </w:t>
      </w:r>
      <w:r w:rsidR="00085F82">
        <w:rPr>
          <w:rFonts w:ascii="Calibri" w:hAnsi="Calibri" w:cs="Calibri"/>
          <w:sz w:val="24"/>
          <w:szCs w:val="24"/>
        </w:rPr>
        <w:t xml:space="preserve">to </w:t>
      </w:r>
      <w:r w:rsidR="006A1C03" w:rsidRPr="006A1C03">
        <w:rPr>
          <w:rFonts w:ascii="Calibri" w:hAnsi="Calibri" w:cs="Calibri"/>
          <w:sz w:val="24"/>
          <w:szCs w:val="24"/>
        </w:rPr>
        <w:t xml:space="preserve">engage and support children in care to </w:t>
      </w:r>
      <w:r w:rsidR="00782887">
        <w:rPr>
          <w:rFonts w:ascii="Calibri" w:hAnsi="Calibri" w:cs="Calibri"/>
          <w:sz w:val="24"/>
          <w:szCs w:val="24"/>
        </w:rPr>
        <w:t>obtain</w:t>
      </w:r>
      <w:r w:rsidR="00782887" w:rsidRPr="006A1C03">
        <w:rPr>
          <w:rFonts w:ascii="Calibri" w:hAnsi="Calibri" w:cs="Calibri"/>
          <w:sz w:val="24"/>
          <w:szCs w:val="24"/>
        </w:rPr>
        <w:t xml:space="preserve"> </w:t>
      </w:r>
      <w:r w:rsidR="006A1C03" w:rsidRPr="006A1C03">
        <w:rPr>
          <w:rFonts w:ascii="Calibri" w:hAnsi="Calibri" w:cs="Calibri"/>
          <w:sz w:val="24"/>
          <w:szCs w:val="24"/>
        </w:rPr>
        <w:t xml:space="preserve">and </w:t>
      </w:r>
      <w:r w:rsidR="00782887">
        <w:rPr>
          <w:rFonts w:ascii="Calibri" w:hAnsi="Calibri" w:cs="Calibri"/>
          <w:sz w:val="24"/>
          <w:szCs w:val="24"/>
        </w:rPr>
        <w:t>sustain</w:t>
      </w:r>
      <w:r w:rsidR="00782887" w:rsidRPr="006A1C03">
        <w:rPr>
          <w:rFonts w:ascii="Calibri" w:hAnsi="Calibri" w:cs="Calibri"/>
          <w:sz w:val="24"/>
          <w:szCs w:val="24"/>
        </w:rPr>
        <w:t xml:space="preserve"> </w:t>
      </w:r>
      <w:r w:rsidR="006A1C03" w:rsidRPr="006A1C03">
        <w:rPr>
          <w:rFonts w:ascii="Calibri" w:hAnsi="Calibri" w:cs="Calibri"/>
          <w:sz w:val="24"/>
          <w:szCs w:val="24"/>
        </w:rPr>
        <w:t>educational outcomes.</w:t>
      </w:r>
    </w:p>
    <w:p w:rsidR="006A1C03" w:rsidRDefault="006A1C03" w:rsidP="00BD5D4E">
      <w:pPr>
        <w:rPr>
          <w:rFonts w:ascii="Calibri" w:hAnsi="Calibri" w:cs="Calibri"/>
          <w:sz w:val="24"/>
          <w:szCs w:val="24"/>
        </w:rPr>
      </w:pPr>
    </w:p>
    <w:p w:rsidR="006A1C03" w:rsidRPr="00F534CE" w:rsidRDefault="00F534CE" w:rsidP="00BD5D4E">
      <w:pPr>
        <w:rPr>
          <w:rFonts w:ascii="Calibri" w:hAnsi="Calibri" w:cs="Calibri"/>
          <w:sz w:val="24"/>
          <w:szCs w:val="24"/>
        </w:rPr>
      </w:pPr>
      <w:r w:rsidRPr="00F534CE">
        <w:rPr>
          <w:rFonts w:ascii="Calibri" w:hAnsi="Calibri" w:cs="Calibri"/>
          <w:iCs/>
          <w:sz w:val="24"/>
          <w:szCs w:val="24"/>
        </w:rPr>
        <w:t xml:space="preserve">The Northern Territory’s out-of-home care reform project </w:t>
      </w:r>
      <w:r w:rsidR="00195CD3">
        <w:rPr>
          <w:rFonts w:ascii="Calibri" w:hAnsi="Calibri" w:cs="Calibri"/>
          <w:iCs/>
          <w:sz w:val="24"/>
          <w:szCs w:val="24"/>
        </w:rPr>
        <w:t>includes</w:t>
      </w:r>
      <w:r w:rsidRPr="00F534CE">
        <w:rPr>
          <w:rFonts w:ascii="Calibri" w:hAnsi="Calibri" w:cs="Calibri"/>
          <w:iCs/>
          <w:sz w:val="24"/>
          <w:szCs w:val="24"/>
        </w:rPr>
        <w:t xml:space="preserve"> </w:t>
      </w:r>
      <w:r w:rsidR="00195CD3">
        <w:rPr>
          <w:rFonts w:ascii="Calibri" w:hAnsi="Calibri" w:cs="Calibri"/>
          <w:iCs/>
          <w:sz w:val="24"/>
          <w:szCs w:val="24"/>
        </w:rPr>
        <w:t xml:space="preserve">the </w:t>
      </w:r>
      <w:r w:rsidRPr="00F534CE">
        <w:rPr>
          <w:rFonts w:ascii="Calibri" w:hAnsi="Calibri" w:cs="Calibri"/>
          <w:iCs/>
          <w:sz w:val="24"/>
          <w:szCs w:val="24"/>
        </w:rPr>
        <w:t xml:space="preserve">scoping </w:t>
      </w:r>
      <w:r w:rsidR="00195CD3">
        <w:rPr>
          <w:rFonts w:ascii="Calibri" w:hAnsi="Calibri" w:cs="Calibri"/>
          <w:iCs/>
          <w:sz w:val="24"/>
          <w:szCs w:val="24"/>
        </w:rPr>
        <w:t>of</w:t>
      </w:r>
      <w:r w:rsidRPr="00F534CE">
        <w:rPr>
          <w:rFonts w:ascii="Calibri" w:hAnsi="Calibri" w:cs="Calibri"/>
          <w:iCs/>
          <w:sz w:val="24"/>
          <w:szCs w:val="24"/>
        </w:rPr>
        <w:t xml:space="preserve"> services required for young people transitioning from care and moving into independence.</w:t>
      </w:r>
    </w:p>
    <w:p w:rsidR="006A1C03" w:rsidRPr="00706368" w:rsidRDefault="006A1C03" w:rsidP="00F56F9B">
      <w:pPr>
        <w:pStyle w:val="Heading4"/>
      </w:pPr>
      <w:r w:rsidRPr="00706368">
        <w:t>Improving Support for Carers</w:t>
      </w:r>
    </w:p>
    <w:p w:rsidR="00F534CE" w:rsidRPr="006A1C03" w:rsidRDefault="00195CD3" w:rsidP="00BD5D4E">
      <w:pPr>
        <w:rPr>
          <w:rFonts w:ascii="Calibri" w:hAnsi="Calibri" w:cs="Calibri"/>
          <w:sz w:val="24"/>
          <w:szCs w:val="24"/>
        </w:rPr>
      </w:pPr>
      <w:r>
        <w:rPr>
          <w:rFonts w:ascii="Calibri" w:hAnsi="Calibri" w:cs="Calibri"/>
          <w:sz w:val="24"/>
          <w:szCs w:val="24"/>
        </w:rPr>
        <w:t xml:space="preserve">The </w:t>
      </w:r>
      <w:r w:rsidR="00085F82">
        <w:rPr>
          <w:rFonts w:ascii="Calibri" w:hAnsi="Calibri" w:cs="Calibri"/>
          <w:sz w:val="24"/>
          <w:szCs w:val="24"/>
        </w:rPr>
        <w:t>out</w:t>
      </w:r>
      <w:r>
        <w:rPr>
          <w:rFonts w:ascii="Calibri" w:hAnsi="Calibri" w:cs="Calibri"/>
          <w:sz w:val="24"/>
          <w:szCs w:val="24"/>
        </w:rPr>
        <w:t>-of-home care reform project</w:t>
      </w:r>
      <w:r w:rsidR="006A1C03" w:rsidRPr="006A1C03">
        <w:rPr>
          <w:rFonts w:ascii="Calibri" w:hAnsi="Calibri" w:cs="Calibri"/>
          <w:sz w:val="24"/>
          <w:szCs w:val="24"/>
        </w:rPr>
        <w:t xml:space="preserve"> includes a carer recruitment and support function that will address impediments and increase opportunities for working families to become carers </w:t>
      </w:r>
      <w:r w:rsidR="00381A13">
        <w:rPr>
          <w:rFonts w:ascii="Calibri" w:hAnsi="Calibri" w:cs="Calibri"/>
          <w:sz w:val="24"/>
          <w:szCs w:val="24"/>
        </w:rPr>
        <w:t xml:space="preserve">by </w:t>
      </w:r>
      <w:r w:rsidR="006A1C03" w:rsidRPr="006A1C03">
        <w:rPr>
          <w:rFonts w:ascii="Calibri" w:hAnsi="Calibri" w:cs="Calibri"/>
          <w:sz w:val="24"/>
          <w:szCs w:val="24"/>
        </w:rPr>
        <w:t>providing ongoing support.</w:t>
      </w:r>
      <w:r w:rsidR="007764A2">
        <w:rPr>
          <w:rFonts w:ascii="Calibri" w:hAnsi="Calibri" w:cs="Calibri"/>
          <w:sz w:val="24"/>
          <w:szCs w:val="24"/>
        </w:rPr>
        <w:t xml:space="preserve"> </w:t>
      </w:r>
      <w:r w:rsidR="000341A5">
        <w:rPr>
          <w:rFonts w:ascii="Calibri" w:hAnsi="Calibri" w:cs="Calibri"/>
          <w:sz w:val="24"/>
          <w:szCs w:val="24"/>
        </w:rPr>
        <w:t>DCF</w:t>
      </w:r>
      <w:r w:rsidR="00381A13">
        <w:rPr>
          <w:rFonts w:ascii="Calibri" w:hAnsi="Calibri" w:cs="Calibri"/>
          <w:sz w:val="24"/>
          <w:szCs w:val="24"/>
        </w:rPr>
        <w:t>’s</w:t>
      </w:r>
      <w:r w:rsidR="006A1C03" w:rsidRPr="006A1C03">
        <w:rPr>
          <w:rFonts w:ascii="Calibri" w:hAnsi="Calibri" w:cs="Calibri"/>
          <w:sz w:val="24"/>
          <w:szCs w:val="24"/>
        </w:rPr>
        <w:t xml:space="preserve"> carer induction</w:t>
      </w:r>
      <w:r w:rsidR="00381A13">
        <w:rPr>
          <w:rFonts w:ascii="Calibri" w:hAnsi="Calibri" w:cs="Calibri"/>
          <w:sz w:val="24"/>
          <w:szCs w:val="24"/>
        </w:rPr>
        <w:t xml:space="preserve"> and </w:t>
      </w:r>
      <w:r w:rsidR="006A1C03" w:rsidRPr="006A1C03">
        <w:rPr>
          <w:rFonts w:ascii="Calibri" w:hAnsi="Calibri" w:cs="Calibri"/>
          <w:sz w:val="24"/>
          <w:szCs w:val="24"/>
        </w:rPr>
        <w:t>training package will be ready for implementation from October 2013.</w:t>
      </w:r>
      <w:r w:rsidR="007764A2">
        <w:rPr>
          <w:rFonts w:ascii="Calibri" w:hAnsi="Calibri" w:cs="Calibri"/>
          <w:sz w:val="24"/>
          <w:szCs w:val="24"/>
        </w:rPr>
        <w:t xml:space="preserve"> </w:t>
      </w:r>
      <w:r w:rsidR="00381A13">
        <w:rPr>
          <w:rFonts w:ascii="Calibri" w:hAnsi="Calibri" w:cs="Calibri"/>
          <w:sz w:val="24"/>
          <w:szCs w:val="24"/>
        </w:rPr>
        <w:t>C</w:t>
      </w:r>
      <w:r w:rsidR="00F534CE" w:rsidRPr="00F534CE">
        <w:rPr>
          <w:rFonts w:ascii="Calibri" w:hAnsi="Calibri" w:cs="Calibri"/>
          <w:sz w:val="24"/>
          <w:szCs w:val="24"/>
        </w:rPr>
        <w:t xml:space="preserve">ulturally supportive training methodologies are being developed to </w:t>
      </w:r>
      <w:r w:rsidR="00782887">
        <w:rPr>
          <w:rFonts w:ascii="Calibri" w:hAnsi="Calibri" w:cs="Calibri"/>
          <w:sz w:val="24"/>
          <w:szCs w:val="24"/>
        </w:rPr>
        <w:t>equip</w:t>
      </w:r>
      <w:r w:rsidR="00782887" w:rsidRPr="00F534CE">
        <w:rPr>
          <w:rFonts w:ascii="Calibri" w:hAnsi="Calibri" w:cs="Calibri"/>
          <w:sz w:val="24"/>
          <w:szCs w:val="24"/>
        </w:rPr>
        <w:t xml:space="preserve"> </w:t>
      </w:r>
      <w:r w:rsidR="00F534CE" w:rsidRPr="00F534CE">
        <w:rPr>
          <w:rFonts w:ascii="Calibri" w:hAnsi="Calibri" w:cs="Calibri"/>
          <w:sz w:val="24"/>
          <w:szCs w:val="24"/>
        </w:rPr>
        <w:t>staff to be able to support and train carers</w:t>
      </w:r>
      <w:r w:rsidR="00085F82">
        <w:rPr>
          <w:rFonts w:ascii="Calibri" w:hAnsi="Calibri" w:cs="Calibri"/>
          <w:sz w:val="24"/>
          <w:szCs w:val="24"/>
        </w:rPr>
        <w:t xml:space="preserve"> </w:t>
      </w:r>
      <w:r w:rsidR="00085F82" w:rsidRPr="00F534CE">
        <w:rPr>
          <w:rFonts w:ascii="Calibri" w:hAnsi="Calibri" w:cs="Calibri"/>
          <w:sz w:val="24"/>
          <w:szCs w:val="24"/>
        </w:rPr>
        <w:t>appropriately</w:t>
      </w:r>
      <w:r w:rsidR="00F534CE" w:rsidRPr="00F534CE">
        <w:rPr>
          <w:rFonts w:ascii="Calibri" w:hAnsi="Calibri" w:cs="Calibri"/>
          <w:sz w:val="24"/>
          <w:szCs w:val="24"/>
        </w:rPr>
        <w:t>.</w:t>
      </w:r>
    </w:p>
    <w:p w:rsidR="0080378D" w:rsidRPr="0080378D" w:rsidRDefault="0080378D" w:rsidP="00F56F9B">
      <w:pPr>
        <w:pStyle w:val="Heading4"/>
      </w:pPr>
      <w:r w:rsidRPr="0080378D">
        <w:t>Sector Development</w:t>
      </w:r>
    </w:p>
    <w:p w:rsidR="0080378D" w:rsidRPr="00314C9F" w:rsidRDefault="000341A5" w:rsidP="0080378D">
      <w:pPr>
        <w:rPr>
          <w:rFonts w:ascii="Calibri" w:hAnsi="Calibri" w:cs="Calibri"/>
          <w:sz w:val="24"/>
          <w:szCs w:val="24"/>
        </w:rPr>
      </w:pPr>
      <w:r>
        <w:rPr>
          <w:rFonts w:ascii="Calibri" w:hAnsi="Calibri" w:cs="Calibri"/>
          <w:sz w:val="24"/>
          <w:szCs w:val="24"/>
        </w:rPr>
        <w:t>DCF</w:t>
      </w:r>
      <w:r w:rsidR="0080378D" w:rsidRPr="00314C9F">
        <w:rPr>
          <w:rFonts w:ascii="Calibri" w:hAnsi="Calibri" w:cs="Calibri"/>
          <w:sz w:val="24"/>
          <w:szCs w:val="24"/>
        </w:rPr>
        <w:t xml:space="preserve"> has implemented the LPS, which is an integrated framework of VET and HE qualification pathways, non-accredited courses and skill sets designed to grow the capacity of the professional and </w:t>
      </w:r>
      <w:proofErr w:type="spellStart"/>
      <w:r w:rsidR="0080378D" w:rsidRPr="00314C9F">
        <w:rPr>
          <w:rFonts w:ascii="Calibri" w:hAnsi="Calibri" w:cs="Calibri"/>
          <w:sz w:val="24"/>
          <w:szCs w:val="24"/>
        </w:rPr>
        <w:t>para</w:t>
      </w:r>
      <w:proofErr w:type="spellEnd"/>
      <w:r w:rsidR="0080378D" w:rsidRPr="00314C9F">
        <w:rPr>
          <w:rFonts w:ascii="Calibri" w:hAnsi="Calibri" w:cs="Calibri"/>
          <w:sz w:val="24"/>
          <w:szCs w:val="24"/>
        </w:rPr>
        <w:t>-professional child protection workforce within the Northern Territory. The LPS focuses on developing our regional and remote Indigenous workforce, strengthening the professional stream and creating an agile workforce across the human and community services</w:t>
      </w:r>
      <w:r w:rsidR="00FB12A0">
        <w:rPr>
          <w:rFonts w:ascii="Calibri" w:hAnsi="Calibri" w:cs="Calibri"/>
          <w:sz w:val="24"/>
          <w:szCs w:val="24"/>
        </w:rPr>
        <w:t xml:space="preserve"> sector</w:t>
      </w:r>
      <w:r w:rsidR="0080378D" w:rsidRPr="00314C9F">
        <w:rPr>
          <w:rFonts w:ascii="Calibri" w:hAnsi="Calibri" w:cs="Calibri"/>
          <w:sz w:val="24"/>
          <w:szCs w:val="24"/>
        </w:rPr>
        <w:t xml:space="preserve">. </w:t>
      </w:r>
    </w:p>
    <w:p w:rsidR="0080378D" w:rsidRPr="00314C9F" w:rsidRDefault="0080378D" w:rsidP="0080378D">
      <w:pPr>
        <w:rPr>
          <w:rFonts w:ascii="Calibri" w:hAnsi="Calibri" w:cs="Calibri"/>
          <w:sz w:val="24"/>
          <w:szCs w:val="24"/>
        </w:rPr>
      </w:pPr>
    </w:p>
    <w:p w:rsidR="0080378D" w:rsidRPr="00314C9F" w:rsidRDefault="0080378D" w:rsidP="0080378D">
      <w:pPr>
        <w:rPr>
          <w:rFonts w:ascii="Calibri" w:hAnsi="Calibri" w:cs="Calibri"/>
          <w:sz w:val="24"/>
          <w:szCs w:val="24"/>
        </w:rPr>
      </w:pPr>
      <w:r w:rsidRPr="00314C9F">
        <w:rPr>
          <w:rFonts w:ascii="Calibri" w:hAnsi="Calibri" w:cs="Calibri"/>
          <w:sz w:val="24"/>
          <w:szCs w:val="24"/>
        </w:rPr>
        <w:t xml:space="preserve">The LPS offers </w:t>
      </w:r>
      <w:r w:rsidR="000341A5">
        <w:rPr>
          <w:rFonts w:ascii="Calibri" w:hAnsi="Calibri" w:cs="Calibri"/>
          <w:sz w:val="24"/>
          <w:szCs w:val="24"/>
        </w:rPr>
        <w:t>DCF</w:t>
      </w:r>
      <w:r w:rsidRPr="00314C9F">
        <w:rPr>
          <w:rFonts w:ascii="Calibri" w:hAnsi="Calibri" w:cs="Calibri"/>
          <w:sz w:val="24"/>
          <w:szCs w:val="24"/>
        </w:rPr>
        <w:t xml:space="preserve"> staff learning and career pathways from the administrative (</w:t>
      </w:r>
      <w:proofErr w:type="spellStart"/>
      <w:r w:rsidRPr="00314C9F">
        <w:rPr>
          <w:rFonts w:ascii="Calibri" w:hAnsi="Calibri" w:cs="Calibri"/>
          <w:sz w:val="24"/>
          <w:szCs w:val="24"/>
        </w:rPr>
        <w:t>para</w:t>
      </w:r>
      <w:proofErr w:type="spellEnd"/>
      <w:r w:rsidRPr="00314C9F">
        <w:rPr>
          <w:rFonts w:ascii="Calibri" w:hAnsi="Calibri" w:cs="Calibri"/>
          <w:sz w:val="24"/>
          <w:szCs w:val="24"/>
        </w:rPr>
        <w:t xml:space="preserve">-professional) stream to the professional stream through the vocational education system rather than the traditional </w:t>
      </w:r>
      <w:r w:rsidR="00CC16F4">
        <w:rPr>
          <w:rFonts w:ascii="Calibri" w:hAnsi="Calibri" w:cs="Calibri"/>
          <w:sz w:val="24"/>
          <w:szCs w:val="24"/>
        </w:rPr>
        <w:t>HE</w:t>
      </w:r>
      <w:r w:rsidRPr="00314C9F">
        <w:rPr>
          <w:rFonts w:ascii="Calibri" w:hAnsi="Calibri" w:cs="Calibri"/>
          <w:sz w:val="24"/>
          <w:szCs w:val="24"/>
        </w:rPr>
        <w:t xml:space="preserve"> pathway. This allows staff to earn as they learn and balance their social and cultural obligations.</w:t>
      </w:r>
    </w:p>
    <w:p w:rsidR="0080378D" w:rsidRPr="00314C9F" w:rsidRDefault="0080378D" w:rsidP="0080378D">
      <w:pPr>
        <w:rPr>
          <w:rFonts w:ascii="Calibri" w:hAnsi="Calibri" w:cs="Calibri"/>
          <w:sz w:val="24"/>
          <w:szCs w:val="24"/>
        </w:rPr>
      </w:pPr>
    </w:p>
    <w:p w:rsidR="0080378D" w:rsidRPr="00314C9F" w:rsidRDefault="0080378D" w:rsidP="0080378D">
      <w:pPr>
        <w:rPr>
          <w:rFonts w:ascii="Calibri" w:hAnsi="Calibri" w:cs="Calibri"/>
          <w:sz w:val="24"/>
          <w:szCs w:val="24"/>
        </w:rPr>
      </w:pPr>
      <w:r w:rsidRPr="00314C9F">
        <w:rPr>
          <w:rFonts w:ascii="Calibri" w:hAnsi="Calibri" w:cs="Calibri"/>
          <w:sz w:val="24"/>
          <w:szCs w:val="24"/>
        </w:rPr>
        <w:t>In designing and implementing the LPS, a thorough consultative process was undertaken with key stakeholders, including relevant unions, staffing groups, industry skills councils and industry associations. Griffith University undertook an independent evaluation of the Vocational Graduate Certificate (VGC) in terms of its utility and viability as a preparatory qualification for child protection workers with a Diploma of Child, Youth and Family Intervention to transition to the professional stream. The Griffith study concluded that the VGC is a suitable and appropriate qualification for preparation as a professional officer.</w:t>
      </w:r>
    </w:p>
    <w:p w:rsidR="0080378D" w:rsidRPr="00314C9F" w:rsidRDefault="0080378D" w:rsidP="0080378D">
      <w:pPr>
        <w:rPr>
          <w:rFonts w:ascii="Calibri" w:hAnsi="Calibri" w:cs="Calibri"/>
          <w:sz w:val="24"/>
          <w:szCs w:val="24"/>
        </w:rPr>
      </w:pPr>
    </w:p>
    <w:p w:rsidR="0080378D" w:rsidRPr="00314C9F" w:rsidRDefault="0080378D" w:rsidP="0080378D">
      <w:pPr>
        <w:rPr>
          <w:rFonts w:ascii="Calibri" w:hAnsi="Calibri" w:cs="Calibri"/>
          <w:sz w:val="24"/>
          <w:szCs w:val="24"/>
        </w:rPr>
      </w:pPr>
      <w:r w:rsidRPr="00314C9F">
        <w:rPr>
          <w:rFonts w:ascii="Calibri" w:hAnsi="Calibri" w:cs="Calibri"/>
          <w:sz w:val="24"/>
          <w:szCs w:val="24"/>
        </w:rPr>
        <w:t xml:space="preserve">While the design of the LPS is scaffolded so that staff can progress to higher level positions through successful completion of training, it is important to note that the LPS is not a linear pathway but </w:t>
      </w:r>
      <w:r w:rsidR="00FB12A0">
        <w:rPr>
          <w:rFonts w:ascii="Calibri" w:hAnsi="Calibri" w:cs="Calibri"/>
          <w:sz w:val="24"/>
          <w:szCs w:val="24"/>
        </w:rPr>
        <w:t xml:space="preserve">one that </w:t>
      </w:r>
      <w:r w:rsidRPr="00314C9F">
        <w:rPr>
          <w:rFonts w:ascii="Calibri" w:hAnsi="Calibri" w:cs="Calibri"/>
          <w:sz w:val="24"/>
          <w:szCs w:val="24"/>
        </w:rPr>
        <w:t xml:space="preserve">has been designed to meet individual learning and career aspirations. An important component in the development of the LPS was the articulation of pathways between </w:t>
      </w:r>
      <w:r w:rsidR="00561911">
        <w:rPr>
          <w:rFonts w:ascii="Calibri" w:hAnsi="Calibri" w:cs="Calibri"/>
          <w:sz w:val="24"/>
          <w:szCs w:val="24"/>
        </w:rPr>
        <w:t>VET</w:t>
      </w:r>
      <w:r w:rsidRPr="00314C9F">
        <w:rPr>
          <w:rFonts w:ascii="Calibri" w:hAnsi="Calibri" w:cs="Calibri"/>
          <w:sz w:val="24"/>
          <w:szCs w:val="24"/>
        </w:rPr>
        <w:t xml:space="preserve"> and HE providers that recognise and award credit for prior learning for VET and HE qualifications. For example, graduates with a Diploma of Child, Youth and Family Intervention have gained credits towards a Bachelor of Social Work. This recognises that staff may choose to follow a different training and development path to the VGC and offers staff the opportunity to follow their aspirations. This enhances the ability of our workforce to move easily across the community and human services sectors. </w:t>
      </w:r>
    </w:p>
    <w:p w:rsidR="0080378D" w:rsidRPr="00314C9F" w:rsidRDefault="0080378D" w:rsidP="0080378D">
      <w:pPr>
        <w:rPr>
          <w:rFonts w:ascii="Calibri" w:hAnsi="Calibri" w:cs="Calibri"/>
          <w:sz w:val="24"/>
          <w:szCs w:val="24"/>
        </w:rPr>
      </w:pPr>
    </w:p>
    <w:p w:rsidR="0080378D" w:rsidRPr="00314C9F" w:rsidRDefault="0080378D" w:rsidP="0080378D">
      <w:pPr>
        <w:rPr>
          <w:rFonts w:ascii="Calibri" w:hAnsi="Calibri" w:cs="Calibri"/>
          <w:sz w:val="24"/>
          <w:szCs w:val="24"/>
        </w:rPr>
      </w:pPr>
      <w:r w:rsidRPr="00314C9F">
        <w:rPr>
          <w:rFonts w:ascii="Calibri" w:hAnsi="Calibri" w:cs="Calibri"/>
          <w:sz w:val="24"/>
          <w:szCs w:val="24"/>
        </w:rPr>
        <w:t xml:space="preserve">The LPS is supported by accredited Language, Literacy and Numeracy (LLN) training at critical junctions (for example, from Cert III to Cert IV and Diploma to VGC) to ensure that staff are properly equipped with the skills to successfully undertake and complete the course. Providing staff with this additional support reduces attrition rates, enriches learning and builds lifelong literacy skills. </w:t>
      </w:r>
      <w:r w:rsidR="000341A5">
        <w:rPr>
          <w:rFonts w:ascii="Calibri" w:hAnsi="Calibri" w:cs="Calibri"/>
          <w:sz w:val="24"/>
          <w:szCs w:val="24"/>
        </w:rPr>
        <w:t>DCF</w:t>
      </w:r>
      <w:r w:rsidRPr="00314C9F">
        <w:rPr>
          <w:rFonts w:ascii="Calibri" w:hAnsi="Calibri" w:cs="Calibri"/>
          <w:sz w:val="24"/>
          <w:szCs w:val="24"/>
        </w:rPr>
        <w:t xml:space="preserve"> is building collaborative relationships across the training sector with registered training organisations partnering in the delivery of qualifications and LLN accreditations. For example, Charles Darwin University (CDU) is partnering with BCA National Training Group to provide LLN support to </w:t>
      </w:r>
      <w:r w:rsidR="000341A5">
        <w:rPr>
          <w:rFonts w:ascii="Calibri" w:hAnsi="Calibri" w:cs="Calibri"/>
          <w:sz w:val="24"/>
          <w:szCs w:val="24"/>
        </w:rPr>
        <w:t>DCF</w:t>
      </w:r>
      <w:r w:rsidRPr="00314C9F">
        <w:rPr>
          <w:rFonts w:ascii="Calibri" w:hAnsi="Calibri" w:cs="Calibri"/>
          <w:sz w:val="24"/>
          <w:szCs w:val="24"/>
        </w:rPr>
        <w:t xml:space="preserve"> Diploma students.</w:t>
      </w:r>
    </w:p>
    <w:p w:rsidR="0080378D" w:rsidRPr="00314C9F" w:rsidRDefault="0080378D" w:rsidP="0080378D">
      <w:pPr>
        <w:rPr>
          <w:rFonts w:ascii="Calibri" w:hAnsi="Calibri" w:cs="Calibri"/>
          <w:sz w:val="24"/>
          <w:szCs w:val="24"/>
        </w:rPr>
      </w:pPr>
    </w:p>
    <w:p w:rsidR="0080378D" w:rsidRPr="00314C9F" w:rsidRDefault="0080378D" w:rsidP="0080378D">
      <w:pPr>
        <w:rPr>
          <w:rFonts w:ascii="Calibri" w:hAnsi="Calibri" w:cs="Calibri"/>
          <w:sz w:val="24"/>
          <w:szCs w:val="24"/>
        </w:rPr>
      </w:pPr>
      <w:r w:rsidRPr="00314C9F">
        <w:rPr>
          <w:rFonts w:ascii="Calibri" w:hAnsi="Calibri" w:cs="Calibri"/>
          <w:sz w:val="24"/>
          <w:szCs w:val="24"/>
        </w:rPr>
        <w:t>The VGC is a child protection, postgraduate qualification, underpinned by on-the-job pedagogy, which prepares staff for frontline professional work. Delivery is culturally responsive, utilising inquiry-based learning with a focus on discussion, life, cultural experience and practice application.</w:t>
      </w:r>
    </w:p>
    <w:p w:rsidR="0080378D" w:rsidRPr="00314C9F" w:rsidRDefault="0080378D" w:rsidP="0080378D">
      <w:pPr>
        <w:rPr>
          <w:rFonts w:ascii="Calibri" w:hAnsi="Calibri" w:cs="Calibri"/>
          <w:sz w:val="24"/>
          <w:szCs w:val="24"/>
        </w:rPr>
      </w:pPr>
    </w:p>
    <w:p w:rsidR="0080378D" w:rsidRDefault="0080378D" w:rsidP="0080378D">
      <w:pPr>
        <w:rPr>
          <w:rFonts w:ascii="Calibri" w:hAnsi="Calibri" w:cs="Calibri"/>
          <w:sz w:val="24"/>
          <w:szCs w:val="24"/>
        </w:rPr>
      </w:pPr>
      <w:r w:rsidRPr="00314C9F">
        <w:rPr>
          <w:rFonts w:ascii="Calibri" w:hAnsi="Calibri" w:cs="Calibri"/>
          <w:sz w:val="24"/>
          <w:szCs w:val="24"/>
        </w:rPr>
        <w:t xml:space="preserve">The LPS responds to the </w:t>
      </w:r>
      <w:r w:rsidR="000341A5">
        <w:rPr>
          <w:rFonts w:ascii="Calibri" w:hAnsi="Calibri" w:cs="Calibri"/>
          <w:sz w:val="24"/>
          <w:szCs w:val="24"/>
        </w:rPr>
        <w:t>DCF</w:t>
      </w:r>
      <w:r w:rsidRPr="00314C9F">
        <w:rPr>
          <w:rFonts w:ascii="Calibri" w:hAnsi="Calibri" w:cs="Calibri"/>
          <w:sz w:val="24"/>
          <w:szCs w:val="24"/>
        </w:rPr>
        <w:t xml:space="preserve"> Workforce and Learning Strategy, which sets targets for the employment and capacity building of Aboriginal Territorians. It is an integrated framework of VET and HE qualification pathways which focus on developing our Indigenous workforce. Through the LPS, </w:t>
      </w:r>
      <w:r w:rsidR="000341A5">
        <w:rPr>
          <w:rFonts w:ascii="Calibri" w:hAnsi="Calibri" w:cs="Calibri"/>
          <w:sz w:val="24"/>
          <w:szCs w:val="24"/>
        </w:rPr>
        <w:t>DCF</w:t>
      </w:r>
      <w:r w:rsidRPr="00314C9F">
        <w:rPr>
          <w:rFonts w:ascii="Calibri" w:hAnsi="Calibri" w:cs="Calibri"/>
          <w:sz w:val="24"/>
          <w:szCs w:val="24"/>
        </w:rPr>
        <w:t xml:space="preserve"> is developing the regional and remote workforce and is in the process of developing a cultural learning framework to support the development of culturally responsive service provision.</w:t>
      </w:r>
    </w:p>
    <w:p w:rsidR="00FB12A0" w:rsidRDefault="00FB12A0" w:rsidP="00FB12A0">
      <w:pPr>
        <w:rPr>
          <w:rFonts w:ascii="Calibri" w:hAnsi="Calibri" w:cs="Calibri"/>
          <w:sz w:val="24"/>
          <w:szCs w:val="24"/>
        </w:rPr>
      </w:pPr>
    </w:p>
    <w:p w:rsidR="00FB12A0" w:rsidRPr="00314C9F" w:rsidRDefault="00FB12A0" w:rsidP="00FB12A0">
      <w:pPr>
        <w:rPr>
          <w:rFonts w:ascii="Calibri" w:hAnsi="Calibri" w:cs="Calibri"/>
          <w:sz w:val="24"/>
          <w:szCs w:val="24"/>
        </w:rPr>
      </w:pPr>
      <w:r>
        <w:rPr>
          <w:rFonts w:ascii="Calibri" w:hAnsi="Calibri" w:cs="Calibri"/>
          <w:sz w:val="24"/>
          <w:szCs w:val="24"/>
        </w:rPr>
        <w:t>DCF</w:t>
      </w:r>
      <w:r w:rsidRPr="00314C9F">
        <w:rPr>
          <w:rFonts w:ascii="Calibri" w:hAnsi="Calibri" w:cs="Calibri"/>
          <w:sz w:val="24"/>
          <w:szCs w:val="24"/>
        </w:rPr>
        <w:t xml:space="preserve"> developed two self-paced learning tools providing information about universal mandatory reporting requirements under the</w:t>
      </w:r>
      <w:r w:rsidRPr="004B26BA">
        <w:rPr>
          <w:rFonts w:ascii="Calibri" w:hAnsi="Calibri" w:cs="Calibri"/>
          <w:i/>
          <w:sz w:val="24"/>
          <w:szCs w:val="24"/>
        </w:rPr>
        <w:t xml:space="preserve"> Care and Protection of Children Act 2007</w:t>
      </w:r>
      <w:r w:rsidRPr="00314C9F">
        <w:rPr>
          <w:rFonts w:ascii="Calibri" w:hAnsi="Calibri" w:cs="Calibri"/>
          <w:sz w:val="24"/>
          <w:szCs w:val="24"/>
        </w:rPr>
        <w:t xml:space="preserve"> and the </w:t>
      </w:r>
      <w:r w:rsidRPr="004B26BA">
        <w:rPr>
          <w:rFonts w:ascii="Calibri" w:hAnsi="Calibri" w:cs="Calibri"/>
          <w:i/>
          <w:sz w:val="24"/>
          <w:szCs w:val="24"/>
        </w:rPr>
        <w:t>Domestic and Family Violence Act 2007</w:t>
      </w:r>
      <w:r w:rsidRPr="00314C9F">
        <w:rPr>
          <w:rFonts w:ascii="Calibri" w:hAnsi="Calibri" w:cs="Calibri"/>
          <w:sz w:val="24"/>
          <w:szCs w:val="24"/>
        </w:rPr>
        <w:t>. These are currently available online for all Northern Territory Government staff</w:t>
      </w:r>
      <w:r w:rsidR="004B26BA">
        <w:rPr>
          <w:rFonts w:ascii="Calibri" w:hAnsi="Calibri" w:cs="Calibri"/>
          <w:sz w:val="24"/>
          <w:szCs w:val="24"/>
        </w:rPr>
        <w:t>,</w:t>
      </w:r>
      <w:r w:rsidRPr="00314C9F">
        <w:rPr>
          <w:rFonts w:ascii="Calibri" w:hAnsi="Calibri" w:cs="Calibri"/>
          <w:sz w:val="24"/>
          <w:szCs w:val="24"/>
        </w:rPr>
        <w:t xml:space="preserve"> to inform their involvement with the community.</w:t>
      </w:r>
      <w:r>
        <w:rPr>
          <w:rFonts w:ascii="Calibri" w:hAnsi="Calibri" w:cs="Calibri"/>
          <w:sz w:val="24"/>
          <w:szCs w:val="24"/>
        </w:rPr>
        <w:t xml:space="preserve">  In addition, </w:t>
      </w:r>
      <w:r w:rsidRPr="00314C9F">
        <w:rPr>
          <w:rFonts w:ascii="Calibri" w:hAnsi="Calibri" w:cs="Calibri"/>
          <w:sz w:val="24"/>
          <w:szCs w:val="24"/>
        </w:rPr>
        <w:t xml:space="preserve">NAPCAN NT provides training about the NT’s mandatory reporting requirements under the </w:t>
      </w:r>
      <w:r w:rsidRPr="004B26BA">
        <w:rPr>
          <w:rFonts w:ascii="Calibri" w:hAnsi="Calibri" w:cs="Calibri"/>
          <w:i/>
          <w:sz w:val="24"/>
          <w:szCs w:val="24"/>
        </w:rPr>
        <w:t>Care and Protection of Children Act 2007</w:t>
      </w:r>
      <w:r w:rsidRPr="00314C9F">
        <w:rPr>
          <w:rFonts w:ascii="Calibri" w:hAnsi="Calibri" w:cs="Calibri"/>
          <w:sz w:val="24"/>
          <w:szCs w:val="24"/>
        </w:rPr>
        <w:t xml:space="preserve"> and the </w:t>
      </w:r>
      <w:r w:rsidRPr="004B26BA">
        <w:rPr>
          <w:rFonts w:ascii="Calibri" w:hAnsi="Calibri" w:cs="Calibri"/>
          <w:i/>
          <w:sz w:val="24"/>
          <w:szCs w:val="24"/>
        </w:rPr>
        <w:t>Domestic and Family Violence Act 2007</w:t>
      </w:r>
      <w:r w:rsidRPr="00314C9F">
        <w:rPr>
          <w:rFonts w:ascii="Calibri" w:hAnsi="Calibri" w:cs="Calibri"/>
          <w:sz w:val="24"/>
          <w:szCs w:val="24"/>
        </w:rPr>
        <w:t xml:space="preserve"> to a range of frontline staff in government and </w:t>
      </w:r>
      <w:r>
        <w:rPr>
          <w:rFonts w:ascii="Calibri" w:hAnsi="Calibri" w:cs="Calibri"/>
          <w:sz w:val="24"/>
          <w:szCs w:val="24"/>
        </w:rPr>
        <w:t>community sector</w:t>
      </w:r>
      <w:r w:rsidRPr="00314C9F">
        <w:rPr>
          <w:rFonts w:ascii="Calibri" w:hAnsi="Calibri" w:cs="Calibri"/>
          <w:sz w:val="24"/>
          <w:szCs w:val="24"/>
        </w:rPr>
        <w:t xml:space="preserve"> services.</w:t>
      </w:r>
    </w:p>
    <w:p w:rsidR="004B26BA" w:rsidRDefault="004B26BA" w:rsidP="0080378D">
      <w:pPr>
        <w:rPr>
          <w:rFonts w:ascii="Calibri" w:hAnsi="Calibri" w:cs="Calibri"/>
          <w:sz w:val="24"/>
          <w:szCs w:val="24"/>
        </w:rPr>
      </w:pPr>
    </w:p>
    <w:p w:rsidR="0080378D" w:rsidRPr="00314C9F" w:rsidRDefault="0080378D" w:rsidP="0080378D">
      <w:pPr>
        <w:rPr>
          <w:rFonts w:ascii="Calibri" w:hAnsi="Calibri" w:cs="Calibri"/>
          <w:sz w:val="24"/>
          <w:szCs w:val="24"/>
        </w:rPr>
      </w:pPr>
      <w:r w:rsidRPr="00314C9F">
        <w:rPr>
          <w:rFonts w:ascii="Calibri" w:hAnsi="Calibri" w:cs="Calibri"/>
          <w:sz w:val="24"/>
          <w:szCs w:val="24"/>
        </w:rPr>
        <w:t xml:space="preserve">The reform of the residential care services in the </w:t>
      </w:r>
      <w:r w:rsidR="005E67E8">
        <w:rPr>
          <w:rFonts w:ascii="Calibri" w:hAnsi="Calibri" w:cs="Calibri"/>
          <w:sz w:val="24"/>
          <w:szCs w:val="24"/>
        </w:rPr>
        <w:t>community</w:t>
      </w:r>
      <w:r w:rsidRPr="00314C9F">
        <w:rPr>
          <w:rFonts w:ascii="Calibri" w:hAnsi="Calibri" w:cs="Calibri"/>
          <w:sz w:val="24"/>
          <w:szCs w:val="24"/>
        </w:rPr>
        <w:t xml:space="preserve"> sector will include service standards and specifications benchmarked against the National Out-of-Home Care Standards for children requiring residential placements. A joint training and development approach between the </w:t>
      </w:r>
      <w:r w:rsidR="005E67E8">
        <w:rPr>
          <w:rFonts w:ascii="Calibri" w:hAnsi="Calibri" w:cs="Calibri"/>
          <w:sz w:val="24"/>
          <w:szCs w:val="24"/>
        </w:rPr>
        <w:t>community</w:t>
      </w:r>
      <w:r w:rsidRPr="00314C9F">
        <w:rPr>
          <w:rFonts w:ascii="Calibri" w:hAnsi="Calibri" w:cs="Calibri"/>
          <w:sz w:val="24"/>
          <w:szCs w:val="24"/>
        </w:rPr>
        <w:t xml:space="preserve"> sector and </w:t>
      </w:r>
      <w:r w:rsidR="000341A5">
        <w:rPr>
          <w:rFonts w:ascii="Calibri" w:hAnsi="Calibri" w:cs="Calibri"/>
          <w:sz w:val="24"/>
          <w:szCs w:val="24"/>
        </w:rPr>
        <w:t>DCF</w:t>
      </w:r>
      <w:r w:rsidRPr="00314C9F">
        <w:rPr>
          <w:rFonts w:ascii="Calibri" w:hAnsi="Calibri" w:cs="Calibri"/>
          <w:sz w:val="24"/>
          <w:szCs w:val="24"/>
        </w:rPr>
        <w:t xml:space="preserve"> has been established. The Charter of Rights currently under development will be embedded in all service agreements and contracts.</w:t>
      </w:r>
    </w:p>
    <w:p w:rsidR="00BD5D4E" w:rsidRPr="00821556" w:rsidRDefault="00BD5D4E" w:rsidP="00792804">
      <w:pPr>
        <w:pStyle w:val="Heading3"/>
      </w:pPr>
      <w:bookmarkStart w:id="166" w:name="Friday"/>
      <w:bookmarkStart w:id="167" w:name="_Toc400007751"/>
      <w:bookmarkEnd w:id="166"/>
      <w:r w:rsidRPr="00821556">
        <w:t>Queensland</w:t>
      </w:r>
      <w:bookmarkEnd w:id="167"/>
    </w:p>
    <w:p w:rsidR="00D50EB6" w:rsidRPr="00706368" w:rsidRDefault="00D50EB6" w:rsidP="00F56F9B">
      <w:pPr>
        <w:pStyle w:val="Heading4"/>
      </w:pPr>
      <w:r w:rsidRPr="00706368">
        <w:t>National Standards for Out-of-Home Care</w:t>
      </w:r>
    </w:p>
    <w:p w:rsidR="00D50EB6" w:rsidRPr="00D50EB6" w:rsidRDefault="00D50EB6" w:rsidP="00D50EB6">
      <w:pPr>
        <w:rPr>
          <w:rFonts w:ascii="Calibri" w:hAnsi="Calibri" w:cs="Calibri"/>
          <w:sz w:val="24"/>
          <w:szCs w:val="24"/>
        </w:rPr>
      </w:pPr>
      <w:r w:rsidRPr="00D50EB6">
        <w:rPr>
          <w:rFonts w:ascii="Calibri" w:hAnsi="Calibri" w:cs="Calibri"/>
          <w:iCs/>
          <w:sz w:val="24"/>
          <w:szCs w:val="24"/>
        </w:rPr>
        <w:t xml:space="preserve">Queensland currently implements the </w:t>
      </w:r>
      <w:r w:rsidR="00314725">
        <w:rPr>
          <w:rFonts w:ascii="Calibri" w:hAnsi="Calibri" w:cs="Calibri"/>
          <w:iCs/>
          <w:sz w:val="24"/>
          <w:szCs w:val="24"/>
        </w:rPr>
        <w:t>ATSICPP</w:t>
      </w:r>
      <w:r w:rsidR="00314725" w:rsidRPr="00D50EB6">
        <w:rPr>
          <w:rFonts w:ascii="Calibri" w:hAnsi="Calibri" w:cs="Calibri"/>
          <w:iCs/>
          <w:sz w:val="24"/>
          <w:szCs w:val="24"/>
        </w:rPr>
        <w:t xml:space="preserve"> </w:t>
      </w:r>
      <w:r w:rsidRPr="00D50EB6">
        <w:rPr>
          <w:rFonts w:ascii="Calibri" w:hAnsi="Calibri" w:cs="Calibri"/>
          <w:iCs/>
          <w:sz w:val="24"/>
          <w:szCs w:val="24"/>
        </w:rPr>
        <w:t>to inform placement and improve outc</w:t>
      </w:r>
      <w:r w:rsidR="00195CD3">
        <w:rPr>
          <w:rFonts w:ascii="Calibri" w:hAnsi="Calibri" w:cs="Calibri"/>
          <w:iCs/>
          <w:sz w:val="24"/>
          <w:szCs w:val="24"/>
        </w:rPr>
        <w:t>omes for Aboriginal and Torres S</w:t>
      </w:r>
      <w:r w:rsidRPr="00D50EB6">
        <w:rPr>
          <w:rFonts w:ascii="Calibri" w:hAnsi="Calibri" w:cs="Calibri"/>
          <w:iCs/>
          <w:sz w:val="24"/>
          <w:szCs w:val="24"/>
        </w:rPr>
        <w:t>trait Islander children and young people in care. The authority for the A</w:t>
      </w:r>
      <w:r w:rsidR="00314725">
        <w:rPr>
          <w:rFonts w:ascii="Calibri" w:hAnsi="Calibri" w:cs="Calibri"/>
          <w:iCs/>
          <w:sz w:val="24"/>
          <w:szCs w:val="24"/>
        </w:rPr>
        <w:t>TSI</w:t>
      </w:r>
      <w:r w:rsidRPr="00D50EB6">
        <w:rPr>
          <w:rFonts w:ascii="Calibri" w:hAnsi="Calibri" w:cs="Calibri"/>
          <w:iCs/>
          <w:sz w:val="24"/>
          <w:szCs w:val="24"/>
        </w:rPr>
        <w:t xml:space="preserve">CPP is contained within Section 83 of the </w:t>
      </w:r>
      <w:r w:rsidRPr="00195CD3">
        <w:rPr>
          <w:rFonts w:ascii="Calibri" w:hAnsi="Calibri" w:cs="Calibri"/>
          <w:i/>
          <w:iCs/>
          <w:sz w:val="24"/>
          <w:szCs w:val="24"/>
        </w:rPr>
        <w:t>Child Protection Act 1999</w:t>
      </w:r>
      <w:r w:rsidRPr="00D50EB6">
        <w:rPr>
          <w:rFonts w:ascii="Calibri" w:hAnsi="Calibri" w:cs="Calibri"/>
          <w:iCs/>
          <w:sz w:val="24"/>
          <w:szCs w:val="24"/>
        </w:rPr>
        <w:t>. When an Aboriginal or Torres Strait Islander child is placed with a carer who is not an Aboriginal or Torres Strait Islander person, Child Safety staff must, in addition to required case planning and review procedures, regularly review the child’s placement in partnership with f</w:t>
      </w:r>
      <w:r w:rsidR="00195CD3">
        <w:rPr>
          <w:rFonts w:ascii="Calibri" w:hAnsi="Calibri" w:cs="Calibri"/>
          <w:iCs/>
          <w:sz w:val="24"/>
          <w:szCs w:val="24"/>
        </w:rPr>
        <w:t xml:space="preserve">amily and the Recognised Entity. They must also </w:t>
      </w:r>
      <w:r w:rsidRPr="00D50EB6">
        <w:rPr>
          <w:rFonts w:ascii="Calibri" w:hAnsi="Calibri" w:cs="Calibri"/>
          <w:iCs/>
          <w:sz w:val="24"/>
          <w:szCs w:val="24"/>
        </w:rPr>
        <w:t>continue to attempt to locate a placement that complies with the hierarchy of placements outlined in the A</w:t>
      </w:r>
      <w:r w:rsidR="00314725">
        <w:rPr>
          <w:rFonts w:ascii="Calibri" w:hAnsi="Calibri" w:cs="Calibri"/>
          <w:iCs/>
          <w:sz w:val="24"/>
          <w:szCs w:val="24"/>
        </w:rPr>
        <w:t>TSI</w:t>
      </w:r>
      <w:r w:rsidRPr="00D50EB6">
        <w:rPr>
          <w:rFonts w:ascii="Calibri" w:hAnsi="Calibri" w:cs="Calibri"/>
          <w:iCs/>
          <w:sz w:val="24"/>
          <w:szCs w:val="24"/>
        </w:rPr>
        <w:t>CPP.</w:t>
      </w:r>
    </w:p>
    <w:p w:rsidR="00D50EB6" w:rsidRPr="00D50EB6" w:rsidRDefault="00D50EB6" w:rsidP="00D50EB6">
      <w:pPr>
        <w:rPr>
          <w:rFonts w:ascii="Calibri" w:hAnsi="Calibri" w:cs="Calibri"/>
          <w:sz w:val="24"/>
          <w:szCs w:val="24"/>
        </w:rPr>
      </w:pPr>
    </w:p>
    <w:p w:rsidR="00D50EB6" w:rsidRPr="00D50EB6" w:rsidRDefault="00D50EB6" w:rsidP="00D50EB6">
      <w:pPr>
        <w:rPr>
          <w:rFonts w:ascii="Calibri" w:hAnsi="Calibri" w:cs="Calibri"/>
          <w:sz w:val="24"/>
          <w:szCs w:val="24"/>
        </w:rPr>
      </w:pPr>
      <w:r w:rsidRPr="00D50EB6">
        <w:rPr>
          <w:rFonts w:ascii="Calibri" w:hAnsi="Calibri" w:cs="Calibri"/>
          <w:iCs/>
          <w:sz w:val="24"/>
          <w:szCs w:val="24"/>
        </w:rPr>
        <w:t>Queensland continues to participate</w:t>
      </w:r>
      <w:r w:rsidR="00384E06" w:rsidRPr="00384E06">
        <w:rPr>
          <w:rFonts w:ascii="Calibri" w:hAnsi="Calibri" w:cs="Calibri"/>
          <w:iCs/>
          <w:sz w:val="24"/>
          <w:szCs w:val="24"/>
        </w:rPr>
        <w:t xml:space="preserve"> </w:t>
      </w:r>
      <w:r w:rsidR="00384E06" w:rsidRPr="00D50EB6">
        <w:rPr>
          <w:rFonts w:ascii="Calibri" w:hAnsi="Calibri" w:cs="Calibri"/>
          <w:iCs/>
          <w:sz w:val="24"/>
          <w:szCs w:val="24"/>
        </w:rPr>
        <w:t>actively</w:t>
      </w:r>
      <w:r w:rsidRPr="00D50EB6">
        <w:rPr>
          <w:rFonts w:ascii="Calibri" w:hAnsi="Calibri" w:cs="Calibri"/>
          <w:iCs/>
          <w:sz w:val="24"/>
          <w:szCs w:val="24"/>
        </w:rPr>
        <w:t xml:space="preserve"> in national initiatives to address the issues impacting on the implementation of the A</w:t>
      </w:r>
      <w:r w:rsidR="00314725">
        <w:rPr>
          <w:rFonts w:ascii="Calibri" w:hAnsi="Calibri" w:cs="Calibri"/>
          <w:iCs/>
          <w:sz w:val="24"/>
          <w:szCs w:val="24"/>
        </w:rPr>
        <w:t>TSI</w:t>
      </w:r>
      <w:r w:rsidRPr="00D50EB6">
        <w:rPr>
          <w:rFonts w:ascii="Calibri" w:hAnsi="Calibri" w:cs="Calibri"/>
          <w:iCs/>
          <w:sz w:val="24"/>
          <w:szCs w:val="24"/>
        </w:rPr>
        <w:t>CPP. In May 2013, Queensland co-led a nation</w:t>
      </w:r>
      <w:r w:rsidR="00195CD3">
        <w:rPr>
          <w:rFonts w:ascii="Calibri" w:hAnsi="Calibri" w:cs="Calibri"/>
          <w:iCs/>
          <w:sz w:val="24"/>
          <w:szCs w:val="24"/>
        </w:rPr>
        <w:t>al workshop on the A</w:t>
      </w:r>
      <w:r w:rsidR="00314725">
        <w:rPr>
          <w:rFonts w:ascii="Calibri" w:hAnsi="Calibri" w:cs="Calibri"/>
          <w:iCs/>
          <w:sz w:val="24"/>
          <w:szCs w:val="24"/>
        </w:rPr>
        <w:t>TSI</w:t>
      </w:r>
      <w:r w:rsidR="00195CD3">
        <w:rPr>
          <w:rFonts w:ascii="Calibri" w:hAnsi="Calibri" w:cs="Calibri"/>
          <w:iCs/>
          <w:sz w:val="24"/>
          <w:szCs w:val="24"/>
        </w:rPr>
        <w:t>CPP,</w:t>
      </w:r>
      <w:r w:rsidRPr="00D50EB6">
        <w:rPr>
          <w:rFonts w:ascii="Calibri" w:hAnsi="Calibri" w:cs="Calibri"/>
          <w:iCs/>
          <w:sz w:val="24"/>
          <w:szCs w:val="24"/>
        </w:rPr>
        <w:t xml:space="preserve"> in collaboration with the </w:t>
      </w:r>
      <w:r w:rsidR="00D31C59">
        <w:rPr>
          <w:rFonts w:ascii="Calibri" w:hAnsi="Calibri" w:cs="Calibri"/>
          <w:iCs/>
          <w:sz w:val="24"/>
          <w:szCs w:val="24"/>
        </w:rPr>
        <w:t>Australian Government</w:t>
      </w:r>
      <w:r w:rsidRPr="00D50EB6">
        <w:rPr>
          <w:rFonts w:ascii="Calibri" w:hAnsi="Calibri" w:cs="Calibri"/>
          <w:iCs/>
          <w:sz w:val="24"/>
          <w:szCs w:val="24"/>
        </w:rPr>
        <w:t xml:space="preserve"> and NSW</w:t>
      </w:r>
      <w:r w:rsidR="00195CD3">
        <w:rPr>
          <w:rFonts w:ascii="Calibri" w:hAnsi="Calibri" w:cs="Calibri"/>
          <w:iCs/>
          <w:sz w:val="24"/>
          <w:szCs w:val="24"/>
        </w:rPr>
        <w:t>,</w:t>
      </w:r>
      <w:r w:rsidRPr="00D50EB6">
        <w:rPr>
          <w:rFonts w:ascii="Calibri" w:hAnsi="Calibri" w:cs="Calibri"/>
          <w:iCs/>
          <w:sz w:val="24"/>
          <w:szCs w:val="24"/>
        </w:rPr>
        <w:t xml:space="preserve"> to enhance the application and nationally consistent reporting of the A</w:t>
      </w:r>
      <w:r w:rsidR="00314725">
        <w:rPr>
          <w:rFonts w:ascii="Calibri" w:hAnsi="Calibri" w:cs="Calibri"/>
          <w:iCs/>
          <w:sz w:val="24"/>
          <w:szCs w:val="24"/>
        </w:rPr>
        <w:t>TSI</w:t>
      </w:r>
      <w:r w:rsidRPr="00D50EB6">
        <w:rPr>
          <w:rFonts w:ascii="Calibri" w:hAnsi="Calibri" w:cs="Calibri"/>
          <w:iCs/>
          <w:sz w:val="24"/>
          <w:szCs w:val="24"/>
        </w:rPr>
        <w:t>CPP. Key discussions from the workshop align</w:t>
      </w:r>
      <w:r w:rsidR="00195CD3">
        <w:rPr>
          <w:rFonts w:ascii="Calibri" w:hAnsi="Calibri" w:cs="Calibri"/>
          <w:iCs/>
          <w:sz w:val="24"/>
          <w:szCs w:val="24"/>
        </w:rPr>
        <w:t>ed</w:t>
      </w:r>
      <w:r w:rsidRPr="00D50EB6">
        <w:rPr>
          <w:rFonts w:ascii="Calibri" w:hAnsi="Calibri" w:cs="Calibri"/>
          <w:iCs/>
          <w:sz w:val="24"/>
          <w:szCs w:val="24"/>
        </w:rPr>
        <w:t xml:space="preserve"> with ongoing work with</w:t>
      </w:r>
      <w:r w:rsidR="00195CD3">
        <w:rPr>
          <w:rFonts w:ascii="Calibri" w:hAnsi="Calibri" w:cs="Calibri"/>
          <w:iCs/>
          <w:sz w:val="24"/>
          <w:szCs w:val="24"/>
        </w:rPr>
        <w:t>in Queensland, including</w:t>
      </w:r>
      <w:r w:rsidRPr="00D50EB6">
        <w:rPr>
          <w:rFonts w:ascii="Calibri" w:hAnsi="Calibri" w:cs="Calibri"/>
          <w:iCs/>
          <w:sz w:val="24"/>
          <w:szCs w:val="24"/>
        </w:rPr>
        <w:t xml:space="preserve"> the need for a clear shared understanding of the intent of the A</w:t>
      </w:r>
      <w:r w:rsidR="00314725">
        <w:rPr>
          <w:rFonts w:ascii="Calibri" w:hAnsi="Calibri" w:cs="Calibri"/>
          <w:iCs/>
          <w:sz w:val="24"/>
          <w:szCs w:val="24"/>
        </w:rPr>
        <w:t>TSI</w:t>
      </w:r>
      <w:r w:rsidRPr="00D50EB6">
        <w:rPr>
          <w:rFonts w:ascii="Calibri" w:hAnsi="Calibri" w:cs="Calibri"/>
          <w:iCs/>
          <w:sz w:val="24"/>
          <w:szCs w:val="24"/>
        </w:rPr>
        <w:t>CPP, which is to keep Aboriginal and Torres Strait Islander children safely within their families and communities and to reduce the number of Indigenous children in the child protection system.</w:t>
      </w:r>
    </w:p>
    <w:p w:rsidR="00D50EB6" w:rsidRDefault="00D50EB6" w:rsidP="00DD4408">
      <w:pPr>
        <w:rPr>
          <w:rFonts w:ascii="Calibri" w:hAnsi="Calibri" w:cs="Calibri"/>
          <w:sz w:val="24"/>
          <w:szCs w:val="24"/>
        </w:rPr>
      </w:pPr>
    </w:p>
    <w:p w:rsidR="00D50EB6" w:rsidRPr="00D50EB6" w:rsidRDefault="00D50EB6" w:rsidP="00D50EB6">
      <w:pPr>
        <w:rPr>
          <w:rFonts w:ascii="Calibri" w:hAnsi="Calibri" w:cs="Calibri"/>
          <w:sz w:val="24"/>
          <w:szCs w:val="24"/>
        </w:rPr>
      </w:pPr>
      <w:r w:rsidRPr="00D50EB6">
        <w:rPr>
          <w:rFonts w:ascii="Calibri" w:hAnsi="Calibri" w:cs="Calibri"/>
          <w:sz w:val="24"/>
          <w:szCs w:val="24"/>
        </w:rPr>
        <w:t xml:space="preserve">In June 2012, </w:t>
      </w:r>
      <w:r w:rsidR="00384E06">
        <w:rPr>
          <w:rFonts w:ascii="Calibri" w:hAnsi="Calibri" w:cs="Calibri"/>
          <w:sz w:val="24"/>
          <w:szCs w:val="24"/>
        </w:rPr>
        <w:t xml:space="preserve">the </w:t>
      </w:r>
      <w:r w:rsidRPr="00164694">
        <w:rPr>
          <w:rFonts w:ascii="Calibri" w:hAnsi="Calibri" w:cs="Calibri"/>
          <w:sz w:val="24"/>
          <w:szCs w:val="24"/>
        </w:rPr>
        <w:t>Queensland Government</w:t>
      </w:r>
      <w:r w:rsidR="005B03C5">
        <w:rPr>
          <w:rFonts w:ascii="Calibri" w:hAnsi="Calibri" w:cs="Calibri"/>
          <w:sz w:val="24"/>
          <w:szCs w:val="24"/>
        </w:rPr>
        <w:t>,</w:t>
      </w:r>
      <w:r w:rsidRPr="00164694">
        <w:rPr>
          <w:rFonts w:ascii="Calibri" w:hAnsi="Calibri" w:cs="Calibri"/>
          <w:sz w:val="24"/>
          <w:szCs w:val="24"/>
        </w:rPr>
        <w:t xml:space="preserve"> through </w:t>
      </w:r>
      <w:r w:rsidR="00384E06" w:rsidRPr="00856FA8">
        <w:rPr>
          <w:rFonts w:ascii="Calibri" w:hAnsi="Calibri"/>
          <w:sz w:val="24"/>
        </w:rPr>
        <w:t>DCCSDS</w:t>
      </w:r>
      <w:r w:rsidR="005B03C5">
        <w:rPr>
          <w:rFonts w:ascii="Calibri" w:hAnsi="Calibri"/>
          <w:sz w:val="24"/>
        </w:rPr>
        <w:t>,</w:t>
      </w:r>
      <w:r w:rsidRPr="00D50EB6">
        <w:rPr>
          <w:rFonts w:ascii="Calibri" w:hAnsi="Calibri" w:cs="Calibri"/>
          <w:sz w:val="24"/>
          <w:szCs w:val="24"/>
        </w:rPr>
        <w:t xml:space="preserve"> commenced a </w:t>
      </w:r>
      <w:proofErr w:type="spellStart"/>
      <w:r w:rsidRPr="00D50EB6">
        <w:rPr>
          <w:rFonts w:ascii="Calibri" w:hAnsi="Calibri" w:cs="Calibri"/>
          <w:sz w:val="24"/>
          <w:szCs w:val="24"/>
        </w:rPr>
        <w:t>statewide</w:t>
      </w:r>
      <w:proofErr w:type="spellEnd"/>
      <w:r w:rsidRPr="00D50EB6">
        <w:rPr>
          <w:rFonts w:ascii="Calibri" w:hAnsi="Calibri" w:cs="Calibri"/>
          <w:sz w:val="24"/>
          <w:szCs w:val="24"/>
        </w:rPr>
        <w:t xml:space="preserve"> project </w:t>
      </w:r>
      <w:r w:rsidR="00195CD3">
        <w:rPr>
          <w:rFonts w:ascii="Calibri" w:hAnsi="Calibri" w:cs="Calibri"/>
          <w:sz w:val="24"/>
          <w:szCs w:val="24"/>
        </w:rPr>
        <w:t>to identify (where appropriate)</w:t>
      </w:r>
      <w:r w:rsidRPr="00D50EB6">
        <w:rPr>
          <w:rFonts w:ascii="Calibri" w:hAnsi="Calibri" w:cs="Calibri"/>
          <w:sz w:val="24"/>
          <w:szCs w:val="24"/>
        </w:rPr>
        <w:t xml:space="preserve"> persons suitable to be a child’s long-term guardian where the child is in the long-term guardianship of the </w:t>
      </w:r>
      <w:r w:rsidR="00195CD3">
        <w:rPr>
          <w:rFonts w:ascii="Calibri" w:hAnsi="Calibri" w:cs="Calibri"/>
          <w:sz w:val="24"/>
          <w:szCs w:val="24"/>
        </w:rPr>
        <w:t>Chief E</w:t>
      </w:r>
      <w:r w:rsidRPr="00D50EB6">
        <w:rPr>
          <w:rFonts w:ascii="Calibri" w:hAnsi="Calibri" w:cs="Calibri"/>
          <w:sz w:val="24"/>
          <w:szCs w:val="24"/>
        </w:rPr>
        <w:t>xecutive. The primary objective of the project is to enhance permanency outcomes for children subject to child protection orders. It seeks to encourage applications for orders granting long-term guardianship to the Chief Executive to be varied to grant long-term guardianship to a family me</w:t>
      </w:r>
      <w:r w:rsidR="00195CD3">
        <w:rPr>
          <w:rFonts w:ascii="Calibri" w:hAnsi="Calibri" w:cs="Calibri"/>
          <w:sz w:val="24"/>
          <w:szCs w:val="24"/>
        </w:rPr>
        <w:t xml:space="preserve">mber or another suitable person where possible. </w:t>
      </w:r>
      <w:r w:rsidRPr="00D50EB6">
        <w:rPr>
          <w:rFonts w:ascii="Calibri" w:hAnsi="Calibri" w:cs="Calibri"/>
          <w:sz w:val="24"/>
          <w:szCs w:val="24"/>
        </w:rPr>
        <w:t>Since 31 March 2012, the number of children subject to long-term guardianship orders in favour of another suitable person has increased by 2.4 per cent.</w:t>
      </w:r>
    </w:p>
    <w:p w:rsidR="008930A8" w:rsidRPr="00706368" w:rsidRDefault="00D50EB6" w:rsidP="00F56F9B">
      <w:pPr>
        <w:pStyle w:val="Heading4"/>
      </w:pPr>
      <w:r w:rsidRPr="00706368">
        <w:t>Transitioning to Independence</w:t>
      </w:r>
    </w:p>
    <w:p w:rsidR="00D50EB6" w:rsidRPr="00D50EB6" w:rsidRDefault="00D50EB6" w:rsidP="00D50EB6">
      <w:pPr>
        <w:rPr>
          <w:rFonts w:ascii="Calibri" w:hAnsi="Calibri" w:cs="Calibri"/>
          <w:sz w:val="24"/>
          <w:szCs w:val="24"/>
        </w:rPr>
      </w:pPr>
      <w:r w:rsidRPr="00D50EB6">
        <w:rPr>
          <w:rFonts w:ascii="Calibri" w:hAnsi="Calibri" w:cs="Calibri"/>
          <w:sz w:val="24"/>
          <w:szCs w:val="24"/>
        </w:rPr>
        <w:t xml:space="preserve">In 2012, the </w:t>
      </w:r>
      <w:r w:rsidRPr="00164694">
        <w:rPr>
          <w:rFonts w:ascii="Calibri" w:hAnsi="Calibri" w:cs="Calibri"/>
          <w:sz w:val="24"/>
          <w:szCs w:val="24"/>
        </w:rPr>
        <w:t>Queensland Government made</w:t>
      </w:r>
      <w:r w:rsidRPr="00D50EB6">
        <w:rPr>
          <w:rFonts w:ascii="Calibri" w:hAnsi="Calibri" w:cs="Calibri"/>
          <w:sz w:val="24"/>
          <w:szCs w:val="24"/>
        </w:rPr>
        <w:t xml:space="preserve"> an election commitment to reform the transition from care program to enhance the support of young peo</w:t>
      </w:r>
      <w:r w:rsidR="00195CD3">
        <w:rPr>
          <w:rFonts w:ascii="Calibri" w:hAnsi="Calibri" w:cs="Calibri"/>
          <w:sz w:val="24"/>
          <w:szCs w:val="24"/>
        </w:rPr>
        <w:t xml:space="preserve">ple approaching 18 years of age and </w:t>
      </w:r>
      <w:r w:rsidR="00266F5E">
        <w:rPr>
          <w:rFonts w:ascii="Calibri" w:hAnsi="Calibri" w:cs="Calibri"/>
          <w:sz w:val="24"/>
          <w:szCs w:val="24"/>
        </w:rPr>
        <w:t xml:space="preserve">to </w:t>
      </w:r>
      <w:r w:rsidRPr="00D50EB6">
        <w:rPr>
          <w:rFonts w:ascii="Calibri" w:hAnsi="Calibri" w:cs="Calibri"/>
          <w:sz w:val="24"/>
          <w:szCs w:val="24"/>
        </w:rPr>
        <w:t>extend this support</w:t>
      </w:r>
      <w:r w:rsidR="00195CD3">
        <w:rPr>
          <w:rFonts w:ascii="Calibri" w:hAnsi="Calibri" w:cs="Calibri"/>
          <w:sz w:val="24"/>
          <w:szCs w:val="24"/>
        </w:rPr>
        <w:t xml:space="preserve"> to young people</w:t>
      </w:r>
      <w:r w:rsidRPr="00D50EB6">
        <w:rPr>
          <w:rFonts w:ascii="Calibri" w:hAnsi="Calibri" w:cs="Calibri"/>
          <w:sz w:val="24"/>
          <w:szCs w:val="24"/>
        </w:rPr>
        <w:t xml:space="preserve"> up to 21 years of age. </w:t>
      </w:r>
    </w:p>
    <w:p w:rsidR="00D50EB6" w:rsidRPr="00D50EB6" w:rsidRDefault="00D50EB6" w:rsidP="00D50EB6">
      <w:pPr>
        <w:rPr>
          <w:rFonts w:ascii="Calibri" w:hAnsi="Calibri" w:cs="Calibri"/>
          <w:sz w:val="24"/>
          <w:szCs w:val="24"/>
        </w:rPr>
      </w:pPr>
    </w:p>
    <w:p w:rsidR="00384E06" w:rsidRDefault="00D50EB6" w:rsidP="00D50EB6">
      <w:pPr>
        <w:rPr>
          <w:rFonts w:ascii="Calibri" w:hAnsi="Calibri" w:cs="Calibri"/>
          <w:sz w:val="24"/>
          <w:szCs w:val="24"/>
        </w:rPr>
      </w:pPr>
      <w:r w:rsidRPr="00D50EB6">
        <w:rPr>
          <w:rFonts w:ascii="Calibri" w:hAnsi="Calibri" w:cs="Calibri"/>
          <w:sz w:val="24"/>
          <w:szCs w:val="24"/>
        </w:rPr>
        <w:t xml:space="preserve">The </w:t>
      </w:r>
      <w:r w:rsidR="008514A0">
        <w:rPr>
          <w:rFonts w:ascii="Calibri" w:hAnsi="Calibri" w:cs="Calibri"/>
          <w:sz w:val="24"/>
          <w:szCs w:val="24"/>
        </w:rPr>
        <w:t>NPAH</w:t>
      </w:r>
      <w:r w:rsidR="00340AD5">
        <w:rPr>
          <w:rFonts w:ascii="Calibri" w:hAnsi="Calibri" w:cs="Calibri"/>
          <w:sz w:val="24"/>
          <w:szCs w:val="24"/>
        </w:rPr>
        <w:t>-</w:t>
      </w:r>
      <w:r w:rsidRPr="00D50EB6">
        <w:rPr>
          <w:rFonts w:ascii="Calibri" w:hAnsi="Calibri" w:cs="Calibri"/>
          <w:sz w:val="24"/>
          <w:szCs w:val="24"/>
        </w:rPr>
        <w:t>funded Transition and Post Care Program</w:t>
      </w:r>
      <w:r w:rsidR="00266F5E">
        <w:rPr>
          <w:rFonts w:ascii="Calibri" w:hAnsi="Calibri" w:cs="Calibri"/>
          <w:sz w:val="24"/>
          <w:szCs w:val="24"/>
        </w:rPr>
        <w:t xml:space="preserve"> </w:t>
      </w:r>
      <w:r w:rsidR="008764E1">
        <w:rPr>
          <w:rFonts w:ascii="Calibri" w:hAnsi="Calibri" w:cs="Calibri"/>
          <w:sz w:val="24"/>
          <w:szCs w:val="24"/>
        </w:rPr>
        <w:t>–</w:t>
      </w:r>
      <w:r w:rsidR="00266F5E">
        <w:rPr>
          <w:rFonts w:ascii="Calibri" w:hAnsi="Calibri" w:cs="Calibri"/>
          <w:sz w:val="24"/>
          <w:szCs w:val="24"/>
        </w:rPr>
        <w:t xml:space="preserve"> </w:t>
      </w:r>
      <w:r w:rsidRPr="00D50EB6">
        <w:rPr>
          <w:rFonts w:ascii="Calibri" w:hAnsi="Calibri" w:cs="Calibri"/>
          <w:sz w:val="24"/>
          <w:szCs w:val="24"/>
        </w:rPr>
        <w:t>Disability provided transition and post</w:t>
      </w:r>
      <w:r w:rsidR="00153660">
        <w:rPr>
          <w:rFonts w:ascii="Calibri" w:hAnsi="Calibri" w:cs="Calibri"/>
          <w:sz w:val="24"/>
          <w:szCs w:val="24"/>
        </w:rPr>
        <w:t>-</w:t>
      </w:r>
      <w:r w:rsidRPr="00D50EB6">
        <w:rPr>
          <w:rFonts w:ascii="Calibri" w:hAnsi="Calibri" w:cs="Calibri"/>
          <w:sz w:val="24"/>
          <w:szCs w:val="24"/>
        </w:rPr>
        <w:t>care support to young people aged 15</w:t>
      </w:r>
      <w:r w:rsidR="00F2034B">
        <w:rPr>
          <w:rFonts w:ascii="Calibri" w:hAnsi="Calibri" w:cs="Calibri"/>
          <w:sz w:val="24"/>
          <w:szCs w:val="24"/>
        </w:rPr>
        <w:t xml:space="preserve"> to </w:t>
      </w:r>
      <w:r w:rsidRPr="00D50EB6">
        <w:rPr>
          <w:rFonts w:ascii="Calibri" w:hAnsi="Calibri" w:cs="Calibri"/>
          <w:sz w:val="24"/>
          <w:szCs w:val="24"/>
        </w:rPr>
        <w:t>25 years.</w:t>
      </w:r>
      <w:r w:rsidR="00DE723D" w:rsidRPr="00DE723D">
        <w:rPr>
          <w:rFonts w:ascii="Calibri" w:hAnsi="Calibri" w:cs="Calibri"/>
          <w:sz w:val="24"/>
          <w:szCs w:val="24"/>
        </w:rPr>
        <w:t xml:space="preserve"> This program employs Transition Officers who work with young people in care</w:t>
      </w:r>
      <w:r w:rsidR="00E164A7">
        <w:rPr>
          <w:rFonts w:ascii="Calibri" w:hAnsi="Calibri" w:cs="Calibri"/>
          <w:sz w:val="24"/>
          <w:szCs w:val="24"/>
        </w:rPr>
        <w:t>,</w:t>
      </w:r>
      <w:r w:rsidR="00DE723D" w:rsidRPr="00DE723D">
        <w:rPr>
          <w:rFonts w:ascii="Calibri" w:hAnsi="Calibri" w:cs="Calibri"/>
          <w:sz w:val="24"/>
          <w:szCs w:val="24"/>
        </w:rPr>
        <w:t xml:space="preserve"> aged 15 to 17 years, to plan and prepare for their transition from care. They continue to provide support to young adults aged 18 to 25 years, after they have left care, to achieve safe and stable placements.</w:t>
      </w:r>
      <w:r w:rsidR="008F393E">
        <w:rPr>
          <w:rFonts w:ascii="Calibri" w:hAnsi="Calibri" w:cs="Calibri"/>
          <w:sz w:val="24"/>
          <w:szCs w:val="24"/>
        </w:rPr>
        <w:t xml:space="preserve"> Within this program there are 13 Transition Officers 'in government' and three in the non-government sector.</w:t>
      </w:r>
      <w:r w:rsidR="00DE723D" w:rsidRPr="00DE723D">
        <w:rPr>
          <w:rFonts w:ascii="Calibri" w:hAnsi="Calibri" w:cs="Calibri"/>
          <w:sz w:val="24"/>
          <w:szCs w:val="24"/>
        </w:rPr>
        <w:t xml:space="preserve"> In 2012</w:t>
      </w:r>
      <w:r w:rsidR="00E164A7">
        <w:rPr>
          <w:rFonts w:ascii="Calibri" w:hAnsi="Calibri" w:cs="Calibri"/>
          <w:sz w:val="24"/>
          <w:szCs w:val="24"/>
        </w:rPr>
        <w:t>–</w:t>
      </w:r>
      <w:r w:rsidR="00DE723D" w:rsidRPr="00DE723D">
        <w:rPr>
          <w:rFonts w:ascii="Calibri" w:hAnsi="Calibri" w:cs="Calibri"/>
          <w:sz w:val="24"/>
          <w:szCs w:val="24"/>
        </w:rPr>
        <w:t xml:space="preserve">2013, </w:t>
      </w:r>
      <w:proofErr w:type="gramStart"/>
      <w:r w:rsidR="00DE723D" w:rsidRPr="00DE723D">
        <w:rPr>
          <w:rFonts w:ascii="Calibri" w:hAnsi="Calibri" w:cs="Calibri"/>
          <w:sz w:val="24"/>
          <w:szCs w:val="24"/>
        </w:rPr>
        <w:t>this service provided support to over 335 young people leaving care or who have left care and are</w:t>
      </w:r>
      <w:proofErr w:type="gramEnd"/>
      <w:r w:rsidR="00DE723D" w:rsidRPr="00DE723D">
        <w:rPr>
          <w:rFonts w:ascii="Calibri" w:hAnsi="Calibri" w:cs="Calibri"/>
          <w:sz w:val="24"/>
          <w:szCs w:val="24"/>
        </w:rPr>
        <w:t xml:space="preserve"> living in adult specialist dis</w:t>
      </w:r>
      <w:r w:rsidR="00DE723D">
        <w:rPr>
          <w:rFonts w:ascii="Calibri" w:hAnsi="Calibri" w:cs="Calibri"/>
          <w:sz w:val="24"/>
          <w:szCs w:val="24"/>
        </w:rPr>
        <w:t xml:space="preserve">ability support services. </w:t>
      </w:r>
    </w:p>
    <w:p w:rsidR="00D50EB6" w:rsidRDefault="00D50EB6" w:rsidP="00DD4408">
      <w:pPr>
        <w:rPr>
          <w:rFonts w:ascii="Calibri" w:hAnsi="Calibri" w:cs="Calibri"/>
          <w:sz w:val="24"/>
          <w:szCs w:val="24"/>
        </w:rPr>
      </w:pPr>
    </w:p>
    <w:p w:rsidR="00AC5162" w:rsidRPr="00AC5162" w:rsidRDefault="00DE723D" w:rsidP="00AC5162">
      <w:pPr>
        <w:rPr>
          <w:rFonts w:ascii="Calibri" w:hAnsi="Calibri" w:cs="Calibri"/>
          <w:sz w:val="24"/>
          <w:szCs w:val="24"/>
        </w:rPr>
      </w:pPr>
      <w:r w:rsidRPr="00DE723D">
        <w:rPr>
          <w:rFonts w:ascii="Calibri" w:hAnsi="Calibri" w:cs="Calibri"/>
          <w:sz w:val="24"/>
          <w:szCs w:val="24"/>
        </w:rPr>
        <w:t xml:space="preserve">The Youth Housing and Reintegration Service and After Care Services, also funded through the COAG </w:t>
      </w:r>
      <w:r w:rsidR="008514A0">
        <w:rPr>
          <w:rFonts w:ascii="Calibri" w:hAnsi="Calibri" w:cs="Calibri"/>
          <w:sz w:val="24"/>
          <w:szCs w:val="24"/>
        </w:rPr>
        <w:t>NPAH</w:t>
      </w:r>
      <w:r w:rsidRPr="00DE723D">
        <w:rPr>
          <w:rFonts w:ascii="Calibri" w:hAnsi="Calibri" w:cs="Calibri"/>
          <w:sz w:val="24"/>
          <w:szCs w:val="24"/>
        </w:rPr>
        <w:t>, ha</w:t>
      </w:r>
      <w:r w:rsidR="00E164A7">
        <w:rPr>
          <w:rFonts w:ascii="Calibri" w:hAnsi="Calibri" w:cs="Calibri"/>
          <w:sz w:val="24"/>
          <w:szCs w:val="24"/>
        </w:rPr>
        <w:t>ve</w:t>
      </w:r>
      <w:r w:rsidRPr="00DE723D">
        <w:rPr>
          <w:rFonts w:ascii="Calibri" w:hAnsi="Calibri" w:cs="Calibri"/>
          <w:sz w:val="24"/>
          <w:szCs w:val="24"/>
        </w:rPr>
        <w:t xml:space="preserve"> been extended until 30 June 2014.</w:t>
      </w:r>
      <w:r w:rsidR="00534539">
        <w:rPr>
          <w:rFonts w:ascii="Calibri" w:hAnsi="Calibri" w:cs="Calibri"/>
          <w:sz w:val="24"/>
          <w:szCs w:val="24"/>
        </w:rPr>
        <w:t xml:space="preserve"> </w:t>
      </w:r>
      <w:r w:rsidR="00AC5162" w:rsidRPr="00AC5162">
        <w:rPr>
          <w:rFonts w:ascii="Calibri" w:hAnsi="Calibri" w:cs="Calibri"/>
          <w:sz w:val="24"/>
          <w:szCs w:val="24"/>
        </w:rPr>
        <w:t xml:space="preserve">The </w:t>
      </w:r>
      <w:r w:rsidR="00AC5162" w:rsidRPr="00195CD3">
        <w:rPr>
          <w:rFonts w:ascii="Calibri" w:hAnsi="Calibri" w:cs="Calibri"/>
          <w:sz w:val="24"/>
          <w:szCs w:val="24"/>
        </w:rPr>
        <w:t>Queensland Government</w:t>
      </w:r>
      <w:r w:rsidR="00AC5162" w:rsidRPr="00AC5162">
        <w:rPr>
          <w:rFonts w:ascii="Calibri" w:hAnsi="Calibri" w:cs="Calibri"/>
          <w:b/>
          <w:sz w:val="24"/>
          <w:szCs w:val="24"/>
        </w:rPr>
        <w:t xml:space="preserve"> </w:t>
      </w:r>
      <w:r w:rsidR="00AC5162" w:rsidRPr="00AC5162">
        <w:rPr>
          <w:rFonts w:ascii="Calibri" w:hAnsi="Calibri" w:cs="Calibri"/>
          <w:sz w:val="24"/>
          <w:szCs w:val="24"/>
        </w:rPr>
        <w:t>continues to provide</w:t>
      </w:r>
      <w:r w:rsidR="00AC5162" w:rsidRPr="00AC5162">
        <w:rPr>
          <w:rFonts w:ascii="Calibri" w:hAnsi="Calibri" w:cs="Calibri"/>
          <w:b/>
          <w:sz w:val="24"/>
          <w:szCs w:val="24"/>
        </w:rPr>
        <w:t xml:space="preserve"> </w:t>
      </w:r>
      <w:r w:rsidR="00AC5162" w:rsidRPr="00AC5162">
        <w:rPr>
          <w:rFonts w:ascii="Calibri" w:hAnsi="Calibri" w:cs="Calibri"/>
          <w:sz w:val="24"/>
          <w:szCs w:val="24"/>
        </w:rPr>
        <w:t xml:space="preserve">the Youth Housing and Reintegration Service at six sites. This service </w:t>
      </w:r>
      <w:r w:rsidR="00E164A7">
        <w:rPr>
          <w:rFonts w:ascii="Calibri" w:hAnsi="Calibri" w:cs="Calibri"/>
          <w:sz w:val="24"/>
          <w:szCs w:val="24"/>
        </w:rPr>
        <w:t>offers</w:t>
      </w:r>
      <w:r w:rsidR="00AC5162" w:rsidRPr="00AC5162">
        <w:rPr>
          <w:rFonts w:ascii="Calibri" w:hAnsi="Calibri" w:cs="Calibri"/>
          <w:sz w:val="24"/>
          <w:szCs w:val="24"/>
        </w:rPr>
        <w:t xml:space="preserve"> case management and br</w:t>
      </w:r>
      <w:r w:rsidR="00F44EED">
        <w:rPr>
          <w:rFonts w:ascii="Calibri" w:hAnsi="Calibri" w:cs="Calibri"/>
          <w:sz w:val="24"/>
          <w:szCs w:val="24"/>
        </w:rPr>
        <w:t xml:space="preserve">okerage to assist young people </w:t>
      </w:r>
      <w:r w:rsidR="00E33530">
        <w:rPr>
          <w:rFonts w:ascii="Calibri" w:hAnsi="Calibri" w:cs="Calibri"/>
          <w:sz w:val="24"/>
          <w:szCs w:val="24"/>
        </w:rPr>
        <w:t xml:space="preserve">aged </w:t>
      </w:r>
      <w:r w:rsidR="00F44EED">
        <w:rPr>
          <w:rFonts w:ascii="Calibri" w:hAnsi="Calibri" w:cs="Calibri"/>
          <w:sz w:val="24"/>
          <w:szCs w:val="24"/>
        </w:rPr>
        <w:t>12 to 21 years</w:t>
      </w:r>
      <w:r w:rsidR="00E33530">
        <w:rPr>
          <w:rFonts w:ascii="Calibri" w:hAnsi="Calibri" w:cs="Calibri"/>
          <w:sz w:val="24"/>
          <w:szCs w:val="24"/>
        </w:rPr>
        <w:t>,</w:t>
      </w:r>
      <w:r w:rsidR="00AC5162" w:rsidRPr="00AC5162">
        <w:rPr>
          <w:rFonts w:ascii="Calibri" w:hAnsi="Calibri" w:cs="Calibri"/>
          <w:sz w:val="24"/>
          <w:szCs w:val="24"/>
        </w:rPr>
        <w:t xml:space="preserve"> who are homeless or at risk of homelessness</w:t>
      </w:r>
      <w:r w:rsidR="00F44EED">
        <w:rPr>
          <w:rFonts w:ascii="Calibri" w:hAnsi="Calibri" w:cs="Calibri"/>
          <w:sz w:val="24"/>
          <w:szCs w:val="24"/>
        </w:rPr>
        <w:t xml:space="preserve">, to develop or </w:t>
      </w:r>
      <w:r w:rsidR="00AC5162" w:rsidRPr="00AC5162">
        <w:rPr>
          <w:rFonts w:ascii="Calibri" w:hAnsi="Calibri" w:cs="Calibri"/>
          <w:sz w:val="24"/>
          <w:szCs w:val="24"/>
        </w:rPr>
        <w:t xml:space="preserve">improve their capacity to live independently and to access and maintain safe and stable </w:t>
      </w:r>
      <w:r w:rsidR="00E33530" w:rsidRPr="00AC5162">
        <w:rPr>
          <w:rFonts w:ascii="Calibri" w:hAnsi="Calibri" w:cs="Calibri"/>
          <w:sz w:val="24"/>
          <w:szCs w:val="24"/>
        </w:rPr>
        <w:t>long</w:t>
      </w:r>
      <w:r w:rsidR="00E33530">
        <w:rPr>
          <w:rFonts w:ascii="Calibri" w:hAnsi="Calibri" w:cs="Calibri"/>
          <w:sz w:val="24"/>
          <w:szCs w:val="24"/>
        </w:rPr>
        <w:t>-</w:t>
      </w:r>
      <w:r w:rsidR="00AC5162" w:rsidRPr="00AC5162">
        <w:rPr>
          <w:rFonts w:ascii="Calibri" w:hAnsi="Calibri" w:cs="Calibri"/>
          <w:sz w:val="24"/>
          <w:szCs w:val="24"/>
        </w:rPr>
        <w:t>term accommodation.</w:t>
      </w:r>
    </w:p>
    <w:p w:rsidR="00AC5162" w:rsidRPr="00AC5162" w:rsidRDefault="00AC5162" w:rsidP="00AC5162">
      <w:pPr>
        <w:rPr>
          <w:rFonts w:ascii="Calibri" w:hAnsi="Calibri" w:cs="Calibri"/>
          <w:sz w:val="24"/>
          <w:szCs w:val="24"/>
        </w:rPr>
      </w:pPr>
    </w:p>
    <w:p w:rsidR="00AC5162" w:rsidRDefault="00AC5162" w:rsidP="00AC5162">
      <w:pPr>
        <w:rPr>
          <w:rFonts w:ascii="Calibri" w:hAnsi="Calibri" w:cs="Calibri"/>
          <w:sz w:val="24"/>
          <w:szCs w:val="24"/>
        </w:rPr>
      </w:pPr>
      <w:r w:rsidRPr="00AC5162">
        <w:rPr>
          <w:rFonts w:ascii="Calibri" w:hAnsi="Calibri" w:cs="Calibri"/>
          <w:sz w:val="24"/>
          <w:szCs w:val="24"/>
        </w:rPr>
        <w:t>The After Care Service (</w:t>
      </w:r>
      <w:proofErr w:type="spellStart"/>
      <w:r w:rsidRPr="00AC5162">
        <w:rPr>
          <w:rFonts w:ascii="Calibri" w:hAnsi="Calibri" w:cs="Calibri"/>
          <w:sz w:val="24"/>
          <w:szCs w:val="24"/>
        </w:rPr>
        <w:t>statewide</w:t>
      </w:r>
      <w:proofErr w:type="spellEnd"/>
      <w:r w:rsidRPr="00AC5162">
        <w:rPr>
          <w:rFonts w:ascii="Calibri" w:hAnsi="Calibri" w:cs="Calibri"/>
          <w:sz w:val="24"/>
          <w:szCs w:val="24"/>
        </w:rPr>
        <w:t xml:space="preserve">) is funded under the </w:t>
      </w:r>
      <w:r w:rsidR="008514A0">
        <w:rPr>
          <w:rFonts w:ascii="Calibri" w:hAnsi="Calibri" w:cs="Calibri"/>
          <w:sz w:val="24"/>
          <w:szCs w:val="24"/>
        </w:rPr>
        <w:t>NPAH</w:t>
      </w:r>
      <w:r w:rsidRPr="00AC5162">
        <w:rPr>
          <w:rFonts w:ascii="Calibri" w:hAnsi="Calibri" w:cs="Calibri"/>
          <w:sz w:val="24"/>
          <w:szCs w:val="24"/>
        </w:rPr>
        <w:t xml:space="preserve"> to provide brokerage up to $3000 per annum for young people aged 17 to 21 years, who are exiting or have exited </w:t>
      </w:r>
      <w:r w:rsidR="00E33530">
        <w:rPr>
          <w:rFonts w:ascii="Calibri" w:hAnsi="Calibri" w:cs="Calibri"/>
          <w:sz w:val="24"/>
          <w:szCs w:val="24"/>
        </w:rPr>
        <w:t xml:space="preserve">care </w:t>
      </w:r>
      <w:r w:rsidRPr="00AC5162">
        <w:rPr>
          <w:rFonts w:ascii="Calibri" w:hAnsi="Calibri" w:cs="Calibri"/>
          <w:sz w:val="24"/>
          <w:szCs w:val="24"/>
        </w:rPr>
        <w:t xml:space="preserve">and are homeless or at risk of homelessness, to develop their capacity to live independently and to access safe and stable </w:t>
      </w:r>
      <w:r w:rsidR="00E33530" w:rsidRPr="00AC5162">
        <w:rPr>
          <w:rFonts w:ascii="Calibri" w:hAnsi="Calibri" w:cs="Calibri"/>
          <w:sz w:val="24"/>
          <w:szCs w:val="24"/>
        </w:rPr>
        <w:t>long</w:t>
      </w:r>
      <w:r w:rsidR="00E33530">
        <w:rPr>
          <w:rFonts w:ascii="Calibri" w:hAnsi="Calibri" w:cs="Calibri"/>
          <w:sz w:val="24"/>
          <w:szCs w:val="24"/>
        </w:rPr>
        <w:t>-</w:t>
      </w:r>
      <w:r w:rsidRPr="00AC5162">
        <w:rPr>
          <w:rFonts w:ascii="Calibri" w:hAnsi="Calibri" w:cs="Calibri"/>
          <w:sz w:val="24"/>
          <w:szCs w:val="24"/>
        </w:rPr>
        <w:t>term accommodation.</w:t>
      </w:r>
    </w:p>
    <w:p w:rsidR="00D50EB6" w:rsidRPr="00F56F9B" w:rsidRDefault="00D50EB6" w:rsidP="00F56F9B">
      <w:pPr>
        <w:pStyle w:val="Heading4"/>
        <w:rPr>
          <w:lang w:val="en-AU"/>
        </w:rPr>
      </w:pPr>
      <w:r w:rsidRPr="00706368">
        <w:t>Improving Support for Carers</w:t>
      </w:r>
    </w:p>
    <w:p w:rsidR="00D50EB6" w:rsidRPr="00D50EB6" w:rsidRDefault="00D50EB6" w:rsidP="00D50EB6">
      <w:pPr>
        <w:rPr>
          <w:rFonts w:ascii="Calibri" w:hAnsi="Calibri" w:cs="Calibri"/>
          <w:sz w:val="24"/>
          <w:szCs w:val="24"/>
        </w:rPr>
      </w:pPr>
      <w:r w:rsidRPr="00D50EB6">
        <w:rPr>
          <w:rFonts w:ascii="Calibri" w:hAnsi="Calibri" w:cs="Calibri"/>
          <w:sz w:val="24"/>
          <w:szCs w:val="24"/>
        </w:rPr>
        <w:t>Queensland participated in a panel to select a consultant to develop options for a professional carer model that can be considered for implementation nationally and to address issues such as compliance with employment awards and legislation. While there is no professional carer model in Queensland, a model of</w:t>
      </w:r>
      <w:r w:rsidRPr="00D50EB6">
        <w:rPr>
          <w:rFonts w:ascii="Calibri" w:hAnsi="Calibri" w:cs="Calibri"/>
          <w:b/>
          <w:bCs/>
          <w:sz w:val="24"/>
          <w:szCs w:val="24"/>
        </w:rPr>
        <w:t xml:space="preserve"> </w:t>
      </w:r>
      <w:r w:rsidRPr="00F44EED">
        <w:rPr>
          <w:rFonts w:ascii="Calibri" w:hAnsi="Calibri" w:cs="Calibri"/>
          <w:bCs/>
          <w:sz w:val="24"/>
          <w:szCs w:val="24"/>
        </w:rPr>
        <w:t>Intensive Foster Care</w:t>
      </w:r>
      <w:r w:rsidRPr="00D50EB6">
        <w:rPr>
          <w:rFonts w:ascii="Calibri" w:hAnsi="Calibri" w:cs="Calibri"/>
          <w:b/>
          <w:bCs/>
          <w:sz w:val="24"/>
          <w:szCs w:val="24"/>
        </w:rPr>
        <w:t xml:space="preserve"> </w:t>
      </w:r>
      <w:r w:rsidRPr="00D50EB6">
        <w:rPr>
          <w:rFonts w:ascii="Calibri" w:hAnsi="Calibri" w:cs="Calibri"/>
          <w:sz w:val="24"/>
          <w:szCs w:val="24"/>
        </w:rPr>
        <w:t>has been funded to support</w:t>
      </w:r>
      <w:r w:rsidRPr="00D50EB6">
        <w:rPr>
          <w:rFonts w:ascii="Calibri" w:hAnsi="Calibri" w:cs="Calibri"/>
          <w:b/>
          <w:bCs/>
          <w:sz w:val="24"/>
          <w:szCs w:val="24"/>
        </w:rPr>
        <w:t xml:space="preserve"> </w:t>
      </w:r>
      <w:r w:rsidRPr="00D50EB6">
        <w:rPr>
          <w:rFonts w:ascii="Calibri" w:hAnsi="Calibri" w:cs="Calibri"/>
          <w:sz w:val="24"/>
          <w:szCs w:val="24"/>
        </w:rPr>
        <w:t>children with a complex level of support needs.</w:t>
      </w:r>
      <w:r w:rsidRPr="00D50EB6">
        <w:rPr>
          <w:rFonts w:ascii="Calibri" w:hAnsi="Calibri" w:cs="Calibri"/>
          <w:b/>
          <w:bCs/>
          <w:sz w:val="24"/>
          <w:szCs w:val="24"/>
        </w:rPr>
        <w:t xml:space="preserve"> </w:t>
      </w:r>
      <w:r w:rsidRPr="00D50EB6">
        <w:rPr>
          <w:rFonts w:ascii="Calibri" w:hAnsi="Calibri" w:cs="Calibri"/>
          <w:sz w:val="24"/>
          <w:szCs w:val="24"/>
        </w:rPr>
        <w:t xml:space="preserve">Delivery of the program is outsourced to the </w:t>
      </w:r>
      <w:r w:rsidR="00C8305C">
        <w:rPr>
          <w:rFonts w:ascii="Calibri" w:hAnsi="Calibri" w:cs="Calibri"/>
          <w:sz w:val="24"/>
          <w:szCs w:val="24"/>
        </w:rPr>
        <w:t>community</w:t>
      </w:r>
      <w:r w:rsidRPr="00D50EB6">
        <w:rPr>
          <w:rFonts w:ascii="Calibri" w:hAnsi="Calibri" w:cs="Calibri"/>
          <w:sz w:val="24"/>
          <w:szCs w:val="24"/>
        </w:rPr>
        <w:t xml:space="preserve"> sector. </w:t>
      </w:r>
      <w:r w:rsidR="00C8305C">
        <w:rPr>
          <w:rFonts w:ascii="Calibri" w:hAnsi="Calibri" w:cs="Calibri"/>
          <w:sz w:val="24"/>
          <w:szCs w:val="24"/>
        </w:rPr>
        <w:t>Community sector</w:t>
      </w:r>
      <w:r w:rsidRPr="00D50EB6">
        <w:rPr>
          <w:rFonts w:ascii="Calibri" w:hAnsi="Calibri" w:cs="Calibri"/>
          <w:sz w:val="24"/>
          <w:szCs w:val="24"/>
        </w:rPr>
        <w:t xml:space="preserve"> </w:t>
      </w:r>
      <w:r w:rsidR="00D76DCA" w:rsidRPr="00D50EB6">
        <w:rPr>
          <w:rFonts w:ascii="Calibri" w:hAnsi="Calibri" w:cs="Calibri"/>
          <w:sz w:val="24"/>
          <w:szCs w:val="24"/>
        </w:rPr>
        <w:t>Intensive Foster Care</w:t>
      </w:r>
      <w:r w:rsidRPr="00D50EB6">
        <w:rPr>
          <w:rFonts w:ascii="Calibri" w:hAnsi="Calibri" w:cs="Calibri"/>
          <w:sz w:val="24"/>
          <w:szCs w:val="24"/>
        </w:rPr>
        <w:t xml:space="preserve"> service providers are funded at a higher rate than foster and kinship care service providers</w:t>
      </w:r>
      <w:r w:rsidR="00F44EED">
        <w:rPr>
          <w:rFonts w:ascii="Calibri" w:hAnsi="Calibri" w:cs="Calibri"/>
          <w:sz w:val="24"/>
          <w:szCs w:val="24"/>
        </w:rPr>
        <w:t xml:space="preserve">. This </w:t>
      </w:r>
      <w:r w:rsidRPr="00D50EB6">
        <w:rPr>
          <w:rFonts w:ascii="Calibri" w:hAnsi="Calibri" w:cs="Calibri"/>
          <w:sz w:val="24"/>
          <w:szCs w:val="24"/>
        </w:rPr>
        <w:t>enable</w:t>
      </w:r>
      <w:r w:rsidR="00F44EED">
        <w:rPr>
          <w:rFonts w:ascii="Calibri" w:hAnsi="Calibri" w:cs="Calibri"/>
          <w:sz w:val="24"/>
          <w:szCs w:val="24"/>
        </w:rPr>
        <w:t>s</w:t>
      </w:r>
      <w:r w:rsidRPr="00D50EB6">
        <w:rPr>
          <w:rFonts w:ascii="Calibri" w:hAnsi="Calibri" w:cs="Calibri"/>
          <w:sz w:val="24"/>
          <w:szCs w:val="24"/>
        </w:rPr>
        <w:t xml:space="preserve"> them to provide greater support and further ongoing advanced training to carers. </w:t>
      </w:r>
    </w:p>
    <w:p w:rsidR="00D50EB6" w:rsidRPr="00D50EB6" w:rsidRDefault="00D50EB6" w:rsidP="00D50EB6">
      <w:pPr>
        <w:rPr>
          <w:rFonts w:ascii="Calibri" w:hAnsi="Calibri" w:cs="Calibri"/>
          <w:sz w:val="24"/>
          <w:szCs w:val="24"/>
        </w:rPr>
      </w:pPr>
    </w:p>
    <w:p w:rsidR="00D50EB6" w:rsidRPr="00D50EB6" w:rsidRDefault="00D50EB6" w:rsidP="00D50EB6">
      <w:pPr>
        <w:rPr>
          <w:rFonts w:ascii="Calibri" w:hAnsi="Calibri" w:cs="Calibri"/>
          <w:sz w:val="24"/>
          <w:szCs w:val="24"/>
        </w:rPr>
      </w:pPr>
      <w:r w:rsidRPr="00D50EB6">
        <w:rPr>
          <w:rFonts w:ascii="Calibri" w:hAnsi="Calibri" w:cs="Calibri"/>
          <w:sz w:val="24"/>
          <w:szCs w:val="24"/>
        </w:rPr>
        <w:t>Ke</w:t>
      </w:r>
      <w:r w:rsidR="00F44EED">
        <w:rPr>
          <w:rFonts w:ascii="Calibri" w:hAnsi="Calibri" w:cs="Calibri"/>
          <w:sz w:val="24"/>
          <w:szCs w:val="24"/>
        </w:rPr>
        <w:t>y components of the program are</w:t>
      </w:r>
      <w:r w:rsidR="00E33530">
        <w:rPr>
          <w:rFonts w:ascii="Calibri" w:hAnsi="Calibri" w:cs="Calibri"/>
          <w:sz w:val="24"/>
          <w:szCs w:val="24"/>
        </w:rPr>
        <w:t>:</w:t>
      </w:r>
      <w:r w:rsidRPr="00D50EB6">
        <w:rPr>
          <w:rFonts w:ascii="Calibri" w:hAnsi="Calibri" w:cs="Calibri"/>
          <w:sz w:val="24"/>
          <w:szCs w:val="24"/>
        </w:rPr>
        <w:t xml:space="preserve"> intensive case management, including coordination of a wide range of services to meet the child’s needs; ongoing support, training and mentoring for carers; practical support (such as youth work or mentoring support); and after-hours, on-call support. </w:t>
      </w:r>
      <w:r w:rsidRPr="00D50EB6">
        <w:rPr>
          <w:rFonts w:ascii="Calibri" w:hAnsi="Calibri" w:cs="Calibri"/>
          <w:iCs/>
          <w:sz w:val="24"/>
          <w:szCs w:val="24"/>
        </w:rPr>
        <w:t>The support delivered to carers differs</w:t>
      </w:r>
      <w:r w:rsidR="00E33530">
        <w:rPr>
          <w:rFonts w:ascii="Calibri" w:hAnsi="Calibri" w:cs="Calibri"/>
          <w:iCs/>
          <w:sz w:val="24"/>
          <w:szCs w:val="24"/>
        </w:rPr>
        <w:t>,</w:t>
      </w:r>
      <w:r w:rsidRPr="00D50EB6">
        <w:rPr>
          <w:rFonts w:ascii="Calibri" w:hAnsi="Calibri" w:cs="Calibri"/>
          <w:iCs/>
          <w:sz w:val="24"/>
          <w:szCs w:val="24"/>
        </w:rPr>
        <w:t xml:space="preserve"> depending upon the service</w:t>
      </w:r>
      <w:r w:rsidR="00E33530">
        <w:rPr>
          <w:rFonts w:ascii="Calibri" w:hAnsi="Calibri" w:cs="Calibri"/>
          <w:iCs/>
          <w:sz w:val="24"/>
          <w:szCs w:val="24"/>
        </w:rPr>
        <w:t xml:space="preserve"> </w:t>
      </w:r>
      <w:r w:rsidRPr="00D50EB6">
        <w:rPr>
          <w:rFonts w:ascii="Calibri" w:hAnsi="Calibri" w:cs="Calibri"/>
          <w:iCs/>
          <w:sz w:val="24"/>
          <w:szCs w:val="24"/>
        </w:rPr>
        <w:t>provider, funding levels, geographic location, access to other services, the strengths a</w:t>
      </w:r>
      <w:r w:rsidR="00F44EED">
        <w:rPr>
          <w:rFonts w:ascii="Calibri" w:hAnsi="Calibri" w:cs="Calibri"/>
          <w:iCs/>
          <w:sz w:val="24"/>
          <w:szCs w:val="24"/>
        </w:rPr>
        <w:t>nd needs of the children placed</w:t>
      </w:r>
      <w:r w:rsidRPr="00D50EB6">
        <w:rPr>
          <w:rFonts w:ascii="Calibri" w:hAnsi="Calibri" w:cs="Calibri"/>
          <w:iCs/>
          <w:sz w:val="24"/>
          <w:szCs w:val="24"/>
        </w:rPr>
        <w:t xml:space="preserve"> and the strengths and needs of carers.</w:t>
      </w:r>
    </w:p>
    <w:p w:rsidR="00D50EB6" w:rsidRDefault="00D50EB6" w:rsidP="00DD4408">
      <w:pPr>
        <w:rPr>
          <w:rFonts w:ascii="Calibri" w:hAnsi="Calibri" w:cs="Calibri"/>
          <w:sz w:val="24"/>
          <w:szCs w:val="24"/>
        </w:rPr>
      </w:pPr>
    </w:p>
    <w:p w:rsidR="00D50EB6" w:rsidRDefault="00D50EB6" w:rsidP="00DD4408">
      <w:pPr>
        <w:rPr>
          <w:rFonts w:ascii="Calibri" w:hAnsi="Calibri" w:cs="Calibri"/>
          <w:sz w:val="24"/>
          <w:szCs w:val="24"/>
        </w:rPr>
      </w:pPr>
      <w:r w:rsidRPr="00F44EED">
        <w:rPr>
          <w:rFonts w:ascii="Calibri" w:hAnsi="Calibri" w:cs="Calibri"/>
          <w:sz w:val="24"/>
          <w:szCs w:val="24"/>
        </w:rPr>
        <w:t>Queensland</w:t>
      </w:r>
      <w:r w:rsidRPr="00D50EB6">
        <w:rPr>
          <w:rFonts w:ascii="Calibri" w:hAnsi="Calibri" w:cs="Calibri"/>
          <w:b/>
          <w:sz w:val="24"/>
          <w:szCs w:val="24"/>
        </w:rPr>
        <w:t xml:space="preserve"> </w:t>
      </w:r>
      <w:r w:rsidRPr="00D50EB6">
        <w:rPr>
          <w:rFonts w:ascii="Calibri" w:hAnsi="Calibri" w:cs="Calibri"/>
          <w:sz w:val="24"/>
          <w:szCs w:val="24"/>
        </w:rPr>
        <w:t>encourages working people to become carers. Placement matching is undertaken at the time of placement to ensure that the carer is able to care, taking their working arrangements into consideration. Placement processes also ensure that there is no impact on the provision of care for the child, based on the child’s assessed needs.</w:t>
      </w:r>
    </w:p>
    <w:p w:rsidR="00D50EB6" w:rsidRDefault="00D50EB6" w:rsidP="00DD4408">
      <w:pPr>
        <w:rPr>
          <w:rFonts w:ascii="Calibri" w:hAnsi="Calibri" w:cs="Calibri"/>
          <w:sz w:val="24"/>
          <w:szCs w:val="24"/>
        </w:rPr>
      </w:pPr>
    </w:p>
    <w:p w:rsidR="00AC5162" w:rsidRPr="00AC5162" w:rsidRDefault="00AC5162" w:rsidP="00AC5162">
      <w:pPr>
        <w:rPr>
          <w:rFonts w:ascii="Calibri" w:hAnsi="Calibri" w:cs="Calibri"/>
          <w:sz w:val="24"/>
          <w:szCs w:val="24"/>
        </w:rPr>
      </w:pPr>
      <w:r w:rsidRPr="00AC5162">
        <w:rPr>
          <w:rFonts w:ascii="Calibri" w:hAnsi="Calibri" w:cs="Calibri"/>
          <w:sz w:val="24"/>
          <w:szCs w:val="24"/>
        </w:rPr>
        <w:t>In 2012</w:t>
      </w:r>
      <w:r w:rsidR="00E33530">
        <w:rPr>
          <w:rFonts w:ascii="Calibri" w:hAnsi="Calibri" w:cs="Calibri"/>
          <w:sz w:val="24"/>
          <w:szCs w:val="24"/>
        </w:rPr>
        <w:t>–</w:t>
      </w:r>
      <w:r w:rsidRPr="00AC5162">
        <w:rPr>
          <w:rFonts w:ascii="Calibri" w:hAnsi="Calibri" w:cs="Calibri"/>
          <w:sz w:val="24"/>
          <w:szCs w:val="24"/>
        </w:rPr>
        <w:t xml:space="preserve">2013, the Queensland Government conducted an awareness </w:t>
      </w:r>
      <w:proofErr w:type="gramStart"/>
      <w:r w:rsidRPr="00AC5162">
        <w:rPr>
          <w:rFonts w:ascii="Calibri" w:hAnsi="Calibri" w:cs="Calibri"/>
          <w:sz w:val="24"/>
          <w:szCs w:val="24"/>
        </w:rPr>
        <w:t>raising</w:t>
      </w:r>
      <w:proofErr w:type="gramEnd"/>
      <w:r w:rsidRPr="00AC5162">
        <w:rPr>
          <w:rFonts w:ascii="Calibri" w:hAnsi="Calibri" w:cs="Calibri"/>
          <w:sz w:val="24"/>
          <w:szCs w:val="24"/>
        </w:rPr>
        <w:t xml:space="preserve"> and engagement campaign for Grandparents Day (celebrated throughout November 2012). Through the campaign</w:t>
      </w:r>
      <w:r w:rsidR="00F44EED">
        <w:rPr>
          <w:rFonts w:ascii="Calibri" w:hAnsi="Calibri" w:cs="Calibri"/>
          <w:sz w:val="24"/>
          <w:szCs w:val="24"/>
        </w:rPr>
        <w:t>,</w:t>
      </w:r>
      <w:r w:rsidRPr="00AC5162">
        <w:rPr>
          <w:rFonts w:ascii="Calibri" w:hAnsi="Calibri" w:cs="Calibri"/>
          <w:sz w:val="24"/>
          <w:szCs w:val="24"/>
        </w:rPr>
        <w:t xml:space="preserve"> over 69</w:t>
      </w:r>
      <w:r w:rsidR="00E33530">
        <w:rPr>
          <w:rFonts w:ascii="Calibri" w:hAnsi="Calibri" w:cs="Calibri"/>
          <w:sz w:val="24"/>
          <w:szCs w:val="24"/>
        </w:rPr>
        <w:t> </w:t>
      </w:r>
      <w:r w:rsidRPr="00AC5162">
        <w:rPr>
          <w:rFonts w:ascii="Calibri" w:hAnsi="Calibri" w:cs="Calibri"/>
          <w:sz w:val="24"/>
          <w:szCs w:val="24"/>
        </w:rPr>
        <w:t>000 resources were distributed across Queensland.</w:t>
      </w:r>
    </w:p>
    <w:p w:rsidR="00AC5162" w:rsidRPr="00AC5162" w:rsidRDefault="00AC5162" w:rsidP="00AC5162">
      <w:pPr>
        <w:rPr>
          <w:rFonts w:ascii="Calibri" w:hAnsi="Calibri" w:cs="Calibri"/>
          <w:sz w:val="24"/>
          <w:szCs w:val="24"/>
        </w:rPr>
      </w:pPr>
    </w:p>
    <w:p w:rsidR="00AC5162" w:rsidRPr="00AC5162" w:rsidRDefault="00AC5162" w:rsidP="00AC5162">
      <w:pPr>
        <w:rPr>
          <w:rFonts w:ascii="Calibri" w:hAnsi="Calibri" w:cs="Calibri"/>
          <w:sz w:val="24"/>
          <w:szCs w:val="24"/>
        </w:rPr>
      </w:pPr>
      <w:r w:rsidRPr="00AC5162">
        <w:rPr>
          <w:rFonts w:ascii="Calibri" w:hAnsi="Calibri" w:cs="Calibri"/>
          <w:sz w:val="24"/>
          <w:szCs w:val="24"/>
        </w:rPr>
        <w:t xml:space="preserve">The </w:t>
      </w:r>
      <w:r w:rsidRPr="00F44EED">
        <w:rPr>
          <w:rFonts w:ascii="Calibri" w:hAnsi="Calibri" w:cs="Calibri"/>
          <w:sz w:val="24"/>
          <w:szCs w:val="24"/>
        </w:rPr>
        <w:t>Queensland Government</w:t>
      </w:r>
      <w:r w:rsidRPr="00AC5162">
        <w:rPr>
          <w:rFonts w:ascii="Calibri" w:hAnsi="Calibri" w:cs="Calibri"/>
          <w:b/>
          <w:sz w:val="24"/>
          <w:szCs w:val="24"/>
        </w:rPr>
        <w:t xml:space="preserve"> </w:t>
      </w:r>
      <w:r w:rsidRPr="00AC5162">
        <w:rPr>
          <w:rFonts w:ascii="Calibri" w:hAnsi="Calibri" w:cs="Calibri"/>
          <w:sz w:val="24"/>
          <w:szCs w:val="24"/>
        </w:rPr>
        <w:t>also</w:t>
      </w:r>
      <w:r w:rsidRPr="00AC5162">
        <w:rPr>
          <w:rFonts w:ascii="Calibri" w:hAnsi="Calibri" w:cs="Calibri"/>
          <w:b/>
          <w:sz w:val="24"/>
          <w:szCs w:val="24"/>
        </w:rPr>
        <w:t xml:space="preserve"> </w:t>
      </w:r>
      <w:r w:rsidRPr="00AC5162">
        <w:rPr>
          <w:rFonts w:ascii="Calibri" w:hAnsi="Calibri" w:cs="Calibri"/>
          <w:sz w:val="24"/>
          <w:szCs w:val="24"/>
        </w:rPr>
        <w:t xml:space="preserve">invested in </w:t>
      </w:r>
      <w:proofErr w:type="spellStart"/>
      <w:r w:rsidRPr="00AC5162">
        <w:rPr>
          <w:rFonts w:ascii="Calibri" w:hAnsi="Calibri" w:cs="Calibri"/>
          <w:sz w:val="24"/>
          <w:szCs w:val="24"/>
        </w:rPr>
        <w:t>UnitingCare</w:t>
      </w:r>
      <w:proofErr w:type="spellEnd"/>
      <w:r w:rsidRPr="00AC5162">
        <w:rPr>
          <w:rFonts w:ascii="Calibri" w:hAnsi="Calibri" w:cs="Calibri"/>
          <w:sz w:val="24"/>
          <w:szCs w:val="24"/>
        </w:rPr>
        <w:t xml:space="preserve"> to provide the Time for Grandparents </w:t>
      </w:r>
      <w:r w:rsidR="00D76DCA">
        <w:rPr>
          <w:rFonts w:ascii="Calibri" w:hAnsi="Calibri" w:cs="Calibri"/>
          <w:sz w:val="24"/>
          <w:szCs w:val="24"/>
        </w:rPr>
        <w:t>p</w:t>
      </w:r>
      <w:r w:rsidR="00D76DCA" w:rsidRPr="00AC5162">
        <w:rPr>
          <w:rFonts w:ascii="Calibri" w:hAnsi="Calibri" w:cs="Calibri"/>
          <w:sz w:val="24"/>
          <w:szCs w:val="24"/>
        </w:rPr>
        <w:t>rogram</w:t>
      </w:r>
      <w:r w:rsidRPr="00AC5162">
        <w:rPr>
          <w:rFonts w:ascii="Calibri" w:hAnsi="Calibri" w:cs="Calibri"/>
          <w:sz w:val="24"/>
          <w:szCs w:val="24"/>
        </w:rPr>
        <w:t xml:space="preserve">, providing respite to grandparents and grandchildren. This included free therapeutic overnight support and respite camps </w:t>
      </w:r>
      <w:r w:rsidR="008E1035">
        <w:rPr>
          <w:rFonts w:ascii="Calibri" w:hAnsi="Calibri" w:cs="Calibri"/>
          <w:sz w:val="24"/>
          <w:szCs w:val="24"/>
        </w:rPr>
        <w:t>for</w:t>
      </w:r>
      <w:r w:rsidR="008E1035" w:rsidRPr="00AC5162">
        <w:rPr>
          <w:rFonts w:ascii="Calibri" w:hAnsi="Calibri" w:cs="Calibri"/>
          <w:sz w:val="24"/>
          <w:szCs w:val="24"/>
        </w:rPr>
        <w:t xml:space="preserve"> </w:t>
      </w:r>
      <w:r w:rsidRPr="00AC5162">
        <w:rPr>
          <w:rFonts w:ascii="Calibri" w:hAnsi="Calibri" w:cs="Calibri"/>
          <w:sz w:val="24"/>
          <w:szCs w:val="24"/>
        </w:rPr>
        <w:t xml:space="preserve">over 189 grandparents and grandchildren and 646 respite activities for grandchildren. A </w:t>
      </w:r>
      <w:proofErr w:type="spellStart"/>
      <w:r w:rsidRPr="00AC5162">
        <w:rPr>
          <w:rFonts w:ascii="Calibri" w:hAnsi="Calibri" w:cs="Calibri"/>
          <w:sz w:val="24"/>
          <w:szCs w:val="24"/>
        </w:rPr>
        <w:t>statewide</w:t>
      </w:r>
      <w:proofErr w:type="spellEnd"/>
      <w:r w:rsidRPr="00AC5162">
        <w:rPr>
          <w:rFonts w:ascii="Calibri" w:hAnsi="Calibri" w:cs="Calibri"/>
          <w:sz w:val="24"/>
          <w:szCs w:val="24"/>
        </w:rPr>
        <w:t xml:space="preserve"> telephone number has been established </w:t>
      </w:r>
      <w:r w:rsidR="006D687B">
        <w:rPr>
          <w:rFonts w:ascii="Calibri" w:hAnsi="Calibri" w:cs="Calibri"/>
          <w:sz w:val="24"/>
          <w:szCs w:val="24"/>
        </w:rPr>
        <w:t>to enable</w:t>
      </w:r>
      <w:r w:rsidRPr="00AC5162">
        <w:rPr>
          <w:rFonts w:ascii="Calibri" w:hAnsi="Calibri" w:cs="Calibri"/>
          <w:sz w:val="24"/>
          <w:szCs w:val="24"/>
        </w:rPr>
        <w:t xml:space="preserve"> gran</w:t>
      </w:r>
      <w:r w:rsidR="00F44EED">
        <w:rPr>
          <w:rFonts w:ascii="Calibri" w:hAnsi="Calibri" w:cs="Calibri"/>
          <w:sz w:val="24"/>
          <w:szCs w:val="24"/>
        </w:rPr>
        <w:t>dparents to receive information</w:t>
      </w:r>
      <w:r w:rsidR="00266F5E">
        <w:rPr>
          <w:rFonts w:ascii="Calibri" w:hAnsi="Calibri" w:cs="Calibri"/>
          <w:sz w:val="24"/>
          <w:szCs w:val="24"/>
        </w:rPr>
        <w:t>,</w:t>
      </w:r>
      <w:r w:rsidRPr="00AC5162">
        <w:rPr>
          <w:rFonts w:ascii="Calibri" w:hAnsi="Calibri" w:cs="Calibri"/>
          <w:sz w:val="24"/>
          <w:szCs w:val="24"/>
        </w:rPr>
        <w:t xml:space="preserve"> adv</w:t>
      </w:r>
      <w:r w:rsidR="00F44EED">
        <w:rPr>
          <w:rFonts w:ascii="Calibri" w:hAnsi="Calibri" w:cs="Calibri"/>
          <w:sz w:val="24"/>
          <w:szCs w:val="24"/>
        </w:rPr>
        <w:t>ice and referrals. More than 14</w:t>
      </w:r>
      <w:r w:rsidR="008E1035">
        <w:rPr>
          <w:rFonts w:ascii="Calibri" w:hAnsi="Calibri" w:cs="Calibri"/>
          <w:sz w:val="24"/>
          <w:szCs w:val="24"/>
        </w:rPr>
        <w:t> </w:t>
      </w:r>
      <w:r w:rsidRPr="00AC5162">
        <w:rPr>
          <w:rFonts w:ascii="Calibri" w:hAnsi="Calibri" w:cs="Calibri"/>
          <w:sz w:val="24"/>
          <w:szCs w:val="24"/>
        </w:rPr>
        <w:t>132 calls were taken during 2012</w:t>
      </w:r>
      <w:r w:rsidR="008E1035">
        <w:rPr>
          <w:rFonts w:ascii="Calibri" w:hAnsi="Calibri" w:cs="Calibri"/>
          <w:sz w:val="24"/>
          <w:szCs w:val="24"/>
        </w:rPr>
        <w:t>–</w:t>
      </w:r>
      <w:r w:rsidRPr="00AC5162">
        <w:rPr>
          <w:rFonts w:ascii="Calibri" w:hAnsi="Calibri" w:cs="Calibri"/>
          <w:sz w:val="24"/>
          <w:szCs w:val="24"/>
        </w:rPr>
        <w:t>2013, including 3297 calls regarding the Time for Grandparents program.</w:t>
      </w:r>
    </w:p>
    <w:p w:rsidR="0080378D" w:rsidRPr="00F56F9B" w:rsidRDefault="00F56F9B" w:rsidP="00F56F9B">
      <w:pPr>
        <w:pStyle w:val="Heading4"/>
        <w:rPr>
          <w:lang w:val="en-AU"/>
        </w:rPr>
      </w:pPr>
      <w:r>
        <w:t>Sector Development</w:t>
      </w:r>
    </w:p>
    <w:p w:rsidR="0080378D" w:rsidRPr="0080378D" w:rsidRDefault="0080378D" w:rsidP="0080378D">
      <w:pPr>
        <w:rPr>
          <w:rFonts w:ascii="Calibri" w:hAnsi="Calibri" w:cs="Calibri"/>
          <w:sz w:val="24"/>
          <w:szCs w:val="24"/>
        </w:rPr>
      </w:pPr>
      <w:r w:rsidRPr="0080378D">
        <w:rPr>
          <w:rFonts w:ascii="Calibri" w:hAnsi="Calibri" w:cs="Calibri"/>
          <w:sz w:val="24"/>
          <w:szCs w:val="24"/>
        </w:rPr>
        <w:t>DCCSDS has an agreement with four TAFE institutes, delivering training in eight locations across the state, to provide Child Safety Support Officers with fee-free access to study for a Certificate IV in Child Youth and Family Intervention (Child Protection) and a Diploma in Child Youth and Family Intervention.</w:t>
      </w:r>
    </w:p>
    <w:p w:rsidR="0080378D" w:rsidRPr="0080378D" w:rsidRDefault="0080378D" w:rsidP="0080378D">
      <w:pPr>
        <w:rPr>
          <w:rFonts w:ascii="Calibri" w:hAnsi="Calibri" w:cs="Calibri"/>
          <w:sz w:val="24"/>
          <w:szCs w:val="24"/>
        </w:rPr>
      </w:pPr>
    </w:p>
    <w:p w:rsidR="0080378D" w:rsidRDefault="0080378D" w:rsidP="0080378D">
      <w:pPr>
        <w:rPr>
          <w:rFonts w:ascii="Calibri" w:hAnsi="Calibri" w:cs="Calibri"/>
          <w:sz w:val="24"/>
          <w:szCs w:val="24"/>
        </w:rPr>
      </w:pPr>
      <w:r w:rsidRPr="0080378D">
        <w:rPr>
          <w:rFonts w:ascii="Calibri" w:hAnsi="Calibri" w:cs="Calibri"/>
          <w:sz w:val="24"/>
          <w:szCs w:val="24"/>
        </w:rPr>
        <w:t>In Queensland, mandated reporting responsibilities of various professionals are identified in a number of Acts rather than</w:t>
      </w:r>
      <w:r w:rsidR="006D687B">
        <w:rPr>
          <w:rFonts w:ascii="Calibri" w:hAnsi="Calibri" w:cs="Calibri"/>
          <w:sz w:val="24"/>
          <w:szCs w:val="24"/>
        </w:rPr>
        <w:t xml:space="preserve"> being</w:t>
      </w:r>
      <w:r w:rsidRPr="0080378D">
        <w:rPr>
          <w:rFonts w:ascii="Calibri" w:hAnsi="Calibri" w:cs="Calibri"/>
          <w:sz w:val="24"/>
          <w:szCs w:val="24"/>
        </w:rPr>
        <w:t xml:space="preserve"> consolidated into one piece of child protection legislation. Five groups of professionals are mandatorily required to report to Child Safety Services concerns about significant harm to a child. These include:</w:t>
      </w:r>
    </w:p>
    <w:p w:rsidR="0080378D" w:rsidRPr="0080378D" w:rsidRDefault="0080378D" w:rsidP="00555526">
      <w:pPr>
        <w:pStyle w:val="ListBullet"/>
      </w:pPr>
      <w:r w:rsidRPr="0080378D">
        <w:t xml:space="preserve">employees of Child Safety Services and departmental care services or licensed care services (section 148, </w:t>
      </w:r>
      <w:r w:rsidRPr="001A681C">
        <w:rPr>
          <w:i/>
        </w:rPr>
        <w:t>Child Protection Act 1999</w:t>
      </w:r>
      <w:r w:rsidRPr="0080378D">
        <w:t>)</w:t>
      </w:r>
    </w:p>
    <w:p w:rsidR="0080378D" w:rsidRPr="0080378D" w:rsidRDefault="0080378D" w:rsidP="00555526">
      <w:pPr>
        <w:pStyle w:val="ListBullet"/>
        <w:rPr>
          <w:rFonts w:cs="Calibri"/>
          <w:szCs w:val="24"/>
        </w:rPr>
      </w:pPr>
      <w:r w:rsidRPr="0080378D">
        <w:rPr>
          <w:rFonts w:cs="Calibri"/>
          <w:szCs w:val="24"/>
        </w:rPr>
        <w:t xml:space="preserve">doctors and registered nurses (section 191, </w:t>
      </w:r>
      <w:r w:rsidRPr="001A681C">
        <w:rPr>
          <w:rFonts w:cs="Calibri"/>
          <w:i/>
          <w:szCs w:val="24"/>
        </w:rPr>
        <w:t>Public Health Act 2005</w:t>
      </w:r>
      <w:r w:rsidRPr="0080378D">
        <w:rPr>
          <w:rFonts w:cs="Calibri"/>
          <w:szCs w:val="24"/>
        </w:rPr>
        <w:t xml:space="preserve">) </w:t>
      </w:r>
    </w:p>
    <w:p w:rsidR="0080378D" w:rsidRPr="0080378D" w:rsidRDefault="0080378D" w:rsidP="00555526">
      <w:pPr>
        <w:pStyle w:val="ListBullet"/>
        <w:rPr>
          <w:rFonts w:cs="Calibri"/>
          <w:szCs w:val="24"/>
        </w:rPr>
      </w:pPr>
      <w:r w:rsidRPr="0080378D">
        <w:rPr>
          <w:rFonts w:cs="Calibri"/>
          <w:szCs w:val="24"/>
        </w:rPr>
        <w:t>the Commissioner for Children</w:t>
      </w:r>
      <w:r w:rsidR="001C552D">
        <w:rPr>
          <w:rFonts w:cs="Calibri"/>
          <w:szCs w:val="24"/>
        </w:rPr>
        <w:t>,</w:t>
      </w:r>
      <w:r w:rsidRPr="0080378D">
        <w:rPr>
          <w:rFonts w:cs="Calibri"/>
          <w:szCs w:val="24"/>
        </w:rPr>
        <w:t xml:space="preserve"> Young People</w:t>
      </w:r>
      <w:r w:rsidR="001C552D">
        <w:rPr>
          <w:rFonts w:cs="Calibri"/>
          <w:szCs w:val="24"/>
        </w:rPr>
        <w:t xml:space="preserve"> and Child Guardian</w:t>
      </w:r>
      <w:r w:rsidRPr="0080378D">
        <w:rPr>
          <w:rFonts w:cs="Calibri"/>
          <w:szCs w:val="24"/>
        </w:rPr>
        <w:t xml:space="preserve"> (section 25(2)(a), </w:t>
      </w:r>
      <w:r w:rsidRPr="001A681C">
        <w:rPr>
          <w:rFonts w:cs="Calibri"/>
          <w:i/>
          <w:szCs w:val="24"/>
        </w:rPr>
        <w:t>Commission for Children</w:t>
      </w:r>
      <w:r w:rsidR="001C552D" w:rsidRPr="001A681C">
        <w:rPr>
          <w:rFonts w:cs="Calibri"/>
          <w:i/>
          <w:szCs w:val="24"/>
        </w:rPr>
        <w:t>,</w:t>
      </w:r>
      <w:r w:rsidRPr="001A681C">
        <w:rPr>
          <w:rFonts w:cs="Calibri"/>
          <w:i/>
          <w:szCs w:val="24"/>
        </w:rPr>
        <w:t xml:space="preserve"> Young People and Child Guardian Act 2000</w:t>
      </w:r>
      <w:r w:rsidRPr="0080378D">
        <w:rPr>
          <w:rFonts w:cs="Calibri"/>
          <w:szCs w:val="24"/>
        </w:rPr>
        <w:t>)</w:t>
      </w:r>
    </w:p>
    <w:p w:rsidR="0080378D" w:rsidRPr="0080378D" w:rsidRDefault="0080378D" w:rsidP="00555526">
      <w:pPr>
        <w:pStyle w:val="ListBullet"/>
        <w:rPr>
          <w:rFonts w:cs="Calibri"/>
          <w:szCs w:val="24"/>
        </w:rPr>
      </w:pPr>
      <w:proofErr w:type="gramStart"/>
      <w:r w:rsidRPr="0080378D">
        <w:rPr>
          <w:rFonts w:cs="Calibri"/>
          <w:szCs w:val="24"/>
        </w:rPr>
        <w:t>family</w:t>
      </w:r>
      <w:proofErr w:type="gramEnd"/>
      <w:r w:rsidRPr="0080378D">
        <w:rPr>
          <w:rFonts w:cs="Calibri"/>
          <w:szCs w:val="24"/>
        </w:rPr>
        <w:t xml:space="preserve"> court personnel and counsellors (section 67ZA, </w:t>
      </w:r>
      <w:r w:rsidRPr="001A681C">
        <w:rPr>
          <w:rFonts w:cs="Calibri"/>
          <w:i/>
          <w:szCs w:val="24"/>
        </w:rPr>
        <w:t>Family Law Act 1975 (Commonwealth)</w:t>
      </w:r>
      <w:r w:rsidRPr="0080378D">
        <w:rPr>
          <w:rFonts w:cs="Calibri"/>
          <w:szCs w:val="24"/>
        </w:rPr>
        <w:t>).</w:t>
      </w:r>
    </w:p>
    <w:p w:rsidR="0080378D" w:rsidRPr="0080378D" w:rsidRDefault="0080378D" w:rsidP="0080378D">
      <w:pPr>
        <w:rPr>
          <w:rFonts w:ascii="Calibri" w:hAnsi="Calibri" w:cs="Calibri"/>
          <w:sz w:val="24"/>
          <w:szCs w:val="24"/>
        </w:rPr>
      </w:pPr>
    </w:p>
    <w:p w:rsidR="0080378D" w:rsidRDefault="0080378D" w:rsidP="0080378D">
      <w:pPr>
        <w:rPr>
          <w:rFonts w:ascii="Calibri" w:hAnsi="Calibri" w:cs="Calibri"/>
          <w:sz w:val="24"/>
          <w:szCs w:val="24"/>
        </w:rPr>
      </w:pPr>
      <w:r w:rsidRPr="0080378D">
        <w:rPr>
          <w:rFonts w:ascii="Calibri" w:hAnsi="Calibri" w:cs="Calibri"/>
          <w:sz w:val="24"/>
          <w:szCs w:val="24"/>
        </w:rPr>
        <w:t xml:space="preserve">The </w:t>
      </w:r>
      <w:r w:rsidRPr="006D687B">
        <w:rPr>
          <w:rFonts w:ascii="Calibri" w:hAnsi="Calibri" w:cs="Calibri"/>
          <w:i/>
          <w:sz w:val="24"/>
          <w:szCs w:val="24"/>
        </w:rPr>
        <w:t>Education (General Provisions) Act 2006</w:t>
      </w:r>
      <w:r w:rsidRPr="0080378D">
        <w:rPr>
          <w:rFonts w:ascii="Calibri" w:hAnsi="Calibri" w:cs="Calibri"/>
          <w:sz w:val="24"/>
          <w:szCs w:val="24"/>
        </w:rPr>
        <w:t xml:space="preserve"> requires state and non-state schooling staff to make a report to police when a staff member ‘becomes aware, or reasonably suspects, in the course of their employment at the school’ that any of the following have been sexually abused:</w:t>
      </w:r>
    </w:p>
    <w:p w:rsidR="0080378D" w:rsidRPr="0080378D" w:rsidRDefault="0080378D" w:rsidP="00555526">
      <w:pPr>
        <w:pStyle w:val="ListBullet"/>
      </w:pPr>
      <w:r w:rsidRPr="0080378D">
        <w:t xml:space="preserve">a student under 18 years attending the school </w:t>
      </w:r>
    </w:p>
    <w:p w:rsidR="0080378D" w:rsidRPr="0080378D" w:rsidRDefault="0080378D" w:rsidP="00555526">
      <w:pPr>
        <w:pStyle w:val="ListBullet"/>
      </w:pPr>
      <w:r w:rsidRPr="0080378D">
        <w:t>a pre-preparatory age child registered in a pre-preparatory learning program at the school</w:t>
      </w:r>
    </w:p>
    <w:p w:rsidR="0080378D" w:rsidRPr="0080378D" w:rsidRDefault="0080378D" w:rsidP="00555526">
      <w:pPr>
        <w:pStyle w:val="ListBullet"/>
      </w:pPr>
      <w:proofErr w:type="gramStart"/>
      <w:r w:rsidRPr="0080378D">
        <w:t>a</w:t>
      </w:r>
      <w:proofErr w:type="gramEnd"/>
      <w:r w:rsidRPr="0080378D">
        <w:t xml:space="preserve"> person with a disability who is being provided with special education at the school and is not enrolled in the preparatory year at the school.</w:t>
      </w:r>
    </w:p>
    <w:p w:rsidR="0080378D" w:rsidRPr="0080378D" w:rsidRDefault="0080378D" w:rsidP="0080378D">
      <w:pPr>
        <w:rPr>
          <w:rFonts w:ascii="Calibri" w:hAnsi="Calibri" w:cs="Calibri"/>
          <w:sz w:val="24"/>
          <w:szCs w:val="24"/>
        </w:rPr>
      </w:pPr>
    </w:p>
    <w:p w:rsidR="0080378D" w:rsidRPr="0080378D" w:rsidRDefault="0080378D" w:rsidP="0080378D">
      <w:pPr>
        <w:rPr>
          <w:rFonts w:ascii="Calibri" w:hAnsi="Calibri" w:cs="Calibri"/>
          <w:sz w:val="24"/>
          <w:szCs w:val="24"/>
        </w:rPr>
      </w:pPr>
      <w:r w:rsidRPr="0080378D">
        <w:rPr>
          <w:rFonts w:ascii="Calibri" w:hAnsi="Calibri" w:cs="Calibri"/>
          <w:sz w:val="24"/>
          <w:szCs w:val="24"/>
        </w:rPr>
        <w:t xml:space="preserve">The Queensland Government’s Child Protection Guide was developed in 2011 to assist professional reporters to identify the most appropriate referral pathway for children and families where they have identified child protection concerns. The Guide was trialled in 2012 as part of the </w:t>
      </w:r>
      <w:r w:rsidR="00771F72">
        <w:rPr>
          <w:rFonts w:ascii="Calibri" w:hAnsi="Calibri" w:cs="Calibri"/>
          <w:sz w:val="24"/>
          <w:szCs w:val="24"/>
        </w:rPr>
        <w:t>HOF</w:t>
      </w:r>
      <w:r w:rsidRPr="0080378D">
        <w:rPr>
          <w:rFonts w:ascii="Calibri" w:hAnsi="Calibri" w:cs="Calibri"/>
          <w:sz w:val="24"/>
          <w:szCs w:val="24"/>
        </w:rPr>
        <w:t xml:space="preserve"> initiative. Training and support in the use of the Guide was provided as part of the trial. </w:t>
      </w:r>
    </w:p>
    <w:p w:rsidR="0080378D" w:rsidRPr="0080378D" w:rsidRDefault="0080378D" w:rsidP="0080378D">
      <w:pPr>
        <w:rPr>
          <w:rFonts w:ascii="Calibri" w:hAnsi="Calibri" w:cs="Calibri"/>
          <w:sz w:val="24"/>
          <w:szCs w:val="24"/>
        </w:rPr>
      </w:pPr>
    </w:p>
    <w:p w:rsidR="0080378D" w:rsidRPr="0080378D" w:rsidRDefault="0080378D" w:rsidP="0080378D">
      <w:pPr>
        <w:rPr>
          <w:rFonts w:ascii="Calibri" w:hAnsi="Calibri" w:cs="Calibri"/>
          <w:sz w:val="24"/>
          <w:szCs w:val="24"/>
        </w:rPr>
      </w:pPr>
      <w:r w:rsidRPr="0080378D">
        <w:rPr>
          <w:rFonts w:ascii="Calibri" w:hAnsi="Calibri" w:cs="Calibri"/>
          <w:sz w:val="24"/>
          <w:szCs w:val="24"/>
        </w:rPr>
        <w:t>The DETE Indigenous Remote Area Strategy will build on the TAFE delivery strategies under the Early Childhood Education and Care Workforce Action Plan 2010–2013. The Plan provides managed strategies to deliver training and skilling for existing workers in the children’s services sector to meet legislative qualification requirements. Training is in Certificate III in Children's Services, Diploma of Children's Services (Early Childhood Education and Care) and Advanced Diploma of Children's Services. In 2012–2013, the Tropical North Queensland Institute of TAFE delivered training under this strategy to 100 participants.</w:t>
      </w:r>
    </w:p>
    <w:p w:rsidR="0080378D" w:rsidRPr="0080378D" w:rsidRDefault="0080378D" w:rsidP="0080378D">
      <w:pPr>
        <w:rPr>
          <w:rFonts w:ascii="Calibri" w:hAnsi="Calibri" w:cs="Calibri"/>
          <w:sz w:val="24"/>
          <w:szCs w:val="24"/>
        </w:rPr>
      </w:pPr>
    </w:p>
    <w:p w:rsidR="0080378D" w:rsidRDefault="0080378D" w:rsidP="0080378D">
      <w:pPr>
        <w:rPr>
          <w:rFonts w:ascii="Calibri" w:hAnsi="Calibri" w:cs="Calibri"/>
          <w:sz w:val="24"/>
          <w:szCs w:val="24"/>
        </w:rPr>
      </w:pPr>
      <w:r w:rsidRPr="0080378D">
        <w:rPr>
          <w:rFonts w:ascii="Calibri" w:hAnsi="Calibri" w:cs="Calibri"/>
          <w:sz w:val="24"/>
          <w:szCs w:val="24"/>
        </w:rPr>
        <w:t>DETE also has an agreement with Act for Kids under the Strategic Investment Fund (end date of January 2014) for training in Certificate III in Community Services. This initiative will provide 25 people with training and assessment services to skill existing and future workers operating Safe Houses established in four remote Indigenous communities in Cape York. Participants will be trained to meet the specialised job requirements for the smooth running of the Safe Houses.</w:t>
      </w:r>
    </w:p>
    <w:p w:rsidR="00BD5D4E" w:rsidRPr="00821556" w:rsidRDefault="00BD5D4E" w:rsidP="00792804">
      <w:pPr>
        <w:pStyle w:val="Heading3"/>
      </w:pPr>
      <w:bookmarkStart w:id="168" w:name="_Toc400007752"/>
      <w:r w:rsidRPr="00821556">
        <w:t>South Australia</w:t>
      </w:r>
      <w:bookmarkEnd w:id="168"/>
    </w:p>
    <w:p w:rsidR="008930A8" w:rsidRPr="00F56F9B" w:rsidRDefault="008930A8" w:rsidP="00F56F9B">
      <w:pPr>
        <w:pStyle w:val="Heading4"/>
        <w:rPr>
          <w:lang w:val="en-AU"/>
        </w:rPr>
      </w:pPr>
      <w:r w:rsidRPr="00706368">
        <w:t>Enhanc</w:t>
      </w:r>
      <w:r w:rsidR="00555526" w:rsidRPr="00706368">
        <w:t>ing</w:t>
      </w:r>
      <w:r w:rsidR="00F56F9B">
        <w:t xml:space="preserve"> the Evidence Base</w:t>
      </w:r>
    </w:p>
    <w:p w:rsidR="008930A8" w:rsidRDefault="008930A8" w:rsidP="00F84D48">
      <w:pPr>
        <w:rPr>
          <w:rFonts w:ascii="Calibri" w:hAnsi="Calibri" w:cs="Calibri"/>
          <w:sz w:val="24"/>
          <w:szCs w:val="24"/>
        </w:rPr>
      </w:pPr>
      <w:r w:rsidRPr="008006B4">
        <w:rPr>
          <w:rFonts w:ascii="Calibri" w:hAnsi="Calibri" w:cs="Calibri"/>
          <w:sz w:val="24"/>
          <w:szCs w:val="24"/>
        </w:rPr>
        <w:t>SA Health</w:t>
      </w:r>
      <w:r w:rsidR="008764E1">
        <w:rPr>
          <w:rFonts w:ascii="Calibri" w:hAnsi="Calibri" w:cs="Calibri"/>
          <w:sz w:val="24"/>
          <w:szCs w:val="24"/>
        </w:rPr>
        <w:t>–</w:t>
      </w:r>
      <w:r w:rsidRPr="008006B4">
        <w:rPr>
          <w:rFonts w:ascii="Calibri" w:hAnsi="Calibri" w:cs="Calibri"/>
          <w:sz w:val="24"/>
          <w:szCs w:val="24"/>
        </w:rPr>
        <w:t xml:space="preserve">Women’s </w:t>
      </w:r>
      <w:r w:rsidR="008E1035">
        <w:rPr>
          <w:rFonts w:ascii="Calibri" w:hAnsi="Calibri" w:cs="Calibri"/>
          <w:sz w:val="24"/>
          <w:szCs w:val="24"/>
        </w:rPr>
        <w:t>and</w:t>
      </w:r>
      <w:r w:rsidR="008E1035" w:rsidRPr="008006B4">
        <w:rPr>
          <w:rFonts w:ascii="Calibri" w:hAnsi="Calibri" w:cs="Calibri"/>
          <w:sz w:val="24"/>
          <w:szCs w:val="24"/>
        </w:rPr>
        <w:t xml:space="preserve"> </w:t>
      </w:r>
      <w:r w:rsidRPr="008006B4">
        <w:rPr>
          <w:rFonts w:ascii="Calibri" w:hAnsi="Calibri" w:cs="Calibri"/>
          <w:sz w:val="24"/>
          <w:szCs w:val="24"/>
        </w:rPr>
        <w:t>Children’s Hea</w:t>
      </w:r>
      <w:r w:rsidR="00F44EED">
        <w:rPr>
          <w:rFonts w:ascii="Calibri" w:hAnsi="Calibri" w:cs="Calibri"/>
          <w:sz w:val="24"/>
          <w:szCs w:val="24"/>
        </w:rPr>
        <w:t xml:space="preserve">lth Network (Child Protection) </w:t>
      </w:r>
      <w:r w:rsidR="001C3ED2" w:rsidRPr="001C3ED2">
        <w:rPr>
          <w:rFonts w:ascii="Calibri" w:hAnsi="Calibri" w:cs="Calibri"/>
          <w:sz w:val="24"/>
          <w:szCs w:val="24"/>
        </w:rPr>
        <w:t xml:space="preserve">has undertaken a clinical analysis of the provision of forensic interviews with children under 12 from the </w:t>
      </w:r>
      <w:proofErr w:type="spellStart"/>
      <w:r w:rsidR="001C3ED2" w:rsidRPr="001C3ED2">
        <w:rPr>
          <w:rFonts w:ascii="Calibri" w:hAnsi="Calibri" w:cs="Calibri"/>
          <w:sz w:val="24"/>
          <w:szCs w:val="24"/>
        </w:rPr>
        <w:t>Anangu</w:t>
      </w:r>
      <w:proofErr w:type="spellEnd"/>
      <w:r w:rsidR="001C3ED2" w:rsidRPr="001C3ED2">
        <w:rPr>
          <w:rFonts w:ascii="Calibri" w:hAnsi="Calibri" w:cs="Calibri"/>
          <w:sz w:val="24"/>
          <w:szCs w:val="24"/>
        </w:rPr>
        <w:t xml:space="preserve"> Pitjantjatjara </w:t>
      </w:r>
      <w:proofErr w:type="spellStart"/>
      <w:r w:rsidR="001C3ED2" w:rsidRPr="001C3ED2">
        <w:rPr>
          <w:rFonts w:ascii="Calibri" w:hAnsi="Calibri" w:cs="Calibri"/>
          <w:sz w:val="24"/>
          <w:szCs w:val="24"/>
        </w:rPr>
        <w:t>Yankunytjatjara</w:t>
      </w:r>
      <w:proofErr w:type="spellEnd"/>
      <w:r w:rsidR="001C3ED2" w:rsidRPr="001C3ED2">
        <w:rPr>
          <w:rFonts w:ascii="Calibri" w:hAnsi="Calibri" w:cs="Calibri"/>
          <w:sz w:val="24"/>
          <w:szCs w:val="24"/>
        </w:rPr>
        <w:t xml:space="preserve"> (APY) lands. A unique model for this work has been developed. This differs from the mainstream model for children who are not from the APY </w:t>
      </w:r>
      <w:r w:rsidR="008D421A">
        <w:rPr>
          <w:rFonts w:ascii="Calibri" w:hAnsi="Calibri" w:cs="Calibri"/>
          <w:sz w:val="24"/>
          <w:szCs w:val="24"/>
        </w:rPr>
        <w:t>L</w:t>
      </w:r>
      <w:r w:rsidR="001C3ED2" w:rsidRPr="001C3ED2">
        <w:rPr>
          <w:rFonts w:ascii="Calibri" w:hAnsi="Calibri" w:cs="Calibri"/>
          <w:sz w:val="24"/>
          <w:szCs w:val="24"/>
        </w:rPr>
        <w:t xml:space="preserve">ands in that a longer period of time is spent with the child, aiming to build rapport and establish a relationship. There is more emphasis on the child in the context of </w:t>
      </w:r>
      <w:r w:rsidR="002D3C7B">
        <w:rPr>
          <w:rFonts w:ascii="Calibri" w:hAnsi="Calibri" w:cs="Calibri"/>
          <w:sz w:val="24"/>
          <w:szCs w:val="24"/>
        </w:rPr>
        <w:t>his or her</w:t>
      </w:r>
      <w:r w:rsidR="001C3ED2" w:rsidRPr="001C3ED2">
        <w:rPr>
          <w:rFonts w:ascii="Calibri" w:hAnsi="Calibri" w:cs="Calibri"/>
          <w:sz w:val="24"/>
          <w:szCs w:val="24"/>
        </w:rPr>
        <w:t xml:space="preserve"> community/environment and the need to take account of cultural factors. The type and style of questions posed is different, with greater emphasis on nonverbal communication, a different approach to understanding of past/present tense</w:t>
      </w:r>
      <w:r w:rsidR="002D3C7B">
        <w:rPr>
          <w:rFonts w:ascii="Calibri" w:hAnsi="Calibri" w:cs="Calibri"/>
          <w:sz w:val="24"/>
          <w:szCs w:val="24"/>
        </w:rPr>
        <w:t>,</w:t>
      </w:r>
      <w:r w:rsidR="001C3ED2" w:rsidRPr="001C3ED2">
        <w:rPr>
          <w:rFonts w:ascii="Calibri" w:hAnsi="Calibri" w:cs="Calibri"/>
          <w:sz w:val="24"/>
          <w:szCs w:val="24"/>
        </w:rPr>
        <w:t xml:space="preserve"> and proactive use of interpreters. </w:t>
      </w:r>
    </w:p>
    <w:p w:rsidR="00F84D48" w:rsidRPr="00F56F9B" w:rsidRDefault="00F84D48" w:rsidP="00F56F9B">
      <w:pPr>
        <w:pStyle w:val="Heading4"/>
        <w:rPr>
          <w:lang w:val="en-AU"/>
        </w:rPr>
      </w:pPr>
      <w:r w:rsidRPr="00706368">
        <w:t>National</w:t>
      </w:r>
      <w:r w:rsidR="00F56F9B">
        <w:t xml:space="preserve"> Standards for Out-of-Home Care</w:t>
      </w:r>
    </w:p>
    <w:p w:rsidR="008930A8" w:rsidRDefault="001C3ED2" w:rsidP="00F84D48">
      <w:pPr>
        <w:rPr>
          <w:rFonts w:ascii="Calibri" w:hAnsi="Calibri" w:cs="Calibri"/>
          <w:sz w:val="24"/>
          <w:szCs w:val="24"/>
        </w:rPr>
      </w:pPr>
      <w:r w:rsidRPr="001C3ED2">
        <w:rPr>
          <w:rFonts w:ascii="Calibri" w:hAnsi="Calibri" w:cs="Calibri"/>
          <w:sz w:val="24"/>
          <w:szCs w:val="24"/>
        </w:rPr>
        <w:t>The South Australian 2012</w:t>
      </w:r>
      <w:r w:rsidR="002D3C7B">
        <w:rPr>
          <w:rFonts w:ascii="Calibri" w:hAnsi="Calibri" w:cs="Calibri"/>
          <w:sz w:val="24"/>
          <w:szCs w:val="24"/>
        </w:rPr>
        <w:t>–</w:t>
      </w:r>
      <w:r w:rsidRPr="001C3ED2">
        <w:rPr>
          <w:rFonts w:ascii="Calibri" w:hAnsi="Calibri" w:cs="Calibri"/>
          <w:sz w:val="24"/>
          <w:szCs w:val="24"/>
        </w:rPr>
        <w:t>13 State Budget provided a further $17.6</w:t>
      </w:r>
      <w:r w:rsidR="002D3C7B">
        <w:rPr>
          <w:rFonts w:ascii="Calibri" w:hAnsi="Calibri" w:cs="Calibri"/>
          <w:sz w:val="24"/>
          <w:szCs w:val="24"/>
        </w:rPr>
        <w:t xml:space="preserve"> </w:t>
      </w:r>
      <w:r w:rsidRPr="001C3ED2">
        <w:rPr>
          <w:rFonts w:ascii="Calibri" w:hAnsi="Calibri" w:cs="Calibri"/>
          <w:sz w:val="24"/>
          <w:szCs w:val="24"/>
        </w:rPr>
        <w:t>m</w:t>
      </w:r>
      <w:r w:rsidR="002D3C7B">
        <w:rPr>
          <w:rFonts w:ascii="Calibri" w:hAnsi="Calibri" w:cs="Calibri"/>
          <w:sz w:val="24"/>
          <w:szCs w:val="24"/>
        </w:rPr>
        <w:t>illion</w:t>
      </w:r>
      <w:r w:rsidRPr="001C3ED2">
        <w:rPr>
          <w:rFonts w:ascii="Calibri" w:hAnsi="Calibri" w:cs="Calibri"/>
          <w:sz w:val="24"/>
          <w:szCs w:val="24"/>
        </w:rPr>
        <w:t xml:space="preserve"> over four years to strengthen support for children in need of out-of-home care.</w:t>
      </w:r>
    </w:p>
    <w:p w:rsidR="001C3ED2" w:rsidRPr="002D3C7B" w:rsidRDefault="001C3ED2" w:rsidP="00F84D48">
      <w:pPr>
        <w:rPr>
          <w:rFonts w:ascii="Calibri" w:hAnsi="Calibri" w:cs="Calibri"/>
          <w:sz w:val="24"/>
          <w:szCs w:val="24"/>
        </w:rPr>
      </w:pPr>
    </w:p>
    <w:p w:rsidR="00F84D48" w:rsidRPr="00F84D48" w:rsidRDefault="0058576F" w:rsidP="00F84D48">
      <w:pPr>
        <w:rPr>
          <w:rFonts w:ascii="Calibri" w:hAnsi="Calibri" w:cs="Calibri"/>
          <w:sz w:val="24"/>
          <w:szCs w:val="24"/>
        </w:rPr>
      </w:pPr>
      <w:r>
        <w:rPr>
          <w:rFonts w:ascii="Calibri" w:hAnsi="Calibri" w:cs="Calibri"/>
          <w:sz w:val="24"/>
          <w:szCs w:val="24"/>
        </w:rPr>
        <w:t>DECD (</w:t>
      </w:r>
      <w:r w:rsidR="00F84D48" w:rsidRPr="00F84D48">
        <w:rPr>
          <w:rFonts w:ascii="Calibri" w:hAnsi="Calibri" w:cs="Calibri"/>
          <w:sz w:val="24"/>
          <w:szCs w:val="24"/>
        </w:rPr>
        <w:t>Families SA</w:t>
      </w:r>
      <w:r>
        <w:rPr>
          <w:rFonts w:ascii="Calibri" w:hAnsi="Calibri" w:cs="Calibri"/>
          <w:sz w:val="24"/>
          <w:szCs w:val="24"/>
        </w:rPr>
        <w:t>)</w:t>
      </w:r>
      <w:r w:rsidR="00F84D48" w:rsidRPr="00F84D48">
        <w:rPr>
          <w:rFonts w:ascii="Calibri" w:hAnsi="Calibri" w:cs="Calibri"/>
          <w:sz w:val="24"/>
          <w:szCs w:val="24"/>
        </w:rPr>
        <w:t xml:space="preserve"> </w:t>
      </w:r>
      <w:r w:rsidR="008E1035">
        <w:rPr>
          <w:rFonts w:ascii="Calibri" w:hAnsi="Calibri" w:cs="Calibri"/>
          <w:sz w:val="24"/>
          <w:szCs w:val="24"/>
        </w:rPr>
        <w:t>has</w:t>
      </w:r>
      <w:r w:rsidR="008E1035" w:rsidRPr="00F84D48">
        <w:rPr>
          <w:rFonts w:ascii="Calibri" w:hAnsi="Calibri" w:cs="Calibri"/>
          <w:sz w:val="24"/>
          <w:szCs w:val="24"/>
        </w:rPr>
        <w:t xml:space="preserve"> </w:t>
      </w:r>
      <w:proofErr w:type="gramStart"/>
      <w:r w:rsidR="00F84D48" w:rsidRPr="00F84D48">
        <w:rPr>
          <w:rFonts w:ascii="Calibri" w:hAnsi="Calibri" w:cs="Calibri"/>
          <w:sz w:val="24"/>
          <w:szCs w:val="24"/>
        </w:rPr>
        <w:t>progressed</w:t>
      </w:r>
      <w:proofErr w:type="gramEnd"/>
      <w:r w:rsidR="00F84D48" w:rsidRPr="00F84D48">
        <w:rPr>
          <w:rFonts w:ascii="Calibri" w:hAnsi="Calibri" w:cs="Calibri"/>
          <w:sz w:val="24"/>
          <w:szCs w:val="24"/>
        </w:rPr>
        <w:t xml:space="preserve"> </w:t>
      </w:r>
      <w:r w:rsidR="001C3ED2">
        <w:rPr>
          <w:rFonts w:ascii="Calibri" w:hAnsi="Calibri" w:cs="Calibri"/>
          <w:sz w:val="24"/>
          <w:szCs w:val="24"/>
        </w:rPr>
        <w:t>a range of</w:t>
      </w:r>
      <w:r w:rsidR="00F84D48" w:rsidRPr="00F84D48">
        <w:rPr>
          <w:rFonts w:ascii="Calibri" w:hAnsi="Calibri" w:cs="Calibri"/>
          <w:sz w:val="24"/>
          <w:szCs w:val="24"/>
        </w:rPr>
        <w:t xml:space="preserve"> initiatives </w:t>
      </w:r>
      <w:r w:rsidR="001C3ED2">
        <w:rPr>
          <w:rFonts w:ascii="Calibri" w:hAnsi="Calibri" w:cs="Calibri"/>
          <w:sz w:val="24"/>
          <w:szCs w:val="24"/>
        </w:rPr>
        <w:t xml:space="preserve">pertaining </w:t>
      </w:r>
      <w:r w:rsidR="00F84D48" w:rsidRPr="00F84D48">
        <w:rPr>
          <w:rFonts w:ascii="Calibri" w:hAnsi="Calibri" w:cs="Calibri"/>
          <w:sz w:val="24"/>
          <w:szCs w:val="24"/>
        </w:rPr>
        <w:t xml:space="preserve">to the </w:t>
      </w:r>
      <w:r w:rsidR="001C3ED2">
        <w:rPr>
          <w:rFonts w:ascii="Calibri" w:hAnsi="Calibri" w:cs="Calibri"/>
          <w:sz w:val="24"/>
          <w:szCs w:val="24"/>
        </w:rPr>
        <w:t>placement</w:t>
      </w:r>
      <w:r w:rsidR="001C3ED2" w:rsidRPr="00F84D48">
        <w:rPr>
          <w:rFonts w:ascii="Calibri" w:hAnsi="Calibri" w:cs="Calibri"/>
          <w:sz w:val="24"/>
          <w:szCs w:val="24"/>
        </w:rPr>
        <w:t xml:space="preserve"> </w:t>
      </w:r>
      <w:r w:rsidR="00E37943">
        <w:rPr>
          <w:rFonts w:ascii="Calibri" w:hAnsi="Calibri" w:cs="Calibri"/>
          <w:sz w:val="24"/>
          <w:szCs w:val="24"/>
        </w:rPr>
        <w:t>of children</w:t>
      </w:r>
      <w:r w:rsidR="002D3C7B">
        <w:rPr>
          <w:rFonts w:ascii="Calibri" w:hAnsi="Calibri" w:cs="Calibri"/>
          <w:sz w:val="24"/>
          <w:szCs w:val="24"/>
        </w:rPr>
        <w:t xml:space="preserve"> </w:t>
      </w:r>
      <w:r w:rsidR="00F84D48" w:rsidRPr="00F84D48">
        <w:rPr>
          <w:rFonts w:ascii="Calibri" w:hAnsi="Calibri" w:cs="Calibri"/>
          <w:sz w:val="24"/>
          <w:szCs w:val="24"/>
        </w:rPr>
        <w:t xml:space="preserve">under an Other Person Guardianship </w:t>
      </w:r>
      <w:r w:rsidR="00F44EED">
        <w:rPr>
          <w:rFonts w:ascii="Calibri" w:hAnsi="Calibri" w:cs="Calibri"/>
          <w:sz w:val="24"/>
          <w:szCs w:val="24"/>
        </w:rPr>
        <w:t xml:space="preserve">(OPG) </w:t>
      </w:r>
      <w:r w:rsidR="00F84D48" w:rsidRPr="00F84D48">
        <w:rPr>
          <w:rFonts w:ascii="Calibri" w:hAnsi="Calibri" w:cs="Calibri"/>
          <w:sz w:val="24"/>
          <w:szCs w:val="24"/>
        </w:rPr>
        <w:t>order in 2012</w:t>
      </w:r>
      <w:r w:rsidR="008E1035">
        <w:rPr>
          <w:rFonts w:ascii="Calibri" w:hAnsi="Calibri" w:cs="Calibri"/>
          <w:sz w:val="24"/>
          <w:szCs w:val="24"/>
        </w:rPr>
        <w:t>–</w:t>
      </w:r>
      <w:r w:rsidR="00F84D48" w:rsidRPr="00F84D48">
        <w:rPr>
          <w:rFonts w:ascii="Calibri" w:hAnsi="Calibri" w:cs="Calibri"/>
          <w:sz w:val="24"/>
          <w:szCs w:val="24"/>
        </w:rPr>
        <w:t xml:space="preserve">2013. An </w:t>
      </w:r>
      <w:r w:rsidR="008514A0">
        <w:rPr>
          <w:rFonts w:ascii="Calibri" w:hAnsi="Calibri" w:cs="Calibri"/>
          <w:sz w:val="24"/>
          <w:szCs w:val="24"/>
        </w:rPr>
        <w:t>OPG</w:t>
      </w:r>
      <w:r w:rsidR="00F84D48" w:rsidRPr="00F84D48">
        <w:rPr>
          <w:rFonts w:ascii="Calibri" w:hAnsi="Calibri" w:cs="Calibri"/>
          <w:sz w:val="24"/>
          <w:szCs w:val="24"/>
        </w:rPr>
        <w:t xml:space="preserve"> Advisory Panel </w:t>
      </w:r>
      <w:r w:rsidR="00F44EED">
        <w:rPr>
          <w:rFonts w:ascii="Calibri" w:hAnsi="Calibri" w:cs="Calibri"/>
          <w:sz w:val="24"/>
          <w:szCs w:val="24"/>
        </w:rPr>
        <w:t xml:space="preserve">(the Panel) </w:t>
      </w:r>
      <w:r w:rsidR="00F84D48" w:rsidRPr="00F84D48">
        <w:rPr>
          <w:rFonts w:ascii="Calibri" w:hAnsi="Calibri" w:cs="Calibri"/>
          <w:sz w:val="24"/>
          <w:szCs w:val="24"/>
        </w:rPr>
        <w:t xml:space="preserve">has been established to review all referrals for OPG and all completed </w:t>
      </w:r>
      <w:r w:rsidR="00F44EED">
        <w:rPr>
          <w:rFonts w:ascii="Calibri" w:hAnsi="Calibri" w:cs="Calibri"/>
          <w:sz w:val="24"/>
          <w:szCs w:val="24"/>
        </w:rPr>
        <w:t>assessments.</w:t>
      </w:r>
      <w:r w:rsidR="00A43557">
        <w:rPr>
          <w:rFonts w:ascii="Calibri" w:hAnsi="Calibri" w:cs="Calibri"/>
          <w:sz w:val="24"/>
          <w:szCs w:val="24"/>
        </w:rPr>
        <w:t xml:space="preserve"> </w:t>
      </w:r>
      <w:r w:rsidR="00F44EED">
        <w:rPr>
          <w:rFonts w:ascii="Calibri" w:hAnsi="Calibri" w:cs="Calibri"/>
          <w:sz w:val="24"/>
          <w:szCs w:val="24"/>
        </w:rPr>
        <w:t>The role of the P</w:t>
      </w:r>
      <w:r w:rsidR="00F84D48" w:rsidRPr="00F84D48">
        <w:rPr>
          <w:rFonts w:ascii="Calibri" w:hAnsi="Calibri" w:cs="Calibri"/>
          <w:sz w:val="24"/>
          <w:szCs w:val="24"/>
        </w:rPr>
        <w:t xml:space="preserve">anel is to enhance the quality of decision making and accountability in relation to complex and contentious applications for OPG and to increase </w:t>
      </w:r>
      <w:r w:rsidR="008E1035">
        <w:rPr>
          <w:rFonts w:ascii="Calibri" w:hAnsi="Calibri" w:cs="Calibri"/>
          <w:sz w:val="24"/>
          <w:szCs w:val="24"/>
        </w:rPr>
        <w:t xml:space="preserve">the </w:t>
      </w:r>
      <w:r w:rsidR="00F84D48" w:rsidRPr="00F84D48">
        <w:rPr>
          <w:rFonts w:ascii="Calibri" w:hAnsi="Calibri" w:cs="Calibri"/>
          <w:sz w:val="24"/>
          <w:szCs w:val="24"/>
        </w:rPr>
        <w:t>transparency and objectivity of OPG applications. The decision</w:t>
      </w:r>
      <w:r w:rsidR="00266F5E">
        <w:rPr>
          <w:rFonts w:ascii="Calibri" w:hAnsi="Calibri" w:cs="Calibri"/>
          <w:sz w:val="24"/>
          <w:szCs w:val="24"/>
        </w:rPr>
        <w:t xml:space="preserve"> </w:t>
      </w:r>
      <w:r w:rsidR="00F84D48" w:rsidRPr="00F84D48">
        <w:rPr>
          <w:rFonts w:ascii="Calibri" w:hAnsi="Calibri" w:cs="Calibri"/>
          <w:sz w:val="24"/>
          <w:szCs w:val="24"/>
        </w:rPr>
        <w:t>making process is enhanced through the inclusion of expert multidisciplinary representation on the Panel</w:t>
      </w:r>
      <w:r w:rsidR="001C3ED2">
        <w:rPr>
          <w:rFonts w:ascii="Calibri" w:hAnsi="Calibri" w:cs="Calibri"/>
          <w:sz w:val="24"/>
          <w:szCs w:val="24"/>
        </w:rPr>
        <w:t>,</w:t>
      </w:r>
      <w:r w:rsidR="001C3ED2" w:rsidRPr="001C3ED2">
        <w:t xml:space="preserve"> </w:t>
      </w:r>
      <w:r w:rsidR="001C3ED2" w:rsidRPr="001C3ED2">
        <w:rPr>
          <w:rFonts w:ascii="Calibri" w:hAnsi="Calibri" w:cs="Calibri"/>
          <w:sz w:val="24"/>
          <w:szCs w:val="24"/>
        </w:rPr>
        <w:t xml:space="preserve">which </w:t>
      </w:r>
      <w:r w:rsidR="001C3ED2">
        <w:rPr>
          <w:rFonts w:ascii="Calibri" w:hAnsi="Calibri" w:cs="Calibri"/>
          <w:sz w:val="24"/>
          <w:szCs w:val="24"/>
        </w:rPr>
        <w:t>includes representation</w:t>
      </w:r>
      <w:r w:rsidR="001C3ED2" w:rsidRPr="001C3ED2">
        <w:rPr>
          <w:rFonts w:ascii="Calibri" w:hAnsi="Calibri" w:cs="Calibri"/>
          <w:sz w:val="24"/>
          <w:szCs w:val="24"/>
        </w:rPr>
        <w:t xml:space="preserve"> from the </w:t>
      </w:r>
      <w:r w:rsidR="00490AB7" w:rsidRPr="00490AB7">
        <w:rPr>
          <w:rFonts w:ascii="Calibri" w:hAnsi="Calibri" w:cs="Calibri"/>
          <w:sz w:val="24"/>
          <w:szCs w:val="24"/>
        </w:rPr>
        <w:t xml:space="preserve">Child </w:t>
      </w:r>
      <w:r w:rsidR="00490AB7">
        <w:rPr>
          <w:rFonts w:ascii="Calibri" w:hAnsi="Calibri" w:cs="Calibri"/>
          <w:sz w:val="24"/>
          <w:szCs w:val="24"/>
        </w:rPr>
        <w:t>and</w:t>
      </w:r>
      <w:r w:rsidR="00490AB7" w:rsidRPr="00490AB7">
        <w:rPr>
          <w:rFonts w:ascii="Calibri" w:hAnsi="Calibri" w:cs="Calibri"/>
          <w:sz w:val="24"/>
          <w:szCs w:val="24"/>
        </w:rPr>
        <w:t xml:space="preserve"> Family Welfare Association SA (CAFWA-SA)</w:t>
      </w:r>
      <w:r w:rsidR="009C4A87">
        <w:rPr>
          <w:rFonts w:ascii="Calibri" w:hAnsi="Calibri" w:cs="Calibri"/>
          <w:sz w:val="24"/>
          <w:szCs w:val="24"/>
        </w:rPr>
        <w:t xml:space="preserve"> and</w:t>
      </w:r>
      <w:r w:rsidR="001C3ED2" w:rsidRPr="001C3ED2">
        <w:rPr>
          <w:rFonts w:ascii="Calibri" w:hAnsi="Calibri" w:cs="Calibri"/>
          <w:sz w:val="24"/>
          <w:szCs w:val="24"/>
        </w:rPr>
        <w:t xml:space="preserve"> Aboriginal Family Support Services (AFSS), a Principal Psychologist and Principal Social Workers.</w:t>
      </w:r>
    </w:p>
    <w:p w:rsidR="00F84D48" w:rsidRPr="00F84D48" w:rsidRDefault="00F84D48" w:rsidP="00F84D48">
      <w:pPr>
        <w:rPr>
          <w:rFonts w:ascii="Calibri" w:hAnsi="Calibri" w:cs="Calibri"/>
          <w:sz w:val="24"/>
          <w:szCs w:val="24"/>
        </w:rPr>
      </w:pPr>
    </w:p>
    <w:p w:rsidR="00F84D48" w:rsidRPr="00F84D48" w:rsidRDefault="00F84D48" w:rsidP="00F84D48">
      <w:pPr>
        <w:rPr>
          <w:rFonts w:ascii="Calibri" w:hAnsi="Calibri" w:cs="Calibri"/>
          <w:sz w:val="24"/>
          <w:szCs w:val="24"/>
        </w:rPr>
      </w:pPr>
      <w:r w:rsidRPr="00F84D48">
        <w:rPr>
          <w:rFonts w:ascii="Calibri" w:hAnsi="Calibri" w:cs="Calibri"/>
          <w:sz w:val="24"/>
          <w:szCs w:val="24"/>
        </w:rPr>
        <w:t>A pilot program has commenced</w:t>
      </w:r>
      <w:r w:rsidR="008E1035">
        <w:rPr>
          <w:rFonts w:ascii="Calibri" w:hAnsi="Calibri" w:cs="Calibri"/>
          <w:sz w:val="24"/>
          <w:szCs w:val="24"/>
        </w:rPr>
        <w:t>,</w:t>
      </w:r>
      <w:r w:rsidRPr="00F84D48">
        <w:rPr>
          <w:rFonts w:ascii="Calibri" w:hAnsi="Calibri" w:cs="Calibri"/>
          <w:sz w:val="24"/>
          <w:szCs w:val="24"/>
        </w:rPr>
        <w:t xml:space="preserve"> where couples who are approved adoptive parents have been assessed for long</w:t>
      </w:r>
      <w:r w:rsidR="004973A1">
        <w:rPr>
          <w:rFonts w:ascii="Calibri" w:hAnsi="Calibri" w:cs="Calibri"/>
          <w:sz w:val="24"/>
          <w:szCs w:val="24"/>
        </w:rPr>
        <w:t>-</w:t>
      </w:r>
      <w:r w:rsidRPr="00F84D48">
        <w:rPr>
          <w:rFonts w:ascii="Calibri" w:hAnsi="Calibri" w:cs="Calibri"/>
          <w:sz w:val="24"/>
          <w:szCs w:val="24"/>
        </w:rPr>
        <w:t>term foster care</w:t>
      </w:r>
      <w:r w:rsidR="001C3ED2">
        <w:rPr>
          <w:rFonts w:ascii="Calibri" w:hAnsi="Calibri" w:cs="Calibri"/>
          <w:sz w:val="24"/>
          <w:szCs w:val="24"/>
        </w:rPr>
        <w:t xml:space="preserve"> and will potentially be</w:t>
      </w:r>
      <w:r w:rsidRPr="00F84D48">
        <w:rPr>
          <w:rFonts w:ascii="Calibri" w:hAnsi="Calibri" w:cs="Calibri"/>
          <w:sz w:val="24"/>
          <w:szCs w:val="24"/>
        </w:rPr>
        <w:t xml:space="preserve"> assessed for </w:t>
      </w:r>
      <w:r w:rsidR="00F44EED">
        <w:rPr>
          <w:rFonts w:ascii="Calibri" w:hAnsi="Calibri" w:cs="Calibri"/>
          <w:sz w:val="24"/>
          <w:szCs w:val="24"/>
        </w:rPr>
        <w:t xml:space="preserve">OPG </w:t>
      </w:r>
      <w:r w:rsidRPr="00F84D48">
        <w:rPr>
          <w:rFonts w:ascii="Calibri" w:hAnsi="Calibri" w:cs="Calibri"/>
          <w:sz w:val="24"/>
          <w:szCs w:val="24"/>
        </w:rPr>
        <w:t>following a child being placed wi</w:t>
      </w:r>
      <w:r w:rsidR="00F44EED">
        <w:rPr>
          <w:rFonts w:ascii="Calibri" w:hAnsi="Calibri" w:cs="Calibri"/>
          <w:sz w:val="24"/>
          <w:szCs w:val="24"/>
        </w:rPr>
        <w:t>th them for two years.</w:t>
      </w:r>
      <w:r w:rsidR="007764A2">
        <w:rPr>
          <w:rFonts w:ascii="Calibri" w:hAnsi="Calibri" w:cs="Calibri"/>
          <w:sz w:val="24"/>
          <w:szCs w:val="24"/>
        </w:rPr>
        <w:t xml:space="preserve"> </w:t>
      </w:r>
      <w:r w:rsidRPr="00F84D48">
        <w:rPr>
          <w:rFonts w:ascii="Calibri" w:hAnsi="Calibri" w:cs="Calibri"/>
          <w:sz w:val="24"/>
          <w:szCs w:val="24"/>
        </w:rPr>
        <w:t xml:space="preserve">This has increased the number of couples potentially able to </w:t>
      </w:r>
      <w:r w:rsidR="00E37943">
        <w:rPr>
          <w:rFonts w:ascii="Calibri" w:hAnsi="Calibri" w:cs="Calibri"/>
          <w:sz w:val="24"/>
          <w:szCs w:val="24"/>
        </w:rPr>
        <w:t>provide</w:t>
      </w:r>
      <w:r w:rsidR="00E37943" w:rsidRPr="00F84D48">
        <w:rPr>
          <w:rFonts w:ascii="Calibri" w:hAnsi="Calibri" w:cs="Calibri"/>
          <w:sz w:val="24"/>
          <w:szCs w:val="24"/>
        </w:rPr>
        <w:t xml:space="preserve"> </w:t>
      </w:r>
      <w:r w:rsidRPr="00F84D48">
        <w:rPr>
          <w:rFonts w:ascii="Calibri" w:hAnsi="Calibri" w:cs="Calibri"/>
          <w:sz w:val="24"/>
          <w:szCs w:val="24"/>
        </w:rPr>
        <w:t xml:space="preserve">children </w:t>
      </w:r>
      <w:r w:rsidR="00E37943">
        <w:rPr>
          <w:rFonts w:ascii="Calibri" w:hAnsi="Calibri" w:cs="Calibri"/>
          <w:sz w:val="24"/>
          <w:szCs w:val="24"/>
        </w:rPr>
        <w:t xml:space="preserve">with </w:t>
      </w:r>
      <w:r w:rsidR="008E1035" w:rsidRPr="00F84D48">
        <w:rPr>
          <w:rFonts w:ascii="Calibri" w:hAnsi="Calibri" w:cs="Calibri"/>
          <w:sz w:val="24"/>
          <w:szCs w:val="24"/>
        </w:rPr>
        <w:t>long</w:t>
      </w:r>
      <w:r w:rsidR="008E1035">
        <w:rPr>
          <w:rFonts w:ascii="Calibri" w:hAnsi="Calibri" w:cs="Calibri"/>
          <w:sz w:val="24"/>
          <w:szCs w:val="24"/>
        </w:rPr>
        <w:t>-</w:t>
      </w:r>
      <w:r w:rsidRPr="00F84D48">
        <w:rPr>
          <w:rFonts w:ascii="Calibri" w:hAnsi="Calibri" w:cs="Calibri"/>
          <w:sz w:val="24"/>
          <w:szCs w:val="24"/>
        </w:rPr>
        <w:t xml:space="preserve">term </w:t>
      </w:r>
      <w:r w:rsidR="001C3ED2">
        <w:rPr>
          <w:rFonts w:ascii="Calibri" w:hAnsi="Calibri" w:cs="Calibri"/>
          <w:sz w:val="24"/>
          <w:szCs w:val="24"/>
        </w:rPr>
        <w:t>care</w:t>
      </w:r>
      <w:r w:rsidRPr="00F84D48">
        <w:rPr>
          <w:rFonts w:ascii="Calibri" w:hAnsi="Calibri" w:cs="Calibri"/>
          <w:sz w:val="24"/>
          <w:szCs w:val="24"/>
        </w:rPr>
        <w:t>.</w:t>
      </w:r>
    </w:p>
    <w:p w:rsidR="00F84D48" w:rsidRPr="00F84D48" w:rsidRDefault="00F84D48" w:rsidP="00F84D48">
      <w:pPr>
        <w:rPr>
          <w:rFonts w:ascii="Calibri" w:hAnsi="Calibri" w:cs="Calibri"/>
          <w:sz w:val="24"/>
          <w:szCs w:val="24"/>
        </w:rPr>
      </w:pPr>
    </w:p>
    <w:p w:rsidR="00F84D48" w:rsidRPr="00F84D48" w:rsidRDefault="00F44EED" w:rsidP="00F84D48">
      <w:pPr>
        <w:rPr>
          <w:rFonts w:ascii="Calibri" w:hAnsi="Calibri" w:cs="Calibri"/>
          <w:sz w:val="24"/>
          <w:szCs w:val="24"/>
        </w:rPr>
      </w:pPr>
      <w:r>
        <w:rPr>
          <w:rFonts w:ascii="Calibri" w:hAnsi="Calibri" w:cs="Calibri"/>
          <w:sz w:val="24"/>
          <w:szCs w:val="24"/>
        </w:rPr>
        <w:t>DCSI</w:t>
      </w:r>
      <w:r w:rsidR="008E1035">
        <w:rPr>
          <w:rFonts w:ascii="Calibri" w:hAnsi="Calibri" w:cs="Calibri"/>
          <w:sz w:val="24"/>
          <w:szCs w:val="24"/>
        </w:rPr>
        <w:t>’S</w:t>
      </w:r>
      <w:r w:rsidR="00F84D48" w:rsidRPr="00F84D48">
        <w:rPr>
          <w:rFonts w:ascii="Calibri" w:hAnsi="Calibri" w:cs="Calibri"/>
          <w:sz w:val="24"/>
          <w:szCs w:val="24"/>
        </w:rPr>
        <w:t xml:space="preserve"> Australian Service Excellence Standards (ASES) are internationally accredited standards for community services. These have been mapped against the National Standards for </w:t>
      </w:r>
      <w:r w:rsidR="008E1035">
        <w:rPr>
          <w:rFonts w:ascii="Calibri" w:hAnsi="Calibri" w:cs="Calibri"/>
          <w:sz w:val="24"/>
          <w:szCs w:val="24"/>
        </w:rPr>
        <w:t>Out-of-Home Care,</w:t>
      </w:r>
      <w:r w:rsidR="00F84D48" w:rsidRPr="00F84D48">
        <w:rPr>
          <w:rFonts w:ascii="Calibri" w:hAnsi="Calibri" w:cs="Calibri"/>
          <w:sz w:val="24"/>
          <w:szCs w:val="24"/>
        </w:rPr>
        <w:t xml:space="preserve"> and there is considerable overlap </w:t>
      </w:r>
      <w:r w:rsidR="001C3ED2">
        <w:rPr>
          <w:rFonts w:ascii="Calibri" w:hAnsi="Calibri" w:cs="Calibri"/>
          <w:sz w:val="24"/>
          <w:szCs w:val="24"/>
        </w:rPr>
        <w:t>and</w:t>
      </w:r>
      <w:r w:rsidR="001C3ED2" w:rsidRPr="00F84D48">
        <w:rPr>
          <w:rFonts w:ascii="Calibri" w:hAnsi="Calibri" w:cs="Calibri"/>
          <w:sz w:val="24"/>
          <w:szCs w:val="24"/>
        </w:rPr>
        <w:t xml:space="preserve"> </w:t>
      </w:r>
      <w:r w:rsidR="00F84D48" w:rsidRPr="00F84D48">
        <w:rPr>
          <w:rFonts w:ascii="Calibri" w:hAnsi="Calibri" w:cs="Calibri"/>
          <w:sz w:val="24"/>
          <w:szCs w:val="24"/>
        </w:rPr>
        <w:t xml:space="preserve">potential </w:t>
      </w:r>
      <w:r w:rsidR="001C3ED2">
        <w:rPr>
          <w:rFonts w:ascii="Calibri" w:hAnsi="Calibri" w:cs="Calibri"/>
          <w:sz w:val="24"/>
          <w:szCs w:val="24"/>
        </w:rPr>
        <w:t xml:space="preserve">for </w:t>
      </w:r>
      <w:r w:rsidR="00F84D48" w:rsidRPr="00F84D48">
        <w:rPr>
          <w:rFonts w:ascii="Calibri" w:hAnsi="Calibri" w:cs="Calibri"/>
          <w:sz w:val="24"/>
          <w:szCs w:val="24"/>
        </w:rPr>
        <w:t xml:space="preserve">mutual recognition. </w:t>
      </w:r>
    </w:p>
    <w:p w:rsidR="00737E15" w:rsidRPr="00F56F9B" w:rsidRDefault="00F56F9B" w:rsidP="00F56F9B">
      <w:pPr>
        <w:pStyle w:val="Heading4"/>
        <w:rPr>
          <w:lang w:val="en-AU"/>
        </w:rPr>
      </w:pPr>
      <w:r>
        <w:t>Transitioning to Independence</w:t>
      </w:r>
    </w:p>
    <w:p w:rsidR="003A75BA" w:rsidRDefault="000341A5" w:rsidP="003A75BA">
      <w:pPr>
        <w:rPr>
          <w:rFonts w:ascii="Calibri" w:hAnsi="Calibri" w:cs="Calibri"/>
          <w:sz w:val="24"/>
          <w:szCs w:val="24"/>
        </w:rPr>
      </w:pPr>
      <w:r>
        <w:rPr>
          <w:rFonts w:ascii="Calibri" w:hAnsi="Calibri" w:cs="Calibri"/>
          <w:sz w:val="24"/>
          <w:szCs w:val="24"/>
        </w:rPr>
        <w:t>DCSI</w:t>
      </w:r>
      <w:r w:rsidR="00EB02C2">
        <w:rPr>
          <w:rFonts w:ascii="Calibri" w:hAnsi="Calibri" w:cs="Calibri"/>
          <w:sz w:val="24"/>
          <w:szCs w:val="24"/>
        </w:rPr>
        <w:t xml:space="preserve"> </w:t>
      </w:r>
      <w:r w:rsidR="003A75BA" w:rsidRPr="003A75BA">
        <w:rPr>
          <w:rFonts w:ascii="Calibri" w:hAnsi="Calibri" w:cs="Calibri"/>
          <w:sz w:val="24"/>
          <w:szCs w:val="24"/>
        </w:rPr>
        <w:t xml:space="preserve">is developing </w:t>
      </w:r>
      <w:r w:rsidR="00F44EED" w:rsidRPr="00A82700">
        <w:rPr>
          <w:rFonts w:ascii="Calibri" w:hAnsi="Calibri" w:cs="Calibri"/>
          <w:i/>
          <w:sz w:val="24"/>
          <w:szCs w:val="24"/>
        </w:rPr>
        <w:t xml:space="preserve">Young and Resilient: A Framework </w:t>
      </w:r>
      <w:r w:rsidR="00343BEF" w:rsidRPr="00A82700">
        <w:rPr>
          <w:rFonts w:ascii="Calibri" w:hAnsi="Calibri" w:cs="Calibri"/>
          <w:i/>
          <w:sz w:val="24"/>
          <w:szCs w:val="24"/>
        </w:rPr>
        <w:t>f</w:t>
      </w:r>
      <w:r w:rsidR="00F44EED" w:rsidRPr="00A82700">
        <w:rPr>
          <w:rFonts w:ascii="Calibri" w:hAnsi="Calibri" w:cs="Calibri"/>
          <w:i/>
          <w:sz w:val="24"/>
          <w:szCs w:val="24"/>
        </w:rPr>
        <w:t xml:space="preserve">or Supporting Young People </w:t>
      </w:r>
      <w:r w:rsidR="00343BEF" w:rsidRPr="00A82700">
        <w:rPr>
          <w:rFonts w:ascii="Calibri" w:hAnsi="Calibri" w:cs="Calibri"/>
          <w:i/>
          <w:sz w:val="24"/>
          <w:szCs w:val="24"/>
        </w:rPr>
        <w:t>i</w:t>
      </w:r>
      <w:r w:rsidR="00F44EED" w:rsidRPr="00A82700">
        <w:rPr>
          <w:rFonts w:ascii="Calibri" w:hAnsi="Calibri" w:cs="Calibri"/>
          <w:i/>
          <w:sz w:val="24"/>
          <w:szCs w:val="24"/>
        </w:rPr>
        <w:t xml:space="preserve">n Situations </w:t>
      </w:r>
      <w:r w:rsidR="00343BEF" w:rsidRPr="00A82700">
        <w:rPr>
          <w:rFonts w:ascii="Calibri" w:hAnsi="Calibri" w:cs="Calibri"/>
          <w:i/>
          <w:sz w:val="24"/>
          <w:szCs w:val="24"/>
        </w:rPr>
        <w:t>o</w:t>
      </w:r>
      <w:r w:rsidR="00F44EED" w:rsidRPr="00A82700">
        <w:rPr>
          <w:rFonts w:ascii="Calibri" w:hAnsi="Calibri" w:cs="Calibri"/>
          <w:i/>
          <w:sz w:val="24"/>
          <w:szCs w:val="24"/>
        </w:rPr>
        <w:t>f Vulnerability</w:t>
      </w:r>
      <w:r w:rsidR="00F44EED">
        <w:rPr>
          <w:rFonts w:ascii="Calibri" w:hAnsi="Calibri" w:cs="Calibri"/>
          <w:sz w:val="24"/>
          <w:szCs w:val="24"/>
        </w:rPr>
        <w:t>. This</w:t>
      </w:r>
      <w:r w:rsidR="00F44EED" w:rsidRPr="00F44EED">
        <w:rPr>
          <w:rFonts w:ascii="Calibri" w:hAnsi="Calibri" w:cs="Calibri"/>
          <w:sz w:val="24"/>
          <w:szCs w:val="24"/>
        </w:rPr>
        <w:t xml:space="preserve"> </w:t>
      </w:r>
      <w:r w:rsidR="003A75BA" w:rsidRPr="003A75BA">
        <w:rPr>
          <w:rFonts w:ascii="Calibri" w:hAnsi="Calibri" w:cs="Calibri"/>
          <w:sz w:val="24"/>
          <w:szCs w:val="24"/>
        </w:rPr>
        <w:t xml:space="preserve">framework </w:t>
      </w:r>
      <w:r w:rsidR="00F44EED">
        <w:rPr>
          <w:rFonts w:ascii="Calibri" w:hAnsi="Calibri" w:cs="Calibri"/>
          <w:sz w:val="24"/>
          <w:szCs w:val="24"/>
        </w:rPr>
        <w:t xml:space="preserve">is </w:t>
      </w:r>
      <w:r w:rsidR="003A75BA" w:rsidRPr="003A75BA">
        <w:rPr>
          <w:rFonts w:ascii="Calibri" w:hAnsi="Calibri" w:cs="Calibri"/>
          <w:sz w:val="24"/>
          <w:szCs w:val="24"/>
        </w:rPr>
        <w:t>centred upon principles of engagement that emphasise the need for tailored responses to the individual needs of young people, including those in care or experiencing accommodation challenges.</w:t>
      </w:r>
    </w:p>
    <w:p w:rsidR="00A107DA" w:rsidRDefault="00A107DA" w:rsidP="008930A8">
      <w:pPr>
        <w:rPr>
          <w:rFonts w:ascii="Calibri" w:hAnsi="Calibri" w:cs="Calibri"/>
          <w:sz w:val="24"/>
          <w:szCs w:val="24"/>
        </w:rPr>
      </w:pPr>
    </w:p>
    <w:p w:rsidR="008930A8" w:rsidRDefault="00A107DA" w:rsidP="008930A8">
      <w:pPr>
        <w:rPr>
          <w:rFonts w:ascii="Calibri" w:hAnsi="Calibri" w:cs="Calibri"/>
          <w:sz w:val="24"/>
          <w:szCs w:val="24"/>
        </w:rPr>
      </w:pPr>
      <w:r w:rsidRPr="00A107DA">
        <w:rPr>
          <w:rFonts w:ascii="Calibri" w:hAnsi="Calibri" w:cs="Calibri"/>
          <w:sz w:val="24"/>
          <w:szCs w:val="24"/>
        </w:rPr>
        <w:t>Families SA, Housing SA and Disability SA have engaged in consultation with field staff to update</w:t>
      </w:r>
      <w:r w:rsidR="00A973E8">
        <w:rPr>
          <w:rFonts w:ascii="Calibri" w:hAnsi="Calibri" w:cs="Calibri"/>
          <w:sz w:val="24"/>
          <w:szCs w:val="24"/>
        </w:rPr>
        <w:t xml:space="preserve"> </w:t>
      </w:r>
      <w:r w:rsidRPr="00A107DA">
        <w:rPr>
          <w:rFonts w:ascii="Calibri" w:hAnsi="Calibri" w:cs="Calibri"/>
          <w:sz w:val="24"/>
          <w:szCs w:val="24"/>
        </w:rPr>
        <w:t>the Operational Protocol concerning Housing Assistance for Young People exiting Guardianship of the Minister.</w:t>
      </w:r>
      <w:r w:rsidR="00A973E8">
        <w:rPr>
          <w:rFonts w:ascii="Calibri" w:hAnsi="Calibri" w:cs="Calibri"/>
          <w:sz w:val="24"/>
          <w:szCs w:val="24"/>
        </w:rPr>
        <w:t xml:space="preserve"> </w:t>
      </w:r>
      <w:r w:rsidRPr="00A107DA">
        <w:rPr>
          <w:rFonts w:ascii="Calibri" w:hAnsi="Calibri" w:cs="Calibri"/>
          <w:sz w:val="24"/>
          <w:szCs w:val="24"/>
        </w:rPr>
        <w:t>Regular interagency meetings will be held to plan services for joint clients and to ensure that service gaps, barriers or other systemic issues are identified and resolved.</w:t>
      </w:r>
    </w:p>
    <w:p w:rsidR="002670BF" w:rsidRPr="00706368" w:rsidRDefault="002670BF" w:rsidP="00F56F9B">
      <w:pPr>
        <w:pStyle w:val="Heading4"/>
      </w:pPr>
      <w:r w:rsidRPr="00706368">
        <w:t xml:space="preserve">Improving Support for Carers </w:t>
      </w:r>
    </w:p>
    <w:p w:rsidR="00A107DA" w:rsidRDefault="00A107DA" w:rsidP="00A107DA">
      <w:pPr>
        <w:rPr>
          <w:rFonts w:ascii="Calibri" w:hAnsi="Calibri" w:cs="Calibri"/>
          <w:sz w:val="24"/>
          <w:szCs w:val="24"/>
        </w:rPr>
      </w:pPr>
      <w:r w:rsidRPr="00A107DA">
        <w:rPr>
          <w:rFonts w:ascii="Calibri" w:hAnsi="Calibri" w:cs="Calibri"/>
          <w:sz w:val="24"/>
          <w:szCs w:val="24"/>
        </w:rPr>
        <w:t xml:space="preserve">The </w:t>
      </w:r>
      <w:r w:rsidR="00A82700" w:rsidRPr="00A107DA">
        <w:rPr>
          <w:rFonts w:ascii="Calibri" w:hAnsi="Calibri" w:cs="Calibri"/>
          <w:sz w:val="24"/>
          <w:szCs w:val="24"/>
        </w:rPr>
        <w:t>commencement of</w:t>
      </w:r>
      <w:r w:rsidRPr="00A107DA">
        <w:rPr>
          <w:rFonts w:ascii="Calibri" w:hAnsi="Calibri" w:cs="Calibri"/>
          <w:sz w:val="24"/>
          <w:szCs w:val="24"/>
        </w:rPr>
        <w:t xml:space="preserve"> the Specialist Family Preservation Foster Care service is complementing Families SA reunification services by providing a pool of highly skilled fos</w:t>
      </w:r>
      <w:r>
        <w:rPr>
          <w:rFonts w:ascii="Calibri" w:hAnsi="Calibri" w:cs="Calibri"/>
          <w:sz w:val="24"/>
          <w:szCs w:val="24"/>
        </w:rPr>
        <w:t xml:space="preserve">ter carers and respite carers. </w:t>
      </w:r>
      <w:r w:rsidRPr="00A107DA">
        <w:rPr>
          <w:rFonts w:ascii="Calibri" w:hAnsi="Calibri" w:cs="Calibri"/>
          <w:sz w:val="24"/>
          <w:szCs w:val="24"/>
        </w:rPr>
        <w:t xml:space="preserve">While the primary aim of Specialist Family Preservation Foster Care is reunification of children and young people with their birth families, the formation of attachment with the respite foster carers will provide long-term care options in situations where family reunification efforts fail or reunification is deemed not </w:t>
      </w:r>
      <w:r w:rsidR="00A82700">
        <w:rPr>
          <w:rFonts w:ascii="Calibri" w:hAnsi="Calibri" w:cs="Calibri"/>
          <w:sz w:val="24"/>
          <w:szCs w:val="24"/>
        </w:rPr>
        <w:t xml:space="preserve">to be </w:t>
      </w:r>
      <w:r w:rsidRPr="00A107DA">
        <w:rPr>
          <w:rFonts w:ascii="Calibri" w:hAnsi="Calibri" w:cs="Calibri"/>
          <w:sz w:val="24"/>
          <w:szCs w:val="24"/>
        </w:rPr>
        <w:t>in the best interests</w:t>
      </w:r>
      <w:r>
        <w:rPr>
          <w:rFonts w:ascii="Calibri" w:hAnsi="Calibri" w:cs="Calibri"/>
          <w:sz w:val="24"/>
          <w:szCs w:val="24"/>
        </w:rPr>
        <w:t xml:space="preserve"> of the child or young person. </w:t>
      </w:r>
      <w:r w:rsidRPr="00A107DA">
        <w:rPr>
          <w:rFonts w:ascii="Calibri" w:hAnsi="Calibri" w:cs="Calibri"/>
          <w:sz w:val="24"/>
          <w:szCs w:val="24"/>
        </w:rPr>
        <w:t xml:space="preserve">The service prioritises placement of children and young people who are unable to be placed in kinship care </w:t>
      </w:r>
      <w:r>
        <w:rPr>
          <w:rFonts w:ascii="Calibri" w:hAnsi="Calibri" w:cs="Calibri"/>
          <w:sz w:val="24"/>
          <w:szCs w:val="24"/>
        </w:rPr>
        <w:t>and</w:t>
      </w:r>
      <w:r w:rsidRPr="00A107DA">
        <w:rPr>
          <w:rFonts w:ascii="Calibri" w:hAnsi="Calibri" w:cs="Calibri"/>
          <w:sz w:val="24"/>
          <w:szCs w:val="24"/>
        </w:rPr>
        <w:t xml:space="preserve"> are on short</w:t>
      </w:r>
      <w:r w:rsidR="00153660">
        <w:rPr>
          <w:rFonts w:ascii="Calibri" w:hAnsi="Calibri" w:cs="Calibri"/>
          <w:sz w:val="24"/>
          <w:szCs w:val="24"/>
        </w:rPr>
        <w:t>-</w:t>
      </w:r>
      <w:r w:rsidRPr="00A107DA">
        <w:rPr>
          <w:rFonts w:ascii="Calibri" w:hAnsi="Calibri" w:cs="Calibri"/>
          <w:sz w:val="24"/>
          <w:szCs w:val="24"/>
        </w:rPr>
        <w:t>term orders.</w:t>
      </w:r>
      <w:r w:rsidR="00A973E8">
        <w:rPr>
          <w:rFonts w:ascii="Calibri" w:hAnsi="Calibri" w:cs="Calibri"/>
          <w:sz w:val="24"/>
          <w:szCs w:val="24"/>
        </w:rPr>
        <w:t xml:space="preserve"> </w:t>
      </w:r>
    </w:p>
    <w:p w:rsidR="00A107DA" w:rsidRPr="00F56F9B" w:rsidRDefault="00F56F9B" w:rsidP="00F56F9B">
      <w:pPr>
        <w:pStyle w:val="Heading4"/>
        <w:rPr>
          <w:lang w:val="en-AU"/>
        </w:rPr>
      </w:pPr>
      <w:r>
        <w:t>Sector Development</w:t>
      </w:r>
    </w:p>
    <w:p w:rsidR="006D00ED" w:rsidRDefault="00A107DA" w:rsidP="00A107DA">
      <w:pPr>
        <w:rPr>
          <w:rFonts w:ascii="Calibri" w:hAnsi="Calibri" w:cs="Calibri"/>
          <w:sz w:val="24"/>
          <w:szCs w:val="24"/>
        </w:rPr>
      </w:pPr>
      <w:r>
        <w:rPr>
          <w:rFonts w:ascii="Calibri" w:hAnsi="Calibri" w:cs="Calibri"/>
          <w:sz w:val="24"/>
          <w:szCs w:val="24"/>
        </w:rPr>
        <w:t xml:space="preserve">Partnership in Practice </w:t>
      </w:r>
      <w:r w:rsidRPr="00A107DA">
        <w:rPr>
          <w:rFonts w:ascii="Calibri" w:hAnsi="Calibri" w:cs="Calibri"/>
          <w:sz w:val="24"/>
          <w:szCs w:val="24"/>
        </w:rPr>
        <w:t>Forums commenced i</w:t>
      </w:r>
      <w:r>
        <w:rPr>
          <w:rFonts w:ascii="Calibri" w:hAnsi="Calibri" w:cs="Calibri"/>
          <w:sz w:val="24"/>
          <w:szCs w:val="24"/>
        </w:rPr>
        <w:t xml:space="preserve">n South Australia in May 2012. </w:t>
      </w:r>
      <w:r w:rsidRPr="00A107DA">
        <w:rPr>
          <w:rFonts w:ascii="Calibri" w:hAnsi="Calibri" w:cs="Calibri"/>
          <w:sz w:val="24"/>
          <w:szCs w:val="24"/>
        </w:rPr>
        <w:t xml:space="preserve">The Forums are a joint initiative between </w:t>
      </w:r>
      <w:r w:rsidR="00C41EA6">
        <w:rPr>
          <w:rFonts w:ascii="Calibri" w:hAnsi="Calibri" w:cs="Calibri"/>
          <w:sz w:val="24"/>
          <w:szCs w:val="24"/>
        </w:rPr>
        <w:t>DECD</w:t>
      </w:r>
      <w:r w:rsidRPr="00A107DA">
        <w:rPr>
          <w:rFonts w:ascii="Calibri" w:hAnsi="Calibri" w:cs="Calibri"/>
          <w:sz w:val="24"/>
          <w:szCs w:val="24"/>
        </w:rPr>
        <w:t xml:space="preserve"> and CAFWA-SA, the </w:t>
      </w:r>
      <w:r w:rsidR="00DA6ECA">
        <w:rPr>
          <w:rFonts w:ascii="Calibri" w:hAnsi="Calibri" w:cs="Calibri"/>
          <w:sz w:val="24"/>
          <w:szCs w:val="24"/>
        </w:rPr>
        <w:t>P</w:t>
      </w:r>
      <w:r w:rsidRPr="00A107DA">
        <w:rPr>
          <w:rFonts w:ascii="Calibri" w:hAnsi="Calibri" w:cs="Calibri"/>
          <w:sz w:val="24"/>
          <w:szCs w:val="24"/>
        </w:rPr>
        <w:t>eak body representing not</w:t>
      </w:r>
      <w:r w:rsidR="00490AB7">
        <w:rPr>
          <w:rFonts w:ascii="Calibri" w:hAnsi="Calibri" w:cs="Calibri"/>
          <w:sz w:val="24"/>
          <w:szCs w:val="24"/>
        </w:rPr>
        <w:t>-</w:t>
      </w:r>
      <w:r w:rsidRPr="00A107DA">
        <w:rPr>
          <w:rFonts w:ascii="Calibri" w:hAnsi="Calibri" w:cs="Calibri"/>
          <w:sz w:val="24"/>
          <w:szCs w:val="24"/>
        </w:rPr>
        <w:t>for</w:t>
      </w:r>
      <w:r w:rsidR="00490AB7">
        <w:rPr>
          <w:rFonts w:ascii="Calibri" w:hAnsi="Calibri" w:cs="Calibri"/>
          <w:sz w:val="24"/>
          <w:szCs w:val="24"/>
        </w:rPr>
        <w:t>-</w:t>
      </w:r>
      <w:r w:rsidRPr="00A107DA">
        <w:rPr>
          <w:rFonts w:ascii="Calibri" w:hAnsi="Calibri" w:cs="Calibri"/>
          <w:sz w:val="24"/>
          <w:szCs w:val="24"/>
        </w:rPr>
        <w:t>profit community organisations in South Australi</w:t>
      </w:r>
      <w:r>
        <w:rPr>
          <w:rFonts w:ascii="Calibri" w:hAnsi="Calibri" w:cs="Calibri"/>
          <w:sz w:val="24"/>
          <w:szCs w:val="24"/>
        </w:rPr>
        <w:t xml:space="preserve">a. </w:t>
      </w:r>
      <w:r w:rsidRPr="00A107DA">
        <w:rPr>
          <w:rFonts w:ascii="Calibri" w:hAnsi="Calibri" w:cs="Calibri"/>
          <w:sz w:val="24"/>
          <w:szCs w:val="24"/>
        </w:rPr>
        <w:t>The series of forums</w:t>
      </w:r>
      <w:r>
        <w:rPr>
          <w:rFonts w:ascii="Calibri" w:hAnsi="Calibri" w:cs="Calibri"/>
          <w:sz w:val="24"/>
          <w:szCs w:val="24"/>
        </w:rPr>
        <w:t>,</w:t>
      </w:r>
      <w:r w:rsidRPr="00A107DA">
        <w:rPr>
          <w:rFonts w:ascii="Calibri" w:hAnsi="Calibri" w:cs="Calibri"/>
          <w:sz w:val="24"/>
          <w:szCs w:val="24"/>
        </w:rPr>
        <w:t xml:space="preserve"> bringing together executives from the </w:t>
      </w:r>
      <w:r w:rsidR="00C41EA6">
        <w:rPr>
          <w:rFonts w:ascii="Calibri" w:hAnsi="Calibri" w:cs="Calibri"/>
          <w:sz w:val="24"/>
          <w:szCs w:val="24"/>
        </w:rPr>
        <w:t>DECD</w:t>
      </w:r>
      <w:r w:rsidRPr="00A107DA">
        <w:rPr>
          <w:rFonts w:ascii="Calibri" w:hAnsi="Calibri" w:cs="Calibri"/>
          <w:sz w:val="24"/>
          <w:szCs w:val="24"/>
        </w:rPr>
        <w:t xml:space="preserve">, advocacy groups and </w:t>
      </w:r>
      <w:r w:rsidR="00A82700">
        <w:rPr>
          <w:rFonts w:ascii="Calibri" w:hAnsi="Calibri" w:cs="Calibri"/>
          <w:sz w:val="24"/>
          <w:szCs w:val="24"/>
        </w:rPr>
        <w:t>community</w:t>
      </w:r>
      <w:r w:rsidRPr="00A107DA">
        <w:rPr>
          <w:rFonts w:ascii="Calibri" w:hAnsi="Calibri" w:cs="Calibri"/>
          <w:sz w:val="24"/>
          <w:szCs w:val="24"/>
        </w:rPr>
        <w:t xml:space="preserve"> organisations providing family support and out</w:t>
      </w:r>
      <w:r w:rsidR="00A82700">
        <w:rPr>
          <w:rFonts w:ascii="Calibri" w:hAnsi="Calibri" w:cs="Calibri"/>
          <w:sz w:val="24"/>
          <w:szCs w:val="24"/>
        </w:rPr>
        <w:t>-</w:t>
      </w:r>
      <w:r w:rsidRPr="00A107DA">
        <w:rPr>
          <w:rFonts w:ascii="Calibri" w:hAnsi="Calibri" w:cs="Calibri"/>
          <w:sz w:val="24"/>
          <w:szCs w:val="24"/>
        </w:rPr>
        <w:t>of</w:t>
      </w:r>
      <w:r w:rsidR="00A82700">
        <w:rPr>
          <w:rFonts w:ascii="Calibri" w:hAnsi="Calibri" w:cs="Calibri"/>
          <w:sz w:val="24"/>
          <w:szCs w:val="24"/>
        </w:rPr>
        <w:t>-</w:t>
      </w:r>
      <w:r w:rsidRPr="00A107DA">
        <w:rPr>
          <w:rFonts w:ascii="Calibri" w:hAnsi="Calibri" w:cs="Calibri"/>
          <w:sz w:val="24"/>
          <w:szCs w:val="24"/>
        </w:rPr>
        <w:t>home care services</w:t>
      </w:r>
      <w:r>
        <w:rPr>
          <w:rFonts w:ascii="Calibri" w:hAnsi="Calibri" w:cs="Calibri"/>
          <w:sz w:val="24"/>
          <w:szCs w:val="24"/>
        </w:rPr>
        <w:t>,</w:t>
      </w:r>
      <w:r w:rsidRPr="00A107DA">
        <w:rPr>
          <w:rFonts w:ascii="Calibri" w:hAnsi="Calibri" w:cs="Calibri"/>
          <w:sz w:val="24"/>
          <w:szCs w:val="24"/>
        </w:rPr>
        <w:t xml:space="preserve"> has assisted the out-of-home care sector to jointly plan the development and delivery of out-of-home care services in South Australia.</w:t>
      </w:r>
    </w:p>
    <w:p w:rsidR="00BD5D4E" w:rsidRPr="00821556" w:rsidRDefault="00BD5D4E" w:rsidP="00792804">
      <w:pPr>
        <w:pStyle w:val="Heading3"/>
      </w:pPr>
      <w:bookmarkStart w:id="169" w:name="_Toc400007753"/>
      <w:r w:rsidRPr="00821556">
        <w:t>Tasmania</w:t>
      </w:r>
      <w:bookmarkEnd w:id="169"/>
    </w:p>
    <w:p w:rsidR="008930A8" w:rsidRPr="00F56F9B" w:rsidRDefault="008930A8" w:rsidP="00F56F9B">
      <w:pPr>
        <w:pStyle w:val="Heading4"/>
        <w:rPr>
          <w:lang w:val="en-AU"/>
        </w:rPr>
      </w:pPr>
      <w:r w:rsidRPr="00706368">
        <w:t>Enhanc</w:t>
      </w:r>
      <w:r w:rsidR="00555526" w:rsidRPr="00706368">
        <w:t>ing</w:t>
      </w:r>
      <w:r w:rsidR="00F56F9B">
        <w:t xml:space="preserve"> the Evidence Base</w:t>
      </w:r>
    </w:p>
    <w:p w:rsidR="008930A8" w:rsidRPr="00111858" w:rsidRDefault="008930A8" w:rsidP="008930A8">
      <w:pPr>
        <w:rPr>
          <w:rFonts w:ascii="Calibri" w:hAnsi="Calibri" w:cs="Calibri"/>
          <w:sz w:val="24"/>
          <w:szCs w:val="24"/>
        </w:rPr>
      </w:pPr>
      <w:r w:rsidRPr="00DC1B19">
        <w:rPr>
          <w:rStyle w:val="StyleBodyCalibri12pt"/>
        </w:rPr>
        <w:t xml:space="preserve">CYS </w:t>
      </w:r>
      <w:r w:rsidR="00FB1E1E" w:rsidRPr="00DC1B19">
        <w:rPr>
          <w:rStyle w:val="StyleBodyCalibri12pt"/>
        </w:rPr>
        <w:t xml:space="preserve">has </w:t>
      </w:r>
      <w:r w:rsidRPr="00DC1B19">
        <w:rPr>
          <w:rStyle w:val="StyleBodyCalibri12pt"/>
        </w:rPr>
        <w:t>entered into a</w:t>
      </w:r>
      <w:r w:rsidR="00883B4C" w:rsidRPr="00DC1B19">
        <w:rPr>
          <w:rStyle w:val="StyleBodyCalibri12pt"/>
        </w:rPr>
        <w:t>n</w:t>
      </w:r>
      <w:r w:rsidRPr="00DC1B19">
        <w:rPr>
          <w:rStyle w:val="StyleBodyCalibri12pt"/>
        </w:rPr>
        <w:t xml:space="preserve"> </w:t>
      </w:r>
      <w:r w:rsidR="00883B4C" w:rsidRPr="00DC1B19">
        <w:rPr>
          <w:rStyle w:val="StyleBodyCalibri12pt"/>
        </w:rPr>
        <w:t>MOU</w:t>
      </w:r>
      <w:r w:rsidRPr="00DC1B19">
        <w:rPr>
          <w:rStyle w:val="StyleBodyCalibri12pt"/>
        </w:rPr>
        <w:t xml:space="preserve"> with</w:t>
      </w:r>
      <w:r w:rsidRPr="00111858">
        <w:rPr>
          <w:rFonts w:ascii="Calibri" w:hAnsi="Calibri" w:cs="Calibri"/>
          <w:sz w:val="24"/>
          <w:szCs w:val="24"/>
        </w:rPr>
        <w:t xml:space="preserve"> the Department of Education to receive a range of educational information about students under custody or guardianship orders. This information includes data on the disability status of children</w:t>
      </w:r>
      <w:r w:rsidR="00FB1E1E">
        <w:rPr>
          <w:rFonts w:ascii="Calibri" w:hAnsi="Calibri" w:cs="Calibri"/>
          <w:sz w:val="24"/>
          <w:szCs w:val="24"/>
        </w:rPr>
        <w:t>,</w:t>
      </w:r>
      <w:r w:rsidRPr="00111858">
        <w:rPr>
          <w:rFonts w:ascii="Calibri" w:hAnsi="Calibri" w:cs="Calibri"/>
          <w:sz w:val="24"/>
          <w:szCs w:val="24"/>
        </w:rPr>
        <w:t xml:space="preserve"> which is used to populate each child’s Individual Profile Report. This report is made accessible to Child Protection staff. </w:t>
      </w:r>
    </w:p>
    <w:p w:rsidR="008930A8" w:rsidRPr="00111858" w:rsidRDefault="008930A8" w:rsidP="008930A8">
      <w:pPr>
        <w:rPr>
          <w:rFonts w:ascii="Calibri" w:hAnsi="Calibri" w:cs="Calibri"/>
          <w:sz w:val="24"/>
          <w:szCs w:val="24"/>
        </w:rPr>
      </w:pPr>
    </w:p>
    <w:p w:rsidR="008930A8" w:rsidRDefault="008930A8" w:rsidP="008930A8">
      <w:pPr>
        <w:rPr>
          <w:rFonts w:ascii="Calibri" w:hAnsi="Calibri" w:cs="Calibri"/>
          <w:sz w:val="24"/>
          <w:szCs w:val="24"/>
        </w:rPr>
      </w:pPr>
      <w:r w:rsidRPr="00111858">
        <w:rPr>
          <w:rFonts w:ascii="Calibri" w:hAnsi="Calibri" w:cs="Calibri"/>
          <w:sz w:val="24"/>
          <w:szCs w:val="24"/>
        </w:rPr>
        <w:t xml:space="preserve">The Kids Come First Project enables the comparison of Aboriginal and non-Aboriginal children and young people throughout Tasmania </w:t>
      </w:r>
      <w:r w:rsidR="00EB02C2">
        <w:rPr>
          <w:rFonts w:ascii="Calibri" w:hAnsi="Calibri" w:cs="Calibri"/>
          <w:sz w:val="24"/>
          <w:szCs w:val="24"/>
        </w:rPr>
        <w:t>across</w:t>
      </w:r>
      <w:r w:rsidR="00FB1E1E">
        <w:rPr>
          <w:rFonts w:ascii="Calibri" w:hAnsi="Calibri" w:cs="Calibri"/>
          <w:sz w:val="24"/>
          <w:szCs w:val="24"/>
        </w:rPr>
        <w:t xml:space="preserve"> </w:t>
      </w:r>
      <w:r w:rsidRPr="00111858">
        <w:rPr>
          <w:rFonts w:ascii="Calibri" w:hAnsi="Calibri" w:cs="Calibri"/>
          <w:sz w:val="24"/>
          <w:szCs w:val="24"/>
        </w:rPr>
        <w:t xml:space="preserve">a range of outcomes. This data is collected on an ongoing basis and has been used to inform a range of </w:t>
      </w:r>
      <w:r w:rsidR="00FB1E1E" w:rsidRPr="00111858">
        <w:rPr>
          <w:rFonts w:ascii="Calibri" w:hAnsi="Calibri" w:cs="Calibri"/>
          <w:sz w:val="24"/>
          <w:szCs w:val="24"/>
        </w:rPr>
        <w:t>Aboriginal</w:t>
      </w:r>
      <w:r w:rsidR="00FB1E1E">
        <w:rPr>
          <w:rFonts w:ascii="Calibri" w:hAnsi="Calibri" w:cs="Calibri"/>
          <w:sz w:val="24"/>
          <w:szCs w:val="24"/>
        </w:rPr>
        <w:t>-</w:t>
      </w:r>
      <w:r w:rsidRPr="00111858">
        <w:rPr>
          <w:rFonts w:ascii="Calibri" w:hAnsi="Calibri" w:cs="Calibri"/>
          <w:sz w:val="24"/>
          <w:szCs w:val="24"/>
        </w:rPr>
        <w:t>specific programs and services.</w:t>
      </w:r>
    </w:p>
    <w:p w:rsidR="008930A8" w:rsidRDefault="008930A8" w:rsidP="008930A8">
      <w:pPr>
        <w:rPr>
          <w:rFonts w:ascii="Calibri" w:hAnsi="Calibri" w:cs="Calibri"/>
          <w:sz w:val="24"/>
          <w:szCs w:val="24"/>
        </w:rPr>
      </w:pPr>
    </w:p>
    <w:p w:rsidR="008930A8" w:rsidRPr="00111858" w:rsidRDefault="008930A8" w:rsidP="008930A8">
      <w:pPr>
        <w:rPr>
          <w:rFonts w:ascii="Calibri" w:hAnsi="Calibri" w:cs="Calibri"/>
          <w:sz w:val="24"/>
          <w:szCs w:val="24"/>
        </w:rPr>
      </w:pPr>
      <w:r w:rsidRPr="00111858">
        <w:rPr>
          <w:rFonts w:ascii="Calibri" w:hAnsi="Calibri" w:cs="Calibri"/>
          <w:sz w:val="24"/>
          <w:szCs w:val="24"/>
        </w:rPr>
        <w:t>In Tasmania</w:t>
      </w:r>
      <w:r w:rsidR="00EB02C2">
        <w:rPr>
          <w:rFonts w:ascii="Calibri" w:hAnsi="Calibri" w:cs="Calibri"/>
          <w:sz w:val="24"/>
          <w:szCs w:val="24"/>
        </w:rPr>
        <w:t>,</w:t>
      </w:r>
      <w:r w:rsidRPr="00111858">
        <w:rPr>
          <w:rFonts w:ascii="Calibri" w:hAnsi="Calibri" w:cs="Calibri"/>
          <w:sz w:val="24"/>
          <w:szCs w:val="24"/>
        </w:rPr>
        <w:t xml:space="preserve"> considerable resource</w:t>
      </w:r>
      <w:r w:rsidR="00EB02C2">
        <w:rPr>
          <w:rFonts w:ascii="Calibri" w:hAnsi="Calibri" w:cs="Calibri"/>
          <w:sz w:val="24"/>
          <w:szCs w:val="24"/>
        </w:rPr>
        <w:t>s have</w:t>
      </w:r>
      <w:r w:rsidRPr="00111858">
        <w:rPr>
          <w:rFonts w:ascii="Calibri" w:hAnsi="Calibri" w:cs="Calibri"/>
          <w:sz w:val="24"/>
          <w:szCs w:val="24"/>
        </w:rPr>
        <w:t xml:space="preserve"> been dedicated </w:t>
      </w:r>
      <w:r w:rsidR="00EB02C2">
        <w:rPr>
          <w:rFonts w:ascii="Calibri" w:hAnsi="Calibri" w:cs="Calibri"/>
          <w:sz w:val="24"/>
          <w:szCs w:val="24"/>
        </w:rPr>
        <w:t xml:space="preserve">to </w:t>
      </w:r>
      <w:r w:rsidRPr="00111858">
        <w:rPr>
          <w:rFonts w:ascii="Calibri" w:hAnsi="Calibri" w:cs="Calibri"/>
          <w:sz w:val="24"/>
          <w:szCs w:val="24"/>
        </w:rPr>
        <w:t xml:space="preserve">support the provision of unit record data to populate the </w:t>
      </w:r>
      <w:r w:rsidR="00A44A38">
        <w:rPr>
          <w:rFonts w:ascii="Calibri" w:hAnsi="Calibri" w:cs="Calibri"/>
          <w:sz w:val="24"/>
          <w:szCs w:val="24"/>
        </w:rPr>
        <w:t>CP NMDS</w:t>
      </w:r>
      <w:r w:rsidRPr="00111858">
        <w:rPr>
          <w:rFonts w:ascii="Calibri" w:hAnsi="Calibri" w:cs="Calibri"/>
          <w:sz w:val="24"/>
          <w:szCs w:val="24"/>
        </w:rPr>
        <w:t xml:space="preserve">. Tasmania has participated in all </w:t>
      </w:r>
      <w:r w:rsidR="00A44A38">
        <w:rPr>
          <w:rFonts w:ascii="Calibri" w:hAnsi="Calibri" w:cs="Calibri"/>
          <w:sz w:val="24"/>
          <w:szCs w:val="24"/>
        </w:rPr>
        <w:t>NMDS</w:t>
      </w:r>
      <w:r w:rsidRPr="00111858">
        <w:rPr>
          <w:rFonts w:ascii="Calibri" w:hAnsi="Calibri" w:cs="Calibri"/>
          <w:sz w:val="24"/>
          <w:szCs w:val="24"/>
        </w:rPr>
        <w:t xml:space="preserve"> developmental work and will be the first participating jurisdiction to submit unit record data to inform both the </w:t>
      </w:r>
      <w:r w:rsidRPr="004973A1">
        <w:rPr>
          <w:rFonts w:ascii="Calibri" w:hAnsi="Calibri" w:cs="Calibri"/>
          <w:i/>
          <w:sz w:val="24"/>
          <w:szCs w:val="24"/>
        </w:rPr>
        <w:t>Child Protection Australia</w:t>
      </w:r>
      <w:r w:rsidRPr="00111858">
        <w:rPr>
          <w:rFonts w:ascii="Calibri" w:hAnsi="Calibri" w:cs="Calibri"/>
          <w:sz w:val="24"/>
          <w:szCs w:val="24"/>
        </w:rPr>
        <w:t xml:space="preserve"> </w:t>
      </w:r>
      <w:r w:rsidR="00FB1E1E">
        <w:rPr>
          <w:rFonts w:ascii="Calibri" w:hAnsi="Calibri" w:cs="Calibri"/>
          <w:sz w:val="24"/>
          <w:szCs w:val="24"/>
        </w:rPr>
        <w:t xml:space="preserve">report </w:t>
      </w:r>
      <w:r w:rsidRPr="00111858">
        <w:rPr>
          <w:rFonts w:ascii="Calibri" w:hAnsi="Calibri" w:cs="Calibri"/>
          <w:sz w:val="24"/>
          <w:szCs w:val="24"/>
        </w:rPr>
        <w:t xml:space="preserve">and </w:t>
      </w:r>
      <w:r w:rsidR="00FB1E1E">
        <w:rPr>
          <w:rFonts w:ascii="Calibri" w:hAnsi="Calibri" w:cs="Calibri"/>
          <w:sz w:val="24"/>
          <w:szCs w:val="24"/>
        </w:rPr>
        <w:t xml:space="preserve">the </w:t>
      </w:r>
      <w:r w:rsidRPr="004973A1">
        <w:rPr>
          <w:rFonts w:ascii="Calibri" w:hAnsi="Calibri" w:cs="Calibri"/>
          <w:i/>
          <w:sz w:val="24"/>
          <w:szCs w:val="24"/>
        </w:rPr>
        <w:t>Report on Government Services</w:t>
      </w:r>
      <w:r w:rsidRPr="00111858">
        <w:rPr>
          <w:rFonts w:ascii="Calibri" w:hAnsi="Calibri" w:cs="Calibri"/>
          <w:sz w:val="24"/>
          <w:szCs w:val="24"/>
        </w:rPr>
        <w:t xml:space="preserve"> for 2013.</w:t>
      </w:r>
    </w:p>
    <w:p w:rsidR="00BD5D4E" w:rsidRPr="00706368" w:rsidRDefault="00C17FFD" w:rsidP="00F56F9B">
      <w:pPr>
        <w:pStyle w:val="Heading4"/>
      </w:pPr>
      <w:r w:rsidRPr="00706368">
        <w:t>National Standa</w:t>
      </w:r>
      <w:r w:rsidR="008930A8" w:rsidRPr="00706368">
        <w:t xml:space="preserve">rds </w:t>
      </w:r>
      <w:r w:rsidR="00FB1E1E" w:rsidRPr="00706368">
        <w:t xml:space="preserve">for </w:t>
      </w:r>
      <w:r w:rsidR="004973A1" w:rsidRPr="00706368">
        <w:t>Out-of-Home</w:t>
      </w:r>
      <w:r w:rsidR="008930A8" w:rsidRPr="00706368">
        <w:t xml:space="preserve"> Care</w:t>
      </w:r>
    </w:p>
    <w:p w:rsidR="00C17FFD" w:rsidRDefault="00C17FFD" w:rsidP="00BD5D4E">
      <w:pPr>
        <w:rPr>
          <w:rFonts w:ascii="Calibri" w:hAnsi="Calibri" w:cs="Calibri"/>
          <w:sz w:val="24"/>
          <w:szCs w:val="24"/>
        </w:rPr>
      </w:pPr>
      <w:r w:rsidRPr="00C17FFD">
        <w:rPr>
          <w:rFonts w:ascii="Calibri" w:hAnsi="Calibri" w:cs="Calibri"/>
          <w:sz w:val="24"/>
          <w:szCs w:val="24"/>
        </w:rPr>
        <w:t xml:space="preserve">A project team has been recruited </w:t>
      </w:r>
      <w:r w:rsidR="00FB1E1E">
        <w:rPr>
          <w:rFonts w:ascii="Calibri" w:hAnsi="Calibri" w:cs="Calibri"/>
          <w:sz w:val="24"/>
          <w:szCs w:val="24"/>
        </w:rPr>
        <w:t>which</w:t>
      </w:r>
      <w:r w:rsidR="00FB1E1E" w:rsidRPr="00C17FFD">
        <w:rPr>
          <w:rFonts w:ascii="Calibri" w:hAnsi="Calibri" w:cs="Calibri"/>
          <w:sz w:val="24"/>
          <w:szCs w:val="24"/>
        </w:rPr>
        <w:t xml:space="preserve"> </w:t>
      </w:r>
      <w:r w:rsidRPr="00C17FFD">
        <w:rPr>
          <w:rFonts w:ascii="Calibri" w:hAnsi="Calibri" w:cs="Calibri"/>
          <w:sz w:val="24"/>
          <w:szCs w:val="24"/>
        </w:rPr>
        <w:t xml:space="preserve">will explore options </w:t>
      </w:r>
      <w:r w:rsidR="004973A1">
        <w:rPr>
          <w:rFonts w:ascii="Calibri" w:hAnsi="Calibri" w:cs="Calibri"/>
          <w:sz w:val="24"/>
          <w:szCs w:val="24"/>
        </w:rPr>
        <w:t>for</w:t>
      </w:r>
      <w:r w:rsidRPr="00C17FFD">
        <w:rPr>
          <w:rFonts w:ascii="Calibri" w:hAnsi="Calibri" w:cs="Calibri"/>
          <w:sz w:val="24"/>
          <w:szCs w:val="24"/>
        </w:rPr>
        <w:t xml:space="preserve"> expand</w:t>
      </w:r>
      <w:r w:rsidR="004973A1">
        <w:rPr>
          <w:rFonts w:ascii="Calibri" w:hAnsi="Calibri" w:cs="Calibri"/>
          <w:sz w:val="24"/>
          <w:szCs w:val="24"/>
        </w:rPr>
        <w:t>ing</w:t>
      </w:r>
      <w:r w:rsidRPr="00C17FFD">
        <w:rPr>
          <w:rFonts w:ascii="Calibri" w:hAnsi="Calibri" w:cs="Calibri"/>
          <w:sz w:val="24"/>
          <w:szCs w:val="24"/>
        </w:rPr>
        <w:t xml:space="preserve"> the range of placement options, includin</w:t>
      </w:r>
      <w:r w:rsidR="00EB02C2">
        <w:rPr>
          <w:rFonts w:ascii="Calibri" w:hAnsi="Calibri" w:cs="Calibri"/>
          <w:sz w:val="24"/>
          <w:szCs w:val="24"/>
        </w:rPr>
        <w:t>g the potential outsourcing of out-of-h</w:t>
      </w:r>
      <w:r w:rsidRPr="00C17FFD">
        <w:rPr>
          <w:rFonts w:ascii="Calibri" w:hAnsi="Calibri" w:cs="Calibri"/>
          <w:sz w:val="24"/>
          <w:szCs w:val="24"/>
        </w:rPr>
        <w:t xml:space="preserve">ome </w:t>
      </w:r>
      <w:r w:rsidR="00FB1E1E">
        <w:rPr>
          <w:rFonts w:ascii="Calibri" w:hAnsi="Calibri" w:cs="Calibri"/>
          <w:sz w:val="24"/>
          <w:szCs w:val="24"/>
        </w:rPr>
        <w:t>c</w:t>
      </w:r>
      <w:r w:rsidR="00FB1E1E" w:rsidRPr="00C17FFD">
        <w:rPr>
          <w:rFonts w:ascii="Calibri" w:hAnsi="Calibri" w:cs="Calibri"/>
          <w:sz w:val="24"/>
          <w:szCs w:val="24"/>
        </w:rPr>
        <w:t xml:space="preserve">are </w:t>
      </w:r>
      <w:r w:rsidRPr="00C17FFD">
        <w:rPr>
          <w:rFonts w:ascii="Calibri" w:hAnsi="Calibri" w:cs="Calibri"/>
          <w:sz w:val="24"/>
          <w:szCs w:val="24"/>
        </w:rPr>
        <w:t>service provision.</w:t>
      </w:r>
      <w:r w:rsidR="007764A2">
        <w:rPr>
          <w:rFonts w:ascii="Calibri" w:hAnsi="Calibri" w:cs="Calibri"/>
          <w:sz w:val="24"/>
          <w:szCs w:val="24"/>
        </w:rPr>
        <w:t xml:space="preserve"> </w:t>
      </w:r>
      <w:r w:rsidR="002C55A1" w:rsidRPr="00C17FFD">
        <w:rPr>
          <w:rFonts w:ascii="Calibri" w:hAnsi="Calibri" w:cs="Calibri"/>
          <w:sz w:val="24"/>
          <w:szCs w:val="24"/>
        </w:rPr>
        <w:t>Evidence</w:t>
      </w:r>
      <w:r w:rsidR="002C55A1">
        <w:rPr>
          <w:rFonts w:ascii="Calibri" w:hAnsi="Calibri" w:cs="Calibri"/>
          <w:sz w:val="24"/>
          <w:szCs w:val="24"/>
        </w:rPr>
        <w:t>-</w:t>
      </w:r>
      <w:r w:rsidRPr="00C17FFD">
        <w:rPr>
          <w:rFonts w:ascii="Calibri" w:hAnsi="Calibri" w:cs="Calibri"/>
          <w:sz w:val="24"/>
          <w:szCs w:val="24"/>
        </w:rPr>
        <w:t>based decisions will guide the reforms</w:t>
      </w:r>
      <w:r w:rsidR="00FB1E1E">
        <w:rPr>
          <w:rFonts w:ascii="Calibri" w:hAnsi="Calibri" w:cs="Calibri"/>
          <w:sz w:val="24"/>
          <w:szCs w:val="24"/>
        </w:rPr>
        <w:t>,</w:t>
      </w:r>
      <w:r w:rsidRPr="00C17FFD">
        <w:rPr>
          <w:rFonts w:ascii="Calibri" w:hAnsi="Calibri" w:cs="Calibri"/>
          <w:sz w:val="24"/>
          <w:szCs w:val="24"/>
        </w:rPr>
        <w:t xml:space="preserve"> to ensure </w:t>
      </w:r>
      <w:r w:rsidR="002C55A1">
        <w:rPr>
          <w:rFonts w:ascii="Calibri" w:hAnsi="Calibri" w:cs="Calibri"/>
          <w:sz w:val="24"/>
          <w:szCs w:val="24"/>
        </w:rPr>
        <w:t>that</w:t>
      </w:r>
      <w:r w:rsidRPr="00C17FFD">
        <w:rPr>
          <w:rFonts w:ascii="Calibri" w:hAnsi="Calibri" w:cs="Calibri"/>
          <w:sz w:val="24"/>
          <w:szCs w:val="24"/>
        </w:rPr>
        <w:t xml:space="preserve"> quality and stability of care for all children </w:t>
      </w:r>
      <w:r w:rsidR="00F05B35">
        <w:rPr>
          <w:rFonts w:ascii="Calibri" w:hAnsi="Calibri" w:cs="Calibri"/>
          <w:sz w:val="24"/>
          <w:szCs w:val="24"/>
        </w:rPr>
        <w:t>are</w:t>
      </w:r>
      <w:r w:rsidRPr="00C17FFD">
        <w:rPr>
          <w:rFonts w:ascii="Calibri" w:hAnsi="Calibri" w:cs="Calibri"/>
          <w:sz w:val="24"/>
          <w:szCs w:val="24"/>
        </w:rPr>
        <w:t xml:space="preserve"> paramount </w:t>
      </w:r>
      <w:r w:rsidR="00FB1E1E">
        <w:rPr>
          <w:rFonts w:ascii="Calibri" w:hAnsi="Calibri" w:cs="Calibri"/>
          <w:sz w:val="24"/>
          <w:szCs w:val="24"/>
        </w:rPr>
        <w:t>in</w:t>
      </w:r>
      <w:r w:rsidR="00FB1E1E" w:rsidRPr="00C17FFD">
        <w:rPr>
          <w:rFonts w:ascii="Calibri" w:hAnsi="Calibri" w:cs="Calibri"/>
          <w:sz w:val="24"/>
          <w:szCs w:val="24"/>
        </w:rPr>
        <w:t xml:space="preserve"> </w:t>
      </w:r>
      <w:r w:rsidRPr="00C17FFD">
        <w:rPr>
          <w:rFonts w:ascii="Calibri" w:hAnsi="Calibri" w:cs="Calibri"/>
          <w:sz w:val="24"/>
          <w:szCs w:val="24"/>
        </w:rPr>
        <w:t>future decisions.</w:t>
      </w:r>
    </w:p>
    <w:p w:rsidR="00C17FFD" w:rsidRDefault="00C17FFD" w:rsidP="00BD5D4E">
      <w:pPr>
        <w:rPr>
          <w:rFonts w:ascii="Calibri" w:hAnsi="Calibri" w:cs="Calibri"/>
          <w:sz w:val="24"/>
          <w:szCs w:val="24"/>
        </w:rPr>
      </w:pPr>
    </w:p>
    <w:p w:rsidR="00111858" w:rsidRDefault="00111858" w:rsidP="00BD5D4E">
      <w:pPr>
        <w:rPr>
          <w:rFonts w:ascii="Calibri" w:hAnsi="Calibri" w:cs="Calibri"/>
          <w:sz w:val="24"/>
          <w:szCs w:val="24"/>
        </w:rPr>
      </w:pPr>
      <w:r w:rsidRPr="00111858">
        <w:rPr>
          <w:rFonts w:ascii="Calibri" w:hAnsi="Calibri" w:cs="Calibri"/>
          <w:sz w:val="24"/>
          <w:szCs w:val="24"/>
        </w:rPr>
        <w:t>Tasmania is committed to working with relevant national bodies with regard to identification of benchmarks for the National Out-of-Home</w:t>
      </w:r>
      <w:r w:rsidR="0034641D">
        <w:rPr>
          <w:rFonts w:ascii="Calibri" w:hAnsi="Calibri" w:cs="Calibri"/>
          <w:sz w:val="24"/>
          <w:szCs w:val="24"/>
        </w:rPr>
        <w:t xml:space="preserve"> </w:t>
      </w:r>
      <w:r w:rsidRPr="00111858">
        <w:rPr>
          <w:rFonts w:ascii="Calibri" w:hAnsi="Calibri" w:cs="Calibri"/>
          <w:sz w:val="24"/>
          <w:szCs w:val="24"/>
        </w:rPr>
        <w:t xml:space="preserve">Care Standards. However, it is unlikely </w:t>
      </w:r>
      <w:r w:rsidR="00FB1E1E">
        <w:rPr>
          <w:rFonts w:ascii="Calibri" w:hAnsi="Calibri" w:cs="Calibri"/>
          <w:sz w:val="24"/>
          <w:szCs w:val="24"/>
        </w:rPr>
        <w:t xml:space="preserve">that </w:t>
      </w:r>
      <w:r w:rsidRPr="00111858">
        <w:rPr>
          <w:rFonts w:ascii="Calibri" w:hAnsi="Calibri" w:cs="Calibri"/>
          <w:sz w:val="24"/>
          <w:szCs w:val="24"/>
        </w:rPr>
        <w:t>Tasmania will be able to deliver on full reporting against all standards by 2015.</w:t>
      </w:r>
      <w:r>
        <w:rPr>
          <w:rFonts w:ascii="Calibri" w:hAnsi="Calibri" w:cs="Calibri"/>
          <w:sz w:val="24"/>
          <w:szCs w:val="24"/>
        </w:rPr>
        <w:br/>
      </w:r>
    </w:p>
    <w:p w:rsidR="00111858" w:rsidRDefault="00F30E0A" w:rsidP="00BD5D4E">
      <w:pPr>
        <w:rPr>
          <w:rFonts w:ascii="Calibri" w:hAnsi="Calibri" w:cs="Calibri"/>
          <w:sz w:val="24"/>
          <w:szCs w:val="24"/>
        </w:rPr>
      </w:pPr>
      <w:r>
        <w:rPr>
          <w:rFonts w:ascii="Calibri" w:hAnsi="Calibri" w:cs="Calibri"/>
          <w:sz w:val="24"/>
          <w:szCs w:val="24"/>
        </w:rPr>
        <w:t xml:space="preserve">Work to scope options to </w:t>
      </w:r>
      <w:r w:rsidR="00FB1E1E">
        <w:rPr>
          <w:rFonts w:ascii="Calibri" w:hAnsi="Calibri" w:cs="Calibri"/>
          <w:sz w:val="24"/>
          <w:szCs w:val="24"/>
        </w:rPr>
        <w:t xml:space="preserve">manage </w:t>
      </w:r>
      <w:r>
        <w:rPr>
          <w:rFonts w:ascii="Calibri" w:hAnsi="Calibri" w:cs="Calibri"/>
          <w:sz w:val="24"/>
          <w:szCs w:val="24"/>
        </w:rPr>
        <w:t>more effectively the transfer of children and young people in child protection who relocate to a different state or territory will be progressed in 2013</w:t>
      </w:r>
      <w:r w:rsidR="00FB1E1E">
        <w:rPr>
          <w:rFonts w:ascii="Calibri" w:hAnsi="Calibri" w:cs="Calibri"/>
          <w:sz w:val="24"/>
          <w:szCs w:val="24"/>
        </w:rPr>
        <w:t>–</w:t>
      </w:r>
      <w:r>
        <w:rPr>
          <w:rFonts w:ascii="Calibri" w:hAnsi="Calibri" w:cs="Calibri"/>
          <w:sz w:val="24"/>
          <w:szCs w:val="24"/>
        </w:rPr>
        <w:t>14.</w:t>
      </w:r>
    </w:p>
    <w:p w:rsidR="00C17FFD" w:rsidRPr="00F56F9B" w:rsidRDefault="00F56F9B" w:rsidP="00F56F9B">
      <w:pPr>
        <w:pStyle w:val="Heading4"/>
        <w:rPr>
          <w:lang w:val="en-AU"/>
        </w:rPr>
      </w:pPr>
      <w:r>
        <w:t>Transitioning to Independence</w:t>
      </w:r>
    </w:p>
    <w:p w:rsidR="00F30E0A" w:rsidRDefault="00C17FFD" w:rsidP="00C17FFD">
      <w:pPr>
        <w:rPr>
          <w:rFonts w:ascii="Calibri" w:hAnsi="Calibri" w:cs="Calibri"/>
          <w:sz w:val="24"/>
          <w:szCs w:val="24"/>
        </w:rPr>
      </w:pPr>
      <w:r w:rsidRPr="00C17FFD">
        <w:rPr>
          <w:rFonts w:ascii="Calibri" w:hAnsi="Calibri" w:cs="Calibri"/>
          <w:sz w:val="24"/>
          <w:szCs w:val="24"/>
        </w:rPr>
        <w:t>A new program</w:t>
      </w:r>
      <w:r w:rsidR="00FB1E1E">
        <w:rPr>
          <w:rFonts w:ascii="Calibri" w:hAnsi="Calibri" w:cs="Calibri"/>
          <w:sz w:val="24"/>
          <w:szCs w:val="24"/>
        </w:rPr>
        <w:t>,</w:t>
      </w:r>
      <w:r w:rsidR="00F30E0A">
        <w:rPr>
          <w:rFonts w:ascii="Calibri" w:hAnsi="Calibri" w:cs="Calibri"/>
          <w:sz w:val="24"/>
          <w:szCs w:val="24"/>
        </w:rPr>
        <w:t xml:space="preserve"> the </w:t>
      </w:r>
      <w:proofErr w:type="spellStart"/>
      <w:r w:rsidR="00F30E0A">
        <w:rPr>
          <w:rFonts w:ascii="Calibri" w:hAnsi="Calibri" w:cs="Calibri"/>
          <w:sz w:val="24"/>
          <w:szCs w:val="24"/>
        </w:rPr>
        <w:t>Whitelion</w:t>
      </w:r>
      <w:proofErr w:type="spellEnd"/>
      <w:r w:rsidR="00F30E0A">
        <w:rPr>
          <w:rFonts w:ascii="Calibri" w:hAnsi="Calibri" w:cs="Calibri"/>
          <w:sz w:val="24"/>
          <w:szCs w:val="24"/>
        </w:rPr>
        <w:t xml:space="preserve"> Youth Mentor program</w:t>
      </w:r>
      <w:r w:rsidR="00FB1E1E">
        <w:rPr>
          <w:rFonts w:ascii="Calibri" w:hAnsi="Calibri" w:cs="Calibri"/>
          <w:sz w:val="24"/>
          <w:szCs w:val="24"/>
        </w:rPr>
        <w:t>,</w:t>
      </w:r>
      <w:r w:rsidR="00F30E0A">
        <w:rPr>
          <w:rFonts w:ascii="Calibri" w:hAnsi="Calibri" w:cs="Calibri"/>
          <w:sz w:val="24"/>
          <w:szCs w:val="24"/>
        </w:rPr>
        <w:t xml:space="preserve"> will start in late 2013 and</w:t>
      </w:r>
      <w:r w:rsidRPr="00C17FFD">
        <w:rPr>
          <w:rFonts w:ascii="Calibri" w:hAnsi="Calibri" w:cs="Calibri"/>
          <w:sz w:val="24"/>
          <w:szCs w:val="24"/>
        </w:rPr>
        <w:t xml:space="preserve"> </w:t>
      </w:r>
      <w:r w:rsidR="00FB1E1E">
        <w:rPr>
          <w:rFonts w:ascii="Calibri" w:hAnsi="Calibri" w:cs="Calibri"/>
          <w:sz w:val="24"/>
          <w:szCs w:val="24"/>
        </w:rPr>
        <w:t xml:space="preserve">will </w:t>
      </w:r>
      <w:r w:rsidRPr="00C17FFD">
        <w:rPr>
          <w:rFonts w:ascii="Calibri" w:hAnsi="Calibri" w:cs="Calibri"/>
          <w:sz w:val="24"/>
          <w:szCs w:val="24"/>
        </w:rPr>
        <w:t>provide young people</w:t>
      </w:r>
      <w:r w:rsidR="00F30E0A">
        <w:rPr>
          <w:rFonts w:ascii="Calibri" w:hAnsi="Calibri" w:cs="Calibri"/>
          <w:sz w:val="24"/>
          <w:szCs w:val="24"/>
        </w:rPr>
        <w:t xml:space="preserve"> who are preparing to leave out-of-home care</w:t>
      </w:r>
      <w:r w:rsidRPr="00C17FFD">
        <w:rPr>
          <w:rFonts w:ascii="Calibri" w:hAnsi="Calibri" w:cs="Calibri"/>
          <w:sz w:val="24"/>
          <w:szCs w:val="24"/>
        </w:rPr>
        <w:t xml:space="preserve"> with a mentor, should they want one. </w:t>
      </w:r>
      <w:proofErr w:type="spellStart"/>
      <w:r w:rsidRPr="00C17FFD">
        <w:rPr>
          <w:rFonts w:ascii="Calibri" w:hAnsi="Calibri" w:cs="Calibri"/>
          <w:sz w:val="24"/>
          <w:szCs w:val="24"/>
        </w:rPr>
        <w:t>Whitelion</w:t>
      </w:r>
      <w:proofErr w:type="spellEnd"/>
      <w:r w:rsidRPr="00C17FFD">
        <w:rPr>
          <w:rFonts w:ascii="Calibri" w:hAnsi="Calibri" w:cs="Calibri"/>
          <w:sz w:val="24"/>
          <w:szCs w:val="24"/>
        </w:rPr>
        <w:t xml:space="preserve"> is being funded to deliver this program and</w:t>
      </w:r>
      <w:r w:rsidR="00FB1E1E">
        <w:rPr>
          <w:rFonts w:ascii="Calibri" w:hAnsi="Calibri" w:cs="Calibri"/>
          <w:sz w:val="24"/>
          <w:szCs w:val="24"/>
        </w:rPr>
        <w:t>,</w:t>
      </w:r>
      <w:r w:rsidRPr="00C17FFD">
        <w:rPr>
          <w:rFonts w:ascii="Calibri" w:hAnsi="Calibri" w:cs="Calibri"/>
          <w:sz w:val="24"/>
          <w:szCs w:val="24"/>
        </w:rPr>
        <w:t xml:space="preserve"> once fully operational</w:t>
      </w:r>
      <w:r w:rsidR="00F30E0A">
        <w:rPr>
          <w:rFonts w:ascii="Calibri" w:hAnsi="Calibri" w:cs="Calibri"/>
          <w:sz w:val="24"/>
          <w:szCs w:val="24"/>
        </w:rPr>
        <w:t>,</w:t>
      </w:r>
      <w:r w:rsidRPr="00C17FFD">
        <w:rPr>
          <w:rFonts w:ascii="Calibri" w:hAnsi="Calibri" w:cs="Calibri"/>
          <w:sz w:val="24"/>
          <w:szCs w:val="24"/>
        </w:rPr>
        <w:t xml:space="preserve"> it should be able to offer the opportunity of a mentor to all young people age</w:t>
      </w:r>
      <w:r w:rsidR="00FB1E1E">
        <w:rPr>
          <w:rFonts w:ascii="Calibri" w:hAnsi="Calibri" w:cs="Calibri"/>
          <w:sz w:val="24"/>
          <w:szCs w:val="24"/>
        </w:rPr>
        <w:t>d</w:t>
      </w:r>
      <w:r w:rsidRPr="00C17FFD">
        <w:rPr>
          <w:rFonts w:ascii="Calibri" w:hAnsi="Calibri" w:cs="Calibri"/>
          <w:sz w:val="24"/>
          <w:szCs w:val="24"/>
        </w:rPr>
        <w:t xml:space="preserve"> 15 and abov</w:t>
      </w:r>
      <w:r w:rsidR="00F30E0A">
        <w:rPr>
          <w:rFonts w:ascii="Calibri" w:hAnsi="Calibri" w:cs="Calibri"/>
          <w:sz w:val="24"/>
          <w:szCs w:val="24"/>
        </w:rPr>
        <w:t>e who are preparing to leave out-of-home care</w:t>
      </w:r>
      <w:r w:rsidRPr="00C17FFD">
        <w:rPr>
          <w:rFonts w:ascii="Calibri" w:hAnsi="Calibri" w:cs="Calibri"/>
          <w:sz w:val="24"/>
          <w:szCs w:val="24"/>
        </w:rPr>
        <w:t xml:space="preserve">. </w:t>
      </w:r>
      <w:r w:rsidR="00F30E0A">
        <w:rPr>
          <w:rFonts w:ascii="Calibri" w:hAnsi="Calibri" w:cs="Calibri"/>
          <w:sz w:val="24"/>
          <w:szCs w:val="24"/>
        </w:rPr>
        <w:t>It</w:t>
      </w:r>
      <w:r w:rsidR="00F30E0A" w:rsidRPr="00F30E0A">
        <w:rPr>
          <w:rFonts w:ascii="Calibri" w:hAnsi="Calibri" w:cs="Calibri"/>
          <w:sz w:val="24"/>
          <w:szCs w:val="24"/>
        </w:rPr>
        <w:t xml:space="preserve"> will provide individual support to young care leavers in the program. This individual support is intended to encourage young people to remain engaged (or </w:t>
      </w:r>
      <w:r w:rsidR="00FB1E1E">
        <w:rPr>
          <w:rFonts w:ascii="Calibri" w:hAnsi="Calibri" w:cs="Calibri"/>
          <w:sz w:val="24"/>
          <w:szCs w:val="24"/>
        </w:rPr>
        <w:t xml:space="preserve">to </w:t>
      </w:r>
      <w:r w:rsidR="00F30E0A" w:rsidRPr="00F30E0A">
        <w:rPr>
          <w:rFonts w:ascii="Calibri" w:hAnsi="Calibri" w:cs="Calibri"/>
          <w:sz w:val="24"/>
          <w:szCs w:val="24"/>
        </w:rPr>
        <w:t>re-engage) with their education and to plan for their future.</w:t>
      </w:r>
      <w:r w:rsidR="00F30E0A">
        <w:rPr>
          <w:rFonts w:ascii="Calibri" w:hAnsi="Calibri" w:cs="Calibri"/>
          <w:sz w:val="24"/>
          <w:szCs w:val="24"/>
        </w:rPr>
        <w:t xml:space="preserve"> </w:t>
      </w:r>
      <w:r w:rsidR="00F30E0A" w:rsidRPr="00F30E0A">
        <w:rPr>
          <w:rFonts w:ascii="Calibri" w:hAnsi="Calibri" w:cs="Calibri"/>
          <w:sz w:val="24"/>
          <w:szCs w:val="24"/>
        </w:rPr>
        <w:t>Mentors will provide a stable</w:t>
      </w:r>
      <w:r w:rsidR="00FB1E1E">
        <w:rPr>
          <w:rFonts w:ascii="Calibri" w:hAnsi="Calibri" w:cs="Calibri"/>
          <w:sz w:val="24"/>
          <w:szCs w:val="24"/>
        </w:rPr>
        <w:t>,</w:t>
      </w:r>
      <w:r w:rsidR="00F30E0A" w:rsidRPr="00F30E0A">
        <w:rPr>
          <w:rFonts w:ascii="Calibri" w:hAnsi="Calibri" w:cs="Calibri"/>
          <w:sz w:val="24"/>
          <w:szCs w:val="24"/>
        </w:rPr>
        <w:t xml:space="preserve"> positive influence in the lives of young care leavers and will individually tailor their support to best help young people in the program to achieve their goals and successfully live independently when they leave care</w:t>
      </w:r>
      <w:r w:rsidR="00F30E0A">
        <w:rPr>
          <w:rFonts w:ascii="Calibri" w:hAnsi="Calibri" w:cs="Calibri"/>
          <w:sz w:val="24"/>
          <w:szCs w:val="24"/>
        </w:rPr>
        <w:t xml:space="preserve">, </w:t>
      </w:r>
      <w:r w:rsidR="00FB1E1E">
        <w:rPr>
          <w:rFonts w:ascii="Calibri" w:hAnsi="Calibri" w:cs="Calibri"/>
          <w:sz w:val="24"/>
          <w:szCs w:val="24"/>
        </w:rPr>
        <w:t xml:space="preserve">for </w:t>
      </w:r>
      <w:r w:rsidR="00F30E0A">
        <w:rPr>
          <w:rFonts w:ascii="Calibri" w:hAnsi="Calibri" w:cs="Calibri"/>
          <w:sz w:val="24"/>
          <w:szCs w:val="24"/>
        </w:rPr>
        <w:t xml:space="preserve">as long as the young person wishes or until age 25. </w:t>
      </w:r>
      <w:proofErr w:type="spellStart"/>
      <w:r w:rsidR="00F30E0A" w:rsidRPr="00F30E0A">
        <w:rPr>
          <w:rFonts w:ascii="Calibri" w:hAnsi="Calibri" w:cs="Calibri"/>
          <w:sz w:val="24"/>
          <w:szCs w:val="24"/>
        </w:rPr>
        <w:t>Whitelion’s</w:t>
      </w:r>
      <w:proofErr w:type="spellEnd"/>
      <w:r w:rsidR="00F30E0A" w:rsidRPr="00F30E0A">
        <w:rPr>
          <w:rFonts w:ascii="Calibri" w:hAnsi="Calibri" w:cs="Calibri"/>
          <w:sz w:val="24"/>
          <w:szCs w:val="24"/>
        </w:rPr>
        <w:t xml:space="preserve"> program includes direct linkages into training and employment opportunities for their clients where appropriate.</w:t>
      </w:r>
    </w:p>
    <w:p w:rsidR="00F30E0A" w:rsidRDefault="00F30E0A" w:rsidP="00C17FFD">
      <w:pPr>
        <w:rPr>
          <w:rFonts w:ascii="Calibri" w:hAnsi="Calibri" w:cs="Calibri"/>
          <w:sz w:val="24"/>
          <w:szCs w:val="24"/>
        </w:rPr>
      </w:pPr>
    </w:p>
    <w:p w:rsidR="00C17FFD" w:rsidRDefault="00C17FFD" w:rsidP="00C17FFD">
      <w:pPr>
        <w:rPr>
          <w:rFonts w:ascii="Calibri" w:hAnsi="Calibri" w:cs="Calibri"/>
          <w:sz w:val="24"/>
          <w:szCs w:val="24"/>
        </w:rPr>
      </w:pPr>
      <w:r w:rsidRPr="00C17FFD">
        <w:rPr>
          <w:rFonts w:ascii="Calibri" w:hAnsi="Calibri" w:cs="Calibri"/>
          <w:sz w:val="24"/>
          <w:szCs w:val="24"/>
        </w:rPr>
        <w:t xml:space="preserve">CYS is participating in the </w:t>
      </w:r>
      <w:r w:rsidR="00063158">
        <w:rPr>
          <w:rFonts w:ascii="Calibri" w:hAnsi="Calibri" w:cs="Calibri"/>
          <w:sz w:val="24"/>
          <w:szCs w:val="24"/>
        </w:rPr>
        <w:t>implementation</w:t>
      </w:r>
      <w:r w:rsidR="00063158" w:rsidRPr="00C17FFD">
        <w:rPr>
          <w:rFonts w:ascii="Calibri" w:hAnsi="Calibri" w:cs="Calibri"/>
          <w:sz w:val="24"/>
          <w:szCs w:val="24"/>
        </w:rPr>
        <w:t xml:space="preserve"> </w:t>
      </w:r>
      <w:r w:rsidRPr="00C17FFD">
        <w:rPr>
          <w:rFonts w:ascii="Calibri" w:hAnsi="Calibri" w:cs="Calibri"/>
          <w:sz w:val="24"/>
          <w:szCs w:val="24"/>
        </w:rPr>
        <w:t xml:space="preserve">of </w:t>
      </w:r>
      <w:r w:rsidR="00063158">
        <w:rPr>
          <w:rFonts w:ascii="Calibri" w:hAnsi="Calibri" w:cs="Calibri"/>
          <w:sz w:val="24"/>
          <w:szCs w:val="24"/>
        </w:rPr>
        <w:t xml:space="preserve">the </w:t>
      </w:r>
      <w:r w:rsidR="005A03D9">
        <w:rPr>
          <w:rFonts w:ascii="Calibri" w:hAnsi="Calibri" w:cs="Calibri"/>
          <w:sz w:val="24"/>
          <w:szCs w:val="24"/>
        </w:rPr>
        <w:t>TILA</w:t>
      </w:r>
      <w:r w:rsidR="00063158">
        <w:rPr>
          <w:rFonts w:ascii="Calibri" w:hAnsi="Calibri" w:cs="Calibri"/>
          <w:sz w:val="24"/>
          <w:szCs w:val="24"/>
        </w:rPr>
        <w:t xml:space="preserve"> reforms</w:t>
      </w:r>
      <w:r w:rsidRPr="00C17FFD">
        <w:rPr>
          <w:rFonts w:ascii="Calibri" w:hAnsi="Calibri" w:cs="Calibri"/>
          <w:sz w:val="24"/>
          <w:szCs w:val="24"/>
        </w:rPr>
        <w:t>.</w:t>
      </w:r>
    </w:p>
    <w:p w:rsidR="00C17FFD" w:rsidRDefault="00C17FFD" w:rsidP="00BD5D4E">
      <w:pPr>
        <w:rPr>
          <w:rFonts w:ascii="Calibri" w:hAnsi="Calibri" w:cs="Calibri"/>
          <w:sz w:val="24"/>
          <w:szCs w:val="24"/>
        </w:rPr>
      </w:pPr>
    </w:p>
    <w:p w:rsidR="00F636DB" w:rsidRPr="00F636DB" w:rsidRDefault="00F636DB" w:rsidP="00F636DB">
      <w:pPr>
        <w:rPr>
          <w:rFonts w:ascii="Calibri" w:hAnsi="Calibri" w:cs="Calibri"/>
          <w:sz w:val="24"/>
          <w:szCs w:val="24"/>
        </w:rPr>
      </w:pPr>
      <w:r w:rsidRPr="00F636DB">
        <w:rPr>
          <w:rFonts w:ascii="Calibri" w:hAnsi="Calibri" w:cs="Calibri"/>
          <w:sz w:val="24"/>
          <w:szCs w:val="24"/>
        </w:rPr>
        <w:t xml:space="preserve">The Targeted Youth Support Service (TYSS) has been recently reviewed and </w:t>
      </w:r>
      <w:r w:rsidR="008A2FCE">
        <w:rPr>
          <w:rFonts w:ascii="Calibri" w:hAnsi="Calibri" w:cs="Calibri"/>
          <w:sz w:val="24"/>
          <w:szCs w:val="24"/>
        </w:rPr>
        <w:t xml:space="preserve">was </w:t>
      </w:r>
      <w:r w:rsidRPr="00F636DB">
        <w:rPr>
          <w:rFonts w:ascii="Calibri" w:hAnsi="Calibri" w:cs="Calibri"/>
          <w:sz w:val="24"/>
          <w:szCs w:val="24"/>
        </w:rPr>
        <w:t xml:space="preserve">found to be providing a valuable service for vulnerable youth </w:t>
      </w:r>
      <w:r w:rsidR="00F30E0A">
        <w:rPr>
          <w:rFonts w:ascii="Calibri" w:hAnsi="Calibri" w:cs="Calibri"/>
          <w:sz w:val="24"/>
          <w:szCs w:val="24"/>
        </w:rPr>
        <w:t xml:space="preserve">aged </w:t>
      </w:r>
      <w:r w:rsidRPr="00F636DB">
        <w:rPr>
          <w:rFonts w:ascii="Calibri" w:hAnsi="Calibri" w:cs="Calibri"/>
          <w:sz w:val="24"/>
          <w:szCs w:val="24"/>
        </w:rPr>
        <w:t>11</w:t>
      </w:r>
      <w:r w:rsidR="008A2FCE">
        <w:rPr>
          <w:rFonts w:ascii="Calibri" w:hAnsi="Calibri" w:cs="Calibri"/>
          <w:sz w:val="24"/>
          <w:szCs w:val="24"/>
        </w:rPr>
        <w:t xml:space="preserve"> to </w:t>
      </w:r>
      <w:r w:rsidRPr="00F636DB">
        <w:rPr>
          <w:rFonts w:ascii="Calibri" w:hAnsi="Calibri" w:cs="Calibri"/>
          <w:sz w:val="24"/>
          <w:szCs w:val="24"/>
        </w:rPr>
        <w:t>15 in need of support with their education, accommodation and other practical living challenges</w:t>
      </w:r>
      <w:r w:rsidR="00F30E0A">
        <w:rPr>
          <w:rFonts w:ascii="Calibri" w:hAnsi="Calibri" w:cs="Calibri"/>
          <w:sz w:val="24"/>
          <w:szCs w:val="24"/>
        </w:rPr>
        <w:t>,</w:t>
      </w:r>
      <w:r w:rsidRPr="00F636DB">
        <w:rPr>
          <w:rFonts w:ascii="Calibri" w:hAnsi="Calibri" w:cs="Calibri"/>
          <w:sz w:val="24"/>
          <w:szCs w:val="24"/>
        </w:rPr>
        <w:t xml:space="preserve"> as well as providing therapeutic and emotional support where appropriate.</w:t>
      </w:r>
      <w:r w:rsidR="007764A2">
        <w:rPr>
          <w:rFonts w:ascii="Calibri" w:hAnsi="Calibri" w:cs="Calibri"/>
          <w:sz w:val="24"/>
          <w:szCs w:val="24"/>
        </w:rPr>
        <w:t xml:space="preserve"> </w:t>
      </w:r>
      <w:r w:rsidRPr="00F636DB">
        <w:rPr>
          <w:rFonts w:ascii="Calibri" w:hAnsi="Calibri" w:cs="Calibri"/>
          <w:sz w:val="24"/>
          <w:szCs w:val="24"/>
        </w:rPr>
        <w:t>As a result of the positive findings of this review</w:t>
      </w:r>
      <w:r w:rsidR="00F30E0A">
        <w:rPr>
          <w:rFonts w:ascii="Calibri" w:hAnsi="Calibri" w:cs="Calibri"/>
          <w:sz w:val="24"/>
          <w:szCs w:val="24"/>
        </w:rPr>
        <w:t>,</w:t>
      </w:r>
      <w:r w:rsidRPr="00F636DB">
        <w:rPr>
          <w:rFonts w:ascii="Calibri" w:hAnsi="Calibri" w:cs="Calibri"/>
          <w:sz w:val="24"/>
          <w:szCs w:val="24"/>
        </w:rPr>
        <w:t xml:space="preserve"> the TYSS program has been funded to continue operation across the </w:t>
      </w:r>
      <w:r w:rsidR="0034641D">
        <w:rPr>
          <w:rFonts w:ascii="Calibri" w:hAnsi="Calibri" w:cs="Calibri"/>
          <w:sz w:val="24"/>
          <w:szCs w:val="24"/>
        </w:rPr>
        <w:t>s</w:t>
      </w:r>
      <w:r w:rsidR="0034641D" w:rsidRPr="00F636DB">
        <w:rPr>
          <w:rFonts w:ascii="Calibri" w:hAnsi="Calibri" w:cs="Calibri"/>
          <w:sz w:val="24"/>
          <w:szCs w:val="24"/>
        </w:rPr>
        <w:t>tate</w:t>
      </w:r>
      <w:r w:rsidRPr="00F636DB">
        <w:rPr>
          <w:rFonts w:ascii="Calibri" w:hAnsi="Calibri" w:cs="Calibri"/>
          <w:sz w:val="24"/>
          <w:szCs w:val="24"/>
        </w:rPr>
        <w:t>.</w:t>
      </w:r>
    </w:p>
    <w:p w:rsidR="00F636DB" w:rsidRDefault="00F636DB" w:rsidP="00F636DB">
      <w:pPr>
        <w:rPr>
          <w:rFonts w:ascii="Calibri" w:hAnsi="Calibri" w:cs="Calibri"/>
          <w:sz w:val="24"/>
          <w:szCs w:val="24"/>
        </w:rPr>
      </w:pPr>
    </w:p>
    <w:p w:rsidR="00AC57F0" w:rsidRDefault="00F636DB" w:rsidP="00F636DB">
      <w:pPr>
        <w:rPr>
          <w:rFonts w:ascii="Calibri" w:hAnsi="Calibri" w:cs="Calibri"/>
          <w:sz w:val="24"/>
          <w:szCs w:val="24"/>
        </w:rPr>
      </w:pPr>
      <w:r w:rsidRPr="00F636DB">
        <w:rPr>
          <w:rFonts w:ascii="Calibri" w:hAnsi="Calibri" w:cs="Calibri"/>
          <w:sz w:val="24"/>
          <w:szCs w:val="24"/>
        </w:rPr>
        <w:t>There is a dedicated Child Protection Worker in Southern Tasmania facilitating the Moving On program</w:t>
      </w:r>
      <w:r w:rsidR="00F30E0A">
        <w:rPr>
          <w:rFonts w:ascii="Calibri" w:hAnsi="Calibri" w:cs="Calibri"/>
          <w:sz w:val="24"/>
          <w:szCs w:val="24"/>
        </w:rPr>
        <w:t>,</w:t>
      </w:r>
      <w:r w:rsidRPr="00F636DB">
        <w:rPr>
          <w:rFonts w:ascii="Calibri" w:hAnsi="Calibri" w:cs="Calibri"/>
          <w:sz w:val="24"/>
          <w:szCs w:val="24"/>
        </w:rPr>
        <w:t xml:space="preserve"> </w:t>
      </w:r>
      <w:r w:rsidR="00F30E0A">
        <w:rPr>
          <w:rFonts w:ascii="Calibri" w:hAnsi="Calibri" w:cs="Calibri"/>
          <w:sz w:val="24"/>
          <w:szCs w:val="24"/>
        </w:rPr>
        <w:t>in</w:t>
      </w:r>
      <w:r w:rsidR="00000D7B">
        <w:rPr>
          <w:rFonts w:ascii="Calibri" w:hAnsi="Calibri" w:cs="Calibri"/>
          <w:sz w:val="24"/>
          <w:szCs w:val="24"/>
        </w:rPr>
        <w:t xml:space="preserve"> partnership with a</w:t>
      </w:r>
      <w:r w:rsidR="00C8305C">
        <w:rPr>
          <w:rFonts w:ascii="Calibri" w:hAnsi="Calibri" w:cs="Calibri"/>
          <w:sz w:val="24"/>
          <w:szCs w:val="24"/>
        </w:rPr>
        <w:t xml:space="preserve"> community sector organisation</w:t>
      </w:r>
      <w:r w:rsidR="00AB7AAB">
        <w:rPr>
          <w:rFonts w:ascii="Calibri" w:hAnsi="Calibri" w:cs="Calibri"/>
          <w:sz w:val="24"/>
          <w:szCs w:val="24"/>
        </w:rPr>
        <w:t xml:space="preserve">, </w:t>
      </w:r>
      <w:proofErr w:type="spellStart"/>
      <w:r w:rsidR="00AB7AAB" w:rsidRPr="00663B14">
        <w:rPr>
          <w:rFonts w:ascii="Calibri" w:hAnsi="Calibri"/>
          <w:sz w:val="24"/>
          <w:szCs w:val="24"/>
        </w:rPr>
        <w:t>Kennerley</w:t>
      </w:r>
      <w:proofErr w:type="spellEnd"/>
      <w:r w:rsidR="00AB7AAB" w:rsidRPr="00663B14">
        <w:rPr>
          <w:rFonts w:ascii="Calibri" w:hAnsi="Calibri"/>
          <w:sz w:val="24"/>
          <w:szCs w:val="24"/>
        </w:rPr>
        <w:t xml:space="preserve"> Children’s Home</w:t>
      </w:r>
      <w:r w:rsidR="00AB7AAB">
        <w:rPr>
          <w:rFonts w:ascii="Calibri" w:hAnsi="Calibri"/>
          <w:sz w:val="24"/>
          <w:szCs w:val="24"/>
        </w:rPr>
        <w:t>,</w:t>
      </w:r>
      <w:r w:rsidR="00000D7B">
        <w:rPr>
          <w:rFonts w:ascii="Calibri" w:hAnsi="Calibri" w:cs="Calibri"/>
          <w:sz w:val="24"/>
          <w:szCs w:val="24"/>
        </w:rPr>
        <w:t xml:space="preserve"> which</w:t>
      </w:r>
      <w:r w:rsidRPr="00F636DB">
        <w:rPr>
          <w:rFonts w:ascii="Calibri" w:hAnsi="Calibri" w:cs="Calibri"/>
          <w:sz w:val="24"/>
          <w:szCs w:val="24"/>
        </w:rPr>
        <w:t xml:space="preserve"> assists a cohort of young people leaving care.</w:t>
      </w:r>
    </w:p>
    <w:p w:rsidR="00AC57F0" w:rsidRDefault="00AC57F0" w:rsidP="00BD5D4E">
      <w:pPr>
        <w:rPr>
          <w:rFonts w:ascii="Calibri" w:hAnsi="Calibri" w:cs="Calibri"/>
          <w:sz w:val="24"/>
          <w:szCs w:val="24"/>
        </w:rPr>
      </w:pPr>
    </w:p>
    <w:p w:rsidR="00F636DB" w:rsidRPr="00F636DB" w:rsidRDefault="00F636DB" w:rsidP="00F636DB">
      <w:pPr>
        <w:rPr>
          <w:rFonts w:ascii="Calibri" w:hAnsi="Calibri" w:cs="Calibri"/>
          <w:sz w:val="24"/>
          <w:szCs w:val="24"/>
        </w:rPr>
      </w:pPr>
      <w:r w:rsidRPr="00F636DB">
        <w:rPr>
          <w:rFonts w:ascii="Calibri" w:hAnsi="Calibri" w:cs="Calibri"/>
          <w:sz w:val="24"/>
          <w:szCs w:val="24"/>
        </w:rPr>
        <w:t>Housing Connect is the name for Tasmania’s new social housing and homelessness service system</w:t>
      </w:r>
      <w:r w:rsidR="00785217">
        <w:rPr>
          <w:rFonts w:ascii="Calibri" w:hAnsi="Calibri" w:cs="Calibri"/>
          <w:sz w:val="24"/>
          <w:szCs w:val="24"/>
        </w:rPr>
        <w:t>,</w:t>
      </w:r>
      <w:r w:rsidRPr="00F636DB">
        <w:rPr>
          <w:rFonts w:ascii="Calibri" w:hAnsi="Calibri" w:cs="Calibri"/>
          <w:sz w:val="24"/>
          <w:szCs w:val="24"/>
        </w:rPr>
        <w:t xml:space="preserve"> which provides improved housing options and supports for young people leaving care. Housing Connect provides immediate assistance, assessment and intake in a single ‘front door’ service. Housing Connect also provides support to young people to prevent homelessness or </w:t>
      </w:r>
      <w:r w:rsidR="00785217">
        <w:rPr>
          <w:rFonts w:ascii="Calibri" w:hAnsi="Calibri" w:cs="Calibri"/>
          <w:sz w:val="24"/>
          <w:szCs w:val="24"/>
        </w:rPr>
        <w:t xml:space="preserve">if </w:t>
      </w:r>
      <w:r w:rsidRPr="00F636DB">
        <w:rPr>
          <w:rFonts w:ascii="Calibri" w:hAnsi="Calibri" w:cs="Calibri"/>
          <w:sz w:val="24"/>
          <w:szCs w:val="24"/>
        </w:rPr>
        <w:t>they become homeless. Housing Connect works with young people and their carers to provide a range of appropriate housing options.</w:t>
      </w:r>
    </w:p>
    <w:p w:rsidR="00C17FFD" w:rsidRPr="00F56F9B" w:rsidRDefault="00F56F9B" w:rsidP="00F56F9B">
      <w:pPr>
        <w:pStyle w:val="Heading4"/>
        <w:rPr>
          <w:lang w:val="en-AU"/>
        </w:rPr>
      </w:pPr>
      <w:r>
        <w:t>Improving Support for Carers</w:t>
      </w:r>
    </w:p>
    <w:p w:rsidR="00C17FFD" w:rsidRDefault="00C17FFD" w:rsidP="00BD5D4E">
      <w:pPr>
        <w:rPr>
          <w:rFonts w:ascii="Calibri" w:hAnsi="Calibri" w:cs="Calibri"/>
          <w:sz w:val="24"/>
          <w:szCs w:val="24"/>
        </w:rPr>
      </w:pPr>
      <w:r w:rsidRPr="00C17FFD">
        <w:rPr>
          <w:rFonts w:ascii="Calibri" w:hAnsi="Calibri" w:cs="Calibri"/>
          <w:sz w:val="24"/>
          <w:szCs w:val="24"/>
        </w:rPr>
        <w:t xml:space="preserve">An Out of Home Care Operations and Carer Support Unit </w:t>
      </w:r>
      <w:proofErr w:type="gramStart"/>
      <w:r w:rsidRPr="00C17FFD">
        <w:rPr>
          <w:rFonts w:ascii="Calibri" w:hAnsi="Calibri" w:cs="Calibri"/>
          <w:sz w:val="24"/>
          <w:szCs w:val="24"/>
        </w:rPr>
        <w:t>has</w:t>
      </w:r>
      <w:proofErr w:type="gramEnd"/>
      <w:r w:rsidRPr="00C17FFD">
        <w:rPr>
          <w:rFonts w:ascii="Calibri" w:hAnsi="Calibri" w:cs="Calibri"/>
          <w:sz w:val="24"/>
          <w:szCs w:val="24"/>
        </w:rPr>
        <w:t xml:space="preserve"> been established in CYS Operations </w:t>
      </w:r>
      <w:r w:rsidR="00785217">
        <w:rPr>
          <w:rFonts w:ascii="Calibri" w:hAnsi="Calibri" w:cs="Calibri"/>
          <w:sz w:val="24"/>
          <w:szCs w:val="24"/>
        </w:rPr>
        <w:t>and</w:t>
      </w:r>
      <w:r w:rsidR="00785217" w:rsidRPr="00C17FFD">
        <w:rPr>
          <w:rFonts w:ascii="Calibri" w:hAnsi="Calibri" w:cs="Calibri"/>
          <w:sz w:val="24"/>
          <w:szCs w:val="24"/>
        </w:rPr>
        <w:t xml:space="preserve"> </w:t>
      </w:r>
      <w:r w:rsidRPr="00C17FFD">
        <w:rPr>
          <w:rFonts w:ascii="Calibri" w:hAnsi="Calibri" w:cs="Calibri"/>
          <w:sz w:val="24"/>
          <w:szCs w:val="24"/>
        </w:rPr>
        <w:t xml:space="preserve">will manage carer recruitment campaigns. This will include the development of innovative strategies to </w:t>
      </w:r>
      <w:r w:rsidR="00843F5B">
        <w:rPr>
          <w:rFonts w:ascii="Calibri" w:hAnsi="Calibri" w:cs="Calibri"/>
          <w:sz w:val="24"/>
          <w:szCs w:val="24"/>
        </w:rPr>
        <w:t>provide</w:t>
      </w:r>
      <w:r w:rsidR="00843F5B" w:rsidRPr="00C17FFD">
        <w:rPr>
          <w:rFonts w:ascii="Calibri" w:hAnsi="Calibri" w:cs="Calibri"/>
          <w:sz w:val="24"/>
          <w:szCs w:val="24"/>
        </w:rPr>
        <w:t xml:space="preserve"> </w:t>
      </w:r>
      <w:r w:rsidRPr="00C17FFD">
        <w:rPr>
          <w:rFonts w:ascii="Calibri" w:hAnsi="Calibri" w:cs="Calibri"/>
          <w:sz w:val="24"/>
          <w:szCs w:val="24"/>
        </w:rPr>
        <w:t>a r</w:t>
      </w:r>
      <w:r w:rsidR="00000D7B">
        <w:rPr>
          <w:rFonts w:ascii="Calibri" w:hAnsi="Calibri" w:cs="Calibri"/>
          <w:sz w:val="24"/>
          <w:szCs w:val="24"/>
        </w:rPr>
        <w:t>ange of supports that may make f</w:t>
      </w:r>
      <w:r w:rsidRPr="00C17FFD">
        <w:rPr>
          <w:rFonts w:ascii="Calibri" w:hAnsi="Calibri" w:cs="Calibri"/>
          <w:sz w:val="24"/>
          <w:szCs w:val="24"/>
        </w:rPr>
        <w:t>ostering a more attractive option for working families</w:t>
      </w:r>
      <w:r w:rsidR="00000D7B">
        <w:rPr>
          <w:rFonts w:ascii="Calibri" w:hAnsi="Calibri" w:cs="Calibri"/>
          <w:sz w:val="24"/>
          <w:szCs w:val="24"/>
        </w:rPr>
        <w:t xml:space="preserve"> and further assist kinship carers</w:t>
      </w:r>
      <w:r w:rsidRPr="00C17FFD">
        <w:rPr>
          <w:rFonts w:ascii="Calibri" w:hAnsi="Calibri" w:cs="Calibri"/>
          <w:sz w:val="24"/>
          <w:szCs w:val="24"/>
        </w:rPr>
        <w:t>.</w:t>
      </w:r>
    </w:p>
    <w:p w:rsidR="0080378D" w:rsidRPr="00F56F9B" w:rsidRDefault="00F56F9B" w:rsidP="00F56F9B">
      <w:pPr>
        <w:pStyle w:val="Heading4"/>
        <w:rPr>
          <w:lang w:val="en-AU"/>
        </w:rPr>
      </w:pPr>
      <w:r>
        <w:t>Sector Development</w:t>
      </w:r>
    </w:p>
    <w:p w:rsidR="0080378D" w:rsidRPr="0080378D" w:rsidRDefault="0080378D" w:rsidP="0080378D">
      <w:pPr>
        <w:rPr>
          <w:rFonts w:ascii="Calibri" w:hAnsi="Calibri" w:cs="Calibri"/>
          <w:sz w:val="24"/>
          <w:szCs w:val="24"/>
        </w:rPr>
      </w:pPr>
      <w:r w:rsidRPr="0080378D">
        <w:rPr>
          <w:rFonts w:ascii="Calibri" w:hAnsi="Calibri" w:cs="Calibri"/>
          <w:sz w:val="24"/>
          <w:szCs w:val="24"/>
        </w:rPr>
        <w:t xml:space="preserve">Work is in progress on the mandatory training requirements and workforce development continuum for the entire CYS portfolio. A continuum of training across the CYS program areas has been developed, with greater collaboration across the areas with respect to joint training opportunities. A policy has been developed to streamline and capture all workforce and professional development activities taking place across CYS. </w:t>
      </w:r>
    </w:p>
    <w:p w:rsidR="0080378D" w:rsidRPr="0080378D" w:rsidRDefault="0080378D" w:rsidP="0080378D">
      <w:pPr>
        <w:rPr>
          <w:rFonts w:ascii="Calibri" w:hAnsi="Calibri" w:cs="Calibri"/>
          <w:sz w:val="24"/>
          <w:szCs w:val="24"/>
        </w:rPr>
      </w:pPr>
    </w:p>
    <w:p w:rsidR="0080378D" w:rsidRDefault="0080378D" w:rsidP="0080378D">
      <w:pPr>
        <w:rPr>
          <w:rFonts w:ascii="Calibri" w:hAnsi="Calibri" w:cs="Calibri"/>
          <w:sz w:val="24"/>
          <w:szCs w:val="24"/>
        </w:rPr>
      </w:pPr>
      <w:r w:rsidRPr="0080378D">
        <w:rPr>
          <w:rFonts w:ascii="Calibri" w:hAnsi="Calibri" w:cs="Calibri"/>
          <w:sz w:val="24"/>
          <w:szCs w:val="24"/>
        </w:rPr>
        <w:t>Focus areas include the following:</w:t>
      </w:r>
    </w:p>
    <w:p w:rsidR="003F5789" w:rsidRDefault="00A82700" w:rsidP="003F5789">
      <w:pPr>
        <w:pStyle w:val="ListBullet"/>
      </w:pPr>
      <w:r>
        <w:t xml:space="preserve">Support is being provided for </w:t>
      </w:r>
      <w:r w:rsidR="003F5789">
        <w:t xml:space="preserve">the professional development of Child and Family Health Nurses and to enhance the work all CYS staff </w:t>
      </w:r>
      <w:proofErr w:type="gramStart"/>
      <w:r w:rsidR="003F5789">
        <w:t>undertake</w:t>
      </w:r>
      <w:proofErr w:type="gramEnd"/>
      <w:r w:rsidR="003F5789">
        <w:t xml:space="preserve"> with clients. </w:t>
      </w:r>
    </w:p>
    <w:p w:rsidR="003F5789" w:rsidRDefault="003F5789" w:rsidP="003F5789">
      <w:pPr>
        <w:pStyle w:val="ListBullet"/>
      </w:pPr>
      <w:r>
        <w:t>Delivery of education and training is underway, using an integrated approach to increase training opportunities and improve CYS staff’s accessibility to professional development.</w:t>
      </w:r>
    </w:p>
    <w:p w:rsidR="003F5789" w:rsidRDefault="003F5789" w:rsidP="003F5789">
      <w:pPr>
        <w:pStyle w:val="ListBullet"/>
      </w:pPr>
      <w:r>
        <w:t xml:space="preserve">QIWD has supported CYS staff in the North West to have access to the Berry Street </w:t>
      </w:r>
      <w:proofErr w:type="spellStart"/>
      <w:r>
        <w:t>Neurosequential</w:t>
      </w:r>
      <w:proofErr w:type="spellEnd"/>
      <w:r>
        <w:t xml:space="preserve"> Model case-based training series by Dr Bruce Perry. </w:t>
      </w:r>
    </w:p>
    <w:p w:rsidR="003F5789" w:rsidRDefault="003F5789" w:rsidP="003F5789">
      <w:pPr>
        <w:pStyle w:val="ListBullet"/>
      </w:pPr>
      <w:r>
        <w:t>CYS has recently contracted an external facilitator to provide intensive training in the area of risk assessment, with special consideration for the 0–5 age group. Additional workshops are scheduled for CYS staff</w:t>
      </w:r>
      <w:r w:rsidR="00A82700">
        <w:t>:</w:t>
      </w:r>
      <w:r>
        <w:t xml:space="preserve"> firstly, on models of supervision in the context of the workforce, with specific reference to embedding more robust, reflective practice opportunities within the supervisory relationship; and secondly, assistance in shifting the culture across CYS from one of defensiveness to one of appreciative inquiry. </w:t>
      </w:r>
    </w:p>
    <w:p w:rsidR="003F5789" w:rsidRDefault="003F5789" w:rsidP="003F5789">
      <w:pPr>
        <w:pStyle w:val="ListBullet"/>
      </w:pPr>
      <w:r>
        <w:t xml:space="preserve">CYS has re-established professional development relationships with Tasmania Police in the area of interviewing vulnerable witnesses, with training planned bi-monthly until the end of 2013. Work across the </w:t>
      </w:r>
      <w:proofErr w:type="spellStart"/>
      <w:r>
        <w:t>CHaPS</w:t>
      </w:r>
      <w:proofErr w:type="spellEnd"/>
      <w:r>
        <w:t xml:space="preserve">/CPS and CAMHS regarding perinatal mental health is also occurring. </w:t>
      </w:r>
    </w:p>
    <w:p w:rsidR="0080378D" w:rsidRPr="0080378D" w:rsidRDefault="0080378D" w:rsidP="0080378D">
      <w:pPr>
        <w:rPr>
          <w:rFonts w:ascii="Calibri" w:hAnsi="Calibri" w:cs="Calibri"/>
          <w:sz w:val="24"/>
          <w:szCs w:val="24"/>
        </w:rPr>
      </w:pPr>
    </w:p>
    <w:p w:rsidR="0080378D" w:rsidRPr="0080378D" w:rsidRDefault="0080378D" w:rsidP="0080378D">
      <w:pPr>
        <w:rPr>
          <w:rFonts w:ascii="Calibri" w:hAnsi="Calibri" w:cs="Calibri"/>
          <w:sz w:val="24"/>
          <w:szCs w:val="24"/>
        </w:rPr>
      </w:pPr>
      <w:r w:rsidRPr="0080378D">
        <w:rPr>
          <w:rFonts w:ascii="Calibri" w:hAnsi="Calibri" w:cs="Calibri"/>
          <w:sz w:val="24"/>
          <w:szCs w:val="24"/>
        </w:rPr>
        <w:t xml:space="preserve">The QIWD team is a </w:t>
      </w:r>
      <w:proofErr w:type="spellStart"/>
      <w:r w:rsidRPr="0080378D">
        <w:rPr>
          <w:rFonts w:ascii="Calibri" w:hAnsi="Calibri" w:cs="Calibri"/>
          <w:sz w:val="24"/>
          <w:szCs w:val="24"/>
        </w:rPr>
        <w:t>statewide</w:t>
      </w:r>
      <w:proofErr w:type="spellEnd"/>
      <w:r w:rsidRPr="0080378D">
        <w:rPr>
          <w:rFonts w:ascii="Calibri" w:hAnsi="Calibri" w:cs="Calibri"/>
          <w:sz w:val="24"/>
          <w:szCs w:val="24"/>
        </w:rPr>
        <w:t xml:space="preserve"> team with staff members (Trainers, Senior Quality and Practice Advisors, </w:t>
      </w:r>
      <w:r w:rsidR="008742D2">
        <w:rPr>
          <w:rFonts w:ascii="Calibri" w:hAnsi="Calibri" w:cs="Calibri"/>
          <w:sz w:val="24"/>
          <w:szCs w:val="24"/>
        </w:rPr>
        <w:t>CNE</w:t>
      </w:r>
      <w:r w:rsidRPr="0080378D">
        <w:rPr>
          <w:rFonts w:ascii="Calibri" w:hAnsi="Calibri" w:cs="Calibri"/>
          <w:sz w:val="24"/>
          <w:szCs w:val="24"/>
        </w:rPr>
        <w:t xml:space="preserve"> and Clinical Nurse Quality) across the areas. For this reason, geographical distance does not have an impact on staff training opportunities. In fact, often where there has been ample opportunity to plan, relevant service areas have been able to cover for each other in order to allow staff time out of the office to attend professional development.</w:t>
      </w:r>
    </w:p>
    <w:p w:rsidR="0080378D" w:rsidRPr="0080378D" w:rsidRDefault="0080378D" w:rsidP="0080378D">
      <w:pPr>
        <w:rPr>
          <w:rFonts w:ascii="Calibri" w:hAnsi="Calibri" w:cs="Calibri"/>
          <w:sz w:val="24"/>
          <w:szCs w:val="24"/>
        </w:rPr>
      </w:pPr>
    </w:p>
    <w:p w:rsidR="0080378D" w:rsidRPr="0080378D" w:rsidRDefault="0080378D" w:rsidP="0080378D">
      <w:pPr>
        <w:rPr>
          <w:rFonts w:ascii="Calibri" w:hAnsi="Calibri" w:cs="Calibri"/>
          <w:sz w:val="24"/>
          <w:szCs w:val="24"/>
        </w:rPr>
      </w:pPr>
      <w:r w:rsidRPr="0080378D">
        <w:rPr>
          <w:rFonts w:ascii="Calibri" w:hAnsi="Calibri" w:cs="Calibri"/>
          <w:sz w:val="24"/>
          <w:szCs w:val="24"/>
        </w:rPr>
        <w:t xml:space="preserve">QIWD team members often travel as required in order to maximise staff opportunities relating to induction training as well as activities undertaken with respect to quality appraisal processes. </w:t>
      </w:r>
    </w:p>
    <w:p w:rsidR="0080378D" w:rsidRPr="0080378D" w:rsidRDefault="0080378D" w:rsidP="0080378D">
      <w:pPr>
        <w:rPr>
          <w:rFonts w:ascii="Calibri" w:hAnsi="Calibri" w:cs="Calibri"/>
          <w:sz w:val="24"/>
          <w:szCs w:val="24"/>
        </w:rPr>
      </w:pPr>
    </w:p>
    <w:p w:rsidR="0080378D" w:rsidRPr="0080378D" w:rsidRDefault="0080378D" w:rsidP="0080378D">
      <w:pPr>
        <w:rPr>
          <w:rFonts w:ascii="Calibri" w:hAnsi="Calibri" w:cs="Calibri"/>
          <w:sz w:val="24"/>
          <w:szCs w:val="24"/>
        </w:rPr>
      </w:pPr>
      <w:r w:rsidRPr="0080378D">
        <w:rPr>
          <w:rFonts w:ascii="Calibri" w:hAnsi="Calibri" w:cs="Calibri"/>
          <w:sz w:val="24"/>
          <w:szCs w:val="24"/>
        </w:rPr>
        <w:t xml:space="preserve">Online education and e-learning is increasingly available, and information is promoted and distributed to staff via Community Express/Intranet or email. </w:t>
      </w:r>
    </w:p>
    <w:p w:rsidR="0080378D" w:rsidRPr="0080378D" w:rsidRDefault="0080378D" w:rsidP="0080378D">
      <w:pPr>
        <w:rPr>
          <w:rFonts w:ascii="Calibri" w:hAnsi="Calibri" w:cs="Calibri"/>
          <w:sz w:val="24"/>
          <w:szCs w:val="24"/>
        </w:rPr>
      </w:pPr>
    </w:p>
    <w:p w:rsidR="0080378D" w:rsidRPr="0080378D" w:rsidRDefault="0080378D" w:rsidP="0080378D">
      <w:pPr>
        <w:rPr>
          <w:rFonts w:ascii="Calibri" w:hAnsi="Calibri" w:cs="Calibri"/>
          <w:sz w:val="24"/>
          <w:szCs w:val="24"/>
        </w:rPr>
      </w:pPr>
      <w:r w:rsidRPr="0080378D">
        <w:rPr>
          <w:rFonts w:ascii="Calibri" w:hAnsi="Calibri" w:cs="Calibri"/>
          <w:sz w:val="24"/>
          <w:szCs w:val="24"/>
        </w:rPr>
        <w:t xml:space="preserve">Development of an online education directory is currently occurring within the </w:t>
      </w:r>
      <w:proofErr w:type="spellStart"/>
      <w:r w:rsidRPr="0080378D">
        <w:rPr>
          <w:rFonts w:ascii="Calibri" w:hAnsi="Calibri" w:cs="Calibri"/>
          <w:sz w:val="24"/>
          <w:szCs w:val="24"/>
        </w:rPr>
        <w:t>CHaPS.</w:t>
      </w:r>
      <w:proofErr w:type="spellEnd"/>
    </w:p>
    <w:p w:rsidR="0080378D" w:rsidRPr="0080378D" w:rsidRDefault="0080378D" w:rsidP="0080378D">
      <w:pPr>
        <w:rPr>
          <w:rFonts w:ascii="Calibri" w:hAnsi="Calibri" w:cs="Calibri"/>
          <w:sz w:val="24"/>
          <w:szCs w:val="24"/>
        </w:rPr>
      </w:pPr>
    </w:p>
    <w:p w:rsidR="0080378D" w:rsidRPr="0080378D" w:rsidRDefault="0080378D" w:rsidP="0080378D">
      <w:pPr>
        <w:rPr>
          <w:rFonts w:ascii="Calibri" w:hAnsi="Calibri" w:cs="Calibri"/>
          <w:sz w:val="24"/>
          <w:szCs w:val="24"/>
        </w:rPr>
      </w:pPr>
      <w:r w:rsidRPr="0080378D">
        <w:rPr>
          <w:rFonts w:ascii="Calibri" w:hAnsi="Calibri" w:cs="Calibri"/>
          <w:sz w:val="24"/>
          <w:szCs w:val="24"/>
        </w:rPr>
        <w:t>The Tasmanian Government’s Partnership Agreement between DHHS, DPAC and the Community Sector Tasmania 2012–2015 provides a conceptual framework including incentives for closer collaboration between the funded sector and the state government. The recent agreement formalises a focus on consultative processes between community sector organisations and government, towards shared policies and planning to achieve better outcomes for the Tasmanian population.</w:t>
      </w:r>
    </w:p>
    <w:p w:rsidR="0080378D" w:rsidRPr="0080378D" w:rsidRDefault="0080378D" w:rsidP="0080378D">
      <w:pPr>
        <w:rPr>
          <w:rFonts w:ascii="Calibri" w:hAnsi="Calibri" w:cs="Calibri"/>
          <w:sz w:val="24"/>
          <w:szCs w:val="24"/>
        </w:rPr>
      </w:pPr>
    </w:p>
    <w:p w:rsidR="0080378D" w:rsidRPr="0080378D" w:rsidRDefault="0080378D" w:rsidP="0080378D">
      <w:pPr>
        <w:rPr>
          <w:rFonts w:ascii="Calibri" w:hAnsi="Calibri" w:cs="Calibri"/>
          <w:sz w:val="24"/>
          <w:szCs w:val="24"/>
        </w:rPr>
      </w:pPr>
      <w:r w:rsidRPr="0080378D">
        <w:rPr>
          <w:rFonts w:ascii="Calibri" w:hAnsi="Calibri" w:cs="Calibri"/>
          <w:sz w:val="24"/>
          <w:szCs w:val="24"/>
        </w:rPr>
        <w:t xml:space="preserve">A project team has been recruited to explore options to expand the range of placement options for children in out-of-home care. This will include exploring the potential for outsourcing out-of-home care to the </w:t>
      </w:r>
      <w:r w:rsidR="00C8305C">
        <w:rPr>
          <w:rFonts w:ascii="Calibri" w:hAnsi="Calibri" w:cs="Calibri"/>
          <w:sz w:val="24"/>
          <w:szCs w:val="24"/>
        </w:rPr>
        <w:t>community</w:t>
      </w:r>
      <w:r w:rsidRPr="0080378D">
        <w:rPr>
          <w:rFonts w:ascii="Calibri" w:hAnsi="Calibri" w:cs="Calibri"/>
          <w:sz w:val="24"/>
          <w:szCs w:val="24"/>
        </w:rPr>
        <w:t xml:space="preserve"> sector.</w:t>
      </w:r>
    </w:p>
    <w:p w:rsidR="0080378D" w:rsidRPr="0080378D" w:rsidRDefault="0080378D" w:rsidP="0080378D">
      <w:pPr>
        <w:rPr>
          <w:rFonts w:ascii="Calibri" w:hAnsi="Calibri" w:cs="Calibri"/>
          <w:sz w:val="24"/>
          <w:szCs w:val="24"/>
        </w:rPr>
      </w:pPr>
    </w:p>
    <w:p w:rsidR="0080378D" w:rsidRDefault="0080378D" w:rsidP="0080378D">
      <w:pPr>
        <w:rPr>
          <w:rFonts w:ascii="Calibri" w:hAnsi="Calibri" w:cs="Calibri"/>
          <w:sz w:val="24"/>
          <w:szCs w:val="24"/>
        </w:rPr>
      </w:pPr>
      <w:r w:rsidRPr="0080378D">
        <w:rPr>
          <w:rFonts w:ascii="Calibri" w:hAnsi="Calibri" w:cs="Calibri"/>
          <w:sz w:val="24"/>
          <w:szCs w:val="24"/>
        </w:rPr>
        <w:t>It is intended to develop opportunities to share information about what works for statutory child protection workers and the family support workforce, with the introduction of the Signs of Safety framework. Following training conducted in this area in 2011–12, one region (North) has started case sharing and mapping processes, which has been a valuable learning opportunity for all staff.</w:t>
      </w:r>
    </w:p>
    <w:p w:rsidR="00BD5D4E" w:rsidRDefault="00BD5D4E" w:rsidP="00792804">
      <w:pPr>
        <w:pStyle w:val="Heading3"/>
      </w:pPr>
      <w:bookmarkStart w:id="170" w:name="_Toc400007754"/>
      <w:r w:rsidRPr="00000D7B">
        <w:t>Victoria</w:t>
      </w:r>
      <w:bookmarkEnd w:id="170"/>
    </w:p>
    <w:p w:rsidR="00BD5D4E" w:rsidRPr="00706368" w:rsidRDefault="000612B4" w:rsidP="00F56F9B">
      <w:pPr>
        <w:pStyle w:val="Heading4"/>
      </w:pPr>
      <w:r w:rsidRPr="00706368">
        <w:t>National Standards for Out-of-Home Care</w:t>
      </w:r>
    </w:p>
    <w:p w:rsidR="009755B3" w:rsidRPr="009755B3" w:rsidRDefault="009755B3" w:rsidP="009755B3">
      <w:pPr>
        <w:rPr>
          <w:rFonts w:ascii="Calibri" w:hAnsi="Calibri" w:cs="Calibri"/>
          <w:sz w:val="24"/>
          <w:szCs w:val="24"/>
        </w:rPr>
      </w:pPr>
      <w:r w:rsidRPr="009755B3">
        <w:rPr>
          <w:rFonts w:ascii="Calibri" w:hAnsi="Calibri" w:cs="Calibri"/>
          <w:sz w:val="24"/>
          <w:szCs w:val="24"/>
        </w:rPr>
        <w:t xml:space="preserve">The </w:t>
      </w:r>
      <w:r w:rsidR="002C55A1">
        <w:rPr>
          <w:rFonts w:ascii="Calibri" w:hAnsi="Calibri" w:cs="Calibri"/>
          <w:sz w:val="24"/>
          <w:szCs w:val="24"/>
        </w:rPr>
        <w:t>A</w:t>
      </w:r>
      <w:r w:rsidR="00314725">
        <w:rPr>
          <w:rFonts w:ascii="Calibri" w:hAnsi="Calibri" w:cs="Calibri"/>
          <w:sz w:val="24"/>
          <w:szCs w:val="24"/>
        </w:rPr>
        <w:t>TSI</w:t>
      </w:r>
      <w:r w:rsidR="002C55A1">
        <w:rPr>
          <w:rFonts w:ascii="Calibri" w:hAnsi="Calibri" w:cs="Calibri"/>
          <w:sz w:val="24"/>
          <w:szCs w:val="24"/>
        </w:rPr>
        <w:t>C</w:t>
      </w:r>
      <w:r w:rsidR="0044293A">
        <w:rPr>
          <w:rFonts w:ascii="Calibri" w:hAnsi="Calibri" w:cs="Calibri"/>
          <w:sz w:val="24"/>
          <w:szCs w:val="24"/>
        </w:rPr>
        <w:t>P</w:t>
      </w:r>
      <w:r w:rsidR="002C55A1">
        <w:rPr>
          <w:rFonts w:ascii="Calibri" w:hAnsi="Calibri" w:cs="Calibri"/>
          <w:sz w:val="24"/>
          <w:szCs w:val="24"/>
        </w:rPr>
        <w:t>P</w:t>
      </w:r>
      <w:r w:rsidRPr="009755B3">
        <w:rPr>
          <w:rFonts w:ascii="Calibri" w:hAnsi="Calibri" w:cs="Calibri"/>
          <w:sz w:val="24"/>
          <w:szCs w:val="24"/>
        </w:rPr>
        <w:t xml:space="preserve"> is enshrined in Victorian legislation and establishes a sound foundation to guide the placement of Aboriginal children in </w:t>
      </w:r>
      <w:r w:rsidR="00AF33B2" w:rsidRPr="009755B3">
        <w:rPr>
          <w:rFonts w:ascii="Calibri" w:hAnsi="Calibri" w:cs="Calibri"/>
          <w:sz w:val="24"/>
          <w:szCs w:val="24"/>
        </w:rPr>
        <w:t>out</w:t>
      </w:r>
      <w:r w:rsidR="00AF33B2">
        <w:rPr>
          <w:rFonts w:ascii="Calibri" w:hAnsi="Calibri" w:cs="Calibri"/>
          <w:sz w:val="24"/>
          <w:szCs w:val="24"/>
        </w:rPr>
        <w:t>-</w:t>
      </w:r>
      <w:r w:rsidR="00AF33B2" w:rsidRPr="009755B3">
        <w:rPr>
          <w:rFonts w:ascii="Calibri" w:hAnsi="Calibri" w:cs="Calibri"/>
          <w:sz w:val="24"/>
          <w:szCs w:val="24"/>
        </w:rPr>
        <w:t>of</w:t>
      </w:r>
      <w:r w:rsidR="00AF33B2">
        <w:rPr>
          <w:rFonts w:ascii="Calibri" w:hAnsi="Calibri" w:cs="Calibri"/>
          <w:sz w:val="24"/>
          <w:szCs w:val="24"/>
        </w:rPr>
        <w:t>-</w:t>
      </w:r>
      <w:r w:rsidRPr="009755B3">
        <w:rPr>
          <w:rFonts w:ascii="Calibri" w:hAnsi="Calibri" w:cs="Calibri"/>
          <w:sz w:val="24"/>
          <w:szCs w:val="24"/>
        </w:rPr>
        <w:t>home care.</w:t>
      </w:r>
      <w:r w:rsidR="007764A2">
        <w:rPr>
          <w:rFonts w:ascii="Calibri" w:hAnsi="Calibri" w:cs="Calibri"/>
          <w:sz w:val="24"/>
          <w:szCs w:val="24"/>
        </w:rPr>
        <w:t xml:space="preserve"> </w:t>
      </w:r>
      <w:r w:rsidRPr="009755B3">
        <w:rPr>
          <w:rFonts w:ascii="Calibri" w:hAnsi="Calibri" w:cs="Calibri"/>
          <w:sz w:val="24"/>
          <w:szCs w:val="24"/>
        </w:rPr>
        <w:t xml:space="preserve">Victoria is committed to exploring mechanisms to improve a child’s connection to culture and genealogy and </w:t>
      </w:r>
      <w:r w:rsidR="00AF33B2">
        <w:rPr>
          <w:rFonts w:ascii="Calibri" w:hAnsi="Calibri" w:cs="Calibri"/>
          <w:sz w:val="24"/>
          <w:szCs w:val="24"/>
        </w:rPr>
        <w:t>ways</w:t>
      </w:r>
      <w:r w:rsidR="00AF33B2" w:rsidRPr="009755B3">
        <w:rPr>
          <w:rFonts w:ascii="Calibri" w:hAnsi="Calibri" w:cs="Calibri"/>
          <w:sz w:val="24"/>
          <w:szCs w:val="24"/>
        </w:rPr>
        <w:t xml:space="preserve"> </w:t>
      </w:r>
      <w:r w:rsidRPr="009755B3">
        <w:rPr>
          <w:rFonts w:ascii="Calibri" w:hAnsi="Calibri" w:cs="Calibri"/>
          <w:sz w:val="24"/>
          <w:szCs w:val="24"/>
        </w:rPr>
        <w:t xml:space="preserve">it can strengthen practices that seek to identify children as Aboriginal or Torres Strait Islander, should they enter the child protection system. </w:t>
      </w:r>
    </w:p>
    <w:p w:rsidR="009755B3" w:rsidRPr="009755B3" w:rsidRDefault="009755B3" w:rsidP="009755B3">
      <w:pPr>
        <w:rPr>
          <w:rFonts w:ascii="Calibri" w:hAnsi="Calibri" w:cs="Calibri"/>
          <w:sz w:val="24"/>
          <w:szCs w:val="24"/>
        </w:rPr>
      </w:pPr>
    </w:p>
    <w:p w:rsidR="000612B4" w:rsidRDefault="009755B3" w:rsidP="009755B3">
      <w:pPr>
        <w:rPr>
          <w:rFonts w:ascii="Calibri" w:hAnsi="Calibri" w:cs="Calibri"/>
          <w:sz w:val="24"/>
          <w:szCs w:val="24"/>
        </w:rPr>
      </w:pPr>
      <w:r w:rsidRPr="009755B3">
        <w:rPr>
          <w:rFonts w:ascii="Calibri" w:hAnsi="Calibri" w:cs="Calibri"/>
          <w:sz w:val="24"/>
          <w:szCs w:val="24"/>
        </w:rPr>
        <w:t>Victoria attended a workshop in May 2013</w:t>
      </w:r>
      <w:r w:rsidR="00AF33B2">
        <w:rPr>
          <w:rFonts w:ascii="Calibri" w:hAnsi="Calibri" w:cs="Calibri"/>
          <w:sz w:val="24"/>
          <w:szCs w:val="24"/>
        </w:rPr>
        <w:t>,</w:t>
      </w:r>
      <w:r w:rsidRPr="009755B3">
        <w:rPr>
          <w:rFonts w:ascii="Calibri" w:hAnsi="Calibri" w:cs="Calibri"/>
          <w:sz w:val="24"/>
          <w:szCs w:val="24"/>
        </w:rPr>
        <w:t xml:space="preserve"> focused on ways to enhance the application and nationally consistent reporting of the </w:t>
      </w:r>
      <w:r w:rsidR="002C55A1">
        <w:rPr>
          <w:rFonts w:ascii="Calibri" w:hAnsi="Calibri" w:cs="Calibri"/>
          <w:sz w:val="24"/>
          <w:szCs w:val="24"/>
        </w:rPr>
        <w:t>A</w:t>
      </w:r>
      <w:r w:rsidR="00314725">
        <w:rPr>
          <w:rFonts w:ascii="Calibri" w:hAnsi="Calibri" w:cs="Calibri"/>
          <w:sz w:val="24"/>
          <w:szCs w:val="24"/>
        </w:rPr>
        <w:t>TSI</w:t>
      </w:r>
      <w:r w:rsidR="002C55A1">
        <w:rPr>
          <w:rFonts w:ascii="Calibri" w:hAnsi="Calibri" w:cs="Calibri"/>
          <w:sz w:val="24"/>
          <w:szCs w:val="24"/>
        </w:rPr>
        <w:t>CPP</w:t>
      </w:r>
      <w:r w:rsidRPr="009755B3">
        <w:rPr>
          <w:rFonts w:ascii="Calibri" w:hAnsi="Calibri" w:cs="Calibri"/>
          <w:sz w:val="24"/>
          <w:szCs w:val="24"/>
        </w:rPr>
        <w:t>.</w:t>
      </w:r>
      <w:r w:rsidR="007764A2">
        <w:rPr>
          <w:rFonts w:ascii="Calibri" w:hAnsi="Calibri" w:cs="Calibri"/>
          <w:sz w:val="24"/>
          <w:szCs w:val="24"/>
        </w:rPr>
        <w:t xml:space="preserve"> </w:t>
      </w:r>
      <w:r w:rsidRPr="009755B3">
        <w:rPr>
          <w:rFonts w:ascii="Calibri" w:hAnsi="Calibri" w:cs="Calibri"/>
          <w:sz w:val="24"/>
          <w:szCs w:val="24"/>
        </w:rPr>
        <w:t>A full report on the findings and actions arising from the workshop will be received by Ministers later in 2013 for further consideration.</w:t>
      </w:r>
      <w:r w:rsidR="007764A2">
        <w:rPr>
          <w:rFonts w:ascii="Calibri" w:hAnsi="Calibri" w:cs="Calibri"/>
          <w:sz w:val="24"/>
          <w:szCs w:val="24"/>
        </w:rPr>
        <w:t xml:space="preserve"> </w:t>
      </w:r>
    </w:p>
    <w:p w:rsidR="009755B3" w:rsidRDefault="009755B3" w:rsidP="009755B3">
      <w:pPr>
        <w:rPr>
          <w:rFonts w:ascii="Calibri" w:hAnsi="Calibri" w:cs="Calibri"/>
          <w:sz w:val="24"/>
          <w:szCs w:val="24"/>
        </w:rPr>
      </w:pPr>
    </w:p>
    <w:p w:rsidR="009755B3" w:rsidRDefault="009755B3" w:rsidP="009755B3">
      <w:pPr>
        <w:rPr>
          <w:rFonts w:ascii="Calibri" w:hAnsi="Calibri" w:cs="Calibri"/>
          <w:sz w:val="24"/>
          <w:szCs w:val="24"/>
        </w:rPr>
      </w:pPr>
      <w:r w:rsidRPr="009755B3">
        <w:rPr>
          <w:rFonts w:ascii="Calibri" w:hAnsi="Calibri" w:cs="Calibri"/>
          <w:sz w:val="24"/>
          <w:szCs w:val="24"/>
        </w:rPr>
        <w:t>As a result of the Protecting Victoria’s Vulnerable Children Inquir</w:t>
      </w:r>
      <w:r w:rsidR="00000D7B">
        <w:rPr>
          <w:rFonts w:ascii="Calibri" w:hAnsi="Calibri" w:cs="Calibri"/>
          <w:sz w:val="24"/>
          <w:szCs w:val="24"/>
        </w:rPr>
        <w:t>y, an action research project (t</w:t>
      </w:r>
      <w:r w:rsidRPr="009755B3">
        <w:rPr>
          <w:rFonts w:ascii="Calibri" w:hAnsi="Calibri" w:cs="Calibri"/>
          <w:sz w:val="24"/>
          <w:szCs w:val="24"/>
        </w:rPr>
        <w:t>he Stability Planning and Permanent Care project) is being undertaken to identify barriers to timely resolution of stability and permanency and develop strategies to overcome those barriers.</w:t>
      </w:r>
    </w:p>
    <w:p w:rsidR="009755B3" w:rsidRPr="00706368" w:rsidRDefault="009755B3" w:rsidP="00F56F9B">
      <w:pPr>
        <w:pStyle w:val="Heading4"/>
      </w:pPr>
      <w:r w:rsidRPr="00706368">
        <w:t>Transitioning to Independence</w:t>
      </w:r>
    </w:p>
    <w:p w:rsidR="009755B3" w:rsidRDefault="009755B3" w:rsidP="009755B3">
      <w:pPr>
        <w:rPr>
          <w:rFonts w:ascii="Calibri" w:hAnsi="Calibri" w:cs="Calibri"/>
          <w:sz w:val="24"/>
          <w:szCs w:val="24"/>
        </w:rPr>
      </w:pPr>
      <w:r w:rsidRPr="009755B3">
        <w:rPr>
          <w:rFonts w:ascii="Calibri" w:hAnsi="Calibri" w:cs="Calibri"/>
          <w:sz w:val="24"/>
          <w:szCs w:val="24"/>
        </w:rPr>
        <w:t>In Victoria</w:t>
      </w:r>
      <w:r w:rsidR="00000D7B">
        <w:rPr>
          <w:rFonts w:ascii="Calibri" w:hAnsi="Calibri" w:cs="Calibri"/>
          <w:sz w:val="24"/>
          <w:szCs w:val="24"/>
        </w:rPr>
        <w:t>,</w:t>
      </w:r>
      <w:r w:rsidRPr="009755B3">
        <w:rPr>
          <w:rFonts w:ascii="Calibri" w:hAnsi="Calibri" w:cs="Calibri"/>
          <w:sz w:val="24"/>
          <w:szCs w:val="24"/>
        </w:rPr>
        <w:t xml:space="preserve"> a care and transition plan is developed for young people </w:t>
      </w:r>
      <w:r w:rsidR="00177273" w:rsidRPr="009755B3">
        <w:rPr>
          <w:rFonts w:ascii="Calibri" w:hAnsi="Calibri" w:cs="Calibri"/>
          <w:sz w:val="24"/>
          <w:szCs w:val="24"/>
        </w:rPr>
        <w:t>from the age of 15</w:t>
      </w:r>
      <w:r w:rsidR="00177273">
        <w:rPr>
          <w:rFonts w:ascii="Calibri" w:hAnsi="Calibri" w:cs="Calibri"/>
          <w:sz w:val="24"/>
          <w:szCs w:val="24"/>
        </w:rPr>
        <w:t xml:space="preserve"> </w:t>
      </w:r>
      <w:r w:rsidRPr="009755B3">
        <w:rPr>
          <w:rFonts w:ascii="Calibri" w:hAnsi="Calibri" w:cs="Calibri"/>
          <w:sz w:val="24"/>
          <w:szCs w:val="24"/>
        </w:rPr>
        <w:t>in out-of-home care. This plan is based on the seven domains in the L</w:t>
      </w:r>
      <w:r w:rsidR="00000D7B">
        <w:rPr>
          <w:rFonts w:ascii="Calibri" w:hAnsi="Calibri" w:cs="Calibri"/>
          <w:sz w:val="24"/>
          <w:szCs w:val="24"/>
        </w:rPr>
        <w:t xml:space="preserve">ooking </w:t>
      </w:r>
      <w:proofErr w:type="gramStart"/>
      <w:r w:rsidR="00000D7B">
        <w:rPr>
          <w:rFonts w:ascii="Calibri" w:hAnsi="Calibri" w:cs="Calibri"/>
          <w:sz w:val="24"/>
          <w:szCs w:val="24"/>
        </w:rPr>
        <w:t>After</w:t>
      </w:r>
      <w:proofErr w:type="gramEnd"/>
      <w:r w:rsidR="00000D7B">
        <w:rPr>
          <w:rFonts w:ascii="Calibri" w:hAnsi="Calibri" w:cs="Calibri"/>
          <w:sz w:val="24"/>
          <w:szCs w:val="24"/>
        </w:rPr>
        <w:t xml:space="preserve"> Children framework and </w:t>
      </w:r>
      <w:r w:rsidRPr="009755B3">
        <w:rPr>
          <w:rFonts w:ascii="Calibri" w:hAnsi="Calibri" w:cs="Calibri"/>
          <w:sz w:val="24"/>
          <w:szCs w:val="24"/>
        </w:rPr>
        <w:t>is designed to identify the strategies and actions required to build the young person’s independent living skills</w:t>
      </w:r>
      <w:r w:rsidR="00000D7B">
        <w:rPr>
          <w:rFonts w:ascii="Calibri" w:hAnsi="Calibri" w:cs="Calibri"/>
          <w:sz w:val="24"/>
          <w:szCs w:val="24"/>
        </w:rPr>
        <w:t>,</w:t>
      </w:r>
      <w:r w:rsidRPr="009755B3">
        <w:rPr>
          <w:rFonts w:ascii="Calibri" w:hAnsi="Calibri" w:cs="Calibri"/>
          <w:sz w:val="24"/>
          <w:szCs w:val="24"/>
        </w:rPr>
        <w:t xml:space="preserve"> including:</w:t>
      </w:r>
    </w:p>
    <w:p w:rsidR="009755B3" w:rsidRPr="009755B3" w:rsidRDefault="009755B3" w:rsidP="003E6CD1">
      <w:pPr>
        <w:pStyle w:val="ListBullet"/>
      </w:pPr>
      <w:r w:rsidRPr="009755B3">
        <w:t>social skills to help the young person negotiate with peers and other adults in the community</w:t>
      </w:r>
    </w:p>
    <w:p w:rsidR="009755B3" w:rsidRPr="009755B3" w:rsidRDefault="009755B3" w:rsidP="003E6CD1">
      <w:pPr>
        <w:pStyle w:val="ListBullet"/>
      </w:pPr>
      <w:r w:rsidRPr="009755B3">
        <w:t>budgeting and managing money</w:t>
      </w:r>
    </w:p>
    <w:p w:rsidR="009755B3" w:rsidRPr="009755B3" w:rsidRDefault="009755B3" w:rsidP="003E6CD1">
      <w:pPr>
        <w:pStyle w:val="ListBullet"/>
      </w:pPr>
      <w:r w:rsidRPr="009755B3">
        <w:t>managing family and other relationships</w:t>
      </w:r>
    </w:p>
    <w:p w:rsidR="009755B3" w:rsidRPr="009755B3" w:rsidRDefault="009755B3" w:rsidP="003E6CD1">
      <w:pPr>
        <w:pStyle w:val="ListBullet"/>
      </w:pPr>
      <w:r w:rsidRPr="009755B3">
        <w:t>living with people and resolving conflict</w:t>
      </w:r>
    </w:p>
    <w:p w:rsidR="009755B3" w:rsidRPr="009755B3" w:rsidRDefault="009755B3" w:rsidP="003E6CD1">
      <w:pPr>
        <w:pStyle w:val="ListBullet"/>
      </w:pPr>
      <w:r w:rsidRPr="009755B3">
        <w:t>cooking, housekeeping and self-care</w:t>
      </w:r>
    </w:p>
    <w:p w:rsidR="009755B3" w:rsidRPr="009755B3" w:rsidRDefault="009755B3" w:rsidP="003E6CD1">
      <w:pPr>
        <w:pStyle w:val="ListBullet"/>
      </w:pPr>
      <w:proofErr w:type="gramStart"/>
      <w:r w:rsidRPr="009755B3">
        <w:t>understanding</w:t>
      </w:r>
      <w:proofErr w:type="gramEnd"/>
      <w:r w:rsidRPr="009755B3">
        <w:t xml:space="preserve"> the rights and responsibilities of an adult.</w:t>
      </w:r>
    </w:p>
    <w:p w:rsidR="009755B3" w:rsidRPr="009755B3" w:rsidRDefault="009755B3" w:rsidP="009755B3">
      <w:pPr>
        <w:rPr>
          <w:rFonts w:ascii="Calibri" w:hAnsi="Calibri" w:cs="Calibri"/>
          <w:sz w:val="24"/>
          <w:szCs w:val="24"/>
        </w:rPr>
      </w:pPr>
    </w:p>
    <w:p w:rsidR="009755B3" w:rsidRDefault="009755B3" w:rsidP="009755B3">
      <w:pPr>
        <w:rPr>
          <w:rFonts w:ascii="Calibri" w:hAnsi="Calibri" w:cs="Calibri"/>
          <w:sz w:val="24"/>
          <w:szCs w:val="24"/>
        </w:rPr>
      </w:pPr>
      <w:r w:rsidRPr="009755B3">
        <w:rPr>
          <w:rFonts w:ascii="Calibri" w:hAnsi="Calibri" w:cs="Calibri"/>
          <w:sz w:val="24"/>
          <w:szCs w:val="24"/>
        </w:rPr>
        <w:t xml:space="preserve">The Victorian </w:t>
      </w:r>
      <w:r w:rsidRPr="00000D7B">
        <w:rPr>
          <w:rFonts w:ascii="Calibri" w:hAnsi="Calibri" w:cs="Calibri"/>
          <w:i/>
          <w:sz w:val="24"/>
          <w:szCs w:val="24"/>
        </w:rPr>
        <w:t>Children Youth and Families Act 2005</w:t>
      </w:r>
      <w:r w:rsidRPr="009755B3">
        <w:rPr>
          <w:rFonts w:ascii="Calibri" w:hAnsi="Calibri" w:cs="Calibri"/>
          <w:sz w:val="24"/>
          <w:szCs w:val="24"/>
        </w:rPr>
        <w:t xml:space="preserve"> (section 16) establishes a requirement for young people under the age of 21 who were subject to custody or guardianship orders on their sixteenth birthday to be provided with services to support them to make the transition to independent living.</w:t>
      </w:r>
      <w:r w:rsidR="00000D7B">
        <w:rPr>
          <w:rFonts w:ascii="Calibri" w:hAnsi="Calibri" w:cs="Calibri"/>
          <w:sz w:val="24"/>
          <w:szCs w:val="24"/>
        </w:rPr>
        <w:t xml:space="preserve"> </w:t>
      </w:r>
      <w:r w:rsidRPr="009755B3">
        <w:rPr>
          <w:rFonts w:ascii="Calibri" w:hAnsi="Calibri" w:cs="Calibri"/>
          <w:sz w:val="24"/>
          <w:szCs w:val="24"/>
        </w:rPr>
        <w:t>These services include:</w:t>
      </w:r>
    </w:p>
    <w:p w:rsidR="009755B3" w:rsidRPr="009755B3" w:rsidRDefault="009755B3" w:rsidP="00AF33B2">
      <w:pPr>
        <w:pStyle w:val="ListBullet"/>
      </w:pPr>
      <w:r w:rsidRPr="009755B3">
        <w:t>the provision of information about available resources and services</w:t>
      </w:r>
    </w:p>
    <w:p w:rsidR="009755B3" w:rsidRPr="009755B3" w:rsidRDefault="009755B3" w:rsidP="00AF33B2">
      <w:pPr>
        <w:pStyle w:val="ListBullet"/>
      </w:pPr>
      <w:r w:rsidRPr="009755B3">
        <w:t>financial assistance</w:t>
      </w:r>
    </w:p>
    <w:p w:rsidR="009755B3" w:rsidRPr="009755B3" w:rsidRDefault="009755B3" w:rsidP="00AF33B2">
      <w:pPr>
        <w:pStyle w:val="ListBullet"/>
      </w:pPr>
      <w:r w:rsidRPr="009755B3">
        <w:t>assistance in obtaining accommodation or setting up a residence</w:t>
      </w:r>
    </w:p>
    <w:p w:rsidR="009755B3" w:rsidRPr="009755B3" w:rsidRDefault="009755B3" w:rsidP="00AF33B2">
      <w:pPr>
        <w:pStyle w:val="ListBullet"/>
      </w:pPr>
      <w:r w:rsidRPr="009755B3">
        <w:t>assistance with education and training</w:t>
      </w:r>
    </w:p>
    <w:p w:rsidR="009755B3" w:rsidRPr="009755B3" w:rsidRDefault="009755B3" w:rsidP="00AF33B2">
      <w:pPr>
        <w:pStyle w:val="ListBullet"/>
      </w:pPr>
      <w:r w:rsidRPr="009755B3">
        <w:t>assistance with finding employment</w:t>
      </w:r>
    </w:p>
    <w:p w:rsidR="009755B3" w:rsidRPr="009755B3" w:rsidRDefault="009755B3" w:rsidP="00AF33B2">
      <w:pPr>
        <w:pStyle w:val="ListBullet"/>
      </w:pPr>
      <w:r w:rsidRPr="009755B3">
        <w:t>assistance in obtaining legal advice</w:t>
      </w:r>
    </w:p>
    <w:p w:rsidR="009755B3" w:rsidRPr="009755B3" w:rsidRDefault="009755B3" w:rsidP="00AF33B2">
      <w:pPr>
        <w:pStyle w:val="ListBullet"/>
      </w:pPr>
      <w:r w:rsidRPr="009755B3">
        <w:t>assistance in gaining access to health and community services</w:t>
      </w:r>
    </w:p>
    <w:p w:rsidR="009755B3" w:rsidRPr="009755B3" w:rsidRDefault="009755B3" w:rsidP="00AF33B2">
      <w:pPr>
        <w:pStyle w:val="ListBullet"/>
      </w:pPr>
      <w:proofErr w:type="gramStart"/>
      <w:r w:rsidRPr="009755B3">
        <w:t>counselling</w:t>
      </w:r>
      <w:proofErr w:type="gramEnd"/>
      <w:r w:rsidRPr="009755B3">
        <w:t xml:space="preserve"> and support.</w:t>
      </w:r>
    </w:p>
    <w:p w:rsidR="009755B3" w:rsidRPr="009755B3" w:rsidRDefault="009755B3" w:rsidP="009755B3">
      <w:pPr>
        <w:rPr>
          <w:rFonts w:ascii="Calibri" w:hAnsi="Calibri" w:cs="Calibri"/>
          <w:sz w:val="24"/>
          <w:szCs w:val="24"/>
        </w:rPr>
      </w:pPr>
    </w:p>
    <w:p w:rsidR="009755B3" w:rsidRDefault="009755B3" w:rsidP="009755B3">
      <w:pPr>
        <w:rPr>
          <w:rFonts w:ascii="Calibri" w:hAnsi="Calibri" w:cs="Calibri"/>
          <w:sz w:val="24"/>
          <w:szCs w:val="24"/>
        </w:rPr>
      </w:pPr>
      <w:r w:rsidRPr="009755B3">
        <w:rPr>
          <w:rFonts w:ascii="Calibri" w:hAnsi="Calibri" w:cs="Calibri"/>
          <w:sz w:val="24"/>
          <w:szCs w:val="24"/>
        </w:rPr>
        <w:t>A range of services are funded to meet the needs of young</w:t>
      </w:r>
      <w:r w:rsidR="007D553B">
        <w:rPr>
          <w:rFonts w:ascii="Calibri" w:hAnsi="Calibri" w:cs="Calibri"/>
          <w:sz w:val="24"/>
          <w:szCs w:val="24"/>
        </w:rPr>
        <w:t xml:space="preserve"> people transitioning from care:</w:t>
      </w:r>
    </w:p>
    <w:p w:rsidR="00942EB2" w:rsidRDefault="00942EB2" w:rsidP="00942EB2">
      <w:pPr>
        <w:pStyle w:val="ListBullet"/>
      </w:pPr>
      <w:r>
        <w:t>Springboard provides an i</w:t>
      </w:r>
      <w:r w:rsidRPr="009755B3">
        <w:t xml:space="preserve">ntensive education and employment support </w:t>
      </w:r>
      <w:r>
        <w:t>service for young people leaving care, including</w:t>
      </w:r>
      <w:r w:rsidRPr="009755B3">
        <w:t xml:space="preserve"> intensive one-on-one support to young people who are disengaged from education, training or employment.</w:t>
      </w:r>
      <w:r>
        <w:t xml:space="preserve"> Springboard is provided by community-based organisations that have specialist skills supporting young people with education, training and/or employment. The model of service delivery includes</w:t>
      </w:r>
    </w:p>
    <w:p w:rsidR="00942EB2" w:rsidRDefault="00942EB2" w:rsidP="00942EB2">
      <w:pPr>
        <w:pStyle w:val="ListBullet2"/>
        <w:numPr>
          <w:ilvl w:val="1"/>
          <w:numId w:val="29"/>
        </w:numPr>
      </w:pPr>
      <w:r>
        <w:t xml:space="preserve">assessment, planning and service provision that is holistic, flexible, individually tailored and responsive to the young people's needs, choices and circumstances </w:t>
      </w:r>
    </w:p>
    <w:p w:rsidR="00942EB2" w:rsidRDefault="00942EB2" w:rsidP="00942EB2">
      <w:pPr>
        <w:pStyle w:val="ListBullet2"/>
        <w:numPr>
          <w:ilvl w:val="1"/>
          <w:numId w:val="29"/>
        </w:numPr>
      </w:pPr>
      <w:r>
        <w:t xml:space="preserve">a flexible outreach </w:t>
      </w:r>
      <w:r w:rsidR="00F671AB">
        <w:t>approach</w:t>
      </w:r>
      <w:r w:rsidR="00230A4F">
        <w:t xml:space="preserve"> </w:t>
      </w:r>
      <w:r w:rsidR="00F671AB">
        <w:t>designed to</w:t>
      </w:r>
      <w:r>
        <w:t xml:space="preserve"> assist young people to successfully engage, or re-engage, in education, training and employment so as to prepare them for long-term sustainable employment </w:t>
      </w:r>
    </w:p>
    <w:p w:rsidR="00942EB2" w:rsidRDefault="00942EB2" w:rsidP="00942EB2">
      <w:pPr>
        <w:pStyle w:val="ListBullet2"/>
        <w:numPr>
          <w:ilvl w:val="1"/>
          <w:numId w:val="29"/>
        </w:numPr>
      </w:pPr>
      <w:r>
        <w:t xml:space="preserve">strong links with the department, residential out-of-home care providers, post-care support information and referral services and other relevant services </w:t>
      </w:r>
    </w:p>
    <w:p w:rsidR="00000D7B" w:rsidRDefault="00942EB2" w:rsidP="00D66B64">
      <w:pPr>
        <w:pStyle w:val="ListBullet2"/>
        <w:numPr>
          <w:ilvl w:val="1"/>
          <w:numId w:val="29"/>
        </w:numPr>
        <w:ind w:left="714" w:hanging="357"/>
      </w:pPr>
      <w:proofErr w:type="gramStart"/>
      <w:r>
        <w:t>a</w:t>
      </w:r>
      <w:proofErr w:type="gramEnd"/>
      <w:r>
        <w:t xml:space="preserve"> culturally competent service that is responsive to the needs of Aboriginal young people and those from diverse cultural backgrounds.</w:t>
      </w:r>
    </w:p>
    <w:p w:rsidR="009755B3" w:rsidRPr="00000D7B" w:rsidRDefault="00000D7B" w:rsidP="00D66B64">
      <w:pPr>
        <w:pStyle w:val="ListBullet"/>
        <w:spacing w:before="60"/>
        <w:ind w:left="357" w:hanging="357"/>
      </w:pPr>
      <w:r w:rsidRPr="00000D7B">
        <w:t>Zero tuition fees for accredited training (Department of Education and Early Childhood Development)</w:t>
      </w:r>
      <w:r w:rsidR="00636373">
        <w:t xml:space="preserve"> </w:t>
      </w:r>
      <w:r w:rsidRPr="00000D7B">
        <w:t xml:space="preserve">provides free tuition for accredited training courses from Certificate 1 to Diploma level for young Victorians who are currently subject to custody or guardianship orders and living in out-of-home care, and those who have left care up to 22 years of age. Young people will need to meet the Victorian Training Guarantee eligibility criteria in addition to current or previous custody or guardianship orders. </w:t>
      </w:r>
      <w:r w:rsidR="00AF33B2" w:rsidRPr="00000D7B">
        <w:t>Non</w:t>
      </w:r>
      <w:r w:rsidR="00AF33B2">
        <w:t>-</w:t>
      </w:r>
      <w:r w:rsidRPr="00000D7B">
        <w:t>tuition fees that are charged by training providers will still need to be paid.</w:t>
      </w:r>
    </w:p>
    <w:p w:rsidR="009755B3" w:rsidRPr="009755B3" w:rsidRDefault="009755B3" w:rsidP="00AF33B2">
      <w:pPr>
        <w:pStyle w:val="ListBullet"/>
      </w:pPr>
      <w:r w:rsidRPr="009755B3">
        <w:t>Leaving Care Help Line (phone 1300 532 846)</w:t>
      </w:r>
      <w:r w:rsidR="00636373">
        <w:t xml:space="preserve"> </w:t>
      </w:r>
      <w:r w:rsidRPr="009755B3">
        <w:t xml:space="preserve">connects young people to their nearest post-care support program or assists with immediate issues including crisis accommodation. </w:t>
      </w:r>
    </w:p>
    <w:p w:rsidR="009755B3" w:rsidRPr="009755B3" w:rsidRDefault="009755B3" w:rsidP="00AF33B2">
      <w:pPr>
        <w:pStyle w:val="ListBullet"/>
      </w:pPr>
      <w:r w:rsidRPr="009755B3">
        <w:t>Post-Care Support Information and Referral Services</w:t>
      </w:r>
      <w:r w:rsidR="00636373">
        <w:t xml:space="preserve"> </w:t>
      </w:r>
      <w:r w:rsidRPr="009755B3">
        <w:t>assists care leavers aged 16</w:t>
      </w:r>
      <w:r w:rsidR="008D0E51">
        <w:t xml:space="preserve"> to </w:t>
      </w:r>
      <w:r w:rsidRPr="009755B3">
        <w:t xml:space="preserve">21 years who require support in transitioning to independence. Young people receive support from a case worker as well as access to brokerage money for items such as accommodation, recreation, education and health. </w:t>
      </w:r>
    </w:p>
    <w:p w:rsidR="009755B3" w:rsidRPr="009755B3" w:rsidRDefault="009755B3" w:rsidP="00AF33B2">
      <w:pPr>
        <w:pStyle w:val="ListBullet"/>
      </w:pPr>
      <w:r w:rsidRPr="009755B3">
        <w:t>Leaving Care Mentoring Program</w:t>
      </w:r>
      <w:r w:rsidR="00636373">
        <w:t xml:space="preserve"> </w:t>
      </w:r>
      <w:r w:rsidRPr="009755B3">
        <w:t xml:space="preserve">aims to provide young people transitioning from care with the opportunities to interact with adults in community settings and to promote personal relationships that </w:t>
      </w:r>
      <w:r w:rsidR="00636373" w:rsidRPr="009755B3">
        <w:t>militate</w:t>
      </w:r>
      <w:r w:rsidRPr="009755B3">
        <w:t xml:space="preserve"> against social isolation by the </w:t>
      </w:r>
      <w:r w:rsidR="00177273">
        <w:t xml:space="preserve">continuation of the </w:t>
      </w:r>
      <w:r w:rsidRPr="009755B3">
        <w:t xml:space="preserve">friendship after the young person has left care. </w:t>
      </w:r>
    </w:p>
    <w:p w:rsidR="009755B3" w:rsidRPr="009755B3" w:rsidRDefault="009755B3" w:rsidP="00AF33B2">
      <w:pPr>
        <w:pStyle w:val="ListBullet"/>
      </w:pPr>
      <w:r w:rsidRPr="009755B3">
        <w:t>Transitioning from Out-of-home care</w:t>
      </w:r>
      <w:r w:rsidR="00177273">
        <w:t xml:space="preserve"> offers s</w:t>
      </w:r>
      <w:r w:rsidRPr="009755B3">
        <w:t>upport</w:t>
      </w:r>
      <w:r w:rsidR="00AF33B2">
        <w:t>—</w:t>
      </w:r>
      <w:r w:rsidRPr="009755B3">
        <w:t xml:space="preserve">provided by </w:t>
      </w:r>
      <w:r w:rsidR="00564FB4" w:rsidRPr="00297A0B">
        <w:rPr>
          <w:rFonts w:eastAsia="MS Mincho" w:cs="Arial"/>
          <w:szCs w:val="24"/>
          <w:lang w:eastAsia="ja-JP"/>
        </w:rPr>
        <w:t>Aboriginal Community Controlled Organisation</w:t>
      </w:r>
      <w:r w:rsidR="0044293A">
        <w:t>s</w:t>
      </w:r>
      <w:r w:rsidR="00036576">
        <w:t>—</w:t>
      </w:r>
      <w:r w:rsidR="008D0E51">
        <w:t>for</w:t>
      </w:r>
      <w:r w:rsidRPr="009755B3">
        <w:t xml:space="preserve"> Aboriginal young people who are either transitioning from care, including kinship care, or who are living independently in the community and require support. </w:t>
      </w:r>
    </w:p>
    <w:p w:rsidR="000612B4" w:rsidRDefault="009755B3" w:rsidP="00AF33B2">
      <w:pPr>
        <w:pStyle w:val="ListBullet"/>
      </w:pPr>
      <w:r w:rsidRPr="009755B3">
        <w:t>Young People Leaving Care Housing and Support Initiative</w:t>
      </w:r>
      <w:r w:rsidR="00036576">
        <w:t xml:space="preserve"> is </w:t>
      </w:r>
      <w:r w:rsidRPr="009755B3">
        <w:t xml:space="preserve">a housing program that provides support for young people transitioning from out-of-home care who are at risk of homelessness, with nomination rights to a limited number of transitional housing places. The target group is young people on custody or guardianship orders in out-of-home care at risk of homelessness </w:t>
      </w:r>
      <w:r w:rsidR="00036576">
        <w:t>on</w:t>
      </w:r>
      <w:r w:rsidRPr="009755B3">
        <w:t xml:space="preserve"> cessation of their orders.</w:t>
      </w:r>
    </w:p>
    <w:p w:rsidR="009755B3" w:rsidRPr="009755B3" w:rsidRDefault="009755B3" w:rsidP="00AF33B2">
      <w:pPr>
        <w:pStyle w:val="ListBullet2"/>
        <w:numPr>
          <w:ilvl w:val="0"/>
          <w:numId w:val="0"/>
        </w:numPr>
        <w:ind w:left="360"/>
      </w:pPr>
    </w:p>
    <w:p w:rsidR="009755B3" w:rsidRPr="009755B3" w:rsidRDefault="00000D7B" w:rsidP="009755B3">
      <w:pPr>
        <w:rPr>
          <w:rFonts w:ascii="Calibri" w:hAnsi="Calibri" w:cs="Calibri"/>
          <w:sz w:val="24"/>
          <w:szCs w:val="24"/>
        </w:rPr>
      </w:pPr>
      <w:r>
        <w:rPr>
          <w:rFonts w:ascii="Calibri" w:hAnsi="Calibri" w:cs="Calibri"/>
          <w:sz w:val="24"/>
          <w:szCs w:val="24"/>
        </w:rPr>
        <w:t>Young</w:t>
      </w:r>
      <w:r w:rsidR="009755B3" w:rsidRPr="009755B3">
        <w:rPr>
          <w:rFonts w:ascii="Calibri" w:hAnsi="Calibri" w:cs="Calibri"/>
          <w:sz w:val="24"/>
          <w:szCs w:val="24"/>
        </w:rPr>
        <w:t xml:space="preserve"> people leaving care are </w:t>
      </w:r>
      <w:r>
        <w:rPr>
          <w:rFonts w:ascii="Calibri" w:hAnsi="Calibri" w:cs="Calibri"/>
          <w:sz w:val="24"/>
          <w:szCs w:val="24"/>
        </w:rPr>
        <w:t xml:space="preserve">also </w:t>
      </w:r>
      <w:r w:rsidR="009755B3" w:rsidRPr="009755B3">
        <w:rPr>
          <w:rFonts w:ascii="Calibri" w:hAnsi="Calibri" w:cs="Calibri"/>
          <w:sz w:val="24"/>
          <w:szCs w:val="24"/>
        </w:rPr>
        <w:t>able to access a range of supported housing options in Victoria. The Victorian homelessness system is organised under what is called The Opening Doors Framework. Opening Doors aims to provide an integrated and coordinated response by having a limited number of designated access points into the homelessness system. The purpose of these access points is to assess needs, prioritise and connect people to the services and resources they need.</w:t>
      </w:r>
    </w:p>
    <w:p w:rsidR="009755B3" w:rsidRPr="009755B3" w:rsidRDefault="009755B3" w:rsidP="009755B3">
      <w:pPr>
        <w:rPr>
          <w:rFonts w:ascii="Calibri" w:hAnsi="Calibri" w:cs="Calibri"/>
          <w:sz w:val="24"/>
          <w:szCs w:val="24"/>
        </w:rPr>
      </w:pPr>
    </w:p>
    <w:p w:rsidR="009755B3" w:rsidRDefault="009755B3" w:rsidP="009755B3">
      <w:pPr>
        <w:rPr>
          <w:rFonts w:ascii="Calibri" w:hAnsi="Calibri" w:cs="Calibri"/>
          <w:sz w:val="24"/>
          <w:szCs w:val="24"/>
        </w:rPr>
      </w:pPr>
      <w:r w:rsidRPr="009755B3">
        <w:rPr>
          <w:rFonts w:ascii="Calibri" w:hAnsi="Calibri" w:cs="Calibri"/>
          <w:sz w:val="24"/>
          <w:szCs w:val="24"/>
        </w:rPr>
        <w:t>All Victorian post-care support services assist young people to address housing needs as part of their support response.</w:t>
      </w:r>
    </w:p>
    <w:p w:rsidR="009755B3" w:rsidRPr="00706368" w:rsidRDefault="009755B3" w:rsidP="00F56F9B">
      <w:pPr>
        <w:pStyle w:val="Heading4"/>
      </w:pPr>
      <w:r w:rsidRPr="00706368">
        <w:t>Improving Support for Carers</w:t>
      </w:r>
    </w:p>
    <w:p w:rsidR="009755B3" w:rsidRPr="009755B3" w:rsidRDefault="009755B3" w:rsidP="009755B3">
      <w:pPr>
        <w:rPr>
          <w:rFonts w:ascii="Calibri" w:hAnsi="Calibri" w:cs="Calibri"/>
          <w:sz w:val="24"/>
          <w:szCs w:val="24"/>
        </w:rPr>
      </w:pPr>
      <w:r w:rsidRPr="009755B3">
        <w:rPr>
          <w:rFonts w:ascii="Calibri" w:hAnsi="Calibri" w:cs="Calibri"/>
          <w:sz w:val="24"/>
          <w:szCs w:val="24"/>
        </w:rPr>
        <w:t>Victoria has been exploring the option of a professional model of foster care. The basis of the model is to be able to recruit carers with requisite expertise</w:t>
      </w:r>
      <w:r w:rsidR="00036576">
        <w:rPr>
          <w:rFonts w:ascii="Calibri" w:hAnsi="Calibri" w:cs="Calibri"/>
          <w:sz w:val="24"/>
          <w:szCs w:val="24"/>
        </w:rPr>
        <w:t>,</w:t>
      </w:r>
      <w:r w:rsidRPr="009755B3">
        <w:rPr>
          <w:rFonts w:ascii="Calibri" w:hAnsi="Calibri" w:cs="Calibri"/>
          <w:sz w:val="24"/>
          <w:szCs w:val="24"/>
        </w:rPr>
        <w:t xml:space="preserve"> such as specialist skills and qualifications</w:t>
      </w:r>
      <w:r w:rsidR="00AC0923">
        <w:rPr>
          <w:rFonts w:ascii="Calibri" w:hAnsi="Calibri" w:cs="Calibri"/>
          <w:sz w:val="24"/>
          <w:szCs w:val="24"/>
        </w:rPr>
        <w:t>,</w:t>
      </w:r>
      <w:r w:rsidRPr="009755B3">
        <w:rPr>
          <w:rFonts w:ascii="Calibri" w:hAnsi="Calibri" w:cs="Calibri"/>
          <w:sz w:val="24"/>
          <w:szCs w:val="24"/>
        </w:rPr>
        <w:t xml:space="preserve"> and retain them as foster carers with a reimbursement commensurate with </w:t>
      </w:r>
      <w:r w:rsidR="00636373" w:rsidRPr="009755B3">
        <w:rPr>
          <w:rFonts w:ascii="Calibri" w:hAnsi="Calibri" w:cs="Calibri"/>
          <w:sz w:val="24"/>
          <w:szCs w:val="24"/>
        </w:rPr>
        <w:t>full</w:t>
      </w:r>
      <w:r w:rsidR="00636373">
        <w:rPr>
          <w:rFonts w:ascii="Calibri" w:hAnsi="Calibri" w:cs="Calibri"/>
          <w:sz w:val="24"/>
          <w:szCs w:val="24"/>
        </w:rPr>
        <w:t>-</w:t>
      </w:r>
      <w:r w:rsidRPr="009755B3">
        <w:rPr>
          <w:rFonts w:ascii="Calibri" w:hAnsi="Calibri" w:cs="Calibri"/>
          <w:sz w:val="24"/>
          <w:szCs w:val="24"/>
        </w:rPr>
        <w:t xml:space="preserve">time employment. </w:t>
      </w:r>
      <w:r w:rsidR="00B12D40" w:rsidRPr="00B12D40">
        <w:rPr>
          <w:rFonts w:ascii="Calibri" w:hAnsi="Calibri" w:cs="Calibri"/>
          <w:sz w:val="24"/>
          <w:szCs w:val="24"/>
        </w:rPr>
        <w:t xml:space="preserve">As part of work under the Second Action Plan, the </w:t>
      </w:r>
      <w:r w:rsidR="00230A4F" w:rsidRPr="00230A4F">
        <w:rPr>
          <w:rFonts w:ascii="Calibri" w:hAnsi="Calibri" w:cs="Calibri"/>
          <w:sz w:val="24"/>
          <w:szCs w:val="24"/>
        </w:rPr>
        <w:t xml:space="preserve">Australian </w:t>
      </w:r>
      <w:r w:rsidR="00B12D40" w:rsidRPr="00B12D40">
        <w:rPr>
          <w:rFonts w:ascii="Calibri" w:hAnsi="Calibri" w:cs="Calibri"/>
          <w:sz w:val="24"/>
          <w:szCs w:val="24"/>
        </w:rPr>
        <w:t>and state and territory governments have worked together to explore the barriers and opportunities for developing and implementing professional models of foster care in Australia.</w:t>
      </w:r>
      <w:r w:rsidRPr="009755B3">
        <w:rPr>
          <w:rFonts w:ascii="Calibri" w:hAnsi="Calibri" w:cs="Calibri"/>
          <w:sz w:val="24"/>
          <w:szCs w:val="24"/>
        </w:rPr>
        <w:t xml:space="preserve"> </w:t>
      </w:r>
    </w:p>
    <w:p w:rsidR="009755B3" w:rsidRPr="009755B3" w:rsidRDefault="009755B3" w:rsidP="009755B3">
      <w:pPr>
        <w:rPr>
          <w:rFonts w:ascii="Calibri" w:hAnsi="Calibri" w:cs="Calibri"/>
          <w:sz w:val="24"/>
          <w:szCs w:val="24"/>
        </w:rPr>
      </w:pPr>
    </w:p>
    <w:p w:rsidR="009755B3" w:rsidRDefault="009755B3" w:rsidP="009755B3">
      <w:pPr>
        <w:rPr>
          <w:rFonts w:ascii="Calibri" w:hAnsi="Calibri" w:cs="Calibri"/>
          <w:sz w:val="24"/>
          <w:szCs w:val="24"/>
        </w:rPr>
      </w:pPr>
      <w:r w:rsidRPr="009755B3">
        <w:rPr>
          <w:rFonts w:ascii="Calibri" w:hAnsi="Calibri" w:cs="Calibri"/>
          <w:sz w:val="24"/>
          <w:szCs w:val="24"/>
        </w:rPr>
        <w:t xml:space="preserve">The Victorian Government is committed to </w:t>
      </w:r>
      <w:r w:rsidR="00F5611D">
        <w:rPr>
          <w:rFonts w:ascii="Calibri" w:hAnsi="Calibri" w:cs="Calibri"/>
          <w:sz w:val="24"/>
          <w:szCs w:val="24"/>
        </w:rPr>
        <w:t>investigating options for professional foster care</w:t>
      </w:r>
      <w:r w:rsidRPr="009755B3">
        <w:rPr>
          <w:rFonts w:ascii="Calibri" w:hAnsi="Calibri" w:cs="Calibri"/>
          <w:sz w:val="24"/>
          <w:szCs w:val="24"/>
        </w:rPr>
        <w:t xml:space="preserve"> and will continue to work with the </w:t>
      </w:r>
      <w:r w:rsidR="00D31C59">
        <w:rPr>
          <w:rFonts w:ascii="Calibri" w:hAnsi="Calibri" w:cs="Calibri"/>
          <w:sz w:val="24"/>
          <w:szCs w:val="24"/>
        </w:rPr>
        <w:t>Australian Government</w:t>
      </w:r>
      <w:r w:rsidRPr="009755B3">
        <w:rPr>
          <w:rFonts w:ascii="Calibri" w:hAnsi="Calibri" w:cs="Calibri"/>
          <w:sz w:val="24"/>
          <w:szCs w:val="24"/>
        </w:rPr>
        <w:t xml:space="preserve"> and the other states and territories to ensure </w:t>
      </w:r>
      <w:r w:rsidR="00DD4273">
        <w:rPr>
          <w:rFonts w:ascii="Calibri" w:hAnsi="Calibri" w:cs="Calibri"/>
          <w:sz w:val="24"/>
          <w:szCs w:val="24"/>
        </w:rPr>
        <w:t xml:space="preserve">that </w:t>
      </w:r>
      <w:r w:rsidRPr="009755B3">
        <w:rPr>
          <w:rFonts w:ascii="Calibri" w:hAnsi="Calibri" w:cs="Calibri"/>
          <w:sz w:val="24"/>
          <w:szCs w:val="24"/>
        </w:rPr>
        <w:t>the development of a professional model of foster care is given the timely attention it requires.</w:t>
      </w:r>
    </w:p>
    <w:p w:rsidR="009755B3" w:rsidRDefault="009755B3" w:rsidP="009755B3">
      <w:pPr>
        <w:rPr>
          <w:rFonts w:ascii="Calibri" w:hAnsi="Calibri" w:cs="Calibri"/>
          <w:sz w:val="24"/>
          <w:szCs w:val="24"/>
        </w:rPr>
      </w:pPr>
    </w:p>
    <w:p w:rsidR="009755B3" w:rsidRDefault="009755B3" w:rsidP="00BD5D4E">
      <w:pPr>
        <w:rPr>
          <w:rFonts w:ascii="Calibri" w:hAnsi="Calibri" w:cs="Calibri"/>
          <w:sz w:val="24"/>
          <w:szCs w:val="24"/>
        </w:rPr>
      </w:pPr>
      <w:r w:rsidRPr="009755B3">
        <w:rPr>
          <w:rFonts w:ascii="Calibri" w:hAnsi="Calibri" w:cs="Calibri"/>
          <w:sz w:val="24"/>
          <w:szCs w:val="24"/>
        </w:rPr>
        <w:t>The recently completed Child and Family Services Outcome Survey was a survey of nearly 1000 primary carers of children in Child Protection, Placement and Family Services.</w:t>
      </w:r>
      <w:r w:rsidR="007764A2">
        <w:rPr>
          <w:rFonts w:ascii="Calibri" w:hAnsi="Calibri" w:cs="Calibri"/>
          <w:sz w:val="24"/>
          <w:szCs w:val="24"/>
        </w:rPr>
        <w:t xml:space="preserve"> </w:t>
      </w:r>
      <w:r w:rsidRPr="009755B3">
        <w:rPr>
          <w:rFonts w:ascii="Calibri" w:hAnsi="Calibri" w:cs="Calibri"/>
          <w:sz w:val="24"/>
          <w:szCs w:val="24"/>
        </w:rPr>
        <w:t xml:space="preserve">About 400 of the participants provided </w:t>
      </w:r>
      <w:r w:rsidR="00B60489" w:rsidRPr="009755B3">
        <w:rPr>
          <w:rFonts w:ascii="Calibri" w:hAnsi="Calibri" w:cs="Calibri"/>
          <w:sz w:val="24"/>
          <w:szCs w:val="24"/>
        </w:rPr>
        <w:t>out</w:t>
      </w:r>
      <w:r w:rsidR="00B60489">
        <w:rPr>
          <w:rFonts w:ascii="Calibri" w:hAnsi="Calibri" w:cs="Calibri"/>
          <w:sz w:val="24"/>
          <w:szCs w:val="24"/>
        </w:rPr>
        <w:t>-</w:t>
      </w:r>
      <w:r w:rsidR="00B60489" w:rsidRPr="009755B3">
        <w:rPr>
          <w:rFonts w:ascii="Calibri" w:hAnsi="Calibri" w:cs="Calibri"/>
          <w:sz w:val="24"/>
          <w:szCs w:val="24"/>
        </w:rPr>
        <w:t>of</w:t>
      </w:r>
      <w:r w:rsidR="00B60489">
        <w:rPr>
          <w:rFonts w:ascii="Calibri" w:hAnsi="Calibri" w:cs="Calibri"/>
          <w:sz w:val="24"/>
          <w:szCs w:val="24"/>
        </w:rPr>
        <w:t>-</w:t>
      </w:r>
      <w:r w:rsidRPr="009755B3">
        <w:rPr>
          <w:rFonts w:ascii="Calibri" w:hAnsi="Calibri" w:cs="Calibri"/>
          <w:sz w:val="24"/>
          <w:szCs w:val="24"/>
        </w:rPr>
        <w:t>home care (kinship, foster, residential and permanent care).</w:t>
      </w:r>
      <w:r w:rsidR="007764A2">
        <w:rPr>
          <w:rFonts w:ascii="Calibri" w:hAnsi="Calibri" w:cs="Calibri"/>
          <w:sz w:val="24"/>
          <w:szCs w:val="24"/>
        </w:rPr>
        <w:t xml:space="preserve"> </w:t>
      </w:r>
      <w:r w:rsidRPr="009755B3">
        <w:rPr>
          <w:rFonts w:ascii="Calibri" w:hAnsi="Calibri" w:cs="Calibri"/>
          <w:sz w:val="24"/>
          <w:szCs w:val="24"/>
        </w:rPr>
        <w:t>The primary focus of the survey was on the child’s wellbeing, health and education outcomes, but carers were also asked about their service experiences.</w:t>
      </w:r>
      <w:r w:rsidR="007764A2">
        <w:rPr>
          <w:rFonts w:ascii="Calibri" w:hAnsi="Calibri" w:cs="Calibri"/>
          <w:sz w:val="24"/>
          <w:szCs w:val="24"/>
        </w:rPr>
        <w:t xml:space="preserve"> </w:t>
      </w:r>
    </w:p>
    <w:p w:rsidR="0080378D" w:rsidRPr="00F5611D" w:rsidRDefault="0080378D" w:rsidP="00F56F9B">
      <w:pPr>
        <w:pStyle w:val="Heading4"/>
      </w:pPr>
      <w:r w:rsidRPr="00F5611D">
        <w:t>Sector Development</w:t>
      </w:r>
    </w:p>
    <w:p w:rsidR="0080378D" w:rsidRPr="0080378D" w:rsidRDefault="0080378D" w:rsidP="0080378D">
      <w:pPr>
        <w:rPr>
          <w:rFonts w:ascii="Calibri" w:hAnsi="Calibri" w:cs="Calibri"/>
          <w:sz w:val="24"/>
          <w:szCs w:val="24"/>
        </w:rPr>
      </w:pPr>
      <w:r w:rsidRPr="0080378D">
        <w:rPr>
          <w:rFonts w:ascii="Calibri" w:hAnsi="Calibri" w:cs="Calibri"/>
          <w:sz w:val="24"/>
          <w:szCs w:val="24"/>
        </w:rPr>
        <w:t>DHS Victoria</w:t>
      </w:r>
      <w:r w:rsidR="005774D9">
        <w:rPr>
          <w:rFonts w:ascii="Calibri" w:hAnsi="Calibri" w:cs="Calibri"/>
          <w:sz w:val="24"/>
          <w:szCs w:val="24"/>
        </w:rPr>
        <w:t xml:space="preserve">, </w:t>
      </w:r>
      <w:r w:rsidR="00BB3700">
        <w:rPr>
          <w:rFonts w:ascii="Calibri" w:hAnsi="Calibri" w:cs="Calibri"/>
          <w:sz w:val="24"/>
          <w:szCs w:val="24"/>
        </w:rPr>
        <w:t>with</w:t>
      </w:r>
      <w:r w:rsidR="005774D9">
        <w:rPr>
          <w:rFonts w:ascii="Calibri" w:hAnsi="Calibri" w:cs="Calibri"/>
          <w:sz w:val="24"/>
          <w:szCs w:val="24"/>
        </w:rPr>
        <w:t xml:space="preserve"> funding from the </w:t>
      </w:r>
      <w:r w:rsidR="0080366E">
        <w:rPr>
          <w:rFonts w:ascii="Calibri" w:hAnsi="Calibri" w:cs="Calibri"/>
          <w:sz w:val="24"/>
          <w:szCs w:val="24"/>
        </w:rPr>
        <w:t>Australian</w:t>
      </w:r>
      <w:r w:rsidR="000E2804">
        <w:rPr>
          <w:rFonts w:ascii="Calibri" w:hAnsi="Calibri" w:cs="Calibri"/>
          <w:sz w:val="24"/>
          <w:szCs w:val="24"/>
        </w:rPr>
        <w:t xml:space="preserve"> G</w:t>
      </w:r>
      <w:r w:rsidR="005774D9">
        <w:rPr>
          <w:rFonts w:ascii="Calibri" w:hAnsi="Calibri" w:cs="Calibri"/>
          <w:sz w:val="24"/>
          <w:szCs w:val="24"/>
        </w:rPr>
        <w:t>overnment,</w:t>
      </w:r>
      <w:r w:rsidRPr="0080378D">
        <w:rPr>
          <w:rFonts w:ascii="Calibri" w:hAnsi="Calibri" w:cs="Calibri"/>
          <w:sz w:val="24"/>
          <w:szCs w:val="24"/>
        </w:rPr>
        <w:t xml:space="preserve"> contracted </w:t>
      </w:r>
      <w:r w:rsidR="008514A0">
        <w:rPr>
          <w:rFonts w:ascii="Calibri" w:hAnsi="Calibri" w:cs="Calibri"/>
          <w:sz w:val="24"/>
          <w:szCs w:val="24"/>
        </w:rPr>
        <w:t>QUT</w:t>
      </w:r>
      <w:r w:rsidRPr="0080378D">
        <w:rPr>
          <w:rFonts w:ascii="Calibri" w:hAnsi="Calibri" w:cs="Calibri"/>
          <w:sz w:val="24"/>
          <w:szCs w:val="24"/>
        </w:rPr>
        <w:t xml:space="preserve"> to undertake research to compare mandatory reporting schemes across Australia and report on the efficacy of schemes in protecting children.</w:t>
      </w:r>
    </w:p>
    <w:p w:rsidR="0080378D" w:rsidRPr="0080378D" w:rsidRDefault="0080378D" w:rsidP="0080378D">
      <w:pPr>
        <w:rPr>
          <w:rFonts w:ascii="Calibri" w:hAnsi="Calibri" w:cs="Calibri"/>
          <w:sz w:val="24"/>
          <w:szCs w:val="24"/>
        </w:rPr>
      </w:pPr>
    </w:p>
    <w:p w:rsidR="0080378D" w:rsidRDefault="0080378D" w:rsidP="0080378D">
      <w:pPr>
        <w:rPr>
          <w:rFonts w:ascii="Calibri" w:hAnsi="Calibri" w:cs="Calibri"/>
          <w:sz w:val="24"/>
          <w:szCs w:val="24"/>
        </w:rPr>
      </w:pPr>
      <w:r w:rsidRPr="0080378D">
        <w:rPr>
          <w:rFonts w:ascii="Calibri" w:hAnsi="Calibri" w:cs="Calibri"/>
          <w:sz w:val="24"/>
          <w:szCs w:val="24"/>
        </w:rPr>
        <w:t>This project aims to undertake further analysis of mandatory reporting laws within and across all states and territories of Australia as a means of strengthening the evidence base underpinning the practices of mandatory reporting. The research will commence in September 2013 and be carried out in three integrated stages:</w:t>
      </w:r>
    </w:p>
    <w:p w:rsidR="0080378D" w:rsidRPr="0080378D" w:rsidRDefault="0080378D" w:rsidP="00F5611D">
      <w:pPr>
        <w:pStyle w:val="ListBullet"/>
      </w:pPr>
      <w:r w:rsidRPr="0080378D">
        <w:t>Stage 1 (6 weeks)—</w:t>
      </w:r>
      <w:proofErr w:type="gramStart"/>
      <w:r w:rsidRPr="0080378D">
        <w:t>This</w:t>
      </w:r>
      <w:proofErr w:type="gramEnd"/>
      <w:r w:rsidRPr="0080378D">
        <w:t xml:space="preserve"> stage will compare the mandatory reporting legislation in all Australian states and territories. Legislation will be accessed online, and a legal analysis will disclose differences in reporting duties within and across states over a 10-year period (2003–2012).</w:t>
      </w:r>
    </w:p>
    <w:p w:rsidR="0080378D" w:rsidRPr="0080378D" w:rsidRDefault="0080378D" w:rsidP="00F5611D">
      <w:pPr>
        <w:pStyle w:val="ListBullet"/>
      </w:pPr>
      <w:r w:rsidRPr="0080378D">
        <w:t xml:space="preserve">Stage 2 (3 months)—Administrative data will be accessed from the last 10 years (2003–2012) from each state and territory child protection department to generate aggregate data concerning each type of abuse (physical, sexual, emotional) and neglect and will include </w:t>
      </w:r>
    </w:p>
    <w:p w:rsidR="0080378D" w:rsidRPr="0080378D" w:rsidRDefault="0080378D" w:rsidP="00F5611D">
      <w:pPr>
        <w:pStyle w:val="ListBullet2"/>
        <w:numPr>
          <w:ilvl w:val="0"/>
          <w:numId w:val="0"/>
        </w:numPr>
        <w:ind w:left="720" w:hanging="360"/>
      </w:pPr>
      <w:r w:rsidRPr="0080378D">
        <w:t>–</w:t>
      </w:r>
      <w:r w:rsidRPr="0080378D">
        <w:tab/>
        <w:t xml:space="preserve">the number of reports made by each mandated reporter group and by other reporter groups who are not mandated to report </w:t>
      </w:r>
    </w:p>
    <w:p w:rsidR="0080378D" w:rsidRPr="0080378D" w:rsidRDefault="0080378D" w:rsidP="00F5611D">
      <w:pPr>
        <w:pStyle w:val="ListBullet2"/>
        <w:numPr>
          <w:ilvl w:val="0"/>
          <w:numId w:val="0"/>
        </w:numPr>
        <w:ind w:left="720" w:hanging="360"/>
      </w:pPr>
      <w:r w:rsidRPr="0080378D">
        <w:t>–</w:t>
      </w:r>
      <w:r w:rsidRPr="0080378D">
        <w:tab/>
      </w:r>
      <w:proofErr w:type="gramStart"/>
      <w:r w:rsidRPr="0080378D">
        <w:t>the</w:t>
      </w:r>
      <w:proofErr w:type="gramEnd"/>
      <w:r w:rsidRPr="0080378D">
        <w:t xml:space="preserve"> outcomes of these reports (whether substantiated/unsubstantiated; dealt with by other means; screened out). These data will be used to describe the differences between reporting practice of different reporting groups for different types of child abuse and neglect across jurisdictions over time.</w:t>
      </w:r>
    </w:p>
    <w:p w:rsidR="0080378D" w:rsidRPr="0080378D" w:rsidRDefault="0080378D" w:rsidP="00F5611D">
      <w:pPr>
        <w:pStyle w:val="ListBullet"/>
      </w:pPr>
      <w:r w:rsidRPr="0080378D">
        <w:t>Stage 3 (6 months)—Documentary analysis of Australian and overseas literature on legal and contextual factors affecting reporting of child abuse and neglect and existing theoretical critiques of reporting laws, using social science databases, will be undertaken in this stage.</w:t>
      </w:r>
    </w:p>
    <w:p w:rsidR="0080378D" w:rsidRPr="0080378D" w:rsidRDefault="0080378D" w:rsidP="0080378D">
      <w:pPr>
        <w:rPr>
          <w:rFonts w:ascii="Calibri" w:hAnsi="Calibri" w:cs="Calibri"/>
          <w:sz w:val="24"/>
          <w:szCs w:val="24"/>
        </w:rPr>
      </w:pPr>
    </w:p>
    <w:p w:rsidR="0080378D" w:rsidRDefault="0080378D" w:rsidP="0080378D">
      <w:pPr>
        <w:rPr>
          <w:rFonts w:ascii="Calibri" w:hAnsi="Calibri" w:cs="Calibri"/>
          <w:sz w:val="24"/>
          <w:szCs w:val="24"/>
        </w:rPr>
      </w:pPr>
      <w:r w:rsidRPr="0080378D">
        <w:rPr>
          <w:rFonts w:ascii="Calibri" w:hAnsi="Calibri" w:cs="Calibri"/>
          <w:sz w:val="24"/>
          <w:szCs w:val="24"/>
        </w:rPr>
        <w:t xml:space="preserve">The deliverables of the research will be a final report and presentation on the project to the Victorian </w:t>
      </w:r>
      <w:r w:rsidR="001C4241">
        <w:rPr>
          <w:rFonts w:ascii="Calibri" w:hAnsi="Calibri" w:cs="Calibri"/>
          <w:sz w:val="24"/>
          <w:szCs w:val="24"/>
        </w:rPr>
        <w:t>DHS</w:t>
      </w:r>
      <w:r w:rsidRPr="0080378D">
        <w:rPr>
          <w:rFonts w:ascii="Calibri" w:hAnsi="Calibri" w:cs="Calibri"/>
          <w:sz w:val="24"/>
          <w:szCs w:val="24"/>
        </w:rPr>
        <w:t xml:space="preserve"> and DSS/NFIWG personnel.</w:t>
      </w:r>
    </w:p>
    <w:p w:rsidR="00BD5D4E" w:rsidRPr="00821556" w:rsidRDefault="00BD5D4E" w:rsidP="00792804">
      <w:pPr>
        <w:pStyle w:val="Heading3"/>
      </w:pPr>
      <w:bookmarkStart w:id="171" w:name="_Toc400007755"/>
      <w:r w:rsidRPr="00821556">
        <w:t>Western Australia</w:t>
      </w:r>
      <w:bookmarkEnd w:id="171"/>
    </w:p>
    <w:p w:rsidR="003D07E1" w:rsidRPr="00706368" w:rsidRDefault="00CD553B" w:rsidP="00F56F9B">
      <w:pPr>
        <w:pStyle w:val="Heading4"/>
      </w:pPr>
      <w:r w:rsidRPr="00706368">
        <w:t>National</w:t>
      </w:r>
      <w:r w:rsidR="00792804" w:rsidRPr="00706368">
        <w:t xml:space="preserve"> Standards for Out-of-Home Care</w:t>
      </w:r>
    </w:p>
    <w:p w:rsidR="00CD553B" w:rsidRDefault="00CD553B" w:rsidP="001B1A51">
      <w:pPr>
        <w:rPr>
          <w:rFonts w:ascii="Calibri" w:hAnsi="Calibri" w:cs="Calibri"/>
          <w:sz w:val="24"/>
          <w:szCs w:val="24"/>
        </w:rPr>
      </w:pPr>
      <w:r w:rsidRPr="00CD553B">
        <w:rPr>
          <w:rFonts w:ascii="Calibri" w:hAnsi="Calibri" w:cs="Calibri"/>
          <w:sz w:val="24"/>
          <w:szCs w:val="24"/>
        </w:rPr>
        <w:t>CPFS</w:t>
      </w:r>
      <w:r w:rsidR="00636373">
        <w:rPr>
          <w:rFonts w:ascii="Calibri" w:hAnsi="Calibri" w:cs="Calibri"/>
          <w:sz w:val="24"/>
          <w:szCs w:val="24"/>
        </w:rPr>
        <w:t>’s</w:t>
      </w:r>
      <w:r w:rsidRPr="00CD553B">
        <w:rPr>
          <w:rFonts w:ascii="Calibri" w:hAnsi="Calibri" w:cs="Calibri"/>
          <w:sz w:val="24"/>
          <w:szCs w:val="24"/>
        </w:rPr>
        <w:t xml:space="preserve"> revised Aboriginal Services Framework, released in December 2012, has a strong focus on the </w:t>
      </w:r>
      <w:r w:rsidR="00636373">
        <w:rPr>
          <w:rFonts w:ascii="Calibri" w:hAnsi="Calibri" w:cs="Calibri"/>
          <w:sz w:val="24"/>
          <w:szCs w:val="24"/>
        </w:rPr>
        <w:t>A</w:t>
      </w:r>
      <w:r w:rsidR="00314725">
        <w:rPr>
          <w:rFonts w:ascii="Calibri" w:hAnsi="Calibri" w:cs="Calibri"/>
          <w:sz w:val="24"/>
          <w:szCs w:val="24"/>
        </w:rPr>
        <w:t>TSI</w:t>
      </w:r>
      <w:r w:rsidR="00636373">
        <w:rPr>
          <w:rFonts w:ascii="Calibri" w:hAnsi="Calibri" w:cs="Calibri"/>
          <w:sz w:val="24"/>
          <w:szCs w:val="24"/>
        </w:rPr>
        <w:t>C</w:t>
      </w:r>
      <w:r w:rsidR="0044293A">
        <w:rPr>
          <w:rFonts w:ascii="Calibri" w:hAnsi="Calibri" w:cs="Calibri"/>
          <w:sz w:val="24"/>
          <w:szCs w:val="24"/>
        </w:rPr>
        <w:t>P</w:t>
      </w:r>
      <w:r w:rsidR="00636373">
        <w:rPr>
          <w:rFonts w:ascii="Calibri" w:hAnsi="Calibri" w:cs="Calibri"/>
          <w:sz w:val="24"/>
          <w:szCs w:val="24"/>
        </w:rPr>
        <w:t>P,</w:t>
      </w:r>
      <w:r w:rsidRPr="00CD553B">
        <w:rPr>
          <w:rFonts w:ascii="Calibri" w:hAnsi="Calibri" w:cs="Calibri"/>
          <w:sz w:val="24"/>
          <w:szCs w:val="24"/>
        </w:rPr>
        <w:t xml:space="preserve"> and Aboriginal Practice Leaders provide support and guidance to all District staff in identifying placements for Aboriginal children in care.</w:t>
      </w:r>
    </w:p>
    <w:p w:rsidR="00CD553B" w:rsidRDefault="00CD553B" w:rsidP="001B1A51">
      <w:pPr>
        <w:rPr>
          <w:rFonts w:ascii="Calibri" w:hAnsi="Calibri" w:cs="Calibri"/>
          <w:sz w:val="24"/>
          <w:szCs w:val="24"/>
        </w:rPr>
      </w:pPr>
    </w:p>
    <w:p w:rsidR="00CD553B" w:rsidRPr="00CD553B" w:rsidRDefault="00CD553B" w:rsidP="00CD553B">
      <w:pPr>
        <w:rPr>
          <w:rFonts w:ascii="Calibri" w:hAnsi="Calibri" w:cs="Calibri"/>
          <w:sz w:val="24"/>
          <w:szCs w:val="24"/>
        </w:rPr>
      </w:pPr>
      <w:r w:rsidRPr="00CD553B">
        <w:rPr>
          <w:rFonts w:ascii="Calibri" w:hAnsi="Calibri" w:cs="Calibri"/>
          <w:sz w:val="24"/>
          <w:szCs w:val="24"/>
        </w:rPr>
        <w:t>In October 2012, CPFS undertook an open tender procurement process to establish a panel of suitable service providers for the Specialised Fostering Program.</w:t>
      </w:r>
      <w:r w:rsidR="007764A2">
        <w:rPr>
          <w:rFonts w:ascii="Calibri" w:hAnsi="Calibri" w:cs="Calibri"/>
          <w:sz w:val="24"/>
          <w:szCs w:val="24"/>
        </w:rPr>
        <w:t xml:space="preserve"> </w:t>
      </w:r>
      <w:r w:rsidRPr="00CD553B">
        <w:rPr>
          <w:rFonts w:ascii="Calibri" w:hAnsi="Calibri" w:cs="Calibri"/>
          <w:sz w:val="24"/>
          <w:szCs w:val="24"/>
        </w:rPr>
        <w:t xml:space="preserve">The program provides therapeutic intervention for children and young people in the </w:t>
      </w:r>
      <w:r w:rsidR="00216CAC">
        <w:rPr>
          <w:rFonts w:ascii="Calibri" w:hAnsi="Calibri" w:cs="Calibri"/>
          <w:sz w:val="24"/>
          <w:szCs w:val="24"/>
        </w:rPr>
        <w:t xml:space="preserve">care of the </w:t>
      </w:r>
      <w:r w:rsidRPr="00CD553B">
        <w:rPr>
          <w:rFonts w:ascii="Calibri" w:hAnsi="Calibri" w:cs="Calibri"/>
          <w:sz w:val="24"/>
          <w:szCs w:val="24"/>
        </w:rPr>
        <w:t xml:space="preserve">CEO with high to complex needs or </w:t>
      </w:r>
      <w:r w:rsidR="00636373">
        <w:rPr>
          <w:rFonts w:ascii="Calibri" w:hAnsi="Calibri" w:cs="Calibri"/>
          <w:sz w:val="24"/>
          <w:szCs w:val="24"/>
        </w:rPr>
        <w:t xml:space="preserve">who </w:t>
      </w:r>
      <w:proofErr w:type="gramStart"/>
      <w:r w:rsidR="00636373">
        <w:rPr>
          <w:rFonts w:ascii="Calibri" w:hAnsi="Calibri" w:cs="Calibri"/>
          <w:sz w:val="24"/>
          <w:szCs w:val="24"/>
        </w:rPr>
        <w:t xml:space="preserve">are </w:t>
      </w:r>
      <w:r w:rsidRPr="00CD553B">
        <w:rPr>
          <w:rFonts w:ascii="Calibri" w:hAnsi="Calibri" w:cs="Calibri"/>
          <w:sz w:val="24"/>
          <w:szCs w:val="24"/>
        </w:rPr>
        <w:t>part</w:t>
      </w:r>
      <w:proofErr w:type="gramEnd"/>
      <w:r w:rsidRPr="00CD553B">
        <w:rPr>
          <w:rFonts w:ascii="Calibri" w:hAnsi="Calibri" w:cs="Calibri"/>
          <w:sz w:val="24"/>
          <w:szCs w:val="24"/>
        </w:rPr>
        <w:t xml:space="preserve"> of a large sibling group.</w:t>
      </w:r>
      <w:r w:rsidR="00A43557">
        <w:rPr>
          <w:rFonts w:ascii="Calibri" w:hAnsi="Calibri" w:cs="Calibri"/>
          <w:sz w:val="24"/>
          <w:szCs w:val="24"/>
        </w:rPr>
        <w:t xml:space="preserve"> </w:t>
      </w:r>
      <w:r w:rsidRPr="00CD553B">
        <w:rPr>
          <w:rFonts w:ascii="Calibri" w:hAnsi="Calibri" w:cs="Calibri"/>
          <w:sz w:val="24"/>
          <w:szCs w:val="24"/>
        </w:rPr>
        <w:t>Implementation of the program commenced in February 2013</w:t>
      </w:r>
      <w:r w:rsidR="00B36891">
        <w:rPr>
          <w:rFonts w:ascii="Calibri" w:hAnsi="Calibri" w:cs="Calibri"/>
          <w:sz w:val="24"/>
          <w:szCs w:val="24"/>
        </w:rPr>
        <w:t>,</w:t>
      </w:r>
      <w:r w:rsidRPr="00CD553B">
        <w:rPr>
          <w:rFonts w:ascii="Calibri" w:hAnsi="Calibri" w:cs="Calibri"/>
          <w:sz w:val="24"/>
          <w:szCs w:val="24"/>
        </w:rPr>
        <w:t xml:space="preserve"> with 12 community sector service providers on the panel.</w:t>
      </w:r>
    </w:p>
    <w:p w:rsidR="00CD553B" w:rsidRPr="00CD553B" w:rsidRDefault="00CD553B" w:rsidP="00CD553B">
      <w:pPr>
        <w:rPr>
          <w:rFonts w:ascii="Calibri" w:hAnsi="Calibri" w:cs="Calibri"/>
          <w:sz w:val="24"/>
          <w:szCs w:val="24"/>
        </w:rPr>
      </w:pPr>
    </w:p>
    <w:p w:rsidR="00CD553B" w:rsidRPr="00CD553B" w:rsidRDefault="00CD553B" w:rsidP="00CD553B">
      <w:pPr>
        <w:rPr>
          <w:rFonts w:ascii="Calibri" w:hAnsi="Calibri" w:cs="Calibri"/>
          <w:sz w:val="24"/>
          <w:szCs w:val="24"/>
        </w:rPr>
      </w:pPr>
      <w:r w:rsidRPr="00CD553B">
        <w:rPr>
          <w:rFonts w:ascii="Calibri" w:hAnsi="Calibri" w:cs="Calibri"/>
          <w:sz w:val="24"/>
          <w:szCs w:val="24"/>
        </w:rPr>
        <w:t>CPFS’s Permanency Planning Policy</w:t>
      </w:r>
      <w:r w:rsidR="00AC0923">
        <w:rPr>
          <w:rFonts w:ascii="Calibri" w:hAnsi="Calibri" w:cs="Calibri"/>
          <w:sz w:val="24"/>
          <w:szCs w:val="24"/>
        </w:rPr>
        <w:t>,</w:t>
      </w:r>
      <w:r w:rsidRPr="00CD553B">
        <w:rPr>
          <w:rFonts w:ascii="Calibri" w:hAnsi="Calibri" w:cs="Calibri"/>
          <w:sz w:val="24"/>
          <w:szCs w:val="24"/>
        </w:rPr>
        <w:t xml:space="preserve"> developed in 2012</w:t>
      </w:r>
      <w:r w:rsidR="00AC0923">
        <w:rPr>
          <w:rFonts w:ascii="Calibri" w:hAnsi="Calibri" w:cs="Calibri"/>
          <w:sz w:val="24"/>
          <w:szCs w:val="24"/>
        </w:rPr>
        <w:t>,</w:t>
      </w:r>
      <w:r w:rsidRPr="00CD553B">
        <w:rPr>
          <w:rFonts w:ascii="Calibri" w:hAnsi="Calibri" w:cs="Calibri"/>
          <w:sz w:val="24"/>
          <w:szCs w:val="24"/>
        </w:rPr>
        <w:t xml:space="preserve"> seeks to address the issue of placement instability and ‘drift’ in care by placing emphasis on stability and permanency from the time the </w:t>
      </w:r>
      <w:r w:rsidR="000B15B7">
        <w:rPr>
          <w:rFonts w:ascii="Calibri" w:hAnsi="Calibri" w:cs="Calibri"/>
          <w:sz w:val="24"/>
          <w:szCs w:val="24"/>
        </w:rPr>
        <w:t>d</w:t>
      </w:r>
      <w:r w:rsidR="000B15B7" w:rsidRPr="00CD553B">
        <w:rPr>
          <w:rFonts w:ascii="Calibri" w:hAnsi="Calibri" w:cs="Calibri"/>
          <w:sz w:val="24"/>
          <w:szCs w:val="24"/>
        </w:rPr>
        <w:t xml:space="preserve">epartment </w:t>
      </w:r>
      <w:r w:rsidRPr="00CD553B">
        <w:rPr>
          <w:rFonts w:ascii="Calibri" w:hAnsi="Calibri" w:cs="Calibri"/>
          <w:sz w:val="24"/>
          <w:szCs w:val="24"/>
        </w:rPr>
        <w:t xml:space="preserve">becomes involved with a child and their family. The policy requires timely consideration </w:t>
      </w:r>
      <w:r w:rsidR="00FF663B">
        <w:rPr>
          <w:rFonts w:ascii="Calibri" w:hAnsi="Calibri" w:cs="Calibri"/>
          <w:sz w:val="24"/>
          <w:szCs w:val="24"/>
        </w:rPr>
        <w:t>to be</w:t>
      </w:r>
      <w:r w:rsidR="00FF663B" w:rsidRPr="00CD553B">
        <w:rPr>
          <w:rFonts w:ascii="Calibri" w:hAnsi="Calibri" w:cs="Calibri"/>
          <w:sz w:val="24"/>
          <w:szCs w:val="24"/>
        </w:rPr>
        <w:t xml:space="preserve"> </w:t>
      </w:r>
      <w:r w:rsidRPr="00CD553B">
        <w:rPr>
          <w:rFonts w:ascii="Calibri" w:hAnsi="Calibri" w:cs="Calibri"/>
          <w:sz w:val="24"/>
          <w:szCs w:val="24"/>
        </w:rPr>
        <w:t xml:space="preserve">given to whether children in the </w:t>
      </w:r>
      <w:r w:rsidR="00FF663B">
        <w:rPr>
          <w:rFonts w:ascii="Calibri" w:hAnsi="Calibri" w:cs="Calibri"/>
          <w:sz w:val="24"/>
          <w:szCs w:val="24"/>
        </w:rPr>
        <w:t>CEO</w:t>
      </w:r>
      <w:r w:rsidR="00AC0923">
        <w:rPr>
          <w:rFonts w:ascii="Calibri" w:hAnsi="Calibri" w:cs="Calibri"/>
          <w:sz w:val="24"/>
          <w:szCs w:val="24"/>
        </w:rPr>
        <w:t>’</w:t>
      </w:r>
      <w:r w:rsidRPr="00CD553B">
        <w:rPr>
          <w:rFonts w:ascii="Calibri" w:hAnsi="Calibri" w:cs="Calibri"/>
          <w:sz w:val="24"/>
          <w:szCs w:val="24"/>
        </w:rPr>
        <w:t xml:space="preserve">s care can be reunified with their parent/s, or whether long-term out-of-home care needs to be </w:t>
      </w:r>
      <w:r w:rsidR="00AC0923">
        <w:rPr>
          <w:rFonts w:ascii="Calibri" w:hAnsi="Calibri" w:cs="Calibri"/>
          <w:sz w:val="24"/>
          <w:szCs w:val="24"/>
        </w:rPr>
        <w:t>put in place</w:t>
      </w:r>
      <w:r w:rsidRPr="00CD553B">
        <w:rPr>
          <w:rFonts w:ascii="Calibri" w:hAnsi="Calibri" w:cs="Calibri"/>
          <w:sz w:val="24"/>
          <w:szCs w:val="24"/>
        </w:rPr>
        <w:t>.</w:t>
      </w:r>
    </w:p>
    <w:p w:rsidR="00CD553B" w:rsidRPr="00CD553B" w:rsidRDefault="00CD553B" w:rsidP="00CD553B">
      <w:pPr>
        <w:rPr>
          <w:rFonts w:ascii="Calibri" w:hAnsi="Calibri" w:cs="Calibri"/>
          <w:sz w:val="24"/>
          <w:szCs w:val="24"/>
        </w:rPr>
      </w:pPr>
    </w:p>
    <w:p w:rsidR="00CD553B" w:rsidRPr="00CD553B" w:rsidRDefault="00CD553B" w:rsidP="00CD553B">
      <w:pPr>
        <w:rPr>
          <w:rFonts w:ascii="Calibri" w:hAnsi="Calibri" w:cs="Calibri"/>
          <w:sz w:val="24"/>
          <w:szCs w:val="24"/>
        </w:rPr>
      </w:pPr>
      <w:r w:rsidRPr="00CD553B">
        <w:rPr>
          <w:rFonts w:ascii="Calibri" w:hAnsi="Calibri" w:cs="Calibri"/>
          <w:sz w:val="24"/>
          <w:szCs w:val="24"/>
        </w:rPr>
        <w:t xml:space="preserve">All children in care, aged </w:t>
      </w:r>
      <w:r w:rsidR="00FF663B">
        <w:rPr>
          <w:rFonts w:ascii="Calibri" w:hAnsi="Calibri" w:cs="Calibri"/>
          <w:sz w:val="24"/>
          <w:szCs w:val="24"/>
        </w:rPr>
        <w:t>5</w:t>
      </w:r>
      <w:r w:rsidR="00FF663B" w:rsidRPr="00CD553B">
        <w:rPr>
          <w:rFonts w:ascii="Calibri" w:hAnsi="Calibri" w:cs="Calibri"/>
          <w:sz w:val="24"/>
          <w:szCs w:val="24"/>
        </w:rPr>
        <w:t xml:space="preserve"> </w:t>
      </w:r>
      <w:r w:rsidRPr="00CD553B">
        <w:rPr>
          <w:rFonts w:ascii="Calibri" w:hAnsi="Calibri" w:cs="Calibri"/>
          <w:sz w:val="24"/>
          <w:szCs w:val="24"/>
        </w:rPr>
        <w:t>to 17 years</w:t>
      </w:r>
      <w:r w:rsidR="00AC0923">
        <w:rPr>
          <w:rFonts w:ascii="Calibri" w:hAnsi="Calibri" w:cs="Calibri"/>
          <w:sz w:val="24"/>
          <w:szCs w:val="24"/>
        </w:rPr>
        <w:t>,</w:t>
      </w:r>
      <w:r w:rsidRPr="00CD553B">
        <w:rPr>
          <w:rFonts w:ascii="Calibri" w:hAnsi="Calibri" w:cs="Calibri"/>
          <w:sz w:val="24"/>
          <w:szCs w:val="24"/>
        </w:rPr>
        <w:t xml:space="preserve"> are encouraged to use the interactive </w:t>
      </w:r>
      <w:r w:rsidR="00FF663B">
        <w:rPr>
          <w:rFonts w:ascii="Calibri" w:hAnsi="Calibri" w:cs="Calibri"/>
          <w:sz w:val="24"/>
          <w:szCs w:val="24"/>
        </w:rPr>
        <w:t>on</w:t>
      </w:r>
      <w:r w:rsidRPr="00CD553B">
        <w:rPr>
          <w:rFonts w:ascii="Calibri" w:hAnsi="Calibri" w:cs="Calibri"/>
          <w:sz w:val="24"/>
          <w:szCs w:val="24"/>
        </w:rPr>
        <w:t>line program Viewpoint during their care planning, to provide their views, wishes and experiences.</w:t>
      </w:r>
      <w:r w:rsidR="007764A2">
        <w:rPr>
          <w:rFonts w:ascii="Calibri" w:hAnsi="Calibri" w:cs="Calibri"/>
          <w:sz w:val="24"/>
          <w:szCs w:val="24"/>
        </w:rPr>
        <w:t xml:space="preserve"> </w:t>
      </w:r>
      <w:r w:rsidRPr="00CD553B">
        <w:rPr>
          <w:rFonts w:ascii="Calibri" w:hAnsi="Calibri" w:cs="Calibri"/>
          <w:sz w:val="24"/>
          <w:szCs w:val="24"/>
        </w:rPr>
        <w:t xml:space="preserve">This information assists CPFS to better understand and meet the individual children’s needs and </w:t>
      </w:r>
      <w:r w:rsidR="007048D7">
        <w:rPr>
          <w:rFonts w:ascii="Calibri" w:hAnsi="Calibri" w:cs="Calibri"/>
          <w:sz w:val="24"/>
          <w:szCs w:val="24"/>
        </w:rPr>
        <w:t xml:space="preserve">to </w:t>
      </w:r>
      <w:r w:rsidRPr="00CD553B">
        <w:rPr>
          <w:rFonts w:ascii="Calibri" w:hAnsi="Calibri" w:cs="Calibri"/>
          <w:sz w:val="24"/>
          <w:szCs w:val="24"/>
        </w:rPr>
        <w:t xml:space="preserve">improve the way the </w:t>
      </w:r>
      <w:r w:rsidR="0034641D">
        <w:rPr>
          <w:rFonts w:ascii="Calibri" w:hAnsi="Calibri" w:cs="Calibri"/>
          <w:sz w:val="24"/>
          <w:szCs w:val="24"/>
        </w:rPr>
        <w:t>d</w:t>
      </w:r>
      <w:r w:rsidR="0034641D" w:rsidRPr="00CD553B">
        <w:rPr>
          <w:rFonts w:ascii="Calibri" w:hAnsi="Calibri" w:cs="Calibri"/>
          <w:sz w:val="24"/>
          <w:szCs w:val="24"/>
        </w:rPr>
        <w:t xml:space="preserve">epartment </w:t>
      </w:r>
      <w:r w:rsidRPr="00CD553B">
        <w:rPr>
          <w:rFonts w:ascii="Calibri" w:hAnsi="Calibri" w:cs="Calibri"/>
          <w:sz w:val="24"/>
          <w:szCs w:val="24"/>
        </w:rPr>
        <w:t>supports children in care.</w:t>
      </w:r>
      <w:r w:rsidR="007764A2">
        <w:rPr>
          <w:rFonts w:ascii="Calibri" w:hAnsi="Calibri" w:cs="Calibri"/>
          <w:sz w:val="24"/>
          <w:szCs w:val="24"/>
        </w:rPr>
        <w:t xml:space="preserve"> </w:t>
      </w:r>
      <w:r w:rsidRPr="00CD553B">
        <w:rPr>
          <w:rFonts w:ascii="Calibri" w:hAnsi="Calibri" w:cs="Calibri"/>
          <w:sz w:val="24"/>
          <w:szCs w:val="24"/>
        </w:rPr>
        <w:t>Changes were made to Viewpoint</w:t>
      </w:r>
      <w:r w:rsidR="007048D7">
        <w:rPr>
          <w:rFonts w:ascii="Calibri" w:hAnsi="Calibri" w:cs="Calibri"/>
          <w:sz w:val="24"/>
          <w:szCs w:val="24"/>
        </w:rPr>
        <w:t>,</w:t>
      </w:r>
      <w:r w:rsidRPr="00CD553B">
        <w:rPr>
          <w:rFonts w:ascii="Calibri" w:hAnsi="Calibri" w:cs="Calibri"/>
          <w:sz w:val="24"/>
          <w:szCs w:val="24"/>
        </w:rPr>
        <w:t xml:space="preserve"> enabling questionnaires to be completed online via a Viewpoint hyperlink.</w:t>
      </w:r>
      <w:r w:rsidR="007764A2">
        <w:rPr>
          <w:rFonts w:ascii="Calibri" w:hAnsi="Calibri" w:cs="Calibri"/>
          <w:sz w:val="24"/>
          <w:szCs w:val="24"/>
        </w:rPr>
        <w:t xml:space="preserve"> </w:t>
      </w:r>
      <w:r w:rsidRPr="00CD553B">
        <w:rPr>
          <w:rFonts w:ascii="Calibri" w:hAnsi="Calibri" w:cs="Calibri"/>
          <w:sz w:val="24"/>
          <w:szCs w:val="24"/>
        </w:rPr>
        <w:t xml:space="preserve">This provides greater flexibility for children and young people’s participation in their care planning. Viewpoint can also be completed offline via a Viewpoint laptop provided by the </w:t>
      </w:r>
      <w:r w:rsidR="0034641D">
        <w:rPr>
          <w:rFonts w:ascii="Calibri" w:hAnsi="Calibri" w:cs="Calibri"/>
          <w:sz w:val="24"/>
          <w:szCs w:val="24"/>
        </w:rPr>
        <w:t>d</w:t>
      </w:r>
      <w:r w:rsidR="0034641D" w:rsidRPr="00CD553B">
        <w:rPr>
          <w:rFonts w:ascii="Calibri" w:hAnsi="Calibri" w:cs="Calibri"/>
          <w:sz w:val="24"/>
          <w:szCs w:val="24"/>
        </w:rPr>
        <w:t>epartment</w:t>
      </w:r>
      <w:r w:rsidRPr="00CD553B">
        <w:rPr>
          <w:rFonts w:ascii="Calibri" w:hAnsi="Calibri" w:cs="Calibri"/>
          <w:sz w:val="24"/>
          <w:szCs w:val="24"/>
        </w:rPr>
        <w:t>.</w:t>
      </w:r>
    </w:p>
    <w:p w:rsidR="00CD553B" w:rsidRPr="00CD553B" w:rsidRDefault="00CD553B" w:rsidP="00CD553B">
      <w:pPr>
        <w:rPr>
          <w:rFonts w:ascii="Calibri" w:hAnsi="Calibri" w:cs="Calibri"/>
          <w:sz w:val="24"/>
          <w:szCs w:val="24"/>
        </w:rPr>
      </w:pPr>
    </w:p>
    <w:p w:rsidR="00CD553B" w:rsidRDefault="00CD553B" w:rsidP="00CD553B">
      <w:pPr>
        <w:rPr>
          <w:rFonts w:ascii="Calibri" w:hAnsi="Calibri" w:cs="Calibri"/>
          <w:sz w:val="24"/>
          <w:szCs w:val="24"/>
        </w:rPr>
      </w:pPr>
      <w:r w:rsidRPr="00CD553B">
        <w:rPr>
          <w:rFonts w:ascii="Calibri" w:hAnsi="Calibri" w:cs="Calibri"/>
          <w:sz w:val="24"/>
          <w:szCs w:val="24"/>
        </w:rPr>
        <w:t xml:space="preserve">CPFS has commenced delegating </w:t>
      </w:r>
      <w:r w:rsidR="007048D7" w:rsidRPr="007048D7">
        <w:rPr>
          <w:rFonts w:ascii="Calibri" w:hAnsi="Calibri" w:cs="Calibri"/>
          <w:sz w:val="24"/>
          <w:szCs w:val="24"/>
        </w:rPr>
        <w:t xml:space="preserve">to not-for-profit organisations </w:t>
      </w:r>
      <w:r w:rsidRPr="00CD553B">
        <w:rPr>
          <w:rFonts w:ascii="Calibri" w:hAnsi="Calibri" w:cs="Calibri"/>
          <w:sz w:val="24"/>
          <w:szCs w:val="24"/>
        </w:rPr>
        <w:t xml:space="preserve">the case management of children in the </w:t>
      </w:r>
      <w:r w:rsidR="00FF663B">
        <w:rPr>
          <w:rFonts w:ascii="Calibri" w:hAnsi="Calibri" w:cs="Calibri"/>
          <w:sz w:val="24"/>
          <w:szCs w:val="24"/>
        </w:rPr>
        <w:t>CEO</w:t>
      </w:r>
      <w:r w:rsidRPr="00CD553B">
        <w:rPr>
          <w:rFonts w:ascii="Calibri" w:hAnsi="Calibri" w:cs="Calibri"/>
          <w:sz w:val="24"/>
          <w:szCs w:val="24"/>
        </w:rPr>
        <w:t>’s care who are on permanent protection orders and in stable, long-term placements.</w:t>
      </w:r>
    </w:p>
    <w:p w:rsidR="00D402EC" w:rsidRDefault="00D402EC" w:rsidP="00CD553B">
      <w:pPr>
        <w:rPr>
          <w:rFonts w:ascii="Calibri" w:hAnsi="Calibri" w:cs="Calibri"/>
          <w:sz w:val="24"/>
          <w:szCs w:val="24"/>
        </w:rPr>
      </w:pPr>
    </w:p>
    <w:p w:rsidR="00D402EC" w:rsidRDefault="00D402EC" w:rsidP="00CD553B">
      <w:pPr>
        <w:rPr>
          <w:rFonts w:ascii="Calibri" w:hAnsi="Calibri" w:cs="Calibri"/>
          <w:sz w:val="24"/>
          <w:szCs w:val="24"/>
        </w:rPr>
      </w:pPr>
      <w:r w:rsidRPr="00D402EC">
        <w:rPr>
          <w:rFonts w:ascii="Calibri" w:hAnsi="Calibri" w:cs="Calibri"/>
          <w:sz w:val="24"/>
          <w:szCs w:val="24"/>
        </w:rPr>
        <w:t>Healthcare planning for children in the CEO’s care, including prioritised access to services, continues to be a focus area for child protection workers and health practitioners.</w:t>
      </w:r>
    </w:p>
    <w:p w:rsidR="00CD553B" w:rsidRPr="00F56F9B" w:rsidRDefault="00F56F9B" w:rsidP="00F56F9B">
      <w:pPr>
        <w:pStyle w:val="Heading4"/>
        <w:rPr>
          <w:lang w:val="en-AU"/>
        </w:rPr>
      </w:pPr>
      <w:r>
        <w:t>Transitioning to Independence</w:t>
      </w:r>
    </w:p>
    <w:p w:rsidR="00CD553B" w:rsidRDefault="00CD553B" w:rsidP="00CD553B">
      <w:pPr>
        <w:rPr>
          <w:rFonts w:ascii="Calibri" w:hAnsi="Calibri" w:cs="Calibri"/>
          <w:sz w:val="24"/>
          <w:szCs w:val="24"/>
        </w:rPr>
      </w:pPr>
      <w:r w:rsidRPr="00CD553B">
        <w:rPr>
          <w:rFonts w:ascii="Calibri" w:hAnsi="Calibri" w:cs="Calibri"/>
          <w:sz w:val="24"/>
          <w:szCs w:val="24"/>
        </w:rPr>
        <w:t xml:space="preserve">CPFS’s planning and support for young people undertaking the transition from care to independence includes a three-phased model for leaving care </w:t>
      </w:r>
      <w:r w:rsidR="00AC0923">
        <w:rPr>
          <w:rFonts w:ascii="Calibri" w:hAnsi="Calibri" w:cs="Calibri"/>
          <w:sz w:val="24"/>
          <w:szCs w:val="24"/>
        </w:rPr>
        <w:t>for young people aged 15 to 25</w:t>
      </w:r>
      <w:r w:rsidRPr="00CD553B">
        <w:rPr>
          <w:rFonts w:ascii="Calibri" w:hAnsi="Calibri" w:cs="Calibri"/>
          <w:sz w:val="24"/>
          <w:szCs w:val="24"/>
        </w:rPr>
        <w:t>, development and expansion of leaving care resources and increased funding to provide leaving care and after-care support for care leavers.</w:t>
      </w:r>
      <w:r w:rsidR="007764A2">
        <w:rPr>
          <w:rFonts w:ascii="Calibri" w:hAnsi="Calibri" w:cs="Calibri"/>
          <w:sz w:val="24"/>
          <w:szCs w:val="24"/>
        </w:rPr>
        <w:t xml:space="preserve"> </w:t>
      </w:r>
      <w:r w:rsidRPr="00CD553B">
        <w:rPr>
          <w:rFonts w:ascii="Calibri" w:hAnsi="Calibri" w:cs="Calibri"/>
          <w:sz w:val="24"/>
          <w:szCs w:val="24"/>
        </w:rPr>
        <w:t>Initiatives include:</w:t>
      </w:r>
    </w:p>
    <w:p w:rsidR="00CD553B" w:rsidRPr="00CD553B" w:rsidRDefault="00CD553B" w:rsidP="00606B28">
      <w:pPr>
        <w:pStyle w:val="ListBullet"/>
      </w:pPr>
      <w:r w:rsidRPr="00CD553B">
        <w:t xml:space="preserve">partnerships with other government agencies, including the Department of Housing, to ensure </w:t>
      </w:r>
      <w:r w:rsidR="00FF663B">
        <w:t xml:space="preserve">that </w:t>
      </w:r>
      <w:r w:rsidRPr="00CD553B">
        <w:t>young people leaving care have access to priority housing support upon leaving care</w:t>
      </w:r>
    </w:p>
    <w:p w:rsidR="00CD553B" w:rsidRPr="00CD553B" w:rsidRDefault="00CD553B" w:rsidP="00606B28">
      <w:pPr>
        <w:pStyle w:val="ListBullet"/>
      </w:pPr>
      <w:r w:rsidRPr="00CD553B">
        <w:t>funding CREATE Foundation to trial ‘leaving care kits’ for young people in Western Australia</w:t>
      </w:r>
    </w:p>
    <w:p w:rsidR="00CD553B" w:rsidRDefault="00CD553B" w:rsidP="00606B28">
      <w:pPr>
        <w:pStyle w:val="ListBullet"/>
      </w:pPr>
      <w:r w:rsidRPr="00CD553B">
        <w:t xml:space="preserve">providing flexible brokerage funding to </w:t>
      </w:r>
      <w:r w:rsidR="00C8305C">
        <w:t>community sector</w:t>
      </w:r>
      <w:r w:rsidRPr="00CD553B">
        <w:t xml:space="preserve"> leaving care service providers to </w:t>
      </w:r>
      <w:r w:rsidR="00FF663B">
        <w:t>ensure that</w:t>
      </w:r>
      <w:r w:rsidRPr="00CD553B">
        <w:t xml:space="preserve"> services are responsive to </w:t>
      </w:r>
      <w:r w:rsidR="007048D7">
        <w:t xml:space="preserve">the needs of </w:t>
      </w:r>
      <w:r w:rsidRPr="00CD553B">
        <w:t>client</w:t>
      </w:r>
      <w:r w:rsidR="007048D7">
        <w:t>s</w:t>
      </w:r>
      <w:r w:rsidRPr="00CD553B">
        <w:t xml:space="preserve"> when they are transitioning from the care of the </w:t>
      </w:r>
      <w:r w:rsidR="00F47E07">
        <w:t>CEO</w:t>
      </w:r>
      <w:r w:rsidR="00FD530D">
        <w:t>; t</w:t>
      </w:r>
      <w:r w:rsidRPr="00CD553B">
        <w:t>his includes support for engagement with education, training and employment</w:t>
      </w:r>
    </w:p>
    <w:p w:rsidR="00457E8B" w:rsidRDefault="00FD530D" w:rsidP="00457E8B">
      <w:pPr>
        <w:pStyle w:val="ListBullet"/>
      </w:pPr>
      <w:proofErr w:type="gramStart"/>
      <w:r>
        <w:t>waivi</w:t>
      </w:r>
      <w:r w:rsidR="00457E8B" w:rsidRPr="00457E8B">
        <w:t>ng</w:t>
      </w:r>
      <w:proofErr w:type="gramEnd"/>
      <w:r w:rsidR="00457E8B" w:rsidRPr="00457E8B">
        <w:t xml:space="preserve"> fees for attending State Training Providers (formally known as TAFE Colleges).</w:t>
      </w:r>
    </w:p>
    <w:p w:rsidR="00CD553B" w:rsidRDefault="00CD553B" w:rsidP="00CD553B">
      <w:pPr>
        <w:rPr>
          <w:rFonts w:ascii="Calibri" w:hAnsi="Calibri" w:cs="Calibri"/>
          <w:sz w:val="24"/>
          <w:szCs w:val="24"/>
        </w:rPr>
      </w:pPr>
    </w:p>
    <w:p w:rsidR="00485B8B" w:rsidRDefault="00485B8B" w:rsidP="00CD553B">
      <w:pPr>
        <w:rPr>
          <w:rFonts w:ascii="Calibri" w:hAnsi="Calibri" w:cs="Calibri"/>
          <w:sz w:val="24"/>
          <w:szCs w:val="24"/>
        </w:rPr>
      </w:pPr>
      <w:r w:rsidRPr="00485B8B">
        <w:rPr>
          <w:rFonts w:ascii="Calibri" w:hAnsi="Calibri" w:cs="Calibri"/>
          <w:sz w:val="24"/>
          <w:szCs w:val="24"/>
        </w:rPr>
        <w:t>The Department of Education is completing a set of guidelines for principals and other school staff on supporting pregnant and parenting young people to continue their education.</w:t>
      </w:r>
    </w:p>
    <w:p w:rsidR="00485B8B" w:rsidRDefault="00485B8B" w:rsidP="00CD553B">
      <w:pPr>
        <w:rPr>
          <w:rFonts w:ascii="Calibri" w:hAnsi="Calibri" w:cs="Calibri"/>
          <w:sz w:val="24"/>
          <w:szCs w:val="24"/>
        </w:rPr>
      </w:pPr>
    </w:p>
    <w:p w:rsidR="00641A7B" w:rsidRDefault="00AC0923" w:rsidP="00485B8B">
      <w:pPr>
        <w:rPr>
          <w:rFonts w:ascii="Calibri" w:hAnsi="Calibri" w:cs="Calibri"/>
          <w:sz w:val="24"/>
          <w:szCs w:val="24"/>
        </w:rPr>
      </w:pPr>
      <w:r>
        <w:rPr>
          <w:rFonts w:ascii="Calibri" w:hAnsi="Calibri" w:cs="Calibri"/>
          <w:sz w:val="24"/>
          <w:szCs w:val="24"/>
        </w:rPr>
        <w:t>CPFS</w:t>
      </w:r>
      <w:r w:rsidR="00485B8B" w:rsidRPr="00485B8B">
        <w:rPr>
          <w:rFonts w:ascii="Calibri" w:hAnsi="Calibri" w:cs="Calibri"/>
          <w:sz w:val="24"/>
          <w:szCs w:val="24"/>
        </w:rPr>
        <w:t xml:space="preserve"> will provide flexible brokerage funding to </w:t>
      </w:r>
      <w:r w:rsidR="00C8305C">
        <w:rPr>
          <w:rFonts w:ascii="Calibri" w:hAnsi="Calibri" w:cs="Calibri"/>
          <w:sz w:val="24"/>
          <w:szCs w:val="24"/>
        </w:rPr>
        <w:t>community sector</w:t>
      </w:r>
      <w:r w:rsidR="00485B8B" w:rsidRPr="00485B8B">
        <w:rPr>
          <w:rFonts w:ascii="Calibri" w:hAnsi="Calibri" w:cs="Calibri"/>
          <w:sz w:val="24"/>
          <w:szCs w:val="24"/>
        </w:rPr>
        <w:t xml:space="preserve"> leaving care service providers</w:t>
      </w:r>
      <w:r>
        <w:rPr>
          <w:rFonts w:ascii="Calibri" w:hAnsi="Calibri" w:cs="Calibri"/>
          <w:sz w:val="24"/>
          <w:szCs w:val="24"/>
        </w:rPr>
        <w:t>,</w:t>
      </w:r>
      <w:r w:rsidR="00485B8B" w:rsidRPr="00485B8B">
        <w:rPr>
          <w:rFonts w:ascii="Calibri" w:hAnsi="Calibri" w:cs="Calibri"/>
          <w:sz w:val="24"/>
          <w:szCs w:val="24"/>
        </w:rPr>
        <w:t xml:space="preserve"> to </w:t>
      </w:r>
      <w:r w:rsidR="00FF663B">
        <w:rPr>
          <w:rFonts w:ascii="Calibri" w:hAnsi="Calibri" w:cs="Calibri"/>
          <w:sz w:val="24"/>
          <w:szCs w:val="24"/>
        </w:rPr>
        <w:t>ensure that</w:t>
      </w:r>
      <w:r w:rsidR="00485B8B" w:rsidRPr="00485B8B">
        <w:rPr>
          <w:rFonts w:ascii="Calibri" w:hAnsi="Calibri" w:cs="Calibri"/>
          <w:sz w:val="24"/>
          <w:szCs w:val="24"/>
        </w:rPr>
        <w:t xml:space="preserve"> services are responsive to </w:t>
      </w:r>
      <w:r w:rsidR="00F47E07">
        <w:rPr>
          <w:rFonts w:ascii="Calibri" w:hAnsi="Calibri" w:cs="Calibri"/>
          <w:sz w:val="24"/>
          <w:szCs w:val="24"/>
        </w:rPr>
        <w:t xml:space="preserve">the needs of </w:t>
      </w:r>
      <w:r w:rsidR="00485B8B" w:rsidRPr="00485B8B">
        <w:rPr>
          <w:rFonts w:ascii="Calibri" w:hAnsi="Calibri" w:cs="Calibri"/>
          <w:sz w:val="24"/>
          <w:szCs w:val="24"/>
        </w:rPr>
        <w:t>client</w:t>
      </w:r>
      <w:r w:rsidR="000B15B7">
        <w:rPr>
          <w:rFonts w:ascii="Calibri" w:hAnsi="Calibri" w:cs="Calibri"/>
          <w:sz w:val="24"/>
          <w:szCs w:val="24"/>
        </w:rPr>
        <w:t>s</w:t>
      </w:r>
      <w:r w:rsidR="00485B8B" w:rsidRPr="00485B8B">
        <w:rPr>
          <w:rFonts w:ascii="Calibri" w:hAnsi="Calibri" w:cs="Calibri"/>
          <w:sz w:val="24"/>
          <w:szCs w:val="24"/>
        </w:rPr>
        <w:t xml:space="preserve"> </w:t>
      </w:r>
      <w:r w:rsidR="00F47E07">
        <w:rPr>
          <w:rFonts w:ascii="Calibri" w:hAnsi="Calibri" w:cs="Calibri"/>
          <w:sz w:val="24"/>
          <w:szCs w:val="24"/>
        </w:rPr>
        <w:t>who</w:t>
      </w:r>
      <w:r w:rsidR="00F47E07" w:rsidRPr="00485B8B">
        <w:rPr>
          <w:rFonts w:ascii="Calibri" w:hAnsi="Calibri" w:cs="Calibri"/>
          <w:sz w:val="24"/>
          <w:szCs w:val="24"/>
        </w:rPr>
        <w:t xml:space="preserve"> </w:t>
      </w:r>
      <w:r w:rsidR="00485B8B" w:rsidRPr="00485B8B">
        <w:rPr>
          <w:rFonts w:ascii="Calibri" w:hAnsi="Calibri" w:cs="Calibri"/>
          <w:sz w:val="24"/>
          <w:szCs w:val="24"/>
        </w:rPr>
        <w:t>are transitioning from the care of the CEO.</w:t>
      </w:r>
      <w:r w:rsidR="007764A2">
        <w:rPr>
          <w:rFonts w:ascii="Calibri" w:hAnsi="Calibri" w:cs="Calibri"/>
          <w:sz w:val="24"/>
          <w:szCs w:val="24"/>
        </w:rPr>
        <w:t xml:space="preserve"> </w:t>
      </w:r>
      <w:r w:rsidR="00485B8B" w:rsidRPr="00485B8B">
        <w:rPr>
          <w:rFonts w:ascii="Calibri" w:hAnsi="Calibri" w:cs="Calibri"/>
          <w:sz w:val="24"/>
          <w:szCs w:val="24"/>
        </w:rPr>
        <w:t>This includes support for accommodation and other leaving care needs.</w:t>
      </w:r>
      <w:r>
        <w:rPr>
          <w:rFonts w:ascii="Calibri" w:hAnsi="Calibri" w:cs="Calibri"/>
          <w:sz w:val="24"/>
          <w:szCs w:val="24"/>
        </w:rPr>
        <w:t xml:space="preserve"> </w:t>
      </w:r>
    </w:p>
    <w:p w:rsidR="000B15B7" w:rsidRDefault="000B15B7" w:rsidP="00485B8B"/>
    <w:p w:rsidR="00641A7B" w:rsidRDefault="001C4241" w:rsidP="00485B8B">
      <w:pPr>
        <w:rPr>
          <w:rFonts w:ascii="Calibri" w:hAnsi="Calibri" w:cs="Calibri"/>
          <w:sz w:val="24"/>
          <w:szCs w:val="24"/>
        </w:rPr>
      </w:pPr>
      <w:r>
        <w:rPr>
          <w:rFonts w:ascii="Calibri" w:hAnsi="Calibri" w:cs="Calibri"/>
          <w:sz w:val="24"/>
          <w:szCs w:val="24"/>
        </w:rPr>
        <w:t>DLGC</w:t>
      </w:r>
      <w:r w:rsidR="00641A7B" w:rsidRPr="00641A7B">
        <w:rPr>
          <w:rFonts w:ascii="Calibri" w:hAnsi="Calibri" w:cs="Calibri"/>
          <w:sz w:val="24"/>
          <w:szCs w:val="24"/>
        </w:rPr>
        <w:t xml:space="preserve"> has developed a Youth Mento</w:t>
      </w:r>
      <w:r w:rsidR="00AC0923">
        <w:rPr>
          <w:rFonts w:ascii="Calibri" w:hAnsi="Calibri" w:cs="Calibri"/>
          <w:sz w:val="24"/>
          <w:szCs w:val="24"/>
        </w:rPr>
        <w:t>ring Reform Strategic Framework. T</w:t>
      </w:r>
      <w:r w:rsidR="00641A7B" w:rsidRPr="00641A7B">
        <w:rPr>
          <w:rFonts w:ascii="Calibri" w:hAnsi="Calibri" w:cs="Calibri"/>
          <w:sz w:val="24"/>
          <w:szCs w:val="24"/>
        </w:rPr>
        <w:t xml:space="preserve">he key deliverables </w:t>
      </w:r>
      <w:r w:rsidR="00AC0923">
        <w:rPr>
          <w:rFonts w:ascii="Calibri" w:hAnsi="Calibri" w:cs="Calibri"/>
          <w:sz w:val="24"/>
          <w:szCs w:val="24"/>
        </w:rPr>
        <w:t xml:space="preserve">of this Framework </w:t>
      </w:r>
      <w:r w:rsidR="00641A7B" w:rsidRPr="00641A7B">
        <w:rPr>
          <w:rFonts w:ascii="Calibri" w:hAnsi="Calibri" w:cs="Calibri"/>
          <w:sz w:val="24"/>
          <w:szCs w:val="24"/>
        </w:rPr>
        <w:t xml:space="preserve">include identifying responses to meet the needs of young people in out-of-home care. Several of the Western Australian community sector youth mentoring agencies involved in the reform currently provide </w:t>
      </w:r>
      <w:r w:rsidR="006D5FBA" w:rsidRPr="00641A7B">
        <w:rPr>
          <w:rFonts w:ascii="Calibri" w:hAnsi="Calibri" w:cs="Calibri"/>
          <w:sz w:val="24"/>
          <w:szCs w:val="24"/>
        </w:rPr>
        <w:t>high</w:t>
      </w:r>
      <w:r w:rsidR="006D5FBA">
        <w:rPr>
          <w:rFonts w:ascii="Calibri" w:hAnsi="Calibri" w:cs="Calibri"/>
          <w:sz w:val="24"/>
          <w:szCs w:val="24"/>
        </w:rPr>
        <w:t>-</w:t>
      </w:r>
      <w:r w:rsidR="00641A7B" w:rsidRPr="00641A7B">
        <w:rPr>
          <w:rFonts w:ascii="Calibri" w:hAnsi="Calibri" w:cs="Calibri"/>
          <w:sz w:val="24"/>
          <w:szCs w:val="24"/>
        </w:rPr>
        <w:t>quality, well supported mentoring to young people in out-of-home care.</w:t>
      </w:r>
    </w:p>
    <w:p w:rsidR="00485B8B" w:rsidRDefault="00485B8B" w:rsidP="00CD553B">
      <w:pPr>
        <w:rPr>
          <w:rFonts w:ascii="Calibri" w:hAnsi="Calibri" w:cs="Calibri"/>
          <w:sz w:val="24"/>
          <w:szCs w:val="24"/>
        </w:rPr>
      </w:pPr>
    </w:p>
    <w:p w:rsidR="00CD553B" w:rsidRPr="00F56F9B" w:rsidRDefault="00F56F9B" w:rsidP="00F56F9B">
      <w:pPr>
        <w:pStyle w:val="Heading4"/>
        <w:rPr>
          <w:lang w:val="en-AU"/>
        </w:rPr>
      </w:pPr>
      <w:r>
        <w:t>Improving Support for Carers</w:t>
      </w:r>
    </w:p>
    <w:p w:rsidR="00CD553B" w:rsidRDefault="00CD553B" w:rsidP="00CD553B">
      <w:pPr>
        <w:rPr>
          <w:rFonts w:ascii="Calibri" w:hAnsi="Calibri" w:cs="Calibri"/>
          <w:sz w:val="24"/>
          <w:szCs w:val="24"/>
        </w:rPr>
      </w:pPr>
      <w:r w:rsidRPr="00CD553B">
        <w:rPr>
          <w:rFonts w:ascii="Calibri" w:hAnsi="Calibri" w:cs="Calibri"/>
          <w:sz w:val="24"/>
          <w:szCs w:val="24"/>
        </w:rPr>
        <w:t>CPFS’s Home for Life aims to provide long-term care options</w:t>
      </w:r>
      <w:r w:rsidR="006D5FBA">
        <w:rPr>
          <w:rFonts w:ascii="Calibri" w:hAnsi="Calibri" w:cs="Calibri"/>
          <w:sz w:val="24"/>
          <w:szCs w:val="24"/>
        </w:rPr>
        <w:t xml:space="preserve"> for </w:t>
      </w:r>
      <w:r w:rsidR="006D5FBA" w:rsidRPr="00CD553B">
        <w:rPr>
          <w:rFonts w:ascii="Calibri" w:hAnsi="Calibri" w:cs="Calibri"/>
          <w:sz w:val="24"/>
          <w:szCs w:val="24"/>
        </w:rPr>
        <w:t>those children who are unlikely to return to their home</w:t>
      </w:r>
      <w:r w:rsidR="00F309D5">
        <w:rPr>
          <w:rFonts w:ascii="Calibri" w:hAnsi="Calibri" w:cs="Calibri"/>
          <w:sz w:val="24"/>
          <w:szCs w:val="24"/>
        </w:rPr>
        <w:t>s</w:t>
      </w:r>
      <w:r w:rsidRPr="00CD553B">
        <w:rPr>
          <w:rFonts w:ascii="Calibri" w:hAnsi="Calibri" w:cs="Calibri"/>
          <w:sz w:val="24"/>
          <w:szCs w:val="24"/>
        </w:rPr>
        <w:t>.</w:t>
      </w:r>
      <w:r w:rsidR="007764A2">
        <w:rPr>
          <w:rFonts w:ascii="Calibri" w:hAnsi="Calibri" w:cs="Calibri"/>
          <w:sz w:val="24"/>
          <w:szCs w:val="24"/>
        </w:rPr>
        <w:t xml:space="preserve"> </w:t>
      </w:r>
      <w:r w:rsidRPr="00CD553B">
        <w:rPr>
          <w:rFonts w:ascii="Calibri" w:hAnsi="Calibri" w:cs="Calibri"/>
          <w:sz w:val="24"/>
          <w:szCs w:val="24"/>
        </w:rPr>
        <w:t xml:space="preserve">The program also contacts approved adoptive applicants to determine </w:t>
      </w:r>
      <w:r w:rsidR="006D5FBA">
        <w:rPr>
          <w:rFonts w:ascii="Calibri" w:hAnsi="Calibri" w:cs="Calibri"/>
          <w:sz w:val="24"/>
          <w:szCs w:val="24"/>
        </w:rPr>
        <w:t>whether</w:t>
      </w:r>
      <w:r w:rsidR="006D5FBA" w:rsidRPr="00CD553B">
        <w:rPr>
          <w:rFonts w:ascii="Calibri" w:hAnsi="Calibri" w:cs="Calibri"/>
          <w:sz w:val="24"/>
          <w:szCs w:val="24"/>
        </w:rPr>
        <w:t xml:space="preserve"> </w:t>
      </w:r>
      <w:r w:rsidRPr="00CD553B">
        <w:rPr>
          <w:rFonts w:ascii="Calibri" w:hAnsi="Calibri" w:cs="Calibri"/>
          <w:sz w:val="24"/>
          <w:szCs w:val="24"/>
        </w:rPr>
        <w:t xml:space="preserve">they would consider </w:t>
      </w:r>
      <w:r w:rsidR="00D006FF" w:rsidRPr="00CD553B">
        <w:rPr>
          <w:rFonts w:ascii="Calibri" w:hAnsi="Calibri" w:cs="Calibri"/>
          <w:sz w:val="24"/>
          <w:szCs w:val="24"/>
        </w:rPr>
        <w:t>long</w:t>
      </w:r>
      <w:r w:rsidR="00D006FF">
        <w:rPr>
          <w:rFonts w:ascii="Calibri" w:hAnsi="Calibri" w:cs="Calibri"/>
          <w:sz w:val="24"/>
          <w:szCs w:val="24"/>
        </w:rPr>
        <w:t>-</w:t>
      </w:r>
      <w:r w:rsidRPr="00CD553B">
        <w:rPr>
          <w:rFonts w:ascii="Calibri" w:hAnsi="Calibri" w:cs="Calibri"/>
          <w:sz w:val="24"/>
          <w:szCs w:val="24"/>
        </w:rPr>
        <w:t>term fostering as an alternative to adoption.</w:t>
      </w:r>
      <w:r w:rsidR="007764A2">
        <w:rPr>
          <w:rFonts w:ascii="Calibri" w:hAnsi="Calibri" w:cs="Calibri"/>
          <w:sz w:val="24"/>
          <w:szCs w:val="24"/>
        </w:rPr>
        <w:t xml:space="preserve"> </w:t>
      </w:r>
    </w:p>
    <w:p w:rsidR="00641A7B" w:rsidRDefault="00641A7B" w:rsidP="00CD553B">
      <w:pPr>
        <w:rPr>
          <w:rFonts w:ascii="Calibri" w:hAnsi="Calibri" w:cs="Calibri"/>
          <w:sz w:val="24"/>
          <w:szCs w:val="24"/>
        </w:rPr>
      </w:pPr>
    </w:p>
    <w:p w:rsidR="00CD553B" w:rsidRDefault="001C4241" w:rsidP="00CD553B">
      <w:pPr>
        <w:rPr>
          <w:rFonts w:ascii="Calibri" w:hAnsi="Calibri" w:cs="Calibri"/>
          <w:sz w:val="24"/>
          <w:szCs w:val="24"/>
        </w:rPr>
      </w:pPr>
      <w:r>
        <w:rPr>
          <w:rFonts w:ascii="Calibri" w:hAnsi="Calibri" w:cs="Calibri"/>
          <w:sz w:val="24"/>
          <w:szCs w:val="24"/>
        </w:rPr>
        <w:t>DLGC</w:t>
      </w:r>
      <w:r w:rsidR="00D006FF">
        <w:rPr>
          <w:rFonts w:ascii="Calibri" w:hAnsi="Calibri" w:cs="Calibri"/>
          <w:sz w:val="24"/>
          <w:szCs w:val="24"/>
        </w:rPr>
        <w:t>’</w:t>
      </w:r>
      <w:r>
        <w:rPr>
          <w:rFonts w:ascii="Calibri" w:hAnsi="Calibri" w:cs="Calibri"/>
          <w:sz w:val="24"/>
          <w:szCs w:val="24"/>
        </w:rPr>
        <w:t>s</w:t>
      </w:r>
      <w:r w:rsidR="00641A7B" w:rsidRPr="00641A7B">
        <w:rPr>
          <w:rFonts w:ascii="Calibri" w:hAnsi="Calibri" w:cs="Calibri"/>
          <w:sz w:val="24"/>
          <w:szCs w:val="24"/>
        </w:rPr>
        <w:t xml:space="preserve"> publication, </w:t>
      </w:r>
      <w:proofErr w:type="spellStart"/>
      <w:r w:rsidR="00641A7B" w:rsidRPr="00AE7DB5">
        <w:rPr>
          <w:rFonts w:ascii="Calibri" w:hAnsi="Calibri" w:cs="Calibri"/>
          <w:i/>
          <w:sz w:val="24"/>
          <w:szCs w:val="24"/>
        </w:rPr>
        <w:t>Grandfamilies</w:t>
      </w:r>
      <w:proofErr w:type="spellEnd"/>
      <w:r w:rsidR="00641A7B" w:rsidRPr="00641A7B">
        <w:rPr>
          <w:rFonts w:ascii="Calibri" w:hAnsi="Calibri" w:cs="Calibri"/>
          <w:sz w:val="24"/>
          <w:szCs w:val="24"/>
        </w:rPr>
        <w:t>, provides information on services for grandparents caring for grandchildren.</w:t>
      </w:r>
    </w:p>
    <w:p w:rsidR="0018422A" w:rsidRPr="00F56F9B" w:rsidRDefault="00F56F9B" w:rsidP="00F56F9B">
      <w:pPr>
        <w:pStyle w:val="Heading4"/>
        <w:rPr>
          <w:lang w:val="en-AU"/>
        </w:rPr>
      </w:pPr>
      <w:r>
        <w:t>Sector Development</w:t>
      </w:r>
    </w:p>
    <w:p w:rsidR="0018422A" w:rsidRDefault="0018422A" w:rsidP="0018422A">
      <w:pPr>
        <w:rPr>
          <w:rFonts w:ascii="Calibri" w:hAnsi="Calibri" w:cs="Calibri"/>
          <w:sz w:val="24"/>
          <w:szCs w:val="24"/>
        </w:rPr>
      </w:pPr>
      <w:r w:rsidRPr="0018422A">
        <w:rPr>
          <w:rFonts w:ascii="Calibri" w:hAnsi="Calibri" w:cs="Calibri"/>
          <w:sz w:val="24"/>
          <w:szCs w:val="24"/>
        </w:rPr>
        <w:t>CPFS has a Child Protection Workforce Model in place that:</w:t>
      </w:r>
    </w:p>
    <w:p w:rsidR="0018422A" w:rsidRPr="0018422A" w:rsidRDefault="0018422A" w:rsidP="00F5611D">
      <w:pPr>
        <w:pStyle w:val="ListBullet"/>
      </w:pPr>
      <w:r w:rsidRPr="0018422A">
        <w:t>enables the appointment and retention of skilled people, who do not hold the required tertiary qualifications, to identified district-based child protection positions</w:t>
      </w:r>
    </w:p>
    <w:p w:rsidR="0018422A" w:rsidRPr="0018422A" w:rsidRDefault="0018422A" w:rsidP="00F5611D">
      <w:pPr>
        <w:pStyle w:val="ListBullet"/>
      </w:pPr>
      <w:r w:rsidRPr="0018422A">
        <w:t xml:space="preserve">minimises the risk of employing people without qualifications in statutory child protection positions </w:t>
      </w:r>
    </w:p>
    <w:p w:rsidR="0018422A" w:rsidRPr="0018422A" w:rsidRDefault="0018422A" w:rsidP="00F5611D">
      <w:pPr>
        <w:pStyle w:val="ListBullet"/>
      </w:pPr>
      <w:r w:rsidRPr="0018422A">
        <w:t>maintains the industrial integrity of the Graduate Welfare Officer specified calling</w:t>
      </w:r>
    </w:p>
    <w:p w:rsidR="0018422A" w:rsidRPr="0018422A" w:rsidRDefault="0018422A" w:rsidP="00F5611D">
      <w:pPr>
        <w:pStyle w:val="ListBullet"/>
      </w:pPr>
      <w:proofErr w:type="gramStart"/>
      <w:r w:rsidRPr="0018422A">
        <w:t>ensures</w:t>
      </w:r>
      <w:proofErr w:type="gramEnd"/>
      <w:r w:rsidRPr="0018422A">
        <w:t xml:space="preserve"> that all Social Work qualifications are assessed by the Australian Association for Social Workers (AASW), and psychologists are registered with the Australian Psychological Society (APS).</w:t>
      </w:r>
    </w:p>
    <w:p w:rsidR="0018422A" w:rsidRPr="0018422A" w:rsidRDefault="0018422A" w:rsidP="0018422A">
      <w:pPr>
        <w:rPr>
          <w:rFonts w:ascii="Calibri" w:hAnsi="Calibri" w:cs="Calibri"/>
          <w:sz w:val="24"/>
          <w:szCs w:val="24"/>
        </w:rPr>
      </w:pPr>
    </w:p>
    <w:p w:rsidR="0018422A" w:rsidRPr="0018422A" w:rsidRDefault="0018422A" w:rsidP="0018422A">
      <w:pPr>
        <w:rPr>
          <w:rFonts w:ascii="Calibri" w:hAnsi="Calibri" w:cs="Calibri"/>
          <w:sz w:val="24"/>
          <w:szCs w:val="24"/>
        </w:rPr>
      </w:pPr>
      <w:r w:rsidRPr="0018422A">
        <w:rPr>
          <w:rFonts w:ascii="Calibri" w:hAnsi="Calibri" w:cs="Calibri"/>
          <w:sz w:val="24"/>
          <w:szCs w:val="24"/>
        </w:rPr>
        <w:t>CPFS has formal learning pathways which include comprehensive induction, orientation and advanced learning for all staff, as well as supporting individual staff to qualify for specified calling positions, commencing with the Diploma of Child, Youth and Family Intervention.</w:t>
      </w:r>
    </w:p>
    <w:p w:rsidR="0018422A" w:rsidRPr="0018422A" w:rsidRDefault="0018422A" w:rsidP="0018422A">
      <w:pPr>
        <w:rPr>
          <w:rFonts w:ascii="Calibri" w:hAnsi="Calibri" w:cs="Calibri"/>
          <w:sz w:val="24"/>
          <w:szCs w:val="24"/>
        </w:rPr>
      </w:pPr>
    </w:p>
    <w:p w:rsidR="0018422A" w:rsidRPr="0018422A" w:rsidRDefault="0018422A" w:rsidP="0018422A">
      <w:pPr>
        <w:rPr>
          <w:rFonts w:ascii="Calibri" w:hAnsi="Calibri" w:cs="Calibri"/>
          <w:sz w:val="24"/>
          <w:szCs w:val="24"/>
        </w:rPr>
      </w:pPr>
      <w:r w:rsidRPr="0018422A">
        <w:rPr>
          <w:rFonts w:ascii="Calibri" w:hAnsi="Calibri" w:cs="Calibri"/>
          <w:sz w:val="24"/>
          <w:szCs w:val="24"/>
        </w:rPr>
        <w:t>The Department of Health has undertaken an evaluation of the implementation of mandatory reporting of child sexual abuse for doctors, nurses and midwives, to identify processes that support mandatory reporting and develop strategies to increase reporting. The evaluation has resulted in a number of initiatives being implemented, including a pilot child injury surveillance program, a pathway for non-accidental injuries in children under 2 years of age presenting to hospital emergency departments, and targeted medical and forensic assessment education and training in identifying and recognising child protection issues.</w:t>
      </w:r>
    </w:p>
    <w:p w:rsidR="0018422A" w:rsidRPr="0018422A" w:rsidRDefault="0018422A" w:rsidP="0018422A">
      <w:pPr>
        <w:rPr>
          <w:rFonts w:ascii="Calibri" w:hAnsi="Calibri" w:cs="Calibri"/>
          <w:sz w:val="24"/>
          <w:szCs w:val="24"/>
        </w:rPr>
      </w:pPr>
    </w:p>
    <w:p w:rsidR="00602A6F" w:rsidRDefault="001C4241" w:rsidP="0018422A">
      <w:pPr>
        <w:rPr>
          <w:rFonts w:ascii="Calibri" w:hAnsi="Calibri" w:cs="Calibri"/>
          <w:sz w:val="24"/>
          <w:szCs w:val="24"/>
        </w:rPr>
      </w:pPr>
      <w:r>
        <w:rPr>
          <w:rFonts w:ascii="Calibri" w:hAnsi="Calibri" w:cs="Calibri"/>
          <w:sz w:val="24"/>
          <w:szCs w:val="24"/>
        </w:rPr>
        <w:t>DLGC</w:t>
      </w:r>
      <w:r w:rsidR="0018422A" w:rsidRPr="0018422A">
        <w:rPr>
          <w:rFonts w:ascii="Calibri" w:hAnsi="Calibri" w:cs="Calibri"/>
          <w:sz w:val="24"/>
          <w:szCs w:val="24"/>
        </w:rPr>
        <w:t xml:space="preserve"> facilitated training in Certificate III in Early Childhood for Aboriginal staff working in the Aboriginal Early Years Best Start program. </w:t>
      </w:r>
    </w:p>
    <w:p w:rsidR="00602A6F" w:rsidRDefault="00602A6F" w:rsidP="0018422A">
      <w:pPr>
        <w:rPr>
          <w:rFonts w:ascii="Calibri" w:hAnsi="Calibri" w:cs="Calibri"/>
          <w:sz w:val="24"/>
          <w:szCs w:val="24"/>
        </w:rPr>
      </w:pPr>
    </w:p>
    <w:p w:rsidR="0018422A" w:rsidRPr="0018422A" w:rsidRDefault="0018422A" w:rsidP="0018422A">
      <w:pPr>
        <w:rPr>
          <w:rFonts w:ascii="Calibri" w:hAnsi="Calibri" w:cs="Calibri"/>
          <w:sz w:val="24"/>
          <w:szCs w:val="24"/>
        </w:rPr>
      </w:pPr>
      <w:r w:rsidRPr="0018422A">
        <w:rPr>
          <w:rFonts w:ascii="Calibri" w:hAnsi="Calibri" w:cs="Calibri"/>
          <w:sz w:val="24"/>
          <w:szCs w:val="24"/>
        </w:rPr>
        <w:t>CPFS’s Aboriginal Learning and Development Strategy will be reviewed annually and updated using an evidence-based approach to identification of the vocational and training needs of Aboriginal staff.</w:t>
      </w:r>
    </w:p>
    <w:p w:rsidR="0018422A" w:rsidRPr="0018422A" w:rsidRDefault="0018422A" w:rsidP="0018422A">
      <w:pPr>
        <w:rPr>
          <w:rFonts w:ascii="Calibri" w:hAnsi="Calibri" w:cs="Calibri"/>
          <w:sz w:val="24"/>
          <w:szCs w:val="24"/>
        </w:rPr>
      </w:pPr>
    </w:p>
    <w:p w:rsidR="0018422A" w:rsidRDefault="00457E8B" w:rsidP="0018422A">
      <w:pPr>
        <w:rPr>
          <w:rFonts w:ascii="Calibri" w:hAnsi="Calibri" w:cs="Calibri"/>
          <w:sz w:val="24"/>
          <w:szCs w:val="24"/>
        </w:rPr>
      </w:pPr>
      <w:r w:rsidRPr="00457E8B">
        <w:rPr>
          <w:rFonts w:ascii="Calibri" w:hAnsi="Calibri" w:cs="Calibri"/>
          <w:sz w:val="24"/>
          <w:szCs w:val="24"/>
        </w:rPr>
        <w:t>The new Remote Services Framework will build upon work already undertaken and focus on increasing the cultural and professional expertise of staff working in remote communities.</w:t>
      </w:r>
    </w:p>
    <w:p w:rsidR="0017341E" w:rsidRPr="0018422A" w:rsidRDefault="0017341E" w:rsidP="0018422A">
      <w:pPr>
        <w:rPr>
          <w:rFonts w:ascii="Calibri" w:hAnsi="Calibri" w:cs="Calibri"/>
          <w:sz w:val="24"/>
          <w:szCs w:val="24"/>
        </w:rPr>
      </w:pPr>
    </w:p>
    <w:p w:rsidR="0018422A" w:rsidRPr="0018422A" w:rsidRDefault="0018422A" w:rsidP="0018422A">
      <w:pPr>
        <w:rPr>
          <w:rFonts w:ascii="Calibri" w:hAnsi="Calibri" w:cs="Calibri"/>
          <w:sz w:val="24"/>
          <w:szCs w:val="24"/>
        </w:rPr>
      </w:pPr>
      <w:r w:rsidRPr="0018422A">
        <w:rPr>
          <w:rFonts w:ascii="Calibri" w:hAnsi="Calibri" w:cs="Calibri"/>
          <w:sz w:val="24"/>
          <w:szCs w:val="24"/>
        </w:rPr>
        <w:t>WA Police have developed and implemented improved training for Specialist Child Interviewers based on leading international research, which indicates that the most accurate child testimony maximises the narrative in child interviews.</w:t>
      </w:r>
      <w:r w:rsidR="00A43557">
        <w:rPr>
          <w:rFonts w:ascii="Calibri" w:hAnsi="Calibri" w:cs="Calibri"/>
          <w:sz w:val="24"/>
          <w:szCs w:val="24"/>
        </w:rPr>
        <w:t xml:space="preserve"> </w:t>
      </w:r>
      <w:r w:rsidRPr="0018422A">
        <w:rPr>
          <w:rFonts w:ascii="Calibri" w:hAnsi="Calibri" w:cs="Calibri"/>
          <w:sz w:val="24"/>
          <w:szCs w:val="24"/>
        </w:rPr>
        <w:t xml:space="preserve">It is accessed online, increasing its availability to regional and remote areas. </w:t>
      </w:r>
    </w:p>
    <w:p w:rsidR="0018422A" w:rsidRPr="0018422A" w:rsidRDefault="0018422A" w:rsidP="0018422A">
      <w:pPr>
        <w:rPr>
          <w:rFonts w:ascii="Calibri" w:hAnsi="Calibri" w:cs="Calibri"/>
          <w:sz w:val="24"/>
          <w:szCs w:val="24"/>
        </w:rPr>
      </w:pPr>
    </w:p>
    <w:p w:rsidR="0018422A" w:rsidRPr="0018422A" w:rsidRDefault="00602A6F" w:rsidP="0018422A">
      <w:pPr>
        <w:rPr>
          <w:rFonts w:ascii="Calibri" w:hAnsi="Calibri" w:cs="Calibri"/>
          <w:sz w:val="24"/>
          <w:szCs w:val="24"/>
        </w:rPr>
      </w:pPr>
      <w:r>
        <w:rPr>
          <w:rFonts w:ascii="Calibri" w:hAnsi="Calibri" w:cs="Calibri"/>
          <w:sz w:val="24"/>
          <w:szCs w:val="24"/>
        </w:rPr>
        <w:t>DLGC</w:t>
      </w:r>
      <w:r w:rsidR="0018422A" w:rsidRPr="0018422A">
        <w:rPr>
          <w:rFonts w:ascii="Calibri" w:hAnsi="Calibri" w:cs="Calibri"/>
          <w:sz w:val="24"/>
          <w:szCs w:val="24"/>
        </w:rPr>
        <w:t xml:space="preserve"> is working with the Department of Education to provide training and mentoring through the Rural Indigenous Professional Learning initiative to facilitate the introduction of the Early Years Learning Framework in care and education services and Best Start playgroups.</w:t>
      </w:r>
    </w:p>
    <w:p w:rsidR="0018422A" w:rsidRPr="0018422A" w:rsidRDefault="0018422A" w:rsidP="0018422A">
      <w:pPr>
        <w:rPr>
          <w:rFonts w:ascii="Calibri" w:hAnsi="Calibri" w:cs="Calibri"/>
          <w:sz w:val="24"/>
          <w:szCs w:val="24"/>
        </w:rPr>
      </w:pPr>
    </w:p>
    <w:p w:rsidR="0018422A" w:rsidRPr="0018422A" w:rsidRDefault="0018422A" w:rsidP="0018422A">
      <w:pPr>
        <w:rPr>
          <w:rFonts w:ascii="Calibri" w:hAnsi="Calibri" w:cs="Calibri"/>
          <w:sz w:val="24"/>
          <w:szCs w:val="24"/>
        </w:rPr>
      </w:pPr>
      <w:r w:rsidRPr="0018422A">
        <w:rPr>
          <w:rFonts w:ascii="Calibri" w:hAnsi="Calibri" w:cs="Calibri"/>
          <w:sz w:val="24"/>
          <w:szCs w:val="24"/>
        </w:rPr>
        <w:t>CPFS will work in partnership with Challenger TAFE to raise awareness about family and domestic violence among staff and students and build the capacity of the organisation to support people experiencing or perpetrating violence. Challenger TAFE provides a number of training programs for the resources industry.</w:t>
      </w:r>
    </w:p>
    <w:p w:rsidR="0018422A" w:rsidRPr="0018422A" w:rsidRDefault="0018422A" w:rsidP="0018422A">
      <w:pPr>
        <w:rPr>
          <w:rFonts w:ascii="Calibri" w:hAnsi="Calibri" w:cs="Calibri"/>
          <w:sz w:val="24"/>
          <w:szCs w:val="24"/>
        </w:rPr>
      </w:pPr>
    </w:p>
    <w:p w:rsidR="0018422A" w:rsidRPr="0018422A" w:rsidRDefault="0018422A" w:rsidP="0018422A">
      <w:pPr>
        <w:rPr>
          <w:rFonts w:ascii="Calibri" w:hAnsi="Calibri" w:cs="Calibri"/>
          <w:sz w:val="24"/>
          <w:szCs w:val="24"/>
        </w:rPr>
      </w:pPr>
      <w:r w:rsidRPr="0018422A">
        <w:rPr>
          <w:rFonts w:ascii="Calibri" w:hAnsi="Calibri" w:cs="Calibri"/>
          <w:sz w:val="24"/>
          <w:szCs w:val="24"/>
        </w:rPr>
        <w:t xml:space="preserve">Since 2007–08, CPFS has increased the number of out-of-home care placements it provides by 115 per cent. CPFS continues to explore opportunities for building the capacity of the </w:t>
      </w:r>
      <w:r w:rsidR="00C8305C">
        <w:rPr>
          <w:rFonts w:ascii="Calibri" w:hAnsi="Calibri" w:cs="Calibri"/>
          <w:sz w:val="24"/>
          <w:szCs w:val="24"/>
        </w:rPr>
        <w:t>community</w:t>
      </w:r>
      <w:r w:rsidRPr="0018422A">
        <w:rPr>
          <w:rFonts w:ascii="Calibri" w:hAnsi="Calibri" w:cs="Calibri"/>
          <w:sz w:val="24"/>
          <w:szCs w:val="24"/>
        </w:rPr>
        <w:t xml:space="preserve"> sector that provides out-of-home care, including the transfer of family group homes the department previously operated to the </w:t>
      </w:r>
      <w:r w:rsidR="00C8305C">
        <w:rPr>
          <w:rFonts w:ascii="Calibri" w:hAnsi="Calibri" w:cs="Calibri"/>
          <w:sz w:val="24"/>
          <w:szCs w:val="24"/>
        </w:rPr>
        <w:t>community</w:t>
      </w:r>
      <w:r w:rsidRPr="0018422A">
        <w:rPr>
          <w:rFonts w:ascii="Calibri" w:hAnsi="Calibri" w:cs="Calibri"/>
          <w:sz w:val="24"/>
          <w:szCs w:val="24"/>
        </w:rPr>
        <w:t xml:space="preserve"> sector and the expansion of </w:t>
      </w:r>
      <w:r w:rsidR="00C8305C">
        <w:rPr>
          <w:rFonts w:ascii="Calibri" w:hAnsi="Calibri" w:cs="Calibri"/>
          <w:sz w:val="24"/>
          <w:szCs w:val="24"/>
        </w:rPr>
        <w:t>community sector</w:t>
      </w:r>
      <w:r w:rsidRPr="0018422A">
        <w:rPr>
          <w:rFonts w:ascii="Calibri" w:hAnsi="Calibri" w:cs="Calibri"/>
          <w:sz w:val="24"/>
          <w:szCs w:val="24"/>
        </w:rPr>
        <w:t xml:space="preserve"> funded foster care services in regional WA.</w:t>
      </w:r>
    </w:p>
    <w:p w:rsidR="0018422A" w:rsidRPr="0018422A" w:rsidRDefault="0018422A" w:rsidP="0018422A">
      <w:pPr>
        <w:rPr>
          <w:rFonts w:ascii="Calibri" w:hAnsi="Calibri" w:cs="Calibri"/>
          <w:sz w:val="24"/>
          <w:szCs w:val="24"/>
        </w:rPr>
      </w:pPr>
    </w:p>
    <w:p w:rsidR="0018422A" w:rsidRDefault="0018422A" w:rsidP="0018422A">
      <w:pPr>
        <w:rPr>
          <w:rFonts w:ascii="Calibri" w:hAnsi="Calibri" w:cs="Calibri"/>
          <w:sz w:val="24"/>
          <w:szCs w:val="24"/>
        </w:rPr>
      </w:pPr>
      <w:r w:rsidRPr="0018422A">
        <w:rPr>
          <w:rFonts w:ascii="Calibri" w:hAnsi="Calibri" w:cs="Calibri"/>
          <w:sz w:val="24"/>
          <w:szCs w:val="24"/>
        </w:rPr>
        <w:t xml:space="preserve">CPFS has a People Development Framework in place to ensure that </w:t>
      </w:r>
      <w:proofErr w:type="gramStart"/>
      <w:r w:rsidRPr="0018422A">
        <w:rPr>
          <w:rFonts w:ascii="Calibri" w:hAnsi="Calibri" w:cs="Calibri"/>
          <w:sz w:val="24"/>
          <w:szCs w:val="24"/>
        </w:rPr>
        <w:t>staff have</w:t>
      </w:r>
      <w:proofErr w:type="gramEnd"/>
      <w:r w:rsidRPr="0018422A">
        <w:rPr>
          <w:rFonts w:ascii="Calibri" w:hAnsi="Calibri" w:cs="Calibri"/>
          <w:sz w:val="24"/>
          <w:szCs w:val="24"/>
        </w:rPr>
        <w:t xml:space="preserve"> access to appropriate learning and development opportunities. Within the ‘</w:t>
      </w:r>
      <w:proofErr w:type="spellStart"/>
      <w:r w:rsidRPr="0018422A">
        <w:rPr>
          <w:rFonts w:ascii="Calibri" w:hAnsi="Calibri" w:cs="Calibri"/>
          <w:sz w:val="24"/>
          <w:szCs w:val="24"/>
        </w:rPr>
        <w:t>upskill</w:t>
      </w:r>
      <w:proofErr w:type="spellEnd"/>
      <w:r w:rsidRPr="0018422A">
        <w:rPr>
          <w:rFonts w:ascii="Calibri" w:hAnsi="Calibri" w:cs="Calibri"/>
          <w:sz w:val="24"/>
          <w:szCs w:val="24"/>
        </w:rPr>
        <w:t>’ stream of the Framework, a Festival of Learning and a Signs of Safety Gathering are held annually to showcase best practice and ‘what works’ within the department. The Festival of Learning is scheduled for November 2013 and the third Signs of Safety Gathering for November 2013.</w:t>
      </w:r>
    </w:p>
    <w:p w:rsidR="00DE6E5D" w:rsidRPr="00706368" w:rsidRDefault="00DE6E5D" w:rsidP="00F56F9B">
      <w:pPr>
        <w:pStyle w:val="Heading4"/>
      </w:pPr>
      <w:r w:rsidRPr="00706368">
        <w:t>Other Supporting Actions</w:t>
      </w:r>
    </w:p>
    <w:p w:rsidR="00CD553B" w:rsidRPr="00CD553B" w:rsidRDefault="00CD553B" w:rsidP="00CD553B">
      <w:pPr>
        <w:rPr>
          <w:rFonts w:ascii="Calibri" w:hAnsi="Calibri" w:cs="Calibri"/>
          <w:sz w:val="24"/>
          <w:szCs w:val="24"/>
        </w:rPr>
      </w:pPr>
      <w:r w:rsidRPr="00CD553B">
        <w:rPr>
          <w:rFonts w:ascii="Calibri" w:hAnsi="Calibri" w:cs="Calibri"/>
          <w:sz w:val="24"/>
          <w:szCs w:val="24"/>
        </w:rPr>
        <w:t>CPFS further integrated its Signs of Safety Child Protection Practice Framework during the year.</w:t>
      </w:r>
      <w:r w:rsidR="00A43557">
        <w:rPr>
          <w:rFonts w:ascii="Calibri" w:hAnsi="Calibri" w:cs="Calibri"/>
          <w:sz w:val="24"/>
          <w:szCs w:val="24"/>
        </w:rPr>
        <w:t xml:space="preserve"> </w:t>
      </w:r>
      <w:r w:rsidRPr="00CD553B">
        <w:rPr>
          <w:rFonts w:ascii="Calibri" w:hAnsi="Calibri" w:cs="Calibri"/>
          <w:sz w:val="24"/>
          <w:szCs w:val="24"/>
        </w:rPr>
        <w:t>This followed a comprehensive review</w:t>
      </w:r>
      <w:r w:rsidR="009B7A96">
        <w:rPr>
          <w:rFonts w:ascii="Calibri" w:hAnsi="Calibri" w:cs="Calibri"/>
          <w:sz w:val="24"/>
          <w:szCs w:val="24"/>
        </w:rPr>
        <w:t>,</w:t>
      </w:r>
      <w:r w:rsidRPr="00CD553B">
        <w:rPr>
          <w:rFonts w:ascii="Calibri" w:hAnsi="Calibri" w:cs="Calibri"/>
          <w:sz w:val="24"/>
          <w:szCs w:val="24"/>
        </w:rPr>
        <w:t xml:space="preserve"> covering the application of the principles and disciplines</w:t>
      </w:r>
      <w:r w:rsidR="009B7A96">
        <w:rPr>
          <w:rFonts w:ascii="Calibri" w:hAnsi="Calibri" w:cs="Calibri"/>
          <w:sz w:val="24"/>
          <w:szCs w:val="24"/>
        </w:rPr>
        <w:t>,</w:t>
      </w:r>
      <w:r w:rsidRPr="00CD553B">
        <w:rPr>
          <w:rFonts w:ascii="Calibri" w:hAnsi="Calibri" w:cs="Calibri"/>
          <w:sz w:val="24"/>
          <w:szCs w:val="24"/>
        </w:rPr>
        <w:t xml:space="preserve"> into the CPFS’s child protection assessment, investigation and intervention work, as well as its case planning and reunification processes.</w:t>
      </w:r>
    </w:p>
    <w:p w:rsidR="00CD553B" w:rsidRPr="00CD553B" w:rsidRDefault="00CD553B" w:rsidP="00CD553B">
      <w:pPr>
        <w:rPr>
          <w:rFonts w:ascii="Calibri" w:hAnsi="Calibri" w:cs="Calibri"/>
          <w:sz w:val="24"/>
          <w:szCs w:val="24"/>
        </w:rPr>
      </w:pPr>
    </w:p>
    <w:p w:rsidR="00D006FF" w:rsidRPr="00CD553B" w:rsidRDefault="00CD553B" w:rsidP="00D006FF">
      <w:pPr>
        <w:rPr>
          <w:rFonts w:ascii="Calibri" w:hAnsi="Calibri" w:cs="Calibri"/>
          <w:sz w:val="24"/>
          <w:szCs w:val="24"/>
        </w:rPr>
      </w:pPr>
      <w:r w:rsidRPr="00CD553B">
        <w:rPr>
          <w:rFonts w:ascii="Calibri" w:hAnsi="Calibri" w:cs="Calibri"/>
          <w:sz w:val="24"/>
          <w:szCs w:val="24"/>
        </w:rPr>
        <w:t>The increase in the rate of children coming into care in WA has been slowed significantly to less than 6 per cent</w:t>
      </w:r>
      <w:r w:rsidR="006D5FBA">
        <w:rPr>
          <w:rFonts w:ascii="Calibri" w:hAnsi="Calibri" w:cs="Calibri"/>
          <w:sz w:val="24"/>
          <w:szCs w:val="24"/>
        </w:rPr>
        <w:t xml:space="preserve"> through the use of</w:t>
      </w:r>
      <w:r w:rsidRPr="00CD553B">
        <w:rPr>
          <w:rFonts w:ascii="Calibri" w:hAnsi="Calibri" w:cs="Calibri"/>
          <w:sz w:val="24"/>
          <w:szCs w:val="24"/>
        </w:rPr>
        <w:t xml:space="preserve"> the Signs of Safety approach to child protection.</w:t>
      </w:r>
      <w:r w:rsidR="00D006FF">
        <w:rPr>
          <w:rFonts w:ascii="Calibri" w:hAnsi="Calibri" w:cs="Calibri"/>
          <w:sz w:val="24"/>
          <w:szCs w:val="24"/>
        </w:rPr>
        <w:t xml:space="preserve"> </w:t>
      </w:r>
    </w:p>
    <w:p w:rsidR="00CD553B" w:rsidRPr="00CD553B" w:rsidRDefault="00CD553B" w:rsidP="00CD553B">
      <w:pPr>
        <w:rPr>
          <w:rFonts w:ascii="Calibri" w:hAnsi="Calibri" w:cs="Calibri"/>
          <w:sz w:val="24"/>
          <w:szCs w:val="24"/>
        </w:rPr>
      </w:pPr>
    </w:p>
    <w:p w:rsidR="00CD553B" w:rsidRPr="00CD553B" w:rsidRDefault="00CD553B" w:rsidP="00CD553B">
      <w:pPr>
        <w:rPr>
          <w:rFonts w:ascii="Calibri" w:hAnsi="Calibri" w:cs="Calibri"/>
          <w:sz w:val="24"/>
          <w:szCs w:val="24"/>
        </w:rPr>
      </w:pPr>
      <w:r w:rsidRPr="00CD553B">
        <w:rPr>
          <w:rFonts w:ascii="Calibri" w:hAnsi="Calibri" w:cs="Calibri"/>
          <w:sz w:val="24"/>
          <w:szCs w:val="24"/>
        </w:rPr>
        <w:t xml:space="preserve">A review of the </w:t>
      </w:r>
      <w:r w:rsidRPr="00AC0923">
        <w:rPr>
          <w:rFonts w:ascii="Calibri" w:hAnsi="Calibri" w:cs="Calibri"/>
          <w:i/>
          <w:sz w:val="24"/>
          <w:szCs w:val="24"/>
        </w:rPr>
        <w:t>Children and Community Services Act 2004</w:t>
      </w:r>
      <w:r w:rsidRPr="00CD553B">
        <w:rPr>
          <w:rFonts w:ascii="Calibri" w:hAnsi="Calibri" w:cs="Calibri"/>
          <w:sz w:val="24"/>
          <w:szCs w:val="24"/>
        </w:rPr>
        <w:t xml:space="preserve"> was undertaken, including a review of the mandatory reporting of child sexual abuse provisions.</w:t>
      </w:r>
      <w:r w:rsidR="007764A2">
        <w:rPr>
          <w:rFonts w:ascii="Calibri" w:hAnsi="Calibri" w:cs="Calibri"/>
          <w:sz w:val="24"/>
          <w:szCs w:val="24"/>
        </w:rPr>
        <w:t xml:space="preserve"> </w:t>
      </w:r>
      <w:r w:rsidR="00AC0923">
        <w:rPr>
          <w:rFonts w:ascii="Calibri" w:hAnsi="Calibri" w:cs="Calibri"/>
          <w:sz w:val="24"/>
          <w:szCs w:val="24"/>
        </w:rPr>
        <w:t>The review</w:t>
      </w:r>
      <w:r w:rsidRPr="00CD553B">
        <w:rPr>
          <w:rFonts w:ascii="Calibri" w:hAnsi="Calibri" w:cs="Calibri"/>
          <w:sz w:val="24"/>
          <w:szCs w:val="24"/>
        </w:rPr>
        <w:t xml:space="preserve"> examined the operation and effectiveness of the Act</w:t>
      </w:r>
      <w:r w:rsidR="00D006FF">
        <w:rPr>
          <w:rFonts w:ascii="Calibri" w:hAnsi="Calibri" w:cs="Calibri"/>
          <w:sz w:val="24"/>
          <w:szCs w:val="24"/>
        </w:rPr>
        <w:t>,</w:t>
      </w:r>
      <w:r w:rsidRPr="00CD553B">
        <w:rPr>
          <w:rFonts w:ascii="Calibri" w:hAnsi="Calibri" w:cs="Calibri"/>
          <w:sz w:val="24"/>
          <w:szCs w:val="24"/>
        </w:rPr>
        <w:t xml:space="preserve"> and the Report of the Legislative Review of the </w:t>
      </w:r>
      <w:r w:rsidRPr="00AC0923">
        <w:rPr>
          <w:rFonts w:ascii="Calibri" w:hAnsi="Calibri" w:cs="Calibri"/>
          <w:i/>
          <w:sz w:val="24"/>
          <w:szCs w:val="24"/>
        </w:rPr>
        <w:t>Children and Community Services Act 2004</w:t>
      </w:r>
      <w:r w:rsidRPr="00CD553B">
        <w:rPr>
          <w:rFonts w:ascii="Calibri" w:hAnsi="Calibri" w:cs="Calibri"/>
          <w:sz w:val="24"/>
          <w:szCs w:val="24"/>
        </w:rPr>
        <w:t xml:space="preserve"> was tabled in Parliament in November 2012.</w:t>
      </w:r>
    </w:p>
    <w:p w:rsidR="001B1A51" w:rsidRPr="00821556" w:rsidRDefault="003C7774" w:rsidP="007D2044">
      <w:pPr>
        <w:pStyle w:val="Heading2"/>
      </w:pPr>
      <w:bookmarkStart w:id="172" w:name="_Toc400007756"/>
      <w:bookmarkStart w:id="173" w:name="_Toc400711488"/>
      <w:r w:rsidRPr="00821556">
        <w:t>Measuring progress</w:t>
      </w:r>
      <w:bookmarkEnd w:id="172"/>
      <w:bookmarkEnd w:id="173"/>
    </w:p>
    <w:p w:rsidR="00D0122C" w:rsidRPr="00706368" w:rsidRDefault="00D0122C" w:rsidP="007D2044">
      <w:pPr>
        <w:pStyle w:val="Heading3"/>
      </w:pPr>
      <w:bookmarkStart w:id="174" w:name="_Toc400007757"/>
      <w:r w:rsidRPr="00706368">
        <w:t xml:space="preserve">Child protection </w:t>
      </w:r>
      <w:proofErr w:type="spellStart"/>
      <w:r w:rsidRPr="00706368">
        <w:t>resubstantiations</w:t>
      </w:r>
      <w:bookmarkEnd w:id="174"/>
      <w:proofErr w:type="spellEnd"/>
    </w:p>
    <w:p w:rsidR="00D0122C" w:rsidRDefault="00D0122C" w:rsidP="004B3342">
      <w:pPr>
        <w:pStyle w:val="Heading4a"/>
      </w:pPr>
      <w:r>
        <w:t xml:space="preserve">Indicator </w:t>
      </w:r>
      <w:r w:rsidRPr="0060478E">
        <w:t>4.1</w:t>
      </w:r>
      <w:r>
        <w:t xml:space="preserve">: </w:t>
      </w:r>
      <w:r w:rsidRPr="0060478E">
        <w:t xml:space="preserve">Rate of children aged 0–17 years who were the subject of a child protection </w:t>
      </w:r>
      <w:proofErr w:type="spellStart"/>
      <w:r w:rsidRPr="0060478E">
        <w:t>resubstantiation</w:t>
      </w:r>
      <w:proofErr w:type="spellEnd"/>
      <w:r w:rsidRPr="0060478E">
        <w:t xml:space="preserve"> in a given year</w:t>
      </w:r>
    </w:p>
    <w:p w:rsidR="00D0122C" w:rsidRDefault="00D0122C" w:rsidP="00D0122C">
      <w:pPr>
        <w:rPr>
          <w:rFonts w:ascii="Calibri" w:hAnsi="Calibri" w:cs="Calibri"/>
          <w:sz w:val="24"/>
          <w:szCs w:val="24"/>
          <w:lang w:eastAsia="en-AU"/>
        </w:rPr>
      </w:pPr>
    </w:p>
    <w:p w:rsidR="00D0122C" w:rsidRDefault="00D0122C" w:rsidP="00D0122C">
      <w:pPr>
        <w:rPr>
          <w:rFonts w:ascii="Calibri" w:hAnsi="Calibri" w:cs="Calibri"/>
          <w:sz w:val="24"/>
          <w:szCs w:val="24"/>
          <w:lang w:eastAsia="en-AU"/>
        </w:rPr>
      </w:pPr>
      <w:proofErr w:type="spellStart"/>
      <w:r>
        <w:rPr>
          <w:rFonts w:ascii="Calibri" w:hAnsi="Calibri" w:cs="Calibri"/>
          <w:sz w:val="24"/>
          <w:szCs w:val="24"/>
          <w:lang w:eastAsia="en-AU"/>
        </w:rPr>
        <w:t>Re</w:t>
      </w:r>
      <w:r w:rsidRPr="00030E95">
        <w:rPr>
          <w:rFonts w:ascii="Calibri" w:hAnsi="Calibri" w:cs="Calibri"/>
          <w:sz w:val="24"/>
          <w:szCs w:val="24"/>
          <w:lang w:eastAsia="en-AU"/>
        </w:rPr>
        <w:t>substantiation</w:t>
      </w:r>
      <w:proofErr w:type="spellEnd"/>
      <w:r w:rsidRPr="00030E95">
        <w:rPr>
          <w:rFonts w:ascii="Calibri" w:hAnsi="Calibri" w:cs="Calibri"/>
          <w:sz w:val="24"/>
          <w:szCs w:val="24"/>
          <w:lang w:eastAsia="en-AU"/>
        </w:rPr>
        <w:t xml:space="preserve"> rates </w:t>
      </w:r>
      <w:r>
        <w:rPr>
          <w:rFonts w:ascii="Calibri" w:hAnsi="Calibri" w:cs="Calibri"/>
          <w:sz w:val="24"/>
          <w:szCs w:val="24"/>
          <w:lang w:eastAsia="en-AU"/>
        </w:rPr>
        <w:t>are a broad indicator of</w:t>
      </w:r>
      <w:r w:rsidRPr="00030E95">
        <w:rPr>
          <w:rFonts w:ascii="Calibri" w:hAnsi="Calibri" w:cs="Calibri"/>
          <w:sz w:val="24"/>
          <w:szCs w:val="24"/>
          <w:lang w:eastAsia="en-AU"/>
        </w:rPr>
        <w:t xml:space="preserve"> the recurrence of abuse</w:t>
      </w:r>
      <w:r>
        <w:rPr>
          <w:rFonts w:ascii="Calibri" w:hAnsi="Calibri" w:cs="Calibri"/>
          <w:sz w:val="24"/>
          <w:szCs w:val="24"/>
          <w:lang w:eastAsia="en-AU"/>
        </w:rPr>
        <w:t xml:space="preserve">, </w:t>
      </w:r>
      <w:r w:rsidRPr="00030E95">
        <w:rPr>
          <w:rFonts w:ascii="Calibri" w:hAnsi="Calibri" w:cs="Calibri"/>
          <w:sz w:val="24"/>
          <w:szCs w:val="24"/>
          <w:lang w:eastAsia="en-AU"/>
        </w:rPr>
        <w:t>neglect or harm to children</w:t>
      </w:r>
      <w:r>
        <w:rPr>
          <w:rFonts w:ascii="Calibri" w:hAnsi="Calibri" w:cs="Calibri"/>
          <w:sz w:val="24"/>
          <w:szCs w:val="24"/>
          <w:lang w:eastAsia="en-AU"/>
        </w:rPr>
        <w:t xml:space="preserve">. </w:t>
      </w:r>
      <w:proofErr w:type="spellStart"/>
      <w:r>
        <w:rPr>
          <w:rFonts w:ascii="Calibri" w:hAnsi="Calibri" w:cs="Calibri"/>
          <w:sz w:val="24"/>
          <w:szCs w:val="24"/>
          <w:lang w:eastAsia="en-AU"/>
        </w:rPr>
        <w:t>Resubstantiations</w:t>
      </w:r>
      <w:proofErr w:type="spellEnd"/>
      <w:r>
        <w:rPr>
          <w:rFonts w:ascii="Calibri" w:hAnsi="Calibri" w:cs="Calibri"/>
          <w:sz w:val="24"/>
          <w:szCs w:val="24"/>
          <w:lang w:eastAsia="en-AU"/>
        </w:rPr>
        <w:t xml:space="preserve"> capture cases that have been </w:t>
      </w:r>
      <w:r w:rsidRPr="00C51B56">
        <w:rPr>
          <w:rFonts w:ascii="Calibri" w:hAnsi="Calibri" w:cs="Calibri"/>
          <w:sz w:val="24"/>
          <w:szCs w:val="24"/>
          <w:lang w:eastAsia="en-AU"/>
        </w:rPr>
        <w:t>reported to the state and territory departments responsible for child protection.</w:t>
      </w:r>
      <w:r>
        <w:rPr>
          <w:rFonts w:ascii="Calibri" w:hAnsi="Calibri" w:cs="Calibri"/>
          <w:sz w:val="24"/>
          <w:szCs w:val="24"/>
          <w:lang w:eastAsia="en-AU"/>
        </w:rPr>
        <w:t xml:space="preserve"> Note that </w:t>
      </w:r>
      <w:r w:rsidRPr="00B3014E">
        <w:rPr>
          <w:rFonts w:ascii="Calibri" w:hAnsi="Calibri" w:cs="Calibri"/>
          <w:sz w:val="24"/>
          <w:szCs w:val="24"/>
          <w:lang w:eastAsia="en-AU"/>
        </w:rPr>
        <w:t xml:space="preserve">cases of </w:t>
      </w:r>
      <w:proofErr w:type="spellStart"/>
      <w:r w:rsidRPr="00B3014E">
        <w:rPr>
          <w:rFonts w:ascii="Calibri" w:hAnsi="Calibri" w:cs="Calibri"/>
          <w:sz w:val="24"/>
          <w:szCs w:val="24"/>
          <w:lang w:eastAsia="en-AU"/>
        </w:rPr>
        <w:t>resubstantiation</w:t>
      </w:r>
      <w:proofErr w:type="spellEnd"/>
      <w:r w:rsidRPr="00B3014E">
        <w:rPr>
          <w:rFonts w:ascii="Calibri" w:hAnsi="Calibri" w:cs="Calibri"/>
          <w:sz w:val="24"/>
          <w:szCs w:val="24"/>
          <w:lang w:eastAsia="en-AU"/>
        </w:rPr>
        <w:t xml:space="preserve"> do not necessarily imply that child protection agencies have failed to protect children from repeated abuse</w:t>
      </w:r>
      <w:r>
        <w:rPr>
          <w:rFonts w:ascii="Calibri" w:hAnsi="Calibri" w:cs="Calibri"/>
          <w:sz w:val="24"/>
          <w:szCs w:val="24"/>
          <w:lang w:eastAsia="en-AU"/>
        </w:rPr>
        <w:t>, because the</w:t>
      </w:r>
      <w:r w:rsidRPr="00B3014E">
        <w:rPr>
          <w:rFonts w:ascii="Calibri" w:hAnsi="Calibri" w:cs="Calibri"/>
          <w:sz w:val="24"/>
          <w:szCs w:val="24"/>
          <w:lang w:eastAsia="en-AU"/>
        </w:rPr>
        <w:t xml:space="preserve"> </w:t>
      </w:r>
      <w:proofErr w:type="spellStart"/>
      <w:r w:rsidRPr="00B3014E">
        <w:rPr>
          <w:rFonts w:ascii="Calibri" w:hAnsi="Calibri" w:cs="Calibri"/>
          <w:sz w:val="24"/>
          <w:szCs w:val="24"/>
          <w:lang w:eastAsia="en-AU"/>
        </w:rPr>
        <w:t>resubstantiation</w:t>
      </w:r>
      <w:proofErr w:type="spellEnd"/>
      <w:r w:rsidRPr="00B3014E">
        <w:rPr>
          <w:rFonts w:ascii="Calibri" w:hAnsi="Calibri" w:cs="Calibri"/>
          <w:sz w:val="24"/>
          <w:szCs w:val="24"/>
          <w:lang w:eastAsia="en-AU"/>
        </w:rPr>
        <w:t xml:space="preserve"> rate is affected by the finalisation of investigations and </w:t>
      </w:r>
      <w:r>
        <w:rPr>
          <w:rFonts w:ascii="Calibri" w:hAnsi="Calibri" w:cs="Calibri"/>
          <w:sz w:val="24"/>
          <w:szCs w:val="24"/>
          <w:lang w:eastAsia="en-AU"/>
        </w:rPr>
        <w:t xml:space="preserve">also </w:t>
      </w:r>
      <w:r w:rsidRPr="00B3014E">
        <w:rPr>
          <w:rFonts w:ascii="Calibri" w:hAnsi="Calibri" w:cs="Calibri"/>
          <w:sz w:val="24"/>
          <w:szCs w:val="24"/>
          <w:lang w:eastAsia="en-AU"/>
        </w:rPr>
        <w:t>by factors beyond the control of the child protection system, such as changes in family situations (for example, illness, pregnancy or unemployment), which may place children in danger of being re-abused or neglected.</w:t>
      </w:r>
    </w:p>
    <w:p w:rsidR="00D0122C" w:rsidRDefault="00D0122C" w:rsidP="00D0122C">
      <w:pPr>
        <w:rPr>
          <w:rFonts w:ascii="Calibri" w:hAnsi="Calibri" w:cs="Calibri"/>
          <w:sz w:val="24"/>
          <w:szCs w:val="24"/>
          <w:lang w:eastAsia="en-AU"/>
        </w:rPr>
      </w:pPr>
    </w:p>
    <w:p w:rsidR="00D0122C" w:rsidRDefault="00D0122C" w:rsidP="00D0122C">
      <w:pPr>
        <w:rPr>
          <w:rFonts w:ascii="Calibri" w:hAnsi="Calibri" w:cs="Calibri"/>
          <w:sz w:val="24"/>
          <w:szCs w:val="24"/>
          <w:lang w:eastAsia="en-AU"/>
        </w:rPr>
      </w:pPr>
      <w:proofErr w:type="spellStart"/>
      <w:r w:rsidRPr="00905767">
        <w:rPr>
          <w:rFonts w:ascii="Calibri" w:hAnsi="Calibri" w:cs="Calibri"/>
          <w:sz w:val="24"/>
          <w:szCs w:val="24"/>
          <w:lang w:eastAsia="en-AU"/>
        </w:rPr>
        <w:t>Resubstantiation</w:t>
      </w:r>
      <w:proofErr w:type="spellEnd"/>
      <w:r w:rsidRPr="00905767">
        <w:rPr>
          <w:rFonts w:ascii="Calibri" w:hAnsi="Calibri" w:cs="Calibri"/>
          <w:sz w:val="24"/>
          <w:szCs w:val="24"/>
          <w:lang w:eastAsia="en-AU"/>
        </w:rPr>
        <w:t xml:space="preserve"> </w:t>
      </w:r>
      <w:r>
        <w:rPr>
          <w:rFonts w:ascii="Calibri" w:hAnsi="Calibri" w:cs="Calibri"/>
          <w:sz w:val="24"/>
          <w:szCs w:val="24"/>
          <w:lang w:eastAsia="en-AU"/>
        </w:rPr>
        <w:t>data capture</w:t>
      </w:r>
      <w:r w:rsidRPr="00905767">
        <w:rPr>
          <w:rFonts w:ascii="Calibri" w:hAnsi="Calibri" w:cs="Calibri"/>
          <w:sz w:val="24"/>
          <w:szCs w:val="24"/>
          <w:lang w:eastAsia="en-AU"/>
        </w:rPr>
        <w:t xml:space="preserve"> children who were the subject of </w:t>
      </w:r>
      <w:proofErr w:type="gramStart"/>
      <w:r w:rsidRPr="00905767">
        <w:rPr>
          <w:rFonts w:ascii="Calibri" w:hAnsi="Calibri" w:cs="Calibri"/>
          <w:sz w:val="24"/>
          <w:szCs w:val="24"/>
          <w:lang w:eastAsia="en-AU"/>
        </w:rPr>
        <w:t>a substantiation</w:t>
      </w:r>
      <w:proofErr w:type="gramEnd"/>
      <w:r w:rsidRPr="00905767">
        <w:rPr>
          <w:rFonts w:ascii="Calibri" w:hAnsi="Calibri" w:cs="Calibri"/>
          <w:sz w:val="24"/>
          <w:szCs w:val="24"/>
          <w:lang w:eastAsia="en-AU"/>
        </w:rPr>
        <w:t xml:space="preserve"> in the previous financial year, who were subsequently the subject of a further substantiation within the following</w:t>
      </w:r>
      <w:r w:rsidR="0019085E">
        <w:rPr>
          <w:rFonts w:ascii="Calibri" w:hAnsi="Calibri" w:cs="Calibri"/>
          <w:sz w:val="24"/>
          <w:szCs w:val="24"/>
          <w:lang w:eastAsia="en-AU"/>
        </w:rPr>
        <w:t xml:space="preserve"> 3</w:t>
      </w:r>
      <w:r w:rsidR="0019085E" w:rsidRPr="00905767">
        <w:rPr>
          <w:rFonts w:ascii="Calibri" w:hAnsi="Calibri" w:cs="Calibri"/>
          <w:sz w:val="24"/>
          <w:szCs w:val="24"/>
          <w:lang w:eastAsia="en-AU"/>
        </w:rPr>
        <w:t xml:space="preserve"> </w:t>
      </w:r>
      <w:r w:rsidRPr="00905767">
        <w:rPr>
          <w:rFonts w:ascii="Calibri" w:hAnsi="Calibri" w:cs="Calibri"/>
          <w:sz w:val="24"/>
          <w:szCs w:val="24"/>
          <w:lang w:eastAsia="en-AU"/>
        </w:rPr>
        <w:t>or 12 months. The year reported relates to the year of the original substantiation.</w:t>
      </w:r>
    </w:p>
    <w:p w:rsidR="00D0122C" w:rsidRDefault="00D0122C" w:rsidP="00D0122C">
      <w:pPr>
        <w:rPr>
          <w:rFonts w:ascii="Calibri" w:hAnsi="Calibri" w:cs="Calibri"/>
          <w:sz w:val="24"/>
          <w:szCs w:val="24"/>
          <w:lang w:eastAsia="en-AU"/>
        </w:rPr>
      </w:pPr>
    </w:p>
    <w:p w:rsidR="00D0122C" w:rsidRDefault="00D0122C" w:rsidP="00D0122C">
      <w:pPr>
        <w:rPr>
          <w:rFonts w:ascii="Calibri" w:hAnsi="Calibri" w:cs="Calibri"/>
          <w:sz w:val="24"/>
          <w:szCs w:val="24"/>
          <w:lang w:eastAsia="en-AU"/>
        </w:rPr>
      </w:pPr>
      <w:r>
        <w:rPr>
          <w:rFonts w:ascii="Calibri" w:hAnsi="Calibri" w:cs="Calibri"/>
          <w:sz w:val="24"/>
          <w:szCs w:val="24"/>
          <w:lang w:eastAsia="en-AU"/>
        </w:rPr>
        <w:t xml:space="preserve">Of all children who were the subject of </w:t>
      </w:r>
      <w:proofErr w:type="gramStart"/>
      <w:r>
        <w:rPr>
          <w:rFonts w:ascii="Calibri" w:hAnsi="Calibri" w:cs="Calibri"/>
          <w:sz w:val="24"/>
          <w:szCs w:val="24"/>
          <w:lang w:eastAsia="en-AU"/>
        </w:rPr>
        <w:t>a substantiation</w:t>
      </w:r>
      <w:proofErr w:type="gramEnd"/>
      <w:r>
        <w:rPr>
          <w:rFonts w:ascii="Calibri" w:hAnsi="Calibri" w:cs="Calibri"/>
          <w:sz w:val="24"/>
          <w:szCs w:val="24"/>
          <w:lang w:eastAsia="en-AU"/>
        </w:rPr>
        <w:t xml:space="preserve"> in 2010–11, </w:t>
      </w:r>
      <w:r w:rsidRPr="00E8696E">
        <w:rPr>
          <w:rFonts w:ascii="Calibri" w:hAnsi="Calibri" w:cs="Calibri"/>
          <w:sz w:val="24"/>
          <w:szCs w:val="24"/>
          <w:lang w:eastAsia="en-AU"/>
        </w:rPr>
        <w:t>7</w:t>
      </w:r>
      <w:r>
        <w:rPr>
          <w:rFonts w:ascii="Calibri" w:hAnsi="Calibri" w:cs="Calibri"/>
          <w:sz w:val="24"/>
          <w:szCs w:val="24"/>
          <w:lang w:eastAsia="en-AU"/>
        </w:rPr>
        <w:t xml:space="preserve"> per cent had a subsequent substantiation within </w:t>
      </w:r>
      <w:r w:rsidR="0019085E">
        <w:rPr>
          <w:rFonts w:ascii="Calibri" w:hAnsi="Calibri" w:cs="Calibri"/>
          <w:sz w:val="24"/>
          <w:szCs w:val="24"/>
          <w:lang w:eastAsia="en-AU"/>
        </w:rPr>
        <w:t>three</w:t>
      </w:r>
      <w:r>
        <w:rPr>
          <w:rFonts w:ascii="Calibri" w:hAnsi="Calibri" w:cs="Calibri"/>
          <w:sz w:val="24"/>
          <w:szCs w:val="24"/>
          <w:lang w:eastAsia="en-AU"/>
        </w:rPr>
        <w:t xml:space="preserve"> months, and </w:t>
      </w:r>
      <w:r w:rsidRPr="00E8696E">
        <w:rPr>
          <w:rFonts w:ascii="Calibri" w:hAnsi="Calibri" w:cs="Calibri"/>
          <w:sz w:val="24"/>
          <w:szCs w:val="24"/>
          <w:lang w:eastAsia="en-AU"/>
        </w:rPr>
        <w:t>17</w:t>
      </w:r>
      <w:r>
        <w:rPr>
          <w:rFonts w:ascii="Calibri" w:hAnsi="Calibri" w:cs="Calibri"/>
          <w:sz w:val="24"/>
          <w:szCs w:val="24"/>
          <w:lang w:eastAsia="en-AU"/>
        </w:rPr>
        <w:t xml:space="preserve"> per cent </w:t>
      </w:r>
      <w:r w:rsidRPr="00DF0F14">
        <w:rPr>
          <w:rFonts w:ascii="Calibri" w:hAnsi="Calibri" w:cs="Calibri"/>
          <w:sz w:val="24"/>
          <w:szCs w:val="24"/>
          <w:lang w:eastAsia="en-AU"/>
        </w:rPr>
        <w:t xml:space="preserve">had a subsequent substantiation within </w:t>
      </w:r>
      <w:r>
        <w:rPr>
          <w:rFonts w:ascii="Calibri" w:hAnsi="Calibri" w:cs="Calibri"/>
          <w:sz w:val="24"/>
          <w:szCs w:val="24"/>
          <w:lang w:eastAsia="en-AU"/>
        </w:rPr>
        <w:t>12</w:t>
      </w:r>
      <w:r w:rsidRPr="00DF0F14">
        <w:rPr>
          <w:rFonts w:ascii="Calibri" w:hAnsi="Calibri" w:cs="Calibri"/>
          <w:sz w:val="24"/>
          <w:szCs w:val="24"/>
          <w:lang w:eastAsia="en-AU"/>
        </w:rPr>
        <w:t xml:space="preserve"> months</w:t>
      </w:r>
      <w:r>
        <w:rPr>
          <w:rFonts w:ascii="Calibri" w:hAnsi="Calibri" w:cs="Calibri"/>
          <w:sz w:val="24"/>
          <w:szCs w:val="24"/>
          <w:lang w:eastAsia="en-AU"/>
        </w:rPr>
        <w:t xml:space="preserve">. Similar patterns were found in </w:t>
      </w:r>
      <w:r w:rsidRPr="00F23B57">
        <w:rPr>
          <w:rFonts w:ascii="Calibri" w:hAnsi="Calibri" w:cs="Calibri"/>
          <w:sz w:val="24"/>
          <w:szCs w:val="24"/>
          <w:lang w:eastAsia="en-AU"/>
        </w:rPr>
        <w:t>2008–09</w:t>
      </w:r>
      <w:r>
        <w:rPr>
          <w:rFonts w:ascii="Calibri" w:hAnsi="Calibri" w:cs="Calibri"/>
          <w:sz w:val="24"/>
          <w:szCs w:val="24"/>
          <w:lang w:eastAsia="en-AU"/>
        </w:rPr>
        <w:t xml:space="preserve"> and </w:t>
      </w:r>
      <w:r w:rsidRPr="00F23B57">
        <w:rPr>
          <w:rFonts w:ascii="Calibri" w:hAnsi="Calibri" w:cs="Calibri"/>
          <w:sz w:val="24"/>
          <w:szCs w:val="24"/>
          <w:lang w:eastAsia="en-AU"/>
        </w:rPr>
        <w:t>2009–10</w:t>
      </w:r>
      <w:r>
        <w:rPr>
          <w:rFonts w:ascii="Calibri" w:hAnsi="Calibri" w:cs="Calibri"/>
          <w:sz w:val="24"/>
          <w:szCs w:val="24"/>
          <w:lang w:eastAsia="en-AU"/>
        </w:rPr>
        <w:t>.</w:t>
      </w:r>
    </w:p>
    <w:p w:rsidR="00D0122C" w:rsidRPr="00030E95" w:rsidRDefault="00D0122C" w:rsidP="00D0122C">
      <w:pPr>
        <w:rPr>
          <w:rFonts w:ascii="Calibri" w:hAnsi="Calibri" w:cs="Calibri"/>
          <w:sz w:val="24"/>
          <w:szCs w:val="24"/>
          <w:lang w:eastAsia="en-AU"/>
        </w:rPr>
      </w:pPr>
    </w:p>
    <w:p w:rsidR="00F56F9B" w:rsidRDefault="00F56F9B">
      <w:pPr>
        <w:rPr>
          <w:rFonts w:ascii="Arial" w:hAnsi="Arial"/>
          <w:b/>
        </w:rPr>
      </w:pPr>
      <w:bookmarkStart w:id="175" w:name="_Toc400010304"/>
      <w:r>
        <w:br w:type="page"/>
      </w:r>
    </w:p>
    <w:p w:rsidR="00D0122C" w:rsidRPr="001B56CA" w:rsidRDefault="0074031D" w:rsidP="00520DEC">
      <w:pPr>
        <w:pStyle w:val="Figure"/>
        <w:ind w:right="2527"/>
      </w:pPr>
      <w:r>
        <w:t xml:space="preserve">Table </w:t>
      </w:r>
      <w:fldSimple w:instr=" SEQ Table \* ARABIC ">
        <w:r w:rsidR="00BF1EC9">
          <w:rPr>
            <w:noProof/>
          </w:rPr>
          <w:t>18</w:t>
        </w:r>
      </w:fldSimple>
      <w:r>
        <w:t xml:space="preserve">: </w:t>
      </w:r>
      <w:r w:rsidRPr="001B56CA">
        <w:t xml:space="preserve">Children who were the subject of a </w:t>
      </w:r>
      <w:proofErr w:type="spellStart"/>
      <w:r>
        <w:t>resubstantiation</w:t>
      </w:r>
      <w:proofErr w:type="spellEnd"/>
      <w:r>
        <w:t xml:space="preserve"> </w:t>
      </w:r>
      <w:r w:rsidRPr="001B56CA">
        <w:t xml:space="preserve">within 3 and/or 12 months, </w:t>
      </w:r>
      <w:r>
        <w:t xml:space="preserve">2008–09 to </w:t>
      </w:r>
      <w:r w:rsidRPr="001B56CA">
        <w:t>2010</w:t>
      </w:r>
      <w:r>
        <w:t>–</w:t>
      </w:r>
      <w:r w:rsidRPr="001B56CA">
        <w:t>11</w:t>
      </w:r>
      <w:bookmarkEnd w:id="175"/>
    </w:p>
    <w:tbl>
      <w:tblPr>
        <w:tblW w:w="0" w:type="auto"/>
        <w:tblLayout w:type="fixed"/>
        <w:tblLook w:val="04A0" w:firstRow="1" w:lastRow="0" w:firstColumn="1" w:lastColumn="0" w:noHBand="0" w:noVBand="1"/>
        <w:tblDescription w:val="Table 18: Children who were the subject of a resubstantiation within 3 and/or 12 months, 2008–09 to 2010–11"/>
      </w:tblPr>
      <w:tblGrid>
        <w:gridCol w:w="3794"/>
        <w:gridCol w:w="1464"/>
        <w:gridCol w:w="1607"/>
        <w:gridCol w:w="1607"/>
      </w:tblGrid>
      <w:tr w:rsidR="00D0122C" w:rsidRPr="00821556" w:rsidTr="00257E30">
        <w:tc>
          <w:tcPr>
            <w:tcW w:w="3794" w:type="dxa"/>
            <w:tcBorders>
              <w:top w:val="single" w:sz="4" w:space="0" w:color="auto"/>
              <w:bottom w:val="single" w:sz="4" w:space="0" w:color="auto"/>
            </w:tcBorders>
            <w:shd w:val="clear" w:color="auto" w:fill="auto"/>
          </w:tcPr>
          <w:p w:rsidR="00D0122C" w:rsidRPr="00257E30" w:rsidRDefault="00257E30" w:rsidP="00135409">
            <w:pPr>
              <w:keepLines/>
              <w:tabs>
                <w:tab w:val="left" w:pos="198"/>
              </w:tabs>
              <w:spacing w:before="60" w:after="60" w:line="200" w:lineRule="atLeast"/>
              <w:rPr>
                <w:rFonts w:ascii="Arial" w:hAnsi="Arial"/>
                <w:b/>
                <w:color w:val="000000"/>
                <w:sz w:val="16"/>
                <w:lang w:eastAsia="en-US"/>
              </w:rPr>
            </w:pPr>
            <w:r w:rsidRPr="00257E30">
              <w:rPr>
                <w:rFonts w:ascii="Arial" w:hAnsi="Arial"/>
                <w:b/>
                <w:color w:val="000000"/>
                <w:sz w:val="16"/>
                <w:lang w:eastAsia="en-US"/>
              </w:rPr>
              <w:t xml:space="preserve">Subject of a </w:t>
            </w:r>
            <w:proofErr w:type="spellStart"/>
            <w:r w:rsidRPr="00257E30">
              <w:rPr>
                <w:rFonts w:ascii="Arial" w:hAnsi="Arial"/>
                <w:b/>
                <w:color w:val="000000"/>
                <w:sz w:val="16"/>
                <w:lang w:eastAsia="en-US"/>
              </w:rPr>
              <w:t>resubstantiation</w:t>
            </w:r>
            <w:proofErr w:type="spellEnd"/>
            <w:r w:rsidRPr="00257E30">
              <w:rPr>
                <w:rFonts w:ascii="Arial" w:hAnsi="Arial"/>
                <w:b/>
                <w:color w:val="000000"/>
                <w:sz w:val="16"/>
                <w:lang w:eastAsia="en-US"/>
              </w:rPr>
              <w:t xml:space="preserve"> within 3 months</w:t>
            </w:r>
          </w:p>
        </w:tc>
        <w:tc>
          <w:tcPr>
            <w:tcW w:w="1464" w:type="dxa"/>
            <w:tcBorders>
              <w:top w:val="single" w:sz="4" w:space="0" w:color="auto"/>
              <w:bottom w:val="single" w:sz="4" w:space="0" w:color="auto"/>
            </w:tcBorders>
            <w:shd w:val="clear" w:color="auto" w:fill="auto"/>
          </w:tcPr>
          <w:p w:rsidR="00D0122C" w:rsidRPr="00C87565" w:rsidRDefault="00D0122C" w:rsidP="00135409">
            <w:pPr>
              <w:keepLines/>
              <w:tabs>
                <w:tab w:val="left" w:pos="198"/>
              </w:tabs>
              <w:spacing w:before="60" w:after="60" w:line="200" w:lineRule="atLeast"/>
              <w:jc w:val="right"/>
              <w:rPr>
                <w:rFonts w:ascii="Arial" w:hAnsi="Arial"/>
                <w:b/>
                <w:color w:val="000000"/>
                <w:sz w:val="16"/>
                <w:lang w:eastAsia="en-US"/>
              </w:rPr>
            </w:pPr>
            <w:r w:rsidRPr="001B56CA">
              <w:rPr>
                <w:rFonts w:ascii="Arial" w:hAnsi="Arial"/>
                <w:b/>
                <w:color w:val="000000"/>
                <w:sz w:val="16"/>
                <w:lang w:eastAsia="en-US"/>
              </w:rPr>
              <w:t>2008–09</w:t>
            </w:r>
          </w:p>
        </w:tc>
        <w:tc>
          <w:tcPr>
            <w:tcW w:w="1607" w:type="dxa"/>
            <w:tcBorders>
              <w:top w:val="single" w:sz="4" w:space="0" w:color="auto"/>
              <w:bottom w:val="single" w:sz="4" w:space="0" w:color="auto"/>
            </w:tcBorders>
          </w:tcPr>
          <w:p w:rsidR="00D0122C" w:rsidRPr="00C87565" w:rsidRDefault="00D0122C" w:rsidP="00135409">
            <w:pPr>
              <w:keepLines/>
              <w:tabs>
                <w:tab w:val="left" w:pos="198"/>
              </w:tabs>
              <w:spacing w:before="60" w:after="60" w:line="200" w:lineRule="atLeast"/>
              <w:jc w:val="right"/>
              <w:rPr>
                <w:rFonts w:ascii="Arial" w:hAnsi="Arial"/>
                <w:b/>
                <w:color w:val="000000"/>
                <w:sz w:val="16"/>
                <w:lang w:eastAsia="en-US"/>
              </w:rPr>
            </w:pPr>
            <w:r>
              <w:rPr>
                <w:rFonts w:ascii="Arial" w:hAnsi="Arial"/>
                <w:b/>
                <w:color w:val="000000"/>
                <w:sz w:val="16"/>
                <w:lang w:eastAsia="en-US"/>
              </w:rPr>
              <w:t>2009</w:t>
            </w:r>
            <w:r w:rsidRPr="001B56CA">
              <w:rPr>
                <w:rFonts w:ascii="Arial" w:hAnsi="Arial"/>
                <w:b/>
                <w:color w:val="000000"/>
                <w:sz w:val="16"/>
                <w:lang w:eastAsia="en-US"/>
              </w:rPr>
              <w:t>–1</w:t>
            </w:r>
            <w:r>
              <w:rPr>
                <w:rFonts w:ascii="Arial" w:hAnsi="Arial"/>
                <w:b/>
                <w:color w:val="000000"/>
                <w:sz w:val="16"/>
                <w:lang w:eastAsia="en-US"/>
              </w:rPr>
              <w:t>0</w:t>
            </w:r>
          </w:p>
        </w:tc>
        <w:tc>
          <w:tcPr>
            <w:tcW w:w="1607" w:type="dxa"/>
            <w:tcBorders>
              <w:top w:val="single" w:sz="4" w:space="0" w:color="auto"/>
              <w:bottom w:val="single" w:sz="4" w:space="0" w:color="auto"/>
            </w:tcBorders>
          </w:tcPr>
          <w:p w:rsidR="00D0122C" w:rsidRPr="00C87565" w:rsidRDefault="00D0122C" w:rsidP="00135409">
            <w:pPr>
              <w:keepLines/>
              <w:tabs>
                <w:tab w:val="left" w:pos="198"/>
              </w:tabs>
              <w:spacing w:before="60" w:after="60" w:line="200" w:lineRule="atLeast"/>
              <w:jc w:val="right"/>
              <w:rPr>
                <w:rFonts w:ascii="Arial" w:hAnsi="Arial"/>
                <w:b/>
                <w:color w:val="000000"/>
                <w:sz w:val="16"/>
                <w:lang w:eastAsia="en-US"/>
              </w:rPr>
            </w:pPr>
            <w:r w:rsidRPr="001B56CA">
              <w:rPr>
                <w:rFonts w:ascii="Arial" w:hAnsi="Arial"/>
                <w:b/>
                <w:color w:val="000000"/>
                <w:sz w:val="16"/>
                <w:lang w:eastAsia="en-US"/>
              </w:rPr>
              <w:t>2010–11</w:t>
            </w:r>
          </w:p>
        </w:tc>
      </w:tr>
      <w:tr w:rsidR="00D0122C" w:rsidRPr="00821556" w:rsidTr="00257E30">
        <w:tc>
          <w:tcPr>
            <w:tcW w:w="3794" w:type="dxa"/>
            <w:shd w:val="clear" w:color="auto" w:fill="auto"/>
            <w:vAlign w:val="center"/>
          </w:tcPr>
          <w:p w:rsidR="00D0122C" w:rsidRPr="00821556" w:rsidRDefault="00D0122C" w:rsidP="00135409">
            <w:pPr>
              <w:keepLines/>
              <w:tabs>
                <w:tab w:val="left" w:pos="198"/>
              </w:tabs>
              <w:spacing w:before="60" w:after="60" w:line="200" w:lineRule="atLeast"/>
              <w:ind w:firstLine="284"/>
              <w:rPr>
                <w:rFonts w:ascii="Arial" w:hAnsi="Arial"/>
                <w:color w:val="000000"/>
                <w:sz w:val="16"/>
                <w:lang w:eastAsia="en-US"/>
              </w:rPr>
            </w:pPr>
            <w:r w:rsidRPr="001B56CA">
              <w:rPr>
                <w:rFonts w:ascii="Arial" w:hAnsi="Arial"/>
                <w:color w:val="000000"/>
                <w:sz w:val="16"/>
                <w:lang w:eastAsia="en-US"/>
              </w:rPr>
              <w:t>Number of children</w:t>
            </w:r>
          </w:p>
        </w:tc>
        <w:tc>
          <w:tcPr>
            <w:tcW w:w="1464" w:type="dxa"/>
            <w:shd w:val="clear" w:color="auto" w:fill="auto"/>
          </w:tcPr>
          <w:p w:rsidR="00D0122C" w:rsidRPr="00821556" w:rsidRDefault="00D0122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2657</w:t>
            </w:r>
          </w:p>
        </w:tc>
        <w:tc>
          <w:tcPr>
            <w:tcW w:w="1607" w:type="dxa"/>
          </w:tcPr>
          <w:p w:rsidR="00D0122C" w:rsidRPr="00C87565" w:rsidRDefault="00D0122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2197</w:t>
            </w:r>
          </w:p>
        </w:tc>
        <w:tc>
          <w:tcPr>
            <w:tcW w:w="1607" w:type="dxa"/>
          </w:tcPr>
          <w:p w:rsidR="00D0122C" w:rsidRPr="00C87565" w:rsidRDefault="00D0122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2214</w:t>
            </w:r>
          </w:p>
        </w:tc>
      </w:tr>
      <w:tr w:rsidR="00D0122C" w:rsidRPr="00821556" w:rsidTr="00257E30">
        <w:tc>
          <w:tcPr>
            <w:tcW w:w="3794" w:type="dxa"/>
            <w:shd w:val="clear" w:color="auto" w:fill="auto"/>
            <w:vAlign w:val="center"/>
          </w:tcPr>
          <w:p w:rsidR="00D0122C" w:rsidRDefault="00D0122C" w:rsidP="00135409">
            <w:pPr>
              <w:keepLines/>
              <w:tabs>
                <w:tab w:val="left" w:pos="198"/>
              </w:tabs>
              <w:spacing w:before="60" w:after="60" w:line="200" w:lineRule="atLeast"/>
              <w:ind w:firstLine="284"/>
              <w:rPr>
                <w:rFonts w:ascii="Arial" w:hAnsi="Arial"/>
                <w:color w:val="000000"/>
                <w:sz w:val="16"/>
                <w:lang w:eastAsia="en-US"/>
              </w:rPr>
            </w:pPr>
            <w:r w:rsidRPr="001B56CA">
              <w:rPr>
                <w:rFonts w:ascii="Arial" w:hAnsi="Arial"/>
                <w:color w:val="000000"/>
                <w:sz w:val="16"/>
                <w:lang w:eastAsia="en-US"/>
              </w:rPr>
              <w:t xml:space="preserve">Proportion of children </w:t>
            </w:r>
          </w:p>
        </w:tc>
        <w:tc>
          <w:tcPr>
            <w:tcW w:w="1464" w:type="dxa"/>
            <w:shd w:val="clear" w:color="auto" w:fill="auto"/>
          </w:tcPr>
          <w:p w:rsidR="00D0122C" w:rsidRPr="007228A2" w:rsidRDefault="00D0122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7.2</w:t>
            </w:r>
          </w:p>
        </w:tc>
        <w:tc>
          <w:tcPr>
            <w:tcW w:w="1607" w:type="dxa"/>
          </w:tcPr>
          <w:p w:rsidR="00D0122C" w:rsidRPr="007228A2" w:rsidRDefault="00D0122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6.4</w:t>
            </w:r>
          </w:p>
        </w:tc>
        <w:tc>
          <w:tcPr>
            <w:tcW w:w="1607" w:type="dxa"/>
          </w:tcPr>
          <w:p w:rsidR="00D0122C" w:rsidRPr="00C87565" w:rsidRDefault="00D0122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6.7</w:t>
            </w:r>
          </w:p>
        </w:tc>
      </w:tr>
      <w:tr w:rsidR="00257E30" w:rsidRPr="00257E30" w:rsidTr="00257E30">
        <w:tc>
          <w:tcPr>
            <w:tcW w:w="3794" w:type="dxa"/>
            <w:shd w:val="clear" w:color="auto" w:fill="auto"/>
          </w:tcPr>
          <w:p w:rsidR="00257E30" w:rsidRPr="00257E30" w:rsidRDefault="00257E30" w:rsidP="00135409">
            <w:pPr>
              <w:keepLines/>
              <w:tabs>
                <w:tab w:val="left" w:pos="198"/>
              </w:tabs>
              <w:spacing w:before="60" w:after="60" w:line="200" w:lineRule="atLeast"/>
              <w:rPr>
                <w:rFonts w:ascii="Arial" w:hAnsi="Arial"/>
                <w:b/>
                <w:color w:val="000000"/>
                <w:sz w:val="16"/>
                <w:lang w:eastAsia="en-US"/>
              </w:rPr>
            </w:pPr>
            <w:r w:rsidRPr="00257E30">
              <w:rPr>
                <w:rFonts w:ascii="Arial" w:hAnsi="Arial"/>
                <w:b/>
                <w:color w:val="000000"/>
                <w:sz w:val="16"/>
                <w:lang w:eastAsia="en-US"/>
              </w:rPr>
              <w:t xml:space="preserve">Subject of a </w:t>
            </w:r>
            <w:proofErr w:type="spellStart"/>
            <w:r w:rsidRPr="00257E30">
              <w:rPr>
                <w:rFonts w:ascii="Arial" w:hAnsi="Arial"/>
                <w:b/>
                <w:color w:val="000000"/>
                <w:sz w:val="16"/>
                <w:lang w:eastAsia="en-US"/>
              </w:rPr>
              <w:t>resubstantiation</w:t>
            </w:r>
            <w:proofErr w:type="spellEnd"/>
            <w:r w:rsidRPr="00257E30">
              <w:rPr>
                <w:rFonts w:ascii="Arial" w:hAnsi="Arial"/>
                <w:b/>
                <w:color w:val="000000"/>
                <w:sz w:val="16"/>
                <w:lang w:eastAsia="en-US"/>
              </w:rPr>
              <w:t xml:space="preserve"> within 12 months</w:t>
            </w:r>
          </w:p>
        </w:tc>
        <w:tc>
          <w:tcPr>
            <w:tcW w:w="1464" w:type="dxa"/>
            <w:shd w:val="clear" w:color="auto" w:fill="auto"/>
          </w:tcPr>
          <w:p w:rsidR="00257E30" w:rsidRPr="00257E30" w:rsidRDefault="00257E30" w:rsidP="00AE4828">
            <w:pPr>
              <w:keepLines/>
              <w:tabs>
                <w:tab w:val="left" w:pos="198"/>
              </w:tabs>
              <w:spacing w:before="60" w:after="60" w:line="200" w:lineRule="atLeast"/>
              <w:jc w:val="right"/>
              <w:rPr>
                <w:rFonts w:ascii="Arial" w:hAnsi="Arial"/>
                <w:b/>
                <w:color w:val="000000"/>
                <w:sz w:val="16"/>
                <w:lang w:eastAsia="en-US"/>
              </w:rPr>
            </w:pPr>
            <w:r w:rsidRPr="00257E30">
              <w:rPr>
                <w:rFonts w:ascii="Arial" w:hAnsi="Arial"/>
                <w:b/>
                <w:color w:val="000000"/>
                <w:sz w:val="16"/>
                <w:lang w:eastAsia="en-US"/>
              </w:rPr>
              <w:t>2008–09</w:t>
            </w:r>
          </w:p>
        </w:tc>
        <w:tc>
          <w:tcPr>
            <w:tcW w:w="1607" w:type="dxa"/>
          </w:tcPr>
          <w:p w:rsidR="00257E30" w:rsidRPr="00257E30" w:rsidRDefault="00257E30" w:rsidP="00AE4828">
            <w:pPr>
              <w:keepLines/>
              <w:tabs>
                <w:tab w:val="left" w:pos="198"/>
              </w:tabs>
              <w:spacing w:before="60" w:after="60" w:line="200" w:lineRule="atLeast"/>
              <w:jc w:val="right"/>
              <w:rPr>
                <w:rFonts w:ascii="Arial" w:hAnsi="Arial"/>
                <w:b/>
                <w:color w:val="000000"/>
                <w:sz w:val="16"/>
                <w:lang w:eastAsia="en-US"/>
              </w:rPr>
            </w:pPr>
            <w:r w:rsidRPr="00257E30">
              <w:rPr>
                <w:rFonts w:ascii="Arial" w:hAnsi="Arial"/>
                <w:b/>
                <w:color w:val="000000"/>
                <w:sz w:val="16"/>
                <w:lang w:eastAsia="en-US"/>
              </w:rPr>
              <w:t>2009–10</w:t>
            </w:r>
          </w:p>
        </w:tc>
        <w:tc>
          <w:tcPr>
            <w:tcW w:w="1607" w:type="dxa"/>
          </w:tcPr>
          <w:p w:rsidR="00257E30" w:rsidRPr="00257E30" w:rsidRDefault="00257E30" w:rsidP="00AE4828">
            <w:pPr>
              <w:keepLines/>
              <w:tabs>
                <w:tab w:val="left" w:pos="198"/>
              </w:tabs>
              <w:spacing w:before="60" w:after="60" w:line="200" w:lineRule="atLeast"/>
              <w:jc w:val="right"/>
              <w:rPr>
                <w:rFonts w:ascii="Arial" w:hAnsi="Arial"/>
                <w:b/>
                <w:color w:val="000000"/>
                <w:sz w:val="16"/>
                <w:lang w:eastAsia="en-US"/>
              </w:rPr>
            </w:pPr>
            <w:r w:rsidRPr="00257E30">
              <w:rPr>
                <w:rFonts w:ascii="Arial" w:hAnsi="Arial"/>
                <w:b/>
                <w:color w:val="000000"/>
                <w:sz w:val="16"/>
                <w:lang w:eastAsia="en-US"/>
              </w:rPr>
              <w:t>2010–11</w:t>
            </w:r>
          </w:p>
        </w:tc>
      </w:tr>
      <w:tr w:rsidR="00D0122C" w:rsidRPr="00821556" w:rsidTr="00257E30">
        <w:tc>
          <w:tcPr>
            <w:tcW w:w="3794" w:type="dxa"/>
            <w:shd w:val="clear" w:color="auto" w:fill="auto"/>
            <w:vAlign w:val="center"/>
          </w:tcPr>
          <w:p w:rsidR="00D0122C" w:rsidRDefault="00D0122C" w:rsidP="00135409">
            <w:pPr>
              <w:keepLines/>
              <w:tabs>
                <w:tab w:val="left" w:pos="198"/>
              </w:tabs>
              <w:spacing w:before="60" w:after="60" w:line="200" w:lineRule="atLeast"/>
              <w:ind w:firstLine="284"/>
              <w:rPr>
                <w:rFonts w:ascii="Arial" w:hAnsi="Arial"/>
                <w:color w:val="000000"/>
                <w:sz w:val="16"/>
                <w:lang w:eastAsia="en-US"/>
              </w:rPr>
            </w:pPr>
            <w:r w:rsidRPr="001B56CA">
              <w:rPr>
                <w:rFonts w:ascii="Arial" w:hAnsi="Arial"/>
                <w:color w:val="000000"/>
                <w:sz w:val="16"/>
                <w:lang w:eastAsia="en-US"/>
              </w:rPr>
              <w:t>Number of children</w:t>
            </w:r>
          </w:p>
        </w:tc>
        <w:tc>
          <w:tcPr>
            <w:tcW w:w="1464" w:type="dxa"/>
            <w:shd w:val="clear" w:color="auto" w:fill="auto"/>
          </w:tcPr>
          <w:p w:rsidR="00D0122C" w:rsidRPr="007228A2" w:rsidRDefault="00D0122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6403</w:t>
            </w:r>
          </w:p>
        </w:tc>
        <w:tc>
          <w:tcPr>
            <w:tcW w:w="1607" w:type="dxa"/>
          </w:tcPr>
          <w:p w:rsidR="00D0122C" w:rsidRPr="007228A2" w:rsidRDefault="00D0122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5326</w:t>
            </w:r>
          </w:p>
        </w:tc>
        <w:tc>
          <w:tcPr>
            <w:tcW w:w="1607" w:type="dxa"/>
          </w:tcPr>
          <w:p w:rsidR="00D0122C" w:rsidRPr="00C87565" w:rsidRDefault="00D0122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5691</w:t>
            </w:r>
          </w:p>
        </w:tc>
      </w:tr>
      <w:tr w:rsidR="00D0122C" w:rsidRPr="00821556" w:rsidTr="00257E30">
        <w:tc>
          <w:tcPr>
            <w:tcW w:w="3794" w:type="dxa"/>
            <w:tcBorders>
              <w:bottom w:val="single" w:sz="4" w:space="0" w:color="auto"/>
            </w:tcBorders>
            <w:shd w:val="clear" w:color="auto" w:fill="auto"/>
            <w:vAlign w:val="center"/>
          </w:tcPr>
          <w:p w:rsidR="00D0122C" w:rsidRDefault="00D0122C" w:rsidP="00135409">
            <w:pPr>
              <w:keepLines/>
              <w:tabs>
                <w:tab w:val="left" w:pos="198"/>
              </w:tabs>
              <w:spacing w:before="60" w:after="60" w:line="200" w:lineRule="atLeast"/>
              <w:ind w:firstLine="284"/>
              <w:rPr>
                <w:rFonts w:ascii="Arial" w:hAnsi="Arial"/>
                <w:color w:val="000000"/>
                <w:sz w:val="16"/>
                <w:lang w:eastAsia="en-US"/>
              </w:rPr>
            </w:pPr>
            <w:r w:rsidRPr="001B56CA">
              <w:rPr>
                <w:rFonts w:ascii="Arial" w:hAnsi="Arial"/>
                <w:color w:val="000000"/>
                <w:sz w:val="16"/>
                <w:lang w:eastAsia="en-US"/>
              </w:rPr>
              <w:t xml:space="preserve">Proportion of children </w:t>
            </w:r>
          </w:p>
        </w:tc>
        <w:tc>
          <w:tcPr>
            <w:tcW w:w="1464" w:type="dxa"/>
            <w:tcBorders>
              <w:bottom w:val="single" w:sz="4" w:space="0" w:color="auto"/>
            </w:tcBorders>
            <w:shd w:val="clear" w:color="auto" w:fill="auto"/>
          </w:tcPr>
          <w:p w:rsidR="00D0122C" w:rsidRPr="007228A2" w:rsidRDefault="00D0122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17.3</w:t>
            </w:r>
          </w:p>
        </w:tc>
        <w:tc>
          <w:tcPr>
            <w:tcW w:w="1607" w:type="dxa"/>
            <w:tcBorders>
              <w:bottom w:val="single" w:sz="4" w:space="0" w:color="auto"/>
            </w:tcBorders>
          </w:tcPr>
          <w:p w:rsidR="00D0122C" w:rsidRPr="007228A2" w:rsidRDefault="00D0122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15.6</w:t>
            </w:r>
          </w:p>
        </w:tc>
        <w:tc>
          <w:tcPr>
            <w:tcW w:w="1607" w:type="dxa"/>
            <w:tcBorders>
              <w:bottom w:val="single" w:sz="4" w:space="0" w:color="auto"/>
            </w:tcBorders>
          </w:tcPr>
          <w:p w:rsidR="00D0122C" w:rsidRPr="00C87565" w:rsidRDefault="00D0122C" w:rsidP="00135409">
            <w:pPr>
              <w:keepLines/>
              <w:tabs>
                <w:tab w:val="left" w:pos="198"/>
              </w:tabs>
              <w:spacing w:before="60" w:after="60" w:line="200" w:lineRule="atLeast"/>
              <w:jc w:val="right"/>
              <w:rPr>
                <w:rFonts w:ascii="Arial" w:hAnsi="Arial"/>
                <w:color w:val="000000"/>
                <w:sz w:val="16"/>
                <w:lang w:eastAsia="en-US"/>
              </w:rPr>
            </w:pPr>
            <w:r>
              <w:rPr>
                <w:rFonts w:ascii="Arial" w:hAnsi="Arial"/>
                <w:color w:val="000000"/>
                <w:sz w:val="16"/>
                <w:lang w:eastAsia="en-US"/>
              </w:rPr>
              <w:t>17.1</w:t>
            </w:r>
          </w:p>
        </w:tc>
      </w:tr>
    </w:tbl>
    <w:p w:rsidR="00D0122C" w:rsidRPr="00F07C4A" w:rsidRDefault="00D0122C" w:rsidP="00D66FAA">
      <w:pPr>
        <w:pStyle w:val="StyleArial7ptLeft0cmHanging05cmBefore6pt"/>
      </w:pPr>
      <w:r w:rsidRPr="00F07C4A">
        <w:t>Notes</w:t>
      </w:r>
    </w:p>
    <w:p w:rsidR="00D0122C" w:rsidRPr="00F07C4A" w:rsidRDefault="00D0122C" w:rsidP="00585D8E">
      <w:pPr>
        <w:pStyle w:val="StyleArial7ptLeft0cmHanging05cmBefore6pt"/>
        <w:ind w:left="284" w:hanging="284"/>
      </w:pPr>
      <w:r w:rsidRPr="00F07C4A">
        <w:t>1.</w:t>
      </w:r>
      <w:r w:rsidRPr="00F07C4A">
        <w:tab/>
        <w:t xml:space="preserve">Children who were the subject of a </w:t>
      </w:r>
      <w:proofErr w:type="spellStart"/>
      <w:r w:rsidRPr="00F07C4A">
        <w:t>resubstantiation</w:t>
      </w:r>
      <w:proofErr w:type="spellEnd"/>
      <w:r w:rsidRPr="00F07C4A">
        <w:t xml:space="preserve"> are those who were the subject of a substantiation during the reference period (regardless of the date of notification), who were also the subject of at least one subsequent notification within the following 3 or 12 months, that was subsequently substantiated. The year reported relates to the year of the original substantiation. The proportion is of all children who were the subject of </w:t>
      </w:r>
      <w:proofErr w:type="gramStart"/>
      <w:r w:rsidRPr="00F07C4A">
        <w:t>a substantiation</w:t>
      </w:r>
      <w:proofErr w:type="gramEnd"/>
      <w:r w:rsidRPr="00F07C4A">
        <w:t xml:space="preserve"> in the year reported.</w:t>
      </w:r>
    </w:p>
    <w:p w:rsidR="00D0122C" w:rsidRPr="00F07C4A" w:rsidRDefault="00D0122C" w:rsidP="00585D8E">
      <w:pPr>
        <w:pStyle w:val="StyleArial7ptLeft0cmHanging05cmBefore6pt"/>
        <w:ind w:left="284" w:hanging="284"/>
      </w:pPr>
      <w:r w:rsidRPr="00F07C4A">
        <w:t>2.</w:t>
      </w:r>
      <w:r w:rsidRPr="00F07C4A">
        <w:tab/>
        <w:t xml:space="preserve">Disaggregation by Indigenous status was not available. </w:t>
      </w:r>
    </w:p>
    <w:p w:rsidR="00D0122C" w:rsidRDefault="00D0122C" w:rsidP="00D66FAA">
      <w:pPr>
        <w:pStyle w:val="StyleArial7ptLeft0cmHanging05cmBefore6pt"/>
        <w:rPr>
          <w:rFonts w:eastAsia="Calibri"/>
        </w:rPr>
      </w:pPr>
      <w:r w:rsidRPr="00F07C4A">
        <w:t xml:space="preserve">Source: </w:t>
      </w:r>
      <w:r w:rsidRPr="00F07C4A">
        <w:rPr>
          <w:rFonts w:eastAsia="Calibri"/>
        </w:rPr>
        <w:t>AIHW Child Protection Data Collections.</w:t>
      </w:r>
    </w:p>
    <w:p w:rsidR="00F07C4A" w:rsidRPr="007D2044" w:rsidRDefault="00F07C4A" w:rsidP="007D2044">
      <w:pPr>
        <w:rPr>
          <w:rFonts w:ascii="Calibri" w:hAnsi="Calibri"/>
          <w:sz w:val="24"/>
        </w:rPr>
      </w:pPr>
    </w:p>
    <w:p w:rsidR="00D0122C" w:rsidRDefault="00D0122C" w:rsidP="007D2044">
      <w:pPr>
        <w:pStyle w:val="Heading3"/>
      </w:pPr>
      <w:bookmarkStart w:id="176" w:name="_Toc400007758"/>
      <w:r w:rsidRPr="00B57BE7">
        <w:t>Placement stability</w:t>
      </w:r>
      <w:bookmarkEnd w:id="176"/>
    </w:p>
    <w:p w:rsidR="00D0122C" w:rsidRDefault="00D0122C" w:rsidP="004B3342">
      <w:pPr>
        <w:pStyle w:val="Heading4a"/>
      </w:pPr>
      <w:r>
        <w:t xml:space="preserve">Indicator </w:t>
      </w:r>
      <w:r w:rsidRPr="0060478E">
        <w:t>4.2</w:t>
      </w:r>
      <w:r>
        <w:t xml:space="preserve">: </w:t>
      </w:r>
      <w:r w:rsidRPr="0060478E">
        <w:t xml:space="preserve">Proportion of children aged 0–17 years exiting out-of-home care during the year </w:t>
      </w:r>
      <w:proofErr w:type="gramStart"/>
      <w:r w:rsidRPr="0060478E">
        <w:t>who</w:t>
      </w:r>
      <w:proofErr w:type="gramEnd"/>
      <w:r w:rsidRPr="0060478E">
        <w:t xml:space="preserve"> had 1 or 2 placements</w:t>
      </w:r>
    </w:p>
    <w:p w:rsidR="00D0122C" w:rsidRDefault="00D0122C" w:rsidP="00D0122C">
      <w:pPr>
        <w:rPr>
          <w:rFonts w:ascii="Calibri" w:hAnsi="Calibri" w:cs="Calibri"/>
          <w:sz w:val="24"/>
          <w:szCs w:val="24"/>
          <w:lang w:eastAsia="en-AU"/>
        </w:rPr>
      </w:pPr>
    </w:p>
    <w:p w:rsidR="00D0122C" w:rsidRDefault="00D0122C" w:rsidP="00D0122C">
      <w:pPr>
        <w:rPr>
          <w:rFonts w:ascii="Calibri" w:hAnsi="Calibri" w:cs="Calibri"/>
          <w:sz w:val="24"/>
          <w:szCs w:val="24"/>
          <w:lang w:eastAsia="en-AU"/>
        </w:rPr>
      </w:pPr>
      <w:r w:rsidRPr="00F736EE">
        <w:rPr>
          <w:rFonts w:ascii="Calibri" w:hAnsi="Calibri" w:cs="Calibri"/>
          <w:sz w:val="24"/>
          <w:szCs w:val="24"/>
          <w:lang w:eastAsia="en-AU"/>
        </w:rPr>
        <w:t xml:space="preserve">Children in planned, stable out-of-home care placements tend to have better learning and psychosocial outcomes than children experiencing instability. Several characteristics are associated with placement disruption, including children with health and behavioural problems, older children, birth families from socially and economically marginalised ethnic minorities and children in non-kin placements (NSW Department of Community Services 2007). </w:t>
      </w:r>
    </w:p>
    <w:p w:rsidR="00D0122C" w:rsidRPr="00F736EE" w:rsidRDefault="00D0122C" w:rsidP="00D0122C">
      <w:pPr>
        <w:rPr>
          <w:rFonts w:ascii="Calibri" w:hAnsi="Calibri" w:cs="Calibri"/>
          <w:sz w:val="24"/>
          <w:szCs w:val="24"/>
          <w:lang w:eastAsia="en-AU"/>
        </w:rPr>
      </w:pPr>
    </w:p>
    <w:p w:rsidR="00D0122C" w:rsidRDefault="00D0122C" w:rsidP="00D0122C">
      <w:pPr>
        <w:rPr>
          <w:rFonts w:ascii="Calibri" w:hAnsi="Calibri" w:cs="Calibri"/>
          <w:sz w:val="24"/>
          <w:szCs w:val="24"/>
          <w:lang w:eastAsia="en-AU"/>
        </w:rPr>
      </w:pPr>
      <w:r w:rsidRPr="00F736EE">
        <w:rPr>
          <w:rFonts w:ascii="Calibri" w:hAnsi="Calibri" w:cs="Calibri"/>
          <w:sz w:val="24"/>
          <w:szCs w:val="24"/>
          <w:lang w:eastAsia="en-AU"/>
        </w:rPr>
        <w:t xml:space="preserve">Children can have multiple short-term placements for appropriate reasons (for example, an initial placement followed by a </w:t>
      </w:r>
      <w:r w:rsidR="006725EF" w:rsidRPr="00F736EE">
        <w:rPr>
          <w:rFonts w:ascii="Calibri" w:hAnsi="Calibri" w:cs="Calibri"/>
          <w:sz w:val="24"/>
          <w:szCs w:val="24"/>
          <w:lang w:eastAsia="en-AU"/>
        </w:rPr>
        <w:t>longer</w:t>
      </w:r>
      <w:r w:rsidR="006725EF">
        <w:rPr>
          <w:rFonts w:ascii="Calibri" w:hAnsi="Calibri" w:cs="Calibri"/>
          <w:sz w:val="24"/>
          <w:szCs w:val="24"/>
          <w:lang w:eastAsia="en-AU"/>
        </w:rPr>
        <w:t>-</w:t>
      </w:r>
      <w:r w:rsidRPr="00F736EE">
        <w:rPr>
          <w:rFonts w:ascii="Calibri" w:hAnsi="Calibri" w:cs="Calibri"/>
          <w:sz w:val="24"/>
          <w:szCs w:val="24"/>
          <w:lang w:eastAsia="en-AU"/>
        </w:rPr>
        <w:t>term placement)</w:t>
      </w:r>
      <w:r w:rsidR="006725EF">
        <w:rPr>
          <w:rFonts w:ascii="Calibri" w:hAnsi="Calibri" w:cs="Calibri"/>
          <w:sz w:val="24"/>
          <w:szCs w:val="24"/>
          <w:lang w:eastAsia="en-AU"/>
        </w:rPr>
        <w:t>,</w:t>
      </w:r>
      <w:r w:rsidRPr="00F736EE">
        <w:rPr>
          <w:rFonts w:ascii="Calibri" w:hAnsi="Calibri" w:cs="Calibri"/>
          <w:sz w:val="24"/>
          <w:szCs w:val="24"/>
          <w:lang w:eastAsia="en-AU"/>
        </w:rPr>
        <w:t xml:space="preserve"> or it may be desirable to change placements to achieve better compatibility between a child and family. It is not desirable for a child to stay in an unsatisfactory or unsupportive placement. Also, older children are more likely to have multiple placements as they move towards independence and voluntarily seek alternate placements (SCRGSP 201</w:t>
      </w:r>
      <w:r>
        <w:rPr>
          <w:rFonts w:ascii="Calibri" w:hAnsi="Calibri" w:cs="Calibri"/>
          <w:sz w:val="24"/>
          <w:szCs w:val="24"/>
          <w:lang w:eastAsia="en-AU"/>
        </w:rPr>
        <w:t>3</w:t>
      </w:r>
      <w:r w:rsidRPr="00F736EE">
        <w:rPr>
          <w:rFonts w:ascii="Calibri" w:hAnsi="Calibri" w:cs="Calibri"/>
          <w:sz w:val="24"/>
          <w:szCs w:val="24"/>
          <w:lang w:eastAsia="en-AU"/>
        </w:rPr>
        <w:t>).</w:t>
      </w:r>
    </w:p>
    <w:p w:rsidR="00D0122C" w:rsidRDefault="00D0122C" w:rsidP="00D0122C">
      <w:pPr>
        <w:rPr>
          <w:rFonts w:ascii="Calibri" w:hAnsi="Calibri" w:cs="Calibri"/>
          <w:sz w:val="24"/>
          <w:szCs w:val="24"/>
          <w:lang w:eastAsia="en-AU"/>
        </w:rPr>
      </w:pPr>
    </w:p>
    <w:p w:rsidR="00D0122C" w:rsidRDefault="00D0122C" w:rsidP="00D0122C">
      <w:pPr>
        <w:rPr>
          <w:rFonts w:ascii="Calibri" w:hAnsi="Calibri"/>
          <w:sz w:val="24"/>
          <w:szCs w:val="24"/>
        </w:rPr>
      </w:pPr>
      <w:r w:rsidRPr="00821556">
        <w:rPr>
          <w:rFonts w:ascii="Calibri" w:hAnsi="Calibri"/>
          <w:sz w:val="24"/>
          <w:szCs w:val="24"/>
        </w:rPr>
        <w:t>In 2011–12, nearly two</w:t>
      </w:r>
      <w:r>
        <w:rPr>
          <w:rFonts w:ascii="Calibri" w:hAnsi="Calibri"/>
          <w:sz w:val="24"/>
          <w:szCs w:val="24"/>
        </w:rPr>
        <w:t>-</w:t>
      </w:r>
      <w:r w:rsidRPr="00821556">
        <w:rPr>
          <w:rFonts w:ascii="Calibri" w:hAnsi="Calibri"/>
          <w:sz w:val="24"/>
          <w:szCs w:val="24"/>
        </w:rPr>
        <w:t>thirds (63</w:t>
      </w:r>
      <w:r>
        <w:rPr>
          <w:rFonts w:ascii="Calibri" w:hAnsi="Calibri"/>
          <w:sz w:val="24"/>
          <w:szCs w:val="24"/>
        </w:rPr>
        <w:t xml:space="preserve"> per cent</w:t>
      </w:r>
      <w:r w:rsidRPr="00821556">
        <w:rPr>
          <w:rFonts w:ascii="Calibri" w:hAnsi="Calibri"/>
          <w:sz w:val="24"/>
          <w:szCs w:val="24"/>
        </w:rPr>
        <w:t>) of children exiting out-of-home care had one or two placements during the time they were in care, and most (85</w:t>
      </w:r>
      <w:r>
        <w:rPr>
          <w:rFonts w:ascii="Calibri" w:hAnsi="Calibri"/>
          <w:sz w:val="24"/>
          <w:szCs w:val="24"/>
        </w:rPr>
        <w:t xml:space="preserve"> per cent</w:t>
      </w:r>
      <w:r w:rsidRPr="00821556">
        <w:rPr>
          <w:rFonts w:ascii="Calibri" w:hAnsi="Calibri"/>
          <w:sz w:val="24"/>
          <w:szCs w:val="24"/>
        </w:rPr>
        <w:t>) had four or fewer placements. The out-of-home care experience was less stable for the 15</w:t>
      </w:r>
      <w:r>
        <w:rPr>
          <w:rFonts w:ascii="Calibri" w:hAnsi="Calibri"/>
          <w:sz w:val="24"/>
          <w:szCs w:val="24"/>
        </w:rPr>
        <w:t xml:space="preserve"> per cent</w:t>
      </w:r>
      <w:r w:rsidRPr="00821556">
        <w:rPr>
          <w:rFonts w:ascii="Calibri" w:hAnsi="Calibri"/>
          <w:sz w:val="24"/>
          <w:szCs w:val="24"/>
        </w:rPr>
        <w:t xml:space="preserve"> of children exiting care who had five or more placements</w:t>
      </w:r>
      <w:r>
        <w:rPr>
          <w:rFonts w:ascii="Calibri" w:hAnsi="Calibri"/>
          <w:sz w:val="24"/>
          <w:szCs w:val="24"/>
        </w:rPr>
        <w:t xml:space="preserve">; </w:t>
      </w:r>
      <w:r w:rsidRPr="00821556">
        <w:rPr>
          <w:rFonts w:ascii="Calibri" w:hAnsi="Calibri"/>
          <w:sz w:val="24"/>
          <w:szCs w:val="24"/>
        </w:rPr>
        <w:t>of this group, most were in care for two years or more.</w:t>
      </w:r>
      <w:r>
        <w:rPr>
          <w:rFonts w:ascii="Calibri" w:hAnsi="Calibri"/>
          <w:sz w:val="24"/>
          <w:szCs w:val="24"/>
        </w:rPr>
        <w:t xml:space="preserve"> C</w:t>
      </w:r>
      <w:r w:rsidRPr="00821556">
        <w:rPr>
          <w:rFonts w:ascii="Calibri" w:hAnsi="Calibri"/>
          <w:sz w:val="24"/>
          <w:szCs w:val="24"/>
        </w:rPr>
        <w:t>omparisons between Indigenous and non-Indigenous children exiting out-of-home care showed very similar patterns.</w:t>
      </w:r>
    </w:p>
    <w:p w:rsidR="00D0122C" w:rsidRPr="00821556" w:rsidRDefault="00D0122C" w:rsidP="00D0122C">
      <w:pPr>
        <w:rPr>
          <w:rFonts w:ascii="Calibri" w:hAnsi="Calibri"/>
          <w:sz w:val="24"/>
          <w:szCs w:val="24"/>
        </w:rPr>
      </w:pPr>
    </w:p>
    <w:p w:rsidR="00D0122C" w:rsidRPr="003E6CD1" w:rsidRDefault="0074031D" w:rsidP="00520DEC">
      <w:pPr>
        <w:pStyle w:val="Figure"/>
        <w:ind w:right="2527"/>
      </w:pPr>
      <w:bookmarkStart w:id="177" w:name="_Toc400010305"/>
      <w:r>
        <w:t xml:space="preserve">Table </w:t>
      </w:r>
      <w:fldSimple w:instr=" SEQ Table \* ARABIC ">
        <w:r w:rsidR="00BF1EC9">
          <w:rPr>
            <w:noProof/>
          </w:rPr>
          <w:t>19</w:t>
        </w:r>
      </w:fldSimple>
      <w:r>
        <w:t xml:space="preserve">: </w:t>
      </w:r>
      <w:r w:rsidRPr="003E6CD1">
        <w:t>Children exiting out-of-home care in 2011–12</w:t>
      </w:r>
      <w:r w:rsidRPr="003E6CD1">
        <w:rPr>
          <w:vertAlign w:val="superscript"/>
        </w:rPr>
        <w:t>(a)</w:t>
      </w:r>
      <w:r w:rsidRPr="003E6CD1">
        <w:t>, by number of different placements</w:t>
      </w:r>
      <w:r w:rsidR="00520DEC">
        <w:t xml:space="preserve"> </w:t>
      </w:r>
      <w:r w:rsidRPr="003E6CD1">
        <w:t>and Indigenous status</w:t>
      </w:r>
      <w:bookmarkEnd w:id="177"/>
    </w:p>
    <w:tbl>
      <w:tblPr>
        <w:tblW w:w="8613" w:type="dxa"/>
        <w:tblBorders>
          <w:top w:val="single" w:sz="4" w:space="0" w:color="auto"/>
          <w:bottom w:val="single" w:sz="4" w:space="0" w:color="auto"/>
        </w:tblBorders>
        <w:tblLayout w:type="fixed"/>
        <w:tblLook w:val="04A0" w:firstRow="1" w:lastRow="0" w:firstColumn="1" w:lastColumn="0" w:noHBand="0" w:noVBand="1"/>
        <w:tblDescription w:val="Table 19: Children exiting out-of-home care in 2011–12(a), by number of different placements and Indigenous status"/>
      </w:tblPr>
      <w:tblGrid>
        <w:gridCol w:w="2943"/>
        <w:gridCol w:w="810"/>
        <w:gridCol w:w="810"/>
        <w:gridCol w:w="932"/>
        <w:gridCol w:w="688"/>
        <w:gridCol w:w="810"/>
        <w:gridCol w:w="810"/>
        <w:gridCol w:w="810"/>
      </w:tblGrid>
      <w:tr w:rsidR="00B43461" w:rsidRPr="00257E30" w:rsidTr="00F45542">
        <w:trPr>
          <w:trHeight w:val="264"/>
        </w:trPr>
        <w:tc>
          <w:tcPr>
            <w:tcW w:w="2943" w:type="dxa"/>
            <w:tcBorders>
              <w:top w:val="single" w:sz="4" w:space="0" w:color="auto"/>
              <w:bottom w:val="single" w:sz="4" w:space="0" w:color="auto"/>
              <w:right w:val="nil"/>
            </w:tcBorders>
            <w:shd w:val="clear" w:color="auto" w:fill="FFFFFF"/>
            <w:vAlign w:val="bottom"/>
          </w:tcPr>
          <w:p w:rsidR="00B43461" w:rsidRPr="00257E30" w:rsidRDefault="00257E30" w:rsidP="00F45542">
            <w:pPr>
              <w:pStyle w:val="TableFigHeadingtotal"/>
              <w:rPr>
                <w:rFonts w:eastAsia="Calibri" w:cs="Arial"/>
                <w:b w:val="0"/>
                <w:sz w:val="22"/>
                <w:szCs w:val="22"/>
              </w:rPr>
            </w:pPr>
            <w:r>
              <w:rPr>
                <w:rFonts w:eastAsia="Calibri" w:cs="Arial"/>
              </w:rPr>
              <w:t>All Children</w:t>
            </w:r>
            <w:r>
              <w:rPr>
                <w:rFonts w:eastAsia="Calibri" w:cs="Arial"/>
              </w:rPr>
              <w:br/>
            </w:r>
            <w:r w:rsidR="00B43461" w:rsidRPr="00257E30">
              <w:rPr>
                <w:rFonts w:eastAsia="Calibri" w:cs="Arial"/>
              </w:rPr>
              <w:t>Number of different placements</w:t>
            </w:r>
          </w:p>
        </w:tc>
        <w:tc>
          <w:tcPr>
            <w:tcW w:w="810" w:type="dxa"/>
            <w:tcBorders>
              <w:top w:val="single" w:sz="4" w:space="0" w:color="auto"/>
              <w:left w:val="nil"/>
              <w:bottom w:val="single" w:sz="4" w:space="0" w:color="auto"/>
              <w:right w:val="nil"/>
            </w:tcBorders>
            <w:shd w:val="clear" w:color="auto" w:fill="FFFFFF"/>
            <w:noWrap/>
            <w:vAlign w:val="bottom"/>
            <w:hideMark/>
          </w:tcPr>
          <w:p w:rsidR="00B43461" w:rsidRPr="00257E30" w:rsidRDefault="00B43461" w:rsidP="00F45542">
            <w:pPr>
              <w:pStyle w:val="TableFigHeadingtotal"/>
              <w:jc w:val="right"/>
              <w:rPr>
                <w:rFonts w:eastAsia="Calibri" w:cs="Arial"/>
              </w:rPr>
            </w:pPr>
            <w:r w:rsidRPr="00257E30">
              <w:rPr>
                <w:rFonts w:eastAsia="Calibri" w:cs="Arial"/>
              </w:rPr>
              <w:t>1</w:t>
            </w:r>
          </w:p>
        </w:tc>
        <w:tc>
          <w:tcPr>
            <w:tcW w:w="810" w:type="dxa"/>
            <w:tcBorders>
              <w:top w:val="single" w:sz="4" w:space="0" w:color="auto"/>
              <w:left w:val="nil"/>
              <w:bottom w:val="single" w:sz="4" w:space="0" w:color="auto"/>
              <w:right w:val="nil"/>
            </w:tcBorders>
            <w:shd w:val="clear" w:color="auto" w:fill="FFFFFF"/>
            <w:noWrap/>
            <w:vAlign w:val="bottom"/>
            <w:hideMark/>
          </w:tcPr>
          <w:p w:rsidR="00B43461" w:rsidRPr="00257E30" w:rsidRDefault="00B43461" w:rsidP="00F45542">
            <w:pPr>
              <w:pStyle w:val="TableFigHeadingtotal"/>
              <w:jc w:val="right"/>
              <w:rPr>
                <w:rFonts w:eastAsia="Calibri" w:cs="Arial"/>
              </w:rPr>
            </w:pPr>
            <w:r w:rsidRPr="00257E30">
              <w:rPr>
                <w:rFonts w:eastAsia="Calibri" w:cs="Arial"/>
              </w:rPr>
              <w:t>2</w:t>
            </w:r>
          </w:p>
        </w:tc>
        <w:tc>
          <w:tcPr>
            <w:tcW w:w="932" w:type="dxa"/>
            <w:tcBorders>
              <w:top w:val="single" w:sz="4" w:space="0" w:color="auto"/>
              <w:left w:val="nil"/>
              <w:bottom w:val="single" w:sz="4" w:space="0" w:color="auto"/>
              <w:right w:val="nil"/>
            </w:tcBorders>
            <w:shd w:val="clear" w:color="auto" w:fill="FFFFFF"/>
            <w:noWrap/>
            <w:vAlign w:val="bottom"/>
            <w:hideMark/>
          </w:tcPr>
          <w:p w:rsidR="00B43461" w:rsidRPr="00257E30" w:rsidRDefault="00B43461" w:rsidP="00F45542">
            <w:pPr>
              <w:pStyle w:val="TableFigHeadingtotal"/>
              <w:jc w:val="right"/>
              <w:rPr>
                <w:rFonts w:eastAsia="Calibri" w:cs="Arial"/>
              </w:rPr>
            </w:pPr>
            <w:r w:rsidRPr="00257E30">
              <w:rPr>
                <w:rFonts w:eastAsia="Calibri" w:cs="Arial"/>
              </w:rPr>
              <w:t>1–2 subtotal</w:t>
            </w:r>
          </w:p>
        </w:tc>
        <w:tc>
          <w:tcPr>
            <w:tcW w:w="688" w:type="dxa"/>
            <w:tcBorders>
              <w:top w:val="single" w:sz="4" w:space="0" w:color="auto"/>
              <w:left w:val="nil"/>
              <w:bottom w:val="single" w:sz="4" w:space="0" w:color="auto"/>
              <w:right w:val="nil"/>
            </w:tcBorders>
            <w:shd w:val="clear" w:color="auto" w:fill="FFFFFF"/>
            <w:noWrap/>
            <w:vAlign w:val="bottom"/>
            <w:hideMark/>
          </w:tcPr>
          <w:p w:rsidR="00B43461" w:rsidRPr="00257E30" w:rsidRDefault="00B43461" w:rsidP="00F45542">
            <w:pPr>
              <w:pStyle w:val="TableFigHeadingtotal"/>
              <w:jc w:val="right"/>
              <w:rPr>
                <w:rFonts w:eastAsia="Calibri" w:cs="Arial"/>
              </w:rPr>
            </w:pPr>
            <w:r w:rsidRPr="00257E30">
              <w:rPr>
                <w:rFonts w:eastAsia="Calibri" w:cs="Arial"/>
              </w:rPr>
              <w:t>3</w:t>
            </w:r>
          </w:p>
        </w:tc>
        <w:tc>
          <w:tcPr>
            <w:tcW w:w="810" w:type="dxa"/>
            <w:tcBorders>
              <w:top w:val="single" w:sz="4" w:space="0" w:color="auto"/>
              <w:left w:val="nil"/>
              <w:bottom w:val="single" w:sz="4" w:space="0" w:color="auto"/>
              <w:right w:val="nil"/>
            </w:tcBorders>
            <w:shd w:val="clear" w:color="auto" w:fill="FFFFFF"/>
            <w:noWrap/>
            <w:tcMar>
              <w:left w:w="28" w:type="dxa"/>
            </w:tcMar>
            <w:vAlign w:val="bottom"/>
            <w:hideMark/>
          </w:tcPr>
          <w:p w:rsidR="00B43461" w:rsidRPr="00257E30" w:rsidRDefault="00B43461" w:rsidP="00F45542">
            <w:pPr>
              <w:pStyle w:val="TableFigHeadingtotal"/>
              <w:jc w:val="right"/>
              <w:rPr>
                <w:rFonts w:eastAsia="Calibri" w:cs="Arial"/>
              </w:rPr>
            </w:pPr>
            <w:r w:rsidRPr="00257E30">
              <w:rPr>
                <w:rFonts w:eastAsia="Calibri" w:cs="Arial"/>
              </w:rPr>
              <w:t>4</w:t>
            </w:r>
          </w:p>
        </w:tc>
        <w:tc>
          <w:tcPr>
            <w:tcW w:w="810" w:type="dxa"/>
            <w:tcBorders>
              <w:top w:val="single" w:sz="4" w:space="0" w:color="auto"/>
              <w:left w:val="nil"/>
              <w:bottom w:val="single" w:sz="4" w:space="0" w:color="auto"/>
              <w:right w:val="nil"/>
            </w:tcBorders>
            <w:shd w:val="clear" w:color="auto" w:fill="FFFFFF"/>
            <w:noWrap/>
            <w:tcMar>
              <w:left w:w="28" w:type="dxa"/>
            </w:tcMar>
            <w:vAlign w:val="bottom"/>
            <w:hideMark/>
          </w:tcPr>
          <w:p w:rsidR="00B43461" w:rsidRPr="00257E30" w:rsidRDefault="00B43461" w:rsidP="00F45542">
            <w:pPr>
              <w:pStyle w:val="TableFigHeadingtotal"/>
              <w:jc w:val="right"/>
              <w:rPr>
                <w:rFonts w:eastAsia="Calibri" w:cs="Arial"/>
              </w:rPr>
            </w:pPr>
            <w:r w:rsidRPr="00257E30">
              <w:rPr>
                <w:rFonts w:eastAsia="Calibri" w:cs="Arial"/>
              </w:rPr>
              <w:t xml:space="preserve">5+ </w:t>
            </w:r>
          </w:p>
        </w:tc>
        <w:tc>
          <w:tcPr>
            <w:tcW w:w="810" w:type="dxa"/>
            <w:tcBorders>
              <w:top w:val="single" w:sz="4" w:space="0" w:color="auto"/>
              <w:left w:val="nil"/>
              <w:bottom w:val="single" w:sz="4" w:space="0" w:color="auto"/>
              <w:right w:val="nil"/>
            </w:tcBorders>
            <w:shd w:val="clear" w:color="auto" w:fill="FFFFFF"/>
            <w:vAlign w:val="bottom"/>
            <w:hideMark/>
          </w:tcPr>
          <w:p w:rsidR="00B43461" w:rsidRPr="00257E30" w:rsidRDefault="00B43461" w:rsidP="00F45542">
            <w:pPr>
              <w:pStyle w:val="TableFigHeadingtotal"/>
              <w:jc w:val="right"/>
              <w:rPr>
                <w:rFonts w:eastAsia="Calibri" w:cs="Arial"/>
              </w:rPr>
            </w:pPr>
            <w:r w:rsidRPr="00257E30">
              <w:rPr>
                <w:rFonts w:eastAsia="Calibri" w:cs="Arial"/>
              </w:rPr>
              <w:t>Total</w:t>
            </w:r>
          </w:p>
        </w:tc>
      </w:tr>
      <w:tr w:rsidR="00B43461" w:rsidRPr="00257E30" w:rsidTr="00135409">
        <w:trPr>
          <w:trHeight w:val="264"/>
        </w:trPr>
        <w:tc>
          <w:tcPr>
            <w:tcW w:w="2943" w:type="dxa"/>
            <w:tcBorders>
              <w:top w:val="nil"/>
            </w:tcBorders>
            <w:shd w:val="clear" w:color="auto" w:fill="FFFFFF"/>
            <w:noWrap/>
            <w:vAlign w:val="bottom"/>
          </w:tcPr>
          <w:p w:rsidR="00B43461" w:rsidRPr="00257E30" w:rsidRDefault="00B43461" w:rsidP="00135409">
            <w:pPr>
              <w:pStyle w:val="TableFigText"/>
              <w:rPr>
                <w:rFonts w:eastAsia="Calibri" w:cs="Arial"/>
              </w:rPr>
            </w:pPr>
            <w:r w:rsidRPr="00257E30">
              <w:rPr>
                <w:rFonts w:eastAsia="Calibri" w:cs="Arial"/>
              </w:rPr>
              <w:t>Length of time in out-of-home care</w:t>
            </w:r>
          </w:p>
        </w:tc>
        <w:tc>
          <w:tcPr>
            <w:tcW w:w="810" w:type="dxa"/>
            <w:tcBorders>
              <w:top w:val="nil"/>
              <w:bottom w:val="nil"/>
              <w:right w:val="nil"/>
            </w:tcBorders>
            <w:shd w:val="clear" w:color="000000" w:fill="FFFFFF"/>
            <w:noWrap/>
            <w:vAlign w:val="bottom"/>
          </w:tcPr>
          <w:p w:rsidR="00B43461" w:rsidRPr="00257E30" w:rsidRDefault="00B43461" w:rsidP="00135409">
            <w:pPr>
              <w:pStyle w:val="TableFigText"/>
              <w:jc w:val="right"/>
              <w:rPr>
                <w:rFonts w:cs="Arial"/>
              </w:rPr>
            </w:pP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rPr>
            </w:pPr>
          </w:p>
        </w:tc>
        <w:tc>
          <w:tcPr>
            <w:tcW w:w="932"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rPr>
            </w:pPr>
          </w:p>
        </w:tc>
        <w:tc>
          <w:tcPr>
            <w:tcW w:w="688"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rPr>
            </w:pP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rPr>
            </w:pP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rPr>
            </w:pP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rPr>
            </w:pPr>
          </w:p>
        </w:tc>
      </w:tr>
      <w:tr w:rsidR="00D0122C" w:rsidRPr="00257E30" w:rsidTr="00135409">
        <w:trPr>
          <w:trHeight w:val="264"/>
        </w:trPr>
        <w:tc>
          <w:tcPr>
            <w:tcW w:w="2943" w:type="dxa"/>
            <w:tcBorders>
              <w:top w:val="nil"/>
            </w:tcBorders>
            <w:shd w:val="clear" w:color="auto" w:fill="FFFFFF"/>
            <w:noWrap/>
            <w:vAlign w:val="bottom"/>
            <w:hideMark/>
          </w:tcPr>
          <w:p w:rsidR="00D0122C" w:rsidRPr="00257E30" w:rsidRDefault="00D0122C" w:rsidP="00135409">
            <w:pPr>
              <w:pStyle w:val="TableFigText"/>
              <w:rPr>
                <w:rFonts w:eastAsia="Calibri" w:cs="Arial"/>
              </w:rPr>
            </w:pPr>
            <w:r w:rsidRPr="00257E30">
              <w:rPr>
                <w:rFonts w:eastAsia="Calibri" w:cs="Arial"/>
              </w:rPr>
              <w:t>1 month to &lt; 6 months</w:t>
            </w:r>
          </w:p>
        </w:tc>
        <w:tc>
          <w:tcPr>
            <w:tcW w:w="810" w:type="dxa"/>
            <w:tcBorders>
              <w:top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17.4</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5.3</w:t>
            </w:r>
          </w:p>
        </w:tc>
        <w:tc>
          <w:tcPr>
            <w:tcW w:w="932"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22.7</w:t>
            </w:r>
          </w:p>
        </w:tc>
        <w:tc>
          <w:tcPr>
            <w:tcW w:w="688"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1.6</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0.5</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0.2</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24.8</w:t>
            </w:r>
          </w:p>
        </w:tc>
      </w:tr>
      <w:tr w:rsidR="00D0122C" w:rsidRPr="00257E30" w:rsidTr="00135409">
        <w:trPr>
          <w:trHeight w:val="264"/>
        </w:trPr>
        <w:tc>
          <w:tcPr>
            <w:tcW w:w="2943" w:type="dxa"/>
            <w:shd w:val="clear" w:color="auto" w:fill="FFFFFF"/>
            <w:noWrap/>
            <w:vAlign w:val="bottom"/>
            <w:hideMark/>
          </w:tcPr>
          <w:p w:rsidR="00D0122C" w:rsidRPr="00257E30" w:rsidRDefault="00D0122C" w:rsidP="00135409">
            <w:pPr>
              <w:pStyle w:val="TableFigText"/>
              <w:rPr>
                <w:rFonts w:eastAsia="Calibri" w:cs="Arial"/>
              </w:rPr>
            </w:pPr>
            <w:r w:rsidRPr="00257E30">
              <w:rPr>
                <w:rFonts w:eastAsia="Calibri" w:cs="Arial"/>
              </w:rPr>
              <w:t>6 months to &lt; 1 year</w:t>
            </w:r>
          </w:p>
        </w:tc>
        <w:tc>
          <w:tcPr>
            <w:tcW w:w="810" w:type="dxa"/>
            <w:tcBorders>
              <w:top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6.7</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4.4</w:t>
            </w:r>
          </w:p>
        </w:tc>
        <w:tc>
          <w:tcPr>
            <w:tcW w:w="932"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11.1</w:t>
            </w:r>
          </w:p>
        </w:tc>
        <w:tc>
          <w:tcPr>
            <w:tcW w:w="688"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1.9</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0.7</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0.4</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14.1</w:t>
            </w:r>
          </w:p>
        </w:tc>
      </w:tr>
      <w:tr w:rsidR="00D0122C" w:rsidRPr="00257E30" w:rsidTr="00135409">
        <w:trPr>
          <w:trHeight w:val="264"/>
        </w:trPr>
        <w:tc>
          <w:tcPr>
            <w:tcW w:w="2943" w:type="dxa"/>
            <w:shd w:val="clear" w:color="auto" w:fill="FFFFFF"/>
            <w:noWrap/>
            <w:vAlign w:val="bottom"/>
            <w:hideMark/>
          </w:tcPr>
          <w:p w:rsidR="00D0122C" w:rsidRPr="00257E30" w:rsidRDefault="00D0122C" w:rsidP="00135409">
            <w:pPr>
              <w:pStyle w:val="TableFigText"/>
              <w:rPr>
                <w:rFonts w:eastAsia="Calibri" w:cs="Arial"/>
              </w:rPr>
            </w:pPr>
            <w:r w:rsidRPr="00257E30">
              <w:rPr>
                <w:rFonts w:eastAsia="Calibri" w:cs="Arial"/>
              </w:rPr>
              <w:t>1 year to &lt; 2 years</w:t>
            </w:r>
          </w:p>
        </w:tc>
        <w:tc>
          <w:tcPr>
            <w:tcW w:w="810" w:type="dxa"/>
            <w:tcBorders>
              <w:top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5.2</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4.5</w:t>
            </w:r>
          </w:p>
        </w:tc>
        <w:tc>
          <w:tcPr>
            <w:tcW w:w="932"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9.6</w:t>
            </w:r>
          </w:p>
        </w:tc>
        <w:tc>
          <w:tcPr>
            <w:tcW w:w="688"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2.8</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1.8</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1.6</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16.0</w:t>
            </w:r>
          </w:p>
        </w:tc>
      </w:tr>
      <w:tr w:rsidR="00D0122C" w:rsidRPr="00257E30" w:rsidTr="00135409">
        <w:trPr>
          <w:trHeight w:val="264"/>
        </w:trPr>
        <w:tc>
          <w:tcPr>
            <w:tcW w:w="2943" w:type="dxa"/>
            <w:shd w:val="clear" w:color="auto" w:fill="FFFFFF"/>
            <w:noWrap/>
            <w:vAlign w:val="bottom"/>
            <w:hideMark/>
          </w:tcPr>
          <w:p w:rsidR="00D0122C" w:rsidRPr="00257E30" w:rsidRDefault="00D0122C" w:rsidP="00135409">
            <w:pPr>
              <w:pStyle w:val="TableFigText"/>
              <w:rPr>
                <w:rFonts w:eastAsia="Calibri" w:cs="Arial"/>
              </w:rPr>
            </w:pPr>
            <w:r w:rsidRPr="00257E30">
              <w:rPr>
                <w:rFonts w:eastAsia="Calibri" w:cs="Arial"/>
              </w:rPr>
              <w:t>2 years to &lt; 5 years</w:t>
            </w:r>
          </w:p>
        </w:tc>
        <w:tc>
          <w:tcPr>
            <w:tcW w:w="810" w:type="dxa"/>
            <w:tcBorders>
              <w:top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5.0</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4.8</w:t>
            </w:r>
          </w:p>
        </w:tc>
        <w:tc>
          <w:tcPr>
            <w:tcW w:w="932"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9.8</w:t>
            </w:r>
          </w:p>
        </w:tc>
        <w:tc>
          <w:tcPr>
            <w:tcW w:w="688"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3.8</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3.1</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5.4</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22.1</w:t>
            </w:r>
          </w:p>
        </w:tc>
      </w:tr>
      <w:tr w:rsidR="00D0122C" w:rsidRPr="00257E30" w:rsidTr="00135409">
        <w:trPr>
          <w:trHeight w:val="264"/>
        </w:trPr>
        <w:tc>
          <w:tcPr>
            <w:tcW w:w="2943" w:type="dxa"/>
            <w:shd w:val="clear" w:color="auto" w:fill="FFFFFF"/>
            <w:noWrap/>
            <w:vAlign w:val="bottom"/>
            <w:hideMark/>
          </w:tcPr>
          <w:p w:rsidR="00D0122C" w:rsidRPr="00257E30" w:rsidRDefault="00D0122C" w:rsidP="00135409">
            <w:pPr>
              <w:pStyle w:val="TableFigText"/>
              <w:rPr>
                <w:rFonts w:eastAsia="Calibri" w:cs="Arial"/>
              </w:rPr>
            </w:pPr>
            <w:r w:rsidRPr="00257E30">
              <w:rPr>
                <w:rFonts w:eastAsia="Calibri" w:cs="Arial"/>
              </w:rPr>
              <w:t>5 years or more</w:t>
            </w:r>
          </w:p>
        </w:tc>
        <w:tc>
          <w:tcPr>
            <w:tcW w:w="810" w:type="dxa"/>
            <w:tcBorders>
              <w:top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5.5</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4.4</w:t>
            </w:r>
          </w:p>
        </w:tc>
        <w:tc>
          <w:tcPr>
            <w:tcW w:w="932"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9.9</w:t>
            </w:r>
          </w:p>
        </w:tc>
        <w:tc>
          <w:tcPr>
            <w:tcW w:w="688"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2.9</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2.4</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7.8</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rPr>
            </w:pPr>
            <w:r w:rsidRPr="00257E30">
              <w:rPr>
                <w:rFonts w:cs="Arial"/>
              </w:rPr>
              <w:t>23.0</w:t>
            </w:r>
          </w:p>
        </w:tc>
      </w:tr>
      <w:tr w:rsidR="00D0122C" w:rsidRPr="00257E30" w:rsidTr="00B43461">
        <w:trPr>
          <w:trHeight w:val="264"/>
        </w:trPr>
        <w:tc>
          <w:tcPr>
            <w:tcW w:w="2943" w:type="dxa"/>
            <w:tcBorders>
              <w:bottom w:val="single" w:sz="4" w:space="0" w:color="auto"/>
            </w:tcBorders>
            <w:shd w:val="clear" w:color="auto" w:fill="FFFFFF"/>
            <w:noWrap/>
            <w:vAlign w:val="center"/>
            <w:hideMark/>
          </w:tcPr>
          <w:p w:rsidR="00D0122C" w:rsidRPr="00257E30" w:rsidRDefault="00D0122C" w:rsidP="00135409">
            <w:pPr>
              <w:pStyle w:val="TableFigText"/>
              <w:rPr>
                <w:rFonts w:eastAsia="Calibri" w:cs="Arial"/>
                <w:b/>
              </w:rPr>
            </w:pPr>
            <w:r w:rsidRPr="00257E30">
              <w:rPr>
                <w:rFonts w:eastAsia="Calibri" w:cs="Arial"/>
                <w:b/>
              </w:rPr>
              <w:t>Total children</w:t>
            </w:r>
          </w:p>
        </w:tc>
        <w:tc>
          <w:tcPr>
            <w:tcW w:w="810" w:type="dxa"/>
            <w:tcBorders>
              <w:top w:val="nil"/>
              <w:bottom w:val="single" w:sz="4" w:space="0" w:color="auto"/>
              <w:right w:val="nil"/>
            </w:tcBorders>
            <w:shd w:val="clear" w:color="000000" w:fill="FFFFFF"/>
            <w:noWrap/>
            <w:vAlign w:val="bottom"/>
          </w:tcPr>
          <w:p w:rsidR="00D0122C" w:rsidRPr="00257E30" w:rsidRDefault="00D0122C" w:rsidP="00135409">
            <w:pPr>
              <w:pStyle w:val="TableFigText"/>
              <w:jc w:val="right"/>
              <w:rPr>
                <w:rFonts w:cs="Arial"/>
                <w:b/>
              </w:rPr>
            </w:pPr>
            <w:r w:rsidRPr="00257E30">
              <w:rPr>
                <w:rFonts w:cs="Arial"/>
                <w:b/>
              </w:rPr>
              <w:t>39.7</w:t>
            </w:r>
          </w:p>
        </w:tc>
        <w:tc>
          <w:tcPr>
            <w:tcW w:w="810" w:type="dxa"/>
            <w:tcBorders>
              <w:top w:val="nil"/>
              <w:left w:val="nil"/>
              <w:bottom w:val="single" w:sz="4" w:space="0" w:color="auto"/>
              <w:right w:val="nil"/>
            </w:tcBorders>
            <w:shd w:val="clear" w:color="000000" w:fill="FFFFFF"/>
            <w:noWrap/>
            <w:vAlign w:val="bottom"/>
          </w:tcPr>
          <w:p w:rsidR="00D0122C" w:rsidRPr="00257E30" w:rsidRDefault="00D0122C" w:rsidP="00135409">
            <w:pPr>
              <w:pStyle w:val="TableFigText"/>
              <w:jc w:val="right"/>
              <w:rPr>
                <w:rFonts w:cs="Arial"/>
                <w:b/>
              </w:rPr>
            </w:pPr>
            <w:r w:rsidRPr="00257E30">
              <w:rPr>
                <w:rFonts w:cs="Arial"/>
                <w:b/>
              </w:rPr>
              <w:t>23.4</w:t>
            </w:r>
          </w:p>
        </w:tc>
        <w:tc>
          <w:tcPr>
            <w:tcW w:w="932" w:type="dxa"/>
            <w:tcBorders>
              <w:top w:val="nil"/>
              <w:left w:val="nil"/>
              <w:bottom w:val="single" w:sz="4" w:space="0" w:color="auto"/>
              <w:right w:val="nil"/>
            </w:tcBorders>
            <w:shd w:val="clear" w:color="000000" w:fill="FFFFFF"/>
            <w:noWrap/>
            <w:vAlign w:val="bottom"/>
          </w:tcPr>
          <w:p w:rsidR="00D0122C" w:rsidRPr="00257E30" w:rsidRDefault="00D0122C" w:rsidP="00135409">
            <w:pPr>
              <w:pStyle w:val="TableFigText"/>
              <w:jc w:val="right"/>
              <w:rPr>
                <w:rFonts w:cs="Arial"/>
                <w:b/>
              </w:rPr>
            </w:pPr>
            <w:r w:rsidRPr="00257E30">
              <w:rPr>
                <w:rFonts w:cs="Arial"/>
                <w:b/>
              </w:rPr>
              <w:t>63.1</w:t>
            </w:r>
          </w:p>
        </w:tc>
        <w:tc>
          <w:tcPr>
            <w:tcW w:w="688" w:type="dxa"/>
            <w:tcBorders>
              <w:top w:val="nil"/>
              <w:left w:val="nil"/>
              <w:bottom w:val="single" w:sz="4" w:space="0" w:color="auto"/>
              <w:right w:val="nil"/>
            </w:tcBorders>
            <w:shd w:val="clear" w:color="000000" w:fill="FFFFFF"/>
            <w:noWrap/>
            <w:vAlign w:val="bottom"/>
          </w:tcPr>
          <w:p w:rsidR="00D0122C" w:rsidRPr="00257E30" w:rsidRDefault="00D0122C" w:rsidP="00135409">
            <w:pPr>
              <w:pStyle w:val="TableFigText"/>
              <w:jc w:val="right"/>
              <w:rPr>
                <w:rFonts w:cs="Arial"/>
                <w:b/>
              </w:rPr>
            </w:pPr>
            <w:r w:rsidRPr="00257E30">
              <w:rPr>
                <w:rFonts w:cs="Arial"/>
                <w:b/>
              </w:rPr>
              <w:t>13.1</w:t>
            </w:r>
          </w:p>
        </w:tc>
        <w:tc>
          <w:tcPr>
            <w:tcW w:w="810" w:type="dxa"/>
            <w:tcBorders>
              <w:top w:val="nil"/>
              <w:left w:val="nil"/>
              <w:bottom w:val="single" w:sz="4" w:space="0" w:color="auto"/>
              <w:right w:val="nil"/>
            </w:tcBorders>
            <w:shd w:val="clear" w:color="000000" w:fill="FFFFFF"/>
            <w:noWrap/>
            <w:vAlign w:val="bottom"/>
          </w:tcPr>
          <w:p w:rsidR="00D0122C" w:rsidRPr="00257E30" w:rsidRDefault="00D0122C" w:rsidP="00135409">
            <w:pPr>
              <w:pStyle w:val="TableFigText"/>
              <w:jc w:val="right"/>
              <w:rPr>
                <w:rFonts w:cs="Arial"/>
                <w:b/>
              </w:rPr>
            </w:pPr>
            <w:r w:rsidRPr="00257E30">
              <w:rPr>
                <w:rFonts w:cs="Arial"/>
                <w:b/>
              </w:rPr>
              <w:t>8.5</w:t>
            </w:r>
          </w:p>
        </w:tc>
        <w:tc>
          <w:tcPr>
            <w:tcW w:w="810" w:type="dxa"/>
            <w:tcBorders>
              <w:top w:val="nil"/>
              <w:left w:val="nil"/>
              <w:bottom w:val="single" w:sz="4" w:space="0" w:color="auto"/>
              <w:right w:val="nil"/>
            </w:tcBorders>
            <w:shd w:val="clear" w:color="000000" w:fill="FFFFFF"/>
            <w:noWrap/>
            <w:vAlign w:val="bottom"/>
          </w:tcPr>
          <w:p w:rsidR="00D0122C" w:rsidRPr="00257E30" w:rsidRDefault="00D0122C" w:rsidP="00135409">
            <w:pPr>
              <w:pStyle w:val="TableFigText"/>
              <w:jc w:val="right"/>
              <w:rPr>
                <w:rFonts w:cs="Arial"/>
                <w:b/>
              </w:rPr>
            </w:pPr>
            <w:r w:rsidRPr="00257E30">
              <w:rPr>
                <w:rFonts w:cs="Arial"/>
                <w:b/>
              </w:rPr>
              <w:t>15.4</w:t>
            </w:r>
          </w:p>
        </w:tc>
        <w:tc>
          <w:tcPr>
            <w:tcW w:w="810" w:type="dxa"/>
            <w:tcBorders>
              <w:top w:val="nil"/>
              <w:left w:val="nil"/>
              <w:bottom w:val="single" w:sz="4" w:space="0" w:color="auto"/>
              <w:right w:val="nil"/>
            </w:tcBorders>
            <w:shd w:val="clear" w:color="000000" w:fill="FFFFFF"/>
            <w:noWrap/>
            <w:vAlign w:val="bottom"/>
          </w:tcPr>
          <w:p w:rsidR="00D0122C" w:rsidRPr="00257E30" w:rsidRDefault="00D0122C" w:rsidP="00135409">
            <w:pPr>
              <w:pStyle w:val="TableFigText"/>
              <w:jc w:val="right"/>
              <w:rPr>
                <w:rFonts w:cs="Arial"/>
                <w:b/>
              </w:rPr>
            </w:pPr>
            <w:r w:rsidRPr="00257E30">
              <w:rPr>
                <w:rFonts w:cs="Arial"/>
                <w:b/>
              </w:rPr>
              <w:t>100.0</w:t>
            </w:r>
          </w:p>
        </w:tc>
      </w:tr>
    </w:tbl>
    <w:p w:rsidR="00257E30" w:rsidRDefault="00257E30"/>
    <w:p w:rsidR="00257E30" w:rsidRDefault="00257E30">
      <w:r>
        <w:br w:type="page"/>
      </w:r>
    </w:p>
    <w:p w:rsidR="00257E30" w:rsidRDefault="00257E30"/>
    <w:tbl>
      <w:tblPr>
        <w:tblW w:w="8613" w:type="dxa"/>
        <w:tblBorders>
          <w:top w:val="single" w:sz="4" w:space="0" w:color="auto"/>
          <w:bottom w:val="single" w:sz="4" w:space="0" w:color="auto"/>
        </w:tblBorders>
        <w:tblLayout w:type="fixed"/>
        <w:tblLook w:val="04A0" w:firstRow="1" w:lastRow="0" w:firstColumn="1" w:lastColumn="0" w:noHBand="0" w:noVBand="1"/>
        <w:tblDescription w:val="Table 19: Children exiting out-of-home care in 2011–12(a), by number of different placements and Indigenous status"/>
      </w:tblPr>
      <w:tblGrid>
        <w:gridCol w:w="2943"/>
        <w:gridCol w:w="810"/>
        <w:gridCol w:w="810"/>
        <w:gridCol w:w="932"/>
        <w:gridCol w:w="688"/>
        <w:gridCol w:w="810"/>
        <w:gridCol w:w="810"/>
        <w:gridCol w:w="810"/>
      </w:tblGrid>
      <w:tr w:rsidR="00B43461" w:rsidRPr="00257E30" w:rsidTr="00B43461">
        <w:trPr>
          <w:trHeight w:val="264"/>
        </w:trPr>
        <w:tc>
          <w:tcPr>
            <w:tcW w:w="2943" w:type="dxa"/>
            <w:tcBorders>
              <w:top w:val="single" w:sz="4" w:space="0" w:color="auto"/>
              <w:bottom w:val="single" w:sz="4" w:space="0" w:color="auto"/>
              <w:right w:val="nil"/>
            </w:tcBorders>
            <w:shd w:val="clear" w:color="auto" w:fill="FFFFFF"/>
            <w:vAlign w:val="bottom"/>
          </w:tcPr>
          <w:p w:rsidR="00B43461" w:rsidRPr="00257E30" w:rsidRDefault="00257E30" w:rsidP="00F45542">
            <w:pPr>
              <w:pStyle w:val="TableFigHeadingtotal"/>
              <w:rPr>
                <w:rFonts w:eastAsia="Calibri" w:cs="Arial"/>
                <w:b w:val="0"/>
                <w:sz w:val="22"/>
                <w:szCs w:val="22"/>
              </w:rPr>
            </w:pPr>
            <w:r>
              <w:rPr>
                <w:rFonts w:eastAsia="Calibri" w:cs="Arial"/>
              </w:rPr>
              <w:t>Indigenous Children</w:t>
            </w:r>
            <w:r>
              <w:rPr>
                <w:rFonts w:eastAsia="Calibri" w:cs="Arial"/>
              </w:rPr>
              <w:br/>
            </w:r>
            <w:r w:rsidR="00B43461" w:rsidRPr="00257E30">
              <w:rPr>
                <w:rFonts w:eastAsia="Calibri" w:cs="Arial"/>
              </w:rPr>
              <w:t>Number of different placements</w:t>
            </w:r>
          </w:p>
        </w:tc>
        <w:tc>
          <w:tcPr>
            <w:tcW w:w="810" w:type="dxa"/>
            <w:tcBorders>
              <w:top w:val="single" w:sz="4" w:space="0" w:color="auto"/>
              <w:left w:val="nil"/>
              <w:bottom w:val="single" w:sz="4" w:space="0" w:color="auto"/>
              <w:right w:val="nil"/>
            </w:tcBorders>
            <w:shd w:val="clear" w:color="auto" w:fill="FFFFFF"/>
            <w:noWrap/>
            <w:vAlign w:val="bottom"/>
            <w:hideMark/>
          </w:tcPr>
          <w:p w:rsidR="00B43461" w:rsidRPr="00257E30" w:rsidRDefault="00B43461" w:rsidP="00F45542">
            <w:pPr>
              <w:pStyle w:val="TableFigHeadingtotal"/>
              <w:jc w:val="right"/>
              <w:rPr>
                <w:rFonts w:eastAsia="Calibri" w:cs="Arial"/>
              </w:rPr>
            </w:pPr>
            <w:r w:rsidRPr="00257E30">
              <w:rPr>
                <w:rFonts w:eastAsia="Calibri" w:cs="Arial"/>
              </w:rPr>
              <w:t>1</w:t>
            </w:r>
          </w:p>
        </w:tc>
        <w:tc>
          <w:tcPr>
            <w:tcW w:w="810" w:type="dxa"/>
            <w:tcBorders>
              <w:top w:val="single" w:sz="4" w:space="0" w:color="auto"/>
              <w:left w:val="nil"/>
              <w:bottom w:val="single" w:sz="4" w:space="0" w:color="auto"/>
              <w:right w:val="nil"/>
            </w:tcBorders>
            <w:shd w:val="clear" w:color="auto" w:fill="FFFFFF"/>
            <w:noWrap/>
            <w:vAlign w:val="bottom"/>
            <w:hideMark/>
          </w:tcPr>
          <w:p w:rsidR="00B43461" w:rsidRPr="00257E30" w:rsidRDefault="00B43461" w:rsidP="00F45542">
            <w:pPr>
              <w:pStyle w:val="TableFigHeadingtotal"/>
              <w:jc w:val="right"/>
              <w:rPr>
                <w:rFonts w:eastAsia="Calibri" w:cs="Arial"/>
              </w:rPr>
            </w:pPr>
            <w:r w:rsidRPr="00257E30">
              <w:rPr>
                <w:rFonts w:eastAsia="Calibri" w:cs="Arial"/>
              </w:rPr>
              <w:t>2</w:t>
            </w:r>
          </w:p>
        </w:tc>
        <w:tc>
          <w:tcPr>
            <w:tcW w:w="932" w:type="dxa"/>
            <w:tcBorders>
              <w:top w:val="single" w:sz="4" w:space="0" w:color="auto"/>
              <w:left w:val="nil"/>
              <w:bottom w:val="single" w:sz="4" w:space="0" w:color="auto"/>
              <w:right w:val="nil"/>
            </w:tcBorders>
            <w:shd w:val="clear" w:color="auto" w:fill="FFFFFF"/>
            <w:noWrap/>
            <w:vAlign w:val="bottom"/>
            <w:hideMark/>
          </w:tcPr>
          <w:p w:rsidR="00B43461" w:rsidRPr="00257E30" w:rsidRDefault="00B43461" w:rsidP="00F45542">
            <w:pPr>
              <w:pStyle w:val="TableFigHeadingtotal"/>
              <w:jc w:val="right"/>
              <w:rPr>
                <w:rFonts w:eastAsia="Calibri" w:cs="Arial"/>
              </w:rPr>
            </w:pPr>
            <w:r w:rsidRPr="00257E30">
              <w:rPr>
                <w:rFonts w:eastAsia="Calibri" w:cs="Arial"/>
              </w:rPr>
              <w:t>1–2 subtotal</w:t>
            </w:r>
          </w:p>
        </w:tc>
        <w:tc>
          <w:tcPr>
            <w:tcW w:w="688" w:type="dxa"/>
            <w:tcBorders>
              <w:top w:val="single" w:sz="4" w:space="0" w:color="auto"/>
              <w:left w:val="nil"/>
              <w:bottom w:val="single" w:sz="4" w:space="0" w:color="auto"/>
              <w:right w:val="nil"/>
            </w:tcBorders>
            <w:shd w:val="clear" w:color="auto" w:fill="FFFFFF"/>
            <w:noWrap/>
            <w:vAlign w:val="bottom"/>
            <w:hideMark/>
          </w:tcPr>
          <w:p w:rsidR="00B43461" w:rsidRPr="00257E30" w:rsidRDefault="00B43461" w:rsidP="00F45542">
            <w:pPr>
              <w:pStyle w:val="TableFigHeadingtotal"/>
              <w:jc w:val="right"/>
              <w:rPr>
                <w:rFonts w:eastAsia="Calibri" w:cs="Arial"/>
              </w:rPr>
            </w:pPr>
            <w:r w:rsidRPr="00257E30">
              <w:rPr>
                <w:rFonts w:eastAsia="Calibri" w:cs="Arial"/>
              </w:rPr>
              <w:t>3</w:t>
            </w:r>
          </w:p>
        </w:tc>
        <w:tc>
          <w:tcPr>
            <w:tcW w:w="810" w:type="dxa"/>
            <w:tcBorders>
              <w:top w:val="single" w:sz="4" w:space="0" w:color="auto"/>
              <w:left w:val="nil"/>
              <w:bottom w:val="single" w:sz="4" w:space="0" w:color="auto"/>
              <w:right w:val="nil"/>
            </w:tcBorders>
            <w:shd w:val="clear" w:color="auto" w:fill="FFFFFF"/>
            <w:noWrap/>
            <w:tcMar>
              <w:left w:w="28" w:type="dxa"/>
            </w:tcMar>
            <w:vAlign w:val="bottom"/>
            <w:hideMark/>
          </w:tcPr>
          <w:p w:rsidR="00B43461" w:rsidRPr="00257E30" w:rsidRDefault="00B43461" w:rsidP="00F45542">
            <w:pPr>
              <w:pStyle w:val="TableFigHeadingtotal"/>
              <w:jc w:val="right"/>
              <w:rPr>
                <w:rFonts w:eastAsia="Calibri" w:cs="Arial"/>
              </w:rPr>
            </w:pPr>
            <w:r w:rsidRPr="00257E30">
              <w:rPr>
                <w:rFonts w:eastAsia="Calibri" w:cs="Arial"/>
              </w:rPr>
              <w:t>4</w:t>
            </w:r>
          </w:p>
        </w:tc>
        <w:tc>
          <w:tcPr>
            <w:tcW w:w="810" w:type="dxa"/>
            <w:tcBorders>
              <w:top w:val="single" w:sz="4" w:space="0" w:color="auto"/>
              <w:left w:val="nil"/>
              <w:bottom w:val="single" w:sz="4" w:space="0" w:color="auto"/>
              <w:right w:val="nil"/>
            </w:tcBorders>
            <w:shd w:val="clear" w:color="auto" w:fill="FFFFFF"/>
            <w:noWrap/>
            <w:tcMar>
              <w:left w:w="28" w:type="dxa"/>
            </w:tcMar>
            <w:vAlign w:val="bottom"/>
            <w:hideMark/>
          </w:tcPr>
          <w:p w:rsidR="00B43461" w:rsidRPr="00257E30" w:rsidRDefault="00B43461" w:rsidP="00F45542">
            <w:pPr>
              <w:pStyle w:val="TableFigHeadingtotal"/>
              <w:jc w:val="right"/>
              <w:rPr>
                <w:rFonts w:eastAsia="Calibri" w:cs="Arial"/>
              </w:rPr>
            </w:pPr>
            <w:r w:rsidRPr="00257E30">
              <w:rPr>
                <w:rFonts w:eastAsia="Calibri" w:cs="Arial"/>
              </w:rPr>
              <w:t xml:space="preserve">5+ </w:t>
            </w:r>
          </w:p>
        </w:tc>
        <w:tc>
          <w:tcPr>
            <w:tcW w:w="810" w:type="dxa"/>
            <w:tcBorders>
              <w:top w:val="single" w:sz="4" w:space="0" w:color="auto"/>
              <w:left w:val="nil"/>
              <w:bottom w:val="single" w:sz="4" w:space="0" w:color="auto"/>
              <w:right w:val="nil"/>
            </w:tcBorders>
            <w:shd w:val="clear" w:color="auto" w:fill="FFFFFF"/>
            <w:vAlign w:val="bottom"/>
            <w:hideMark/>
          </w:tcPr>
          <w:p w:rsidR="00B43461" w:rsidRPr="00257E30" w:rsidRDefault="00B43461" w:rsidP="00F45542">
            <w:pPr>
              <w:pStyle w:val="TableFigHeadingtotal"/>
              <w:jc w:val="right"/>
              <w:rPr>
                <w:rFonts w:eastAsia="Calibri" w:cs="Arial"/>
              </w:rPr>
            </w:pPr>
            <w:r w:rsidRPr="00257E30">
              <w:rPr>
                <w:rFonts w:eastAsia="Calibri" w:cs="Arial"/>
              </w:rPr>
              <w:t>Total</w:t>
            </w:r>
          </w:p>
        </w:tc>
      </w:tr>
      <w:tr w:rsidR="00B43461" w:rsidRPr="00257E30" w:rsidTr="00257E30">
        <w:trPr>
          <w:trHeight w:val="264"/>
        </w:trPr>
        <w:tc>
          <w:tcPr>
            <w:tcW w:w="2943" w:type="dxa"/>
            <w:shd w:val="clear" w:color="auto" w:fill="FFFFFF"/>
            <w:noWrap/>
            <w:vAlign w:val="bottom"/>
          </w:tcPr>
          <w:p w:rsidR="00B43461" w:rsidRPr="00257E30" w:rsidRDefault="00B43461" w:rsidP="00135409">
            <w:pPr>
              <w:pStyle w:val="TableFigText"/>
              <w:rPr>
                <w:rFonts w:eastAsia="Calibri" w:cs="Arial"/>
              </w:rPr>
            </w:pPr>
            <w:r w:rsidRPr="00257E30">
              <w:rPr>
                <w:rFonts w:eastAsia="Calibri" w:cs="Arial"/>
              </w:rPr>
              <w:t>Length of time in out-of-home care</w:t>
            </w:r>
          </w:p>
        </w:tc>
        <w:tc>
          <w:tcPr>
            <w:tcW w:w="810" w:type="dxa"/>
            <w:tcBorders>
              <w:top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p>
        </w:tc>
        <w:tc>
          <w:tcPr>
            <w:tcW w:w="932"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p>
        </w:tc>
        <w:tc>
          <w:tcPr>
            <w:tcW w:w="688"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p>
        </w:tc>
      </w:tr>
      <w:tr w:rsidR="00D0122C" w:rsidRPr="00257E30" w:rsidTr="00257E30">
        <w:trPr>
          <w:trHeight w:val="264"/>
        </w:trPr>
        <w:tc>
          <w:tcPr>
            <w:tcW w:w="2943" w:type="dxa"/>
            <w:shd w:val="clear" w:color="auto" w:fill="FFFFFF"/>
            <w:noWrap/>
            <w:vAlign w:val="bottom"/>
          </w:tcPr>
          <w:p w:rsidR="00D0122C" w:rsidRPr="00257E30" w:rsidRDefault="00D0122C" w:rsidP="00135409">
            <w:pPr>
              <w:pStyle w:val="TableFigText"/>
              <w:rPr>
                <w:rFonts w:eastAsia="Calibri" w:cs="Arial"/>
              </w:rPr>
            </w:pPr>
            <w:r w:rsidRPr="00257E30">
              <w:rPr>
                <w:rFonts w:eastAsia="Calibri" w:cs="Arial"/>
              </w:rPr>
              <w:t>1 month to &lt; 6 months</w:t>
            </w:r>
          </w:p>
        </w:tc>
        <w:tc>
          <w:tcPr>
            <w:tcW w:w="810" w:type="dxa"/>
            <w:tcBorders>
              <w:top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17.2</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5.9</w:t>
            </w:r>
          </w:p>
        </w:tc>
        <w:tc>
          <w:tcPr>
            <w:tcW w:w="932"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23.1</w:t>
            </w:r>
          </w:p>
        </w:tc>
        <w:tc>
          <w:tcPr>
            <w:tcW w:w="688"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2.2</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0.5</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0.3</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26.0</w:t>
            </w:r>
          </w:p>
        </w:tc>
      </w:tr>
      <w:tr w:rsidR="00D0122C" w:rsidRPr="00257E30" w:rsidTr="00257E30">
        <w:trPr>
          <w:trHeight w:val="264"/>
        </w:trPr>
        <w:tc>
          <w:tcPr>
            <w:tcW w:w="2943" w:type="dxa"/>
            <w:shd w:val="clear" w:color="auto" w:fill="FFFFFF"/>
            <w:noWrap/>
            <w:vAlign w:val="bottom"/>
          </w:tcPr>
          <w:p w:rsidR="00D0122C" w:rsidRPr="00257E30" w:rsidRDefault="00D0122C" w:rsidP="00135409">
            <w:pPr>
              <w:pStyle w:val="TableFigText"/>
              <w:rPr>
                <w:rFonts w:eastAsia="Calibri" w:cs="Arial"/>
              </w:rPr>
            </w:pPr>
            <w:r w:rsidRPr="00257E30">
              <w:rPr>
                <w:rFonts w:eastAsia="Calibri" w:cs="Arial"/>
              </w:rPr>
              <w:t>6 months to &lt; 1 year</w:t>
            </w:r>
          </w:p>
        </w:tc>
        <w:tc>
          <w:tcPr>
            <w:tcW w:w="810" w:type="dxa"/>
            <w:tcBorders>
              <w:top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4.7</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5.1</w:t>
            </w:r>
          </w:p>
        </w:tc>
        <w:tc>
          <w:tcPr>
            <w:tcW w:w="932"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9.8</w:t>
            </w:r>
          </w:p>
        </w:tc>
        <w:tc>
          <w:tcPr>
            <w:tcW w:w="688"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1.6</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0.9</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0.3</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12.6</w:t>
            </w:r>
          </w:p>
        </w:tc>
      </w:tr>
      <w:tr w:rsidR="00D0122C" w:rsidRPr="00257E30" w:rsidTr="00257E30">
        <w:trPr>
          <w:trHeight w:val="264"/>
        </w:trPr>
        <w:tc>
          <w:tcPr>
            <w:tcW w:w="2943" w:type="dxa"/>
            <w:shd w:val="clear" w:color="auto" w:fill="FFFFFF"/>
            <w:noWrap/>
            <w:vAlign w:val="bottom"/>
          </w:tcPr>
          <w:p w:rsidR="00D0122C" w:rsidRPr="00257E30" w:rsidRDefault="00D0122C" w:rsidP="00135409">
            <w:pPr>
              <w:pStyle w:val="TableFigText"/>
              <w:rPr>
                <w:rFonts w:eastAsia="Calibri" w:cs="Arial"/>
              </w:rPr>
            </w:pPr>
            <w:r w:rsidRPr="00257E30">
              <w:rPr>
                <w:rFonts w:eastAsia="Calibri" w:cs="Arial"/>
              </w:rPr>
              <w:t>1 year to &lt; 2 years</w:t>
            </w:r>
          </w:p>
        </w:tc>
        <w:tc>
          <w:tcPr>
            <w:tcW w:w="810" w:type="dxa"/>
            <w:tcBorders>
              <w:top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4.8</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4.9</w:t>
            </w:r>
          </w:p>
        </w:tc>
        <w:tc>
          <w:tcPr>
            <w:tcW w:w="932"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9.6</w:t>
            </w:r>
          </w:p>
        </w:tc>
        <w:tc>
          <w:tcPr>
            <w:tcW w:w="688"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3.5</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2.4</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2.1</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17.7</w:t>
            </w:r>
          </w:p>
        </w:tc>
      </w:tr>
      <w:tr w:rsidR="00D0122C" w:rsidRPr="00257E30" w:rsidTr="00257E30">
        <w:trPr>
          <w:trHeight w:val="264"/>
        </w:trPr>
        <w:tc>
          <w:tcPr>
            <w:tcW w:w="2943" w:type="dxa"/>
            <w:shd w:val="clear" w:color="auto" w:fill="FFFFFF"/>
            <w:noWrap/>
            <w:vAlign w:val="bottom"/>
          </w:tcPr>
          <w:p w:rsidR="00D0122C" w:rsidRPr="00257E30" w:rsidRDefault="00D0122C" w:rsidP="00135409">
            <w:pPr>
              <w:pStyle w:val="TableFigText"/>
              <w:rPr>
                <w:rFonts w:eastAsia="Calibri" w:cs="Arial"/>
              </w:rPr>
            </w:pPr>
            <w:r w:rsidRPr="00257E30">
              <w:rPr>
                <w:rFonts w:eastAsia="Calibri" w:cs="Arial"/>
              </w:rPr>
              <w:t>2 years to &lt; 5 years</w:t>
            </w:r>
          </w:p>
        </w:tc>
        <w:tc>
          <w:tcPr>
            <w:tcW w:w="810" w:type="dxa"/>
            <w:tcBorders>
              <w:top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5.3</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3.8</w:t>
            </w:r>
          </w:p>
        </w:tc>
        <w:tc>
          <w:tcPr>
            <w:tcW w:w="932"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9.1</w:t>
            </w:r>
          </w:p>
        </w:tc>
        <w:tc>
          <w:tcPr>
            <w:tcW w:w="688"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5.1</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3.3</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6.1</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23.5</w:t>
            </w:r>
          </w:p>
        </w:tc>
      </w:tr>
      <w:tr w:rsidR="00D0122C" w:rsidRPr="00257E30" w:rsidTr="00257E30">
        <w:trPr>
          <w:trHeight w:val="264"/>
        </w:trPr>
        <w:tc>
          <w:tcPr>
            <w:tcW w:w="2943" w:type="dxa"/>
            <w:shd w:val="clear" w:color="auto" w:fill="FFFFFF"/>
            <w:noWrap/>
            <w:vAlign w:val="bottom"/>
          </w:tcPr>
          <w:p w:rsidR="00D0122C" w:rsidRPr="00257E30" w:rsidRDefault="00D0122C" w:rsidP="00135409">
            <w:pPr>
              <w:pStyle w:val="TableFigText"/>
              <w:rPr>
                <w:rFonts w:eastAsia="Calibri" w:cs="Arial"/>
              </w:rPr>
            </w:pPr>
            <w:r w:rsidRPr="00257E30">
              <w:rPr>
                <w:rFonts w:eastAsia="Calibri" w:cs="Arial"/>
              </w:rPr>
              <w:t>5 years or more</w:t>
            </w:r>
          </w:p>
        </w:tc>
        <w:tc>
          <w:tcPr>
            <w:tcW w:w="810" w:type="dxa"/>
            <w:tcBorders>
              <w:top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4.1</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3.8</w:t>
            </w:r>
          </w:p>
        </w:tc>
        <w:tc>
          <w:tcPr>
            <w:tcW w:w="932"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7.9</w:t>
            </w:r>
          </w:p>
        </w:tc>
        <w:tc>
          <w:tcPr>
            <w:tcW w:w="688"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2.8</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2.2</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7.2</w:t>
            </w:r>
          </w:p>
        </w:tc>
        <w:tc>
          <w:tcPr>
            <w:tcW w:w="810" w:type="dxa"/>
            <w:tcBorders>
              <w:top w:val="nil"/>
              <w:left w:val="nil"/>
              <w:bottom w:val="nil"/>
              <w:right w:val="nil"/>
            </w:tcBorders>
            <w:shd w:val="clear" w:color="000000" w:fill="FFFFFF"/>
            <w:noWrap/>
            <w:vAlign w:val="bottom"/>
          </w:tcPr>
          <w:p w:rsidR="00D0122C" w:rsidRPr="00257E30" w:rsidRDefault="00D0122C" w:rsidP="00135409">
            <w:pPr>
              <w:pStyle w:val="TableFigText"/>
              <w:jc w:val="right"/>
              <w:rPr>
                <w:rFonts w:cs="Arial"/>
                <w:szCs w:val="16"/>
              </w:rPr>
            </w:pPr>
            <w:r w:rsidRPr="00257E30">
              <w:rPr>
                <w:rFonts w:cs="Arial"/>
                <w:szCs w:val="16"/>
              </w:rPr>
              <w:t>20.1</w:t>
            </w:r>
          </w:p>
        </w:tc>
      </w:tr>
      <w:tr w:rsidR="00D0122C" w:rsidRPr="00257E30" w:rsidTr="00257E30">
        <w:trPr>
          <w:trHeight w:val="264"/>
        </w:trPr>
        <w:tc>
          <w:tcPr>
            <w:tcW w:w="2943" w:type="dxa"/>
            <w:tcBorders>
              <w:bottom w:val="single" w:sz="4" w:space="0" w:color="auto"/>
            </w:tcBorders>
            <w:shd w:val="clear" w:color="auto" w:fill="FFFFFF"/>
            <w:noWrap/>
            <w:vAlign w:val="center"/>
          </w:tcPr>
          <w:p w:rsidR="00D0122C" w:rsidRPr="00257E30" w:rsidRDefault="00D0122C" w:rsidP="00135409">
            <w:pPr>
              <w:pStyle w:val="TableFigText"/>
              <w:rPr>
                <w:rFonts w:eastAsia="Calibri" w:cs="Arial"/>
                <w:b/>
              </w:rPr>
            </w:pPr>
            <w:r w:rsidRPr="00257E30">
              <w:rPr>
                <w:rFonts w:eastAsia="Calibri" w:cs="Arial"/>
                <w:b/>
              </w:rPr>
              <w:t>Total children</w:t>
            </w:r>
          </w:p>
        </w:tc>
        <w:tc>
          <w:tcPr>
            <w:tcW w:w="810" w:type="dxa"/>
            <w:tcBorders>
              <w:top w:val="nil"/>
              <w:bottom w:val="single" w:sz="4" w:space="0" w:color="auto"/>
              <w:right w:val="nil"/>
            </w:tcBorders>
            <w:shd w:val="clear" w:color="000000" w:fill="FFFFFF"/>
            <w:noWrap/>
            <w:vAlign w:val="bottom"/>
          </w:tcPr>
          <w:p w:rsidR="00D0122C" w:rsidRPr="00257E30" w:rsidRDefault="00D0122C" w:rsidP="00135409">
            <w:pPr>
              <w:pStyle w:val="TableFigText"/>
              <w:jc w:val="right"/>
              <w:rPr>
                <w:rFonts w:cs="Arial"/>
                <w:b/>
                <w:szCs w:val="16"/>
              </w:rPr>
            </w:pPr>
            <w:r w:rsidRPr="00257E30">
              <w:rPr>
                <w:rFonts w:cs="Arial"/>
                <w:b/>
                <w:szCs w:val="16"/>
              </w:rPr>
              <w:t>36.1</w:t>
            </w:r>
          </w:p>
        </w:tc>
        <w:tc>
          <w:tcPr>
            <w:tcW w:w="810" w:type="dxa"/>
            <w:tcBorders>
              <w:top w:val="nil"/>
              <w:left w:val="nil"/>
              <w:bottom w:val="single" w:sz="4" w:space="0" w:color="auto"/>
              <w:right w:val="nil"/>
            </w:tcBorders>
            <w:shd w:val="clear" w:color="000000" w:fill="FFFFFF"/>
            <w:noWrap/>
            <w:vAlign w:val="bottom"/>
          </w:tcPr>
          <w:p w:rsidR="00D0122C" w:rsidRPr="00257E30" w:rsidRDefault="00D0122C" w:rsidP="00135409">
            <w:pPr>
              <w:pStyle w:val="TableFigText"/>
              <w:jc w:val="right"/>
              <w:rPr>
                <w:rFonts w:cs="Arial"/>
                <w:b/>
                <w:szCs w:val="16"/>
              </w:rPr>
            </w:pPr>
            <w:r w:rsidRPr="00257E30">
              <w:rPr>
                <w:rFonts w:cs="Arial"/>
                <w:b/>
                <w:szCs w:val="16"/>
              </w:rPr>
              <w:t>23.5</w:t>
            </w:r>
          </w:p>
        </w:tc>
        <w:tc>
          <w:tcPr>
            <w:tcW w:w="932" w:type="dxa"/>
            <w:tcBorders>
              <w:top w:val="nil"/>
              <w:left w:val="nil"/>
              <w:bottom w:val="single" w:sz="4" w:space="0" w:color="auto"/>
              <w:right w:val="nil"/>
            </w:tcBorders>
            <w:shd w:val="clear" w:color="000000" w:fill="FFFFFF"/>
            <w:noWrap/>
            <w:vAlign w:val="bottom"/>
          </w:tcPr>
          <w:p w:rsidR="00D0122C" w:rsidRPr="00257E30" w:rsidRDefault="00D0122C" w:rsidP="00135409">
            <w:pPr>
              <w:pStyle w:val="TableFigText"/>
              <w:jc w:val="right"/>
              <w:rPr>
                <w:rFonts w:cs="Arial"/>
                <w:b/>
                <w:szCs w:val="16"/>
              </w:rPr>
            </w:pPr>
            <w:r w:rsidRPr="00257E30">
              <w:rPr>
                <w:rFonts w:cs="Arial"/>
                <w:b/>
                <w:szCs w:val="16"/>
              </w:rPr>
              <w:t>59.6</w:t>
            </w:r>
          </w:p>
        </w:tc>
        <w:tc>
          <w:tcPr>
            <w:tcW w:w="688" w:type="dxa"/>
            <w:tcBorders>
              <w:top w:val="nil"/>
              <w:left w:val="nil"/>
              <w:bottom w:val="single" w:sz="4" w:space="0" w:color="auto"/>
              <w:right w:val="nil"/>
            </w:tcBorders>
            <w:shd w:val="clear" w:color="000000" w:fill="FFFFFF"/>
            <w:noWrap/>
            <w:vAlign w:val="bottom"/>
          </w:tcPr>
          <w:p w:rsidR="00D0122C" w:rsidRPr="00257E30" w:rsidRDefault="00D0122C" w:rsidP="00135409">
            <w:pPr>
              <w:pStyle w:val="TableFigText"/>
              <w:jc w:val="right"/>
              <w:rPr>
                <w:rFonts w:cs="Arial"/>
                <w:b/>
                <w:szCs w:val="16"/>
              </w:rPr>
            </w:pPr>
            <w:r w:rsidRPr="00257E30">
              <w:rPr>
                <w:rFonts w:cs="Arial"/>
                <w:b/>
                <w:szCs w:val="16"/>
              </w:rPr>
              <w:t>15.2</w:t>
            </w:r>
          </w:p>
        </w:tc>
        <w:tc>
          <w:tcPr>
            <w:tcW w:w="810" w:type="dxa"/>
            <w:tcBorders>
              <w:top w:val="nil"/>
              <w:left w:val="nil"/>
              <w:bottom w:val="single" w:sz="4" w:space="0" w:color="auto"/>
              <w:right w:val="nil"/>
            </w:tcBorders>
            <w:shd w:val="clear" w:color="000000" w:fill="FFFFFF"/>
            <w:noWrap/>
            <w:vAlign w:val="bottom"/>
          </w:tcPr>
          <w:p w:rsidR="00D0122C" w:rsidRPr="00257E30" w:rsidRDefault="00D0122C" w:rsidP="00135409">
            <w:pPr>
              <w:pStyle w:val="TableFigText"/>
              <w:jc w:val="right"/>
              <w:rPr>
                <w:rFonts w:cs="Arial"/>
                <w:b/>
                <w:szCs w:val="16"/>
              </w:rPr>
            </w:pPr>
            <w:r w:rsidRPr="00257E30">
              <w:rPr>
                <w:rFonts w:cs="Arial"/>
                <w:b/>
                <w:szCs w:val="16"/>
              </w:rPr>
              <w:t>9.2</w:t>
            </w:r>
          </w:p>
        </w:tc>
        <w:tc>
          <w:tcPr>
            <w:tcW w:w="810" w:type="dxa"/>
            <w:tcBorders>
              <w:top w:val="nil"/>
              <w:left w:val="nil"/>
              <w:bottom w:val="single" w:sz="4" w:space="0" w:color="auto"/>
              <w:right w:val="nil"/>
            </w:tcBorders>
            <w:shd w:val="clear" w:color="000000" w:fill="FFFFFF"/>
            <w:noWrap/>
            <w:vAlign w:val="bottom"/>
          </w:tcPr>
          <w:p w:rsidR="00D0122C" w:rsidRPr="00257E30" w:rsidRDefault="00D0122C" w:rsidP="00135409">
            <w:pPr>
              <w:pStyle w:val="TableFigText"/>
              <w:jc w:val="right"/>
              <w:rPr>
                <w:rFonts w:cs="Arial"/>
                <w:b/>
                <w:szCs w:val="16"/>
              </w:rPr>
            </w:pPr>
            <w:r w:rsidRPr="00257E30">
              <w:rPr>
                <w:rFonts w:cs="Arial"/>
                <w:b/>
                <w:szCs w:val="16"/>
              </w:rPr>
              <w:t>16.0</w:t>
            </w:r>
          </w:p>
        </w:tc>
        <w:tc>
          <w:tcPr>
            <w:tcW w:w="810" w:type="dxa"/>
            <w:tcBorders>
              <w:top w:val="nil"/>
              <w:left w:val="nil"/>
              <w:bottom w:val="single" w:sz="4" w:space="0" w:color="auto"/>
              <w:right w:val="nil"/>
            </w:tcBorders>
            <w:shd w:val="clear" w:color="000000" w:fill="FFFFFF"/>
            <w:noWrap/>
            <w:vAlign w:val="bottom"/>
          </w:tcPr>
          <w:p w:rsidR="00D0122C" w:rsidRPr="00257E30" w:rsidRDefault="00D0122C" w:rsidP="00135409">
            <w:pPr>
              <w:pStyle w:val="TableFigText"/>
              <w:jc w:val="right"/>
              <w:rPr>
                <w:rFonts w:cs="Arial"/>
                <w:b/>
                <w:szCs w:val="16"/>
              </w:rPr>
            </w:pPr>
            <w:r w:rsidRPr="00257E30">
              <w:rPr>
                <w:rFonts w:cs="Arial"/>
                <w:b/>
                <w:szCs w:val="16"/>
              </w:rPr>
              <w:t>100.0</w:t>
            </w:r>
          </w:p>
        </w:tc>
      </w:tr>
      <w:tr w:rsidR="00B43461" w:rsidRPr="00257E30" w:rsidTr="00B43461">
        <w:trPr>
          <w:trHeight w:val="264"/>
        </w:trPr>
        <w:tc>
          <w:tcPr>
            <w:tcW w:w="2943" w:type="dxa"/>
            <w:tcBorders>
              <w:top w:val="single" w:sz="4" w:space="0" w:color="auto"/>
              <w:bottom w:val="single" w:sz="4" w:space="0" w:color="auto"/>
              <w:right w:val="nil"/>
            </w:tcBorders>
            <w:shd w:val="clear" w:color="auto" w:fill="FFFFFF"/>
            <w:vAlign w:val="bottom"/>
          </w:tcPr>
          <w:p w:rsidR="00B43461" w:rsidRPr="00257E30" w:rsidRDefault="00257E30" w:rsidP="00F45542">
            <w:pPr>
              <w:pStyle w:val="TableFigHeadingtotal"/>
              <w:rPr>
                <w:rFonts w:eastAsia="Calibri" w:cs="Arial"/>
                <w:b w:val="0"/>
                <w:sz w:val="22"/>
                <w:szCs w:val="22"/>
              </w:rPr>
            </w:pPr>
            <w:r>
              <w:rPr>
                <w:rFonts w:eastAsia="Calibri" w:cs="Arial"/>
              </w:rPr>
              <w:t>Non-Indigenous Children</w:t>
            </w:r>
            <w:r w:rsidRPr="00257E30">
              <w:rPr>
                <w:rFonts w:eastAsia="Calibri" w:cs="Arial"/>
                <w:vertAlign w:val="superscript"/>
              </w:rPr>
              <w:t>(c)</w:t>
            </w:r>
            <w:r>
              <w:rPr>
                <w:rFonts w:eastAsia="Calibri" w:cs="Arial"/>
              </w:rPr>
              <w:br/>
            </w:r>
            <w:r w:rsidR="00B43461" w:rsidRPr="00257E30">
              <w:rPr>
                <w:rFonts w:eastAsia="Calibri" w:cs="Arial"/>
              </w:rPr>
              <w:t>Number of different placements</w:t>
            </w:r>
          </w:p>
        </w:tc>
        <w:tc>
          <w:tcPr>
            <w:tcW w:w="810" w:type="dxa"/>
            <w:tcBorders>
              <w:top w:val="single" w:sz="4" w:space="0" w:color="auto"/>
              <w:left w:val="nil"/>
              <w:bottom w:val="single" w:sz="4" w:space="0" w:color="auto"/>
              <w:right w:val="nil"/>
            </w:tcBorders>
            <w:shd w:val="clear" w:color="auto" w:fill="FFFFFF"/>
            <w:noWrap/>
            <w:vAlign w:val="bottom"/>
            <w:hideMark/>
          </w:tcPr>
          <w:p w:rsidR="00B43461" w:rsidRPr="00257E30" w:rsidRDefault="00B43461" w:rsidP="00F45542">
            <w:pPr>
              <w:pStyle w:val="TableFigHeadingtotal"/>
              <w:jc w:val="right"/>
              <w:rPr>
                <w:rFonts w:eastAsia="Calibri" w:cs="Arial"/>
              </w:rPr>
            </w:pPr>
            <w:r w:rsidRPr="00257E30">
              <w:rPr>
                <w:rFonts w:eastAsia="Calibri" w:cs="Arial"/>
              </w:rPr>
              <w:t>1</w:t>
            </w:r>
          </w:p>
        </w:tc>
        <w:tc>
          <w:tcPr>
            <w:tcW w:w="810" w:type="dxa"/>
            <w:tcBorders>
              <w:top w:val="single" w:sz="4" w:space="0" w:color="auto"/>
              <w:left w:val="nil"/>
              <w:bottom w:val="single" w:sz="4" w:space="0" w:color="auto"/>
              <w:right w:val="nil"/>
            </w:tcBorders>
            <w:shd w:val="clear" w:color="auto" w:fill="FFFFFF"/>
            <w:noWrap/>
            <w:vAlign w:val="bottom"/>
            <w:hideMark/>
          </w:tcPr>
          <w:p w:rsidR="00B43461" w:rsidRPr="00257E30" w:rsidRDefault="00B43461" w:rsidP="00F45542">
            <w:pPr>
              <w:pStyle w:val="TableFigHeadingtotal"/>
              <w:jc w:val="right"/>
              <w:rPr>
                <w:rFonts w:eastAsia="Calibri" w:cs="Arial"/>
              </w:rPr>
            </w:pPr>
            <w:r w:rsidRPr="00257E30">
              <w:rPr>
                <w:rFonts w:eastAsia="Calibri" w:cs="Arial"/>
              </w:rPr>
              <w:t>2</w:t>
            </w:r>
          </w:p>
        </w:tc>
        <w:tc>
          <w:tcPr>
            <w:tcW w:w="932" w:type="dxa"/>
            <w:tcBorders>
              <w:top w:val="single" w:sz="4" w:space="0" w:color="auto"/>
              <w:left w:val="nil"/>
              <w:bottom w:val="single" w:sz="4" w:space="0" w:color="auto"/>
              <w:right w:val="nil"/>
            </w:tcBorders>
            <w:shd w:val="clear" w:color="auto" w:fill="FFFFFF"/>
            <w:noWrap/>
            <w:vAlign w:val="bottom"/>
            <w:hideMark/>
          </w:tcPr>
          <w:p w:rsidR="00B43461" w:rsidRPr="00257E30" w:rsidRDefault="00B43461" w:rsidP="00F45542">
            <w:pPr>
              <w:pStyle w:val="TableFigHeadingtotal"/>
              <w:jc w:val="right"/>
              <w:rPr>
                <w:rFonts w:eastAsia="Calibri" w:cs="Arial"/>
              </w:rPr>
            </w:pPr>
            <w:r w:rsidRPr="00257E30">
              <w:rPr>
                <w:rFonts w:eastAsia="Calibri" w:cs="Arial"/>
              </w:rPr>
              <w:t>1–2 subtotal</w:t>
            </w:r>
          </w:p>
        </w:tc>
        <w:tc>
          <w:tcPr>
            <w:tcW w:w="688" w:type="dxa"/>
            <w:tcBorders>
              <w:top w:val="single" w:sz="4" w:space="0" w:color="auto"/>
              <w:left w:val="nil"/>
              <w:bottom w:val="single" w:sz="4" w:space="0" w:color="auto"/>
              <w:right w:val="nil"/>
            </w:tcBorders>
            <w:shd w:val="clear" w:color="auto" w:fill="FFFFFF"/>
            <w:noWrap/>
            <w:vAlign w:val="bottom"/>
            <w:hideMark/>
          </w:tcPr>
          <w:p w:rsidR="00B43461" w:rsidRPr="00257E30" w:rsidRDefault="00B43461" w:rsidP="00F45542">
            <w:pPr>
              <w:pStyle w:val="TableFigHeadingtotal"/>
              <w:jc w:val="right"/>
              <w:rPr>
                <w:rFonts w:eastAsia="Calibri" w:cs="Arial"/>
              </w:rPr>
            </w:pPr>
            <w:r w:rsidRPr="00257E30">
              <w:rPr>
                <w:rFonts w:eastAsia="Calibri" w:cs="Arial"/>
              </w:rPr>
              <w:t>3</w:t>
            </w:r>
          </w:p>
        </w:tc>
        <w:tc>
          <w:tcPr>
            <w:tcW w:w="810" w:type="dxa"/>
            <w:tcBorders>
              <w:top w:val="single" w:sz="4" w:space="0" w:color="auto"/>
              <w:left w:val="nil"/>
              <w:bottom w:val="single" w:sz="4" w:space="0" w:color="auto"/>
              <w:right w:val="nil"/>
            </w:tcBorders>
            <w:shd w:val="clear" w:color="auto" w:fill="FFFFFF"/>
            <w:noWrap/>
            <w:tcMar>
              <w:left w:w="28" w:type="dxa"/>
            </w:tcMar>
            <w:vAlign w:val="bottom"/>
            <w:hideMark/>
          </w:tcPr>
          <w:p w:rsidR="00B43461" w:rsidRPr="00257E30" w:rsidRDefault="00B43461" w:rsidP="00F45542">
            <w:pPr>
              <w:pStyle w:val="TableFigHeadingtotal"/>
              <w:jc w:val="right"/>
              <w:rPr>
                <w:rFonts w:eastAsia="Calibri" w:cs="Arial"/>
              </w:rPr>
            </w:pPr>
            <w:r w:rsidRPr="00257E30">
              <w:rPr>
                <w:rFonts w:eastAsia="Calibri" w:cs="Arial"/>
              </w:rPr>
              <w:t>4</w:t>
            </w:r>
          </w:p>
        </w:tc>
        <w:tc>
          <w:tcPr>
            <w:tcW w:w="810" w:type="dxa"/>
            <w:tcBorders>
              <w:top w:val="single" w:sz="4" w:space="0" w:color="auto"/>
              <w:left w:val="nil"/>
              <w:bottom w:val="single" w:sz="4" w:space="0" w:color="auto"/>
              <w:right w:val="nil"/>
            </w:tcBorders>
            <w:shd w:val="clear" w:color="auto" w:fill="FFFFFF"/>
            <w:noWrap/>
            <w:tcMar>
              <w:left w:w="28" w:type="dxa"/>
            </w:tcMar>
            <w:vAlign w:val="bottom"/>
            <w:hideMark/>
          </w:tcPr>
          <w:p w:rsidR="00B43461" w:rsidRPr="00257E30" w:rsidRDefault="00B43461" w:rsidP="00F45542">
            <w:pPr>
              <w:pStyle w:val="TableFigHeadingtotal"/>
              <w:jc w:val="right"/>
              <w:rPr>
                <w:rFonts w:eastAsia="Calibri" w:cs="Arial"/>
              </w:rPr>
            </w:pPr>
            <w:r w:rsidRPr="00257E30">
              <w:rPr>
                <w:rFonts w:eastAsia="Calibri" w:cs="Arial"/>
              </w:rPr>
              <w:t xml:space="preserve">5+ </w:t>
            </w:r>
          </w:p>
        </w:tc>
        <w:tc>
          <w:tcPr>
            <w:tcW w:w="810" w:type="dxa"/>
            <w:tcBorders>
              <w:top w:val="single" w:sz="4" w:space="0" w:color="auto"/>
              <w:left w:val="nil"/>
              <w:bottom w:val="single" w:sz="4" w:space="0" w:color="auto"/>
              <w:right w:val="nil"/>
            </w:tcBorders>
            <w:shd w:val="clear" w:color="auto" w:fill="FFFFFF"/>
            <w:vAlign w:val="bottom"/>
            <w:hideMark/>
          </w:tcPr>
          <w:p w:rsidR="00B43461" w:rsidRPr="00257E30" w:rsidRDefault="00B43461" w:rsidP="00F45542">
            <w:pPr>
              <w:pStyle w:val="TableFigHeadingtotal"/>
              <w:jc w:val="right"/>
              <w:rPr>
                <w:rFonts w:eastAsia="Calibri" w:cs="Arial"/>
              </w:rPr>
            </w:pPr>
            <w:r w:rsidRPr="00257E30">
              <w:rPr>
                <w:rFonts w:eastAsia="Calibri" w:cs="Arial"/>
              </w:rPr>
              <w:t>Total</w:t>
            </w:r>
          </w:p>
        </w:tc>
      </w:tr>
      <w:tr w:rsidR="00B43461" w:rsidRPr="00257E30" w:rsidTr="00257E30">
        <w:trPr>
          <w:trHeight w:val="264"/>
        </w:trPr>
        <w:tc>
          <w:tcPr>
            <w:tcW w:w="2943" w:type="dxa"/>
            <w:shd w:val="clear" w:color="auto" w:fill="FFFFFF"/>
            <w:noWrap/>
            <w:vAlign w:val="center"/>
          </w:tcPr>
          <w:p w:rsidR="00B43461" w:rsidRPr="00257E30" w:rsidRDefault="00B43461" w:rsidP="00F45542">
            <w:pPr>
              <w:pStyle w:val="TableFigHeadingtotal"/>
              <w:rPr>
                <w:rFonts w:eastAsia="Calibri" w:cs="Arial"/>
                <w:b w:val="0"/>
              </w:rPr>
            </w:pPr>
            <w:r w:rsidRPr="00257E30">
              <w:rPr>
                <w:rFonts w:eastAsia="Calibri" w:cs="Arial"/>
                <w:b w:val="0"/>
              </w:rPr>
              <w:t>Length of time in out-of-home care</w:t>
            </w:r>
          </w:p>
        </w:tc>
        <w:tc>
          <w:tcPr>
            <w:tcW w:w="810" w:type="dxa"/>
            <w:tcBorders>
              <w:top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p>
        </w:tc>
        <w:tc>
          <w:tcPr>
            <w:tcW w:w="932"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p>
        </w:tc>
        <w:tc>
          <w:tcPr>
            <w:tcW w:w="688"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p>
        </w:tc>
      </w:tr>
      <w:tr w:rsidR="00B43461" w:rsidRPr="00257E30" w:rsidTr="00257E30">
        <w:trPr>
          <w:trHeight w:val="264"/>
        </w:trPr>
        <w:tc>
          <w:tcPr>
            <w:tcW w:w="2943" w:type="dxa"/>
            <w:shd w:val="clear" w:color="auto" w:fill="FFFFFF"/>
            <w:noWrap/>
            <w:vAlign w:val="bottom"/>
          </w:tcPr>
          <w:p w:rsidR="00B43461" w:rsidRPr="00257E30" w:rsidRDefault="00B43461" w:rsidP="00135409">
            <w:pPr>
              <w:pStyle w:val="TableFigText"/>
              <w:rPr>
                <w:rFonts w:eastAsia="Calibri" w:cs="Arial"/>
              </w:rPr>
            </w:pPr>
            <w:r w:rsidRPr="00257E30">
              <w:rPr>
                <w:rFonts w:eastAsia="Calibri" w:cs="Arial"/>
              </w:rPr>
              <w:t>1 month to &lt; 6 months</w:t>
            </w:r>
          </w:p>
        </w:tc>
        <w:tc>
          <w:tcPr>
            <w:tcW w:w="810" w:type="dxa"/>
            <w:tcBorders>
              <w:top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17.1</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4.9</w:t>
            </w:r>
          </w:p>
        </w:tc>
        <w:tc>
          <w:tcPr>
            <w:tcW w:w="932"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22.1</w:t>
            </w:r>
          </w:p>
        </w:tc>
        <w:tc>
          <w:tcPr>
            <w:tcW w:w="688"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1.3</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0.4</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0.1</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24.0</w:t>
            </w:r>
          </w:p>
        </w:tc>
      </w:tr>
      <w:tr w:rsidR="00B43461" w:rsidRPr="00257E30" w:rsidTr="00257E30">
        <w:trPr>
          <w:trHeight w:val="264"/>
        </w:trPr>
        <w:tc>
          <w:tcPr>
            <w:tcW w:w="2943" w:type="dxa"/>
            <w:shd w:val="clear" w:color="auto" w:fill="FFFFFF"/>
            <w:noWrap/>
            <w:vAlign w:val="bottom"/>
          </w:tcPr>
          <w:p w:rsidR="00B43461" w:rsidRPr="00257E30" w:rsidRDefault="00B43461" w:rsidP="00135409">
            <w:pPr>
              <w:pStyle w:val="TableFigText"/>
              <w:rPr>
                <w:rFonts w:eastAsia="Calibri" w:cs="Arial"/>
              </w:rPr>
            </w:pPr>
            <w:r w:rsidRPr="00257E30">
              <w:rPr>
                <w:rFonts w:eastAsia="Calibri" w:cs="Arial"/>
              </w:rPr>
              <w:t>6 months to &lt; 1 year</w:t>
            </w:r>
          </w:p>
        </w:tc>
        <w:tc>
          <w:tcPr>
            <w:tcW w:w="810" w:type="dxa"/>
            <w:tcBorders>
              <w:top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7.5</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4.1</w:t>
            </w:r>
          </w:p>
        </w:tc>
        <w:tc>
          <w:tcPr>
            <w:tcW w:w="932"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11.6</w:t>
            </w:r>
          </w:p>
        </w:tc>
        <w:tc>
          <w:tcPr>
            <w:tcW w:w="688"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2.0</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0.6</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0.4</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14.7</w:t>
            </w:r>
          </w:p>
        </w:tc>
      </w:tr>
      <w:tr w:rsidR="00B43461" w:rsidRPr="00257E30" w:rsidTr="00257E30">
        <w:trPr>
          <w:trHeight w:val="264"/>
        </w:trPr>
        <w:tc>
          <w:tcPr>
            <w:tcW w:w="2943" w:type="dxa"/>
            <w:shd w:val="clear" w:color="auto" w:fill="FFFFFF"/>
            <w:noWrap/>
            <w:vAlign w:val="bottom"/>
          </w:tcPr>
          <w:p w:rsidR="00B43461" w:rsidRPr="00257E30" w:rsidRDefault="00B43461" w:rsidP="00135409">
            <w:pPr>
              <w:pStyle w:val="TableFigText"/>
              <w:rPr>
                <w:rFonts w:eastAsia="Calibri" w:cs="Arial"/>
              </w:rPr>
            </w:pPr>
            <w:r w:rsidRPr="00257E30">
              <w:rPr>
                <w:rFonts w:eastAsia="Calibri" w:cs="Arial"/>
              </w:rPr>
              <w:t>1 year to &lt; 2 years</w:t>
            </w:r>
          </w:p>
        </w:tc>
        <w:tc>
          <w:tcPr>
            <w:tcW w:w="810" w:type="dxa"/>
            <w:tcBorders>
              <w:top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5.3</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4.3</w:t>
            </w:r>
          </w:p>
        </w:tc>
        <w:tc>
          <w:tcPr>
            <w:tcW w:w="932"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9.7</w:t>
            </w:r>
          </w:p>
        </w:tc>
        <w:tc>
          <w:tcPr>
            <w:tcW w:w="688"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2.6</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1.6</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1.4</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15.2</w:t>
            </w:r>
          </w:p>
        </w:tc>
      </w:tr>
      <w:tr w:rsidR="00B43461" w:rsidRPr="00257E30" w:rsidTr="00257E30">
        <w:trPr>
          <w:trHeight w:val="264"/>
        </w:trPr>
        <w:tc>
          <w:tcPr>
            <w:tcW w:w="2943" w:type="dxa"/>
            <w:shd w:val="clear" w:color="auto" w:fill="FFFFFF"/>
            <w:noWrap/>
            <w:vAlign w:val="bottom"/>
          </w:tcPr>
          <w:p w:rsidR="00B43461" w:rsidRPr="00257E30" w:rsidRDefault="00B43461" w:rsidP="00135409">
            <w:pPr>
              <w:pStyle w:val="TableFigText"/>
              <w:rPr>
                <w:rFonts w:eastAsia="Calibri" w:cs="Arial"/>
              </w:rPr>
            </w:pPr>
            <w:r w:rsidRPr="00257E30">
              <w:rPr>
                <w:rFonts w:eastAsia="Calibri" w:cs="Arial"/>
              </w:rPr>
              <w:t>2 years to &lt; 5 years</w:t>
            </w:r>
          </w:p>
        </w:tc>
        <w:tc>
          <w:tcPr>
            <w:tcW w:w="810" w:type="dxa"/>
            <w:tcBorders>
              <w:top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4.8</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5.3</w:t>
            </w:r>
          </w:p>
        </w:tc>
        <w:tc>
          <w:tcPr>
            <w:tcW w:w="932"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10.1</w:t>
            </w:r>
          </w:p>
        </w:tc>
        <w:tc>
          <w:tcPr>
            <w:tcW w:w="688"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3.3</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3.1</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5.1</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21.6</w:t>
            </w:r>
          </w:p>
        </w:tc>
      </w:tr>
      <w:tr w:rsidR="00B43461" w:rsidRPr="00257E30" w:rsidTr="00257E30">
        <w:trPr>
          <w:trHeight w:val="264"/>
        </w:trPr>
        <w:tc>
          <w:tcPr>
            <w:tcW w:w="2943" w:type="dxa"/>
            <w:shd w:val="clear" w:color="auto" w:fill="FFFFFF"/>
            <w:noWrap/>
            <w:vAlign w:val="bottom"/>
          </w:tcPr>
          <w:p w:rsidR="00B43461" w:rsidRPr="00257E30" w:rsidRDefault="00B43461" w:rsidP="00135409">
            <w:pPr>
              <w:pStyle w:val="TableFigText"/>
              <w:rPr>
                <w:rFonts w:eastAsia="Calibri" w:cs="Arial"/>
              </w:rPr>
            </w:pPr>
            <w:r w:rsidRPr="00257E30">
              <w:rPr>
                <w:rFonts w:eastAsia="Calibri" w:cs="Arial"/>
              </w:rPr>
              <w:t>5 years or more</w:t>
            </w:r>
          </w:p>
        </w:tc>
        <w:tc>
          <w:tcPr>
            <w:tcW w:w="810" w:type="dxa"/>
            <w:tcBorders>
              <w:top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6.1</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4.7</w:t>
            </w:r>
          </w:p>
        </w:tc>
        <w:tc>
          <w:tcPr>
            <w:tcW w:w="932"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10.8</w:t>
            </w:r>
          </w:p>
        </w:tc>
        <w:tc>
          <w:tcPr>
            <w:tcW w:w="688"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3.0</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2.5</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8.2</w:t>
            </w:r>
          </w:p>
        </w:tc>
        <w:tc>
          <w:tcPr>
            <w:tcW w:w="810" w:type="dxa"/>
            <w:tcBorders>
              <w:top w:val="nil"/>
              <w:left w:val="nil"/>
              <w:bottom w:val="nil"/>
              <w:right w:val="nil"/>
            </w:tcBorders>
            <w:shd w:val="clear" w:color="000000" w:fill="FFFFFF"/>
            <w:noWrap/>
            <w:vAlign w:val="bottom"/>
          </w:tcPr>
          <w:p w:rsidR="00B43461" w:rsidRPr="00257E30" w:rsidRDefault="00B43461" w:rsidP="00135409">
            <w:pPr>
              <w:pStyle w:val="TableFigText"/>
              <w:jc w:val="right"/>
              <w:rPr>
                <w:rFonts w:cs="Arial"/>
                <w:szCs w:val="16"/>
              </w:rPr>
            </w:pPr>
            <w:r w:rsidRPr="00257E30">
              <w:rPr>
                <w:rFonts w:cs="Arial"/>
                <w:szCs w:val="16"/>
              </w:rPr>
              <w:t>24.5</w:t>
            </w:r>
          </w:p>
        </w:tc>
      </w:tr>
      <w:tr w:rsidR="00B43461" w:rsidRPr="00257E30" w:rsidTr="00257E30">
        <w:trPr>
          <w:trHeight w:val="264"/>
        </w:trPr>
        <w:tc>
          <w:tcPr>
            <w:tcW w:w="2943" w:type="dxa"/>
            <w:shd w:val="clear" w:color="auto" w:fill="FFFFFF"/>
            <w:noWrap/>
            <w:vAlign w:val="center"/>
          </w:tcPr>
          <w:p w:rsidR="00B43461" w:rsidRPr="00257E30" w:rsidRDefault="00B43461" w:rsidP="00135409">
            <w:pPr>
              <w:pStyle w:val="TableFigText"/>
              <w:rPr>
                <w:rFonts w:eastAsia="Calibri" w:cs="Arial"/>
                <w:b/>
              </w:rPr>
            </w:pPr>
            <w:r w:rsidRPr="00257E30">
              <w:rPr>
                <w:rFonts w:eastAsia="Calibri" w:cs="Arial"/>
                <w:b/>
              </w:rPr>
              <w:t>Total children</w:t>
            </w:r>
          </w:p>
        </w:tc>
        <w:tc>
          <w:tcPr>
            <w:tcW w:w="810" w:type="dxa"/>
            <w:tcBorders>
              <w:top w:val="nil"/>
              <w:bottom w:val="single" w:sz="4" w:space="0" w:color="auto"/>
              <w:right w:val="nil"/>
            </w:tcBorders>
            <w:shd w:val="clear" w:color="000000" w:fill="FFFFFF"/>
            <w:noWrap/>
            <w:vAlign w:val="bottom"/>
          </w:tcPr>
          <w:p w:rsidR="00B43461" w:rsidRPr="00257E30" w:rsidRDefault="00B43461" w:rsidP="00135409">
            <w:pPr>
              <w:pStyle w:val="TableFigText"/>
              <w:jc w:val="right"/>
              <w:rPr>
                <w:rFonts w:cs="Arial"/>
                <w:b/>
                <w:szCs w:val="16"/>
              </w:rPr>
            </w:pPr>
            <w:r w:rsidRPr="00257E30">
              <w:rPr>
                <w:rFonts w:cs="Arial"/>
                <w:b/>
                <w:szCs w:val="16"/>
              </w:rPr>
              <w:t>40.9</w:t>
            </w:r>
          </w:p>
        </w:tc>
        <w:tc>
          <w:tcPr>
            <w:tcW w:w="810" w:type="dxa"/>
            <w:tcBorders>
              <w:top w:val="nil"/>
              <w:left w:val="nil"/>
              <w:bottom w:val="single" w:sz="4" w:space="0" w:color="auto"/>
              <w:right w:val="nil"/>
            </w:tcBorders>
            <w:shd w:val="clear" w:color="000000" w:fill="FFFFFF"/>
            <w:noWrap/>
            <w:vAlign w:val="bottom"/>
          </w:tcPr>
          <w:p w:rsidR="00B43461" w:rsidRPr="00257E30" w:rsidRDefault="00B43461" w:rsidP="00135409">
            <w:pPr>
              <w:pStyle w:val="TableFigText"/>
              <w:jc w:val="right"/>
              <w:rPr>
                <w:rFonts w:cs="Arial"/>
                <w:b/>
                <w:szCs w:val="16"/>
              </w:rPr>
            </w:pPr>
            <w:r w:rsidRPr="00257E30">
              <w:rPr>
                <w:rFonts w:cs="Arial"/>
                <w:b/>
                <w:szCs w:val="16"/>
              </w:rPr>
              <w:t>23.3</w:t>
            </w:r>
          </w:p>
        </w:tc>
        <w:tc>
          <w:tcPr>
            <w:tcW w:w="932" w:type="dxa"/>
            <w:tcBorders>
              <w:top w:val="nil"/>
              <w:left w:val="nil"/>
              <w:bottom w:val="single" w:sz="4" w:space="0" w:color="auto"/>
              <w:right w:val="nil"/>
            </w:tcBorders>
            <w:shd w:val="clear" w:color="000000" w:fill="FFFFFF"/>
            <w:noWrap/>
            <w:vAlign w:val="bottom"/>
          </w:tcPr>
          <w:p w:rsidR="00B43461" w:rsidRPr="00257E30" w:rsidRDefault="00B43461" w:rsidP="00135409">
            <w:pPr>
              <w:pStyle w:val="TableFigText"/>
              <w:jc w:val="right"/>
              <w:rPr>
                <w:rFonts w:cs="Arial"/>
                <w:b/>
                <w:szCs w:val="16"/>
              </w:rPr>
            </w:pPr>
            <w:r w:rsidRPr="00257E30">
              <w:rPr>
                <w:rFonts w:cs="Arial"/>
                <w:b/>
                <w:szCs w:val="16"/>
              </w:rPr>
              <w:t>64.2</w:t>
            </w:r>
          </w:p>
        </w:tc>
        <w:tc>
          <w:tcPr>
            <w:tcW w:w="688" w:type="dxa"/>
            <w:tcBorders>
              <w:top w:val="nil"/>
              <w:left w:val="nil"/>
              <w:bottom w:val="single" w:sz="4" w:space="0" w:color="auto"/>
              <w:right w:val="nil"/>
            </w:tcBorders>
            <w:shd w:val="clear" w:color="000000" w:fill="FFFFFF"/>
            <w:noWrap/>
            <w:vAlign w:val="bottom"/>
          </w:tcPr>
          <w:p w:rsidR="00B43461" w:rsidRPr="00257E30" w:rsidRDefault="00B43461" w:rsidP="00135409">
            <w:pPr>
              <w:pStyle w:val="TableFigText"/>
              <w:jc w:val="right"/>
              <w:rPr>
                <w:rFonts w:cs="Arial"/>
                <w:b/>
                <w:szCs w:val="16"/>
              </w:rPr>
            </w:pPr>
            <w:r w:rsidRPr="00257E30">
              <w:rPr>
                <w:rFonts w:cs="Arial"/>
                <w:b/>
                <w:szCs w:val="16"/>
              </w:rPr>
              <w:t>12.3</w:t>
            </w:r>
          </w:p>
        </w:tc>
        <w:tc>
          <w:tcPr>
            <w:tcW w:w="810" w:type="dxa"/>
            <w:tcBorders>
              <w:top w:val="nil"/>
              <w:left w:val="nil"/>
              <w:bottom w:val="single" w:sz="4" w:space="0" w:color="auto"/>
              <w:right w:val="nil"/>
            </w:tcBorders>
            <w:shd w:val="clear" w:color="000000" w:fill="FFFFFF"/>
            <w:noWrap/>
            <w:vAlign w:val="bottom"/>
          </w:tcPr>
          <w:p w:rsidR="00B43461" w:rsidRPr="00257E30" w:rsidRDefault="00B43461" w:rsidP="00135409">
            <w:pPr>
              <w:pStyle w:val="TableFigText"/>
              <w:jc w:val="right"/>
              <w:rPr>
                <w:rFonts w:cs="Arial"/>
                <w:b/>
                <w:szCs w:val="16"/>
              </w:rPr>
            </w:pPr>
            <w:r w:rsidRPr="00257E30">
              <w:rPr>
                <w:rFonts w:cs="Arial"/>
                <w:b/>
                <w:szCs w:val="16"/>
              </w:rPr>
              <w:t>8.3</w:t>
            </w:r>
          </w:p>
        </w:tc>
        <w:tc>
          <w:tcPr>
            <w:tcW w:w="810" w:type="dxa"/>
            <w:tcBorders>
              <w:top w:val="nil"/>
              <w:left w:val="nil"/>
              <w:bottom w:val="single" w:sz="4" w:space="0" w:color="auto"/>
              <w:right w:val="nil"/>
            </w:tcBorders>
            <w:shd w:val="clear" w:color="000000" w:fill="FFFFFF"/>
            <w:noWrap/>
            <w:vAlign w:val="bottom"/>
          </w:tcPr>
          <w:p w:rsidR="00B43461" w:rsidRPr="00257E30" w:rsidRDefault="00B43461" w:rsidP="00135409">
            <w:pPr>
              <w:pStyle w:val="TableFigText"/>
              <w:jc w:val="right"/>
              <w:rPr>
                <w:rFonts w:cs="Arial"/>
                <w:b/>
                <w:szCs w:val="16"/>
              </w:rPr>
            </w:pPr>
            <w:r w:rsidRPr="00257E30">
              <w:rPr>
                <w:rFonts w:cs="Arial"/>
                <w:b/>
                <w:szCs w:val="16"/>
              </w:rPr>
              <w:t>15.2</w:t>
            </w:r>
          </w:p>
        </w:tc>
        <w:tc>
          <w:tcPr>
            <w:tcW w:w="810" w:type="dxa"/>
            <w:tcBorders>
              <w:top w:val="nil"/>
              <w:left w:val="nil"/>
              <w:bottom w:val="single" w:sz="4" w:space="0" w:color="auto"/>
              <w:right w:val="nil"/>
            </w:tcBorders>
            <w:shd w:val="clear" w:color="000000" w:fill="FFFFFF"/>
            <w:noWrap/>
            <w:vAlign w:val="bottom"/>
          </w:tcPr>
          <w:p w:rsidR="00B43461" w:rsidRPr="00257E30" w:rsidRDefault="00B43461" w:rsidP="00135409">
            <w:pPr>
              <w:pStyle w:val="TableFigText"/>
              <w:jc w:val="right"/>
              <w:rPr>
                <w:rFonts w:cs="Arial"/>
                <w:b/>
                <w:szCs w:val="16"/>
              </w:rPr>
            </w:pPr>
            <w:r w:rsidRPr="00257E30">
              <w:rPr>
                <w:rFonts w:cs="Arial"/>
                <w:b/>
                <w:szCs w:val="16"/>
              </w:rPr>
              <w:t>100.0</w:t>
            </w:r>
          </w:p>
        </w:tc>
      </w:tr>
    </w:tbl>
    <w:p w:rsidR="00D0122C" w:rsidRPr="00F07C4A" w:rsidRDefault="00D0122C" w:rsidP="0078149E">
      <w:pPr>
        <w:pStyle w:val="StyleArial7ptLeft0cmHanging05cmBefore6pt"/>
        <w:ind w:left="284" w:hanging="284"/>
      </w:pPr>
      <w:r w:rsidRPr="00F07C4A">
        <w:t>(a)</w:t>
      </w:r>
      <w:r w:rsidRPr="00F07C4A">
        <w:tab/>
        <w:t xml:space="preserve">Excludes WA. </w:t>
      </w:r>
    </w:p>
    <w:p w:rsidR="00D0122C" w:rsidRPr="00F07C4A" w:rsidRDefault="00D0122C" w:rsidP="0078149E">
      <w:pPr>
        <w:pStyle w:val="StyleArial7ptLeft0cmHanging05cmBefore6pt"/>
        <w:ind w:left="284" w:hanging="284"/>
      </w:pPr>
      <w:r w:rsidRPr="00F07C4A">
        <w:t>(b)</w:t>
      </w:r>
      <w:r w:rsidRPr="00F07C4A">
        <w:tab/>
        <w:t>‘All children’ includes children whose Indigenous status was unknown.</w:t>
      </w:r>
    </w:p>
    <w:p w:rsidR="00D0122C" w:rsidRPr="00F07C4A" w:rsidRDefault="00D0122C" w:rsidP="0078149E">
      <w:pPr>
        <w:pStyle w:val="StyleArial7ptLeft0cmHanging05cmBefore6pt"/>
        <w:ind w:left="284" w:hanging="284"/>
      </w:pPr>
      <w:r w:rsidRPr="00F07C4A">
        <w:t>(c)</w:t>
      </w:r>
      <w:r w:rsidRPr="00F07C4A">
        <w:tab/>
        <w:t>‘Non-Indigenous children’ excludes children whose Indigenous status was unknown.</w:t>
      </w:r>
    </w:p>
    <w:p w:rsidR="00D0122C" w:rsidRPr="00F07C4A" w:rsidRDefault="00D0122C" w:rsidP="0078149E">
      <w:pPr>
        <w:pStyle w:val="StyleArial7ptLeft0cmHanging05cmBefore6pt"/>
        <w:ind w:left="284" w:hanging="284"/>
        <w:rPr>
          <w:rFonts w:eastAsia="Calibri"/>
        </w:rPr>
      </w:pPr>
      <w:r w:rsidRPr="00F07C4A">
        <w:rPr>
          <w:rFonts w:eastAsia="Calibri"/>
        </w:rPr>
        <w:t>Note: Percentages in tables may not add to subtotals or totals due to rounding.</w:t>
      </w:r>
    </w:p>
    <w:p w:rsidR="00D0122C" w:rsidRPr="00F07C4A" w:rsidRDefault="00D0122C" w:rsidP="00D66FAA">
      <w:pPr>
        <w:pStyle w:val="StyleArial7ptLeft0cmHanging05cmBefore6pt"/>
        <w:rPr>
          <w:rFonts w:eastAsia="Calibri"/>
        </w:rPr>
      </w:pPr>
      <w:r w:rsidRPr="00F07C4A">
        <w:rPr>
          <w:rFonts w:eastAsia="Calibri"/>
        </w:rPr>
        <w:t>Source: AIHW Child Protection Data Collections.</w:t>
      </w:r>
    </w:p>
    <w:p w:rsidR="00D0122C" w:rsidRDefault="00D0122C" w:rsidP="0078149E">
      <w:pPr>
        <w:pStyle w:val="Heading3"/>
      </w:pPr>
      <w:bookmarkStart w:id="178" w:name="_Toc400007759"/>
      <w:r>
        <w:t>Literacy and numeracy</w:t>
      </w:r>
      <w:bookmarkEnd w:id="178"/>
    </w:p>
    <w:p w:rsidR="00D0122C" w:rsidRDefault="00D0122C" w:rsidP="004B3342">
      <w:pPr>
        <w:pStyle w:val="Heading4a"/>
      </w:pPr>
      <w:r>
        <w:t xml:space="preserve">Indicator </w:t>
      </w:r>
      <w:r w:rsidRPr="0060478E">
        <w:t>4.5</w:t>
      </w:r>
      <w:r>
        <w:t xml:space="preserve">: </w:t>
      </w:r>
      <w:r w:rsidRPr="0060478E">
        <w:t>Proportion of children on guardianship and custody orders achieving at or above the national minimum standards for literacy and numeracy</w:t>
      </w:r>
    </w:p>
    <w:p w:rsidR="00D0122C" w:rsidRPr="00F07C4A" w:rsidRDefault="00D0122C" w:rsidP="00D0122C">
      <w:pPr>
        <w:rPr>
          <w:rFonts w:ascii="Calibri" w:hAnsi="Calibri"/>
          <w:sz w:val="24"/>
          <w:lang w:eastAsia="en-AU"/>
        </w:rPr>
      </w:pPr>
    </w:p>
    <w:p w:rsidR="00D0122C" w:rsidRDefault="00D0122C" w:rsidP="00D0122C">
      <w:pPr>
        <w:rPr>
          <w:rFonts w:ascii="Calibri" w:hAnsi="Calibri" w:cs="Calibri"/>
          <w:sz w:val="24"/>
          <w:szCs w:val="24"/>
          <w:lang w:eastAsia="en-AU"/>
        </w:rPr>
      </w:pPr>
      <w:r w:rsidRPr="00821556">
        <w:rPr>
          <w:rFonts w:ascii="Calibri" w:hAnsi="Calibri" w:cs="Calibri"/>
          <w:sz w:val="24"/>
          <w:szCs w:val="24"/>
          <w:lang w:eastAsia="en-AU"/>
        </w:rPr>
        <w:t>Children in the care of child protection services generally have low educational performance</w:t>
      </w:r>
      <w:r>
        <w:rPr>
          <w:rFonts w:ascii="Calibri" w:hAnsi="Calibri" w:cs="Calibri"/>
          <w:sz w:val="24"/>
          <w:szCs w:val="24"/>
          <w:lang w:eastAsia="en-AU"/>
        </w:rPr>
        <w:t xml:space="preserve"> compared with their peers</w:t>
      </w:r>
      <w:r w:rsidRPr="00821556">
        <w:rPr>
          <w:rFonts w:ascii="Calibri" w:hAnsi="Calibri" w:cs="Calibri"/>
          <w:sz w:val="24"/>
          <w:szCs w:val="24"/>
          <w:lang w:eastAsia="en-AU"/>
        </w:rPr>
        <w:t>.</w:t>
      </w:r>
      <w:r>
        <w:rPr>
          <w:rFonts w:ascii="Calibri" w:hAnsi="Calibri" w:cs="Calibri"/>
          <w:sz w:val="24"/>
          <w:szCs w:val="24"/>
          <w:lang w:eastAsia="en-AU"/>
        </w:rPr>
        <w:t xml:space="preserve"> </w:t>
      </w:r>
      <w:r w:rsidRPr="00821556">
        <w:rPr>
          <w:rFonts w:ascii="Calibri" w:hAnsi="Calibri" w:cs="Calibri"/>
          <w:sz w:val="24"/>
          <w:szCs w:val="24"/>
          <w:lang w:eastAsia="en-AU"/>
        </w:rPr>
        <w:t>This could be a reflection of the abuse or neglect they may have experienced, as well as the influence of their socioeconomic circumstances.</w:t>
      </w:r>
      <w:r>
        <w:rPr>
          <w:rFonts w:ascii="Calibri" w:hAnsi="Calibri" w:cs="Calibri"/>
          <w:sz w:val="24"/>
          <w:szCs w:val="24"/>
          <w:lang w:eastAsia="en-AU"/>
        </w:rPr>
        <w:t xml:space="preserve"> </w:t>
      </w:r>
      <w:r w:rsidRPr="00821556">
        <w:rPr>
          <w:rFonts w:ascii="Calibri" w:hAnsi="Calibri" w:cs="Calibri"/>
          <w:sz w:val="24"/>
          <w:szCs w:val="24"/>
          <w:lang w:eastAsia="en-AU"/>
        </w:rPr>
        <w:t xml:space="preserve">Numerous studies have found that children in care perform more poorly at school than other children, </w:t>
      </w:r>
      <w:r w:rsidR="00083500">
        <w:rPr>
          <w:rFonts w:ascii="Calibri" w:hAnsi="Calibri" w:cs="Calibri"/>
          <w:sz w:val="24"/>
          <w:szCs w:val="24"/>
          <w:lang w:eastAsia="en-AU"/>
        </w:rPr>
        <w:t>showing</w:t>
      </w:r>
      <w:r w:rsidRPr="00821556">
        <w:rPr>
          <w:rFonts w:ascii="Calibri" w:hAnsi="Calibri" w:cs="Calibri"/>
          <w:sz w:val="24"/>
          <w:szCs w:val="24"/>
          <w:lang w:eastAsia="en-AU"/>
        </w:rPr>
        <w:t xml:space="preserve"> poorer school grades, lower scores on standardised tests, developmental delays, higher rates of special education placement and being held back a grade, behavioural and disciplinary problems, and higher absenteeism, truancy and drop-out rates (AIHW 2007</w:t>
      </w:r>
      <w:r>
        <w:rPr>
          <w:rFonts w:ascii="Calibri" w:hAnsi="Calibri" w:cs="Calibri"/>
          <w:sz w:val="24"/>
          <w:szCs w:val="24"/>
          <w:lang w:eastAsia="en-AU"/>
        </w:rPr>
        <w:t>; Osborn &amp; Bromfield 2007</w:t>
      </w:r>
      <w:r w:rsidRPr="00821556">
        <w:rPr>
          <w:rFonts w:ascii="Calibri" w:hAnsi="Calibri" w:cs="Calibri"/>
          <w:sz w:val="24"/>
          <w:szCs w:val="24"/>
          <w:lang w:eastAsia="en-AU"/>
        </w:rPr>
        <w:t xml:space="preserve">). </w:t>
      </w:r>
    </w:p>
    <w:p w:rsidR="00D0122C" w:rsidRPr="00821556" w:rsidRDefault="00D0122C" w:rsidP="00D0122C">
      <w:pPr>
        <w:rPr>
          <w:rFonts w:ascii="Calibri" w:hAnsi="Calibri" w:cs="Calibri"/>
          <w:sz w:val="24"/>
          <w:szCs w:val="24"/>
          <w:lang w:eastAsia="en-AU"/>
        </w:rPr>
      </w:pPr>
    </w:p>
    <w:p w:rsidR="00D0122C" w:rsidRDefault="00D0122C" w:rsidP="00D0122C">
      <w:pPr>
        <w:rPr>
          <w:rFonts w:ascii="Calibri" w:hAnsi="Calibri" w:cs="Calibri"/>
          <w:sz w:val="24"/>
          <w:szCs w:val="24"/>
          <w:lang w:eastAsia="en-AU"/>
        </w:rPr>
      </w:pPr>
      <w:r>
        <w:rPr>
          <w:rFonts w:ascii="Calibri" w:hAnsi="Calibri" w:cs="Calibri"/>
          <w:sz w:val="24"/>
          <w:szCs w:val="24"/>
          <w:lang w:eastAsia="en-AU"/>
        </w:rPr>
        <w:t>Some proxy data are available from an AIHW data linkage project which examined 2003–2006 state and territory test results, equated to national benchmarks for reading and numeracy (AIHW 2011c). In 2008, standardised national testing was introduced (the National Assessment Program</w:t>
      </w:r>
      <w:r w:rsidR="008764E1">
        <w:rPr>
          <w:rFonts w:ascii="Calibri" w:hAnsi="Calibri" w:cs="Calibri"/>
          <w:sz w:val="24"/>
          <w:szCs w:val="24"/>
          <w:lang w:eastAsia="en-AU"/>
        </w:rPr>
        <w:t xml:space="preserve"> – </w:t>
      </w:r>
      <w:r>
        <w:rPr>
          <w:rFonts w:ascii="Calibri" w:hAnsi="Calibri" w:cs="Calibri"/>
          <w:sz w:val="24"/>
          <w:szCs w:val="24"/>
          <w:lang w:eastAsia="en-AU"/>
        </w:rPr>
        <w:t>Literacy and Numeracy), which will allow more flexible analysis for future data linkage work in this field.</w:t>
      </w:r>
    </w:p>
    <w:p w:rsidR="00D0122C" w:rsidRDefault="00D0122C" w:rsidP="00D0122C">
      <w:pPr>
        <w:rPr>
          <w:rFonts w:ascii="Calibri" w:hAnsi="Calibri" w:cs="Calibri"/>
          <w:sz w:val="24"/>
          <w:szCs w:val="24"/>
          <w:lang w:eastAsia="en-AU"/>
        </w:rPr>
      </w:pPr>
    </w:p>
    <w:p w:rsidR="00D0122C" w:rsidRDefault="00D0122C" w:rsidP="00D0122C">
      <w:pPr>
        <w:rPr>
          <w:rFonts w:ascii="Calibri" w:hAnsi="Calibri" w:cs="Calibri"/>
          <w:sz w:val="24"/>
          <w:szCs w:val="24"/>
          <w:lang w:eastAsia="en-AU"/>
        </w:rPr>
      </w:pPr>
      <w:r w:rsidRPr="00821556">
        <w:rPr>
          <w:rFonts w:ascii="Calibri" w:hAnsi="Calibri" w:cs="Calibri"/>
          <w:sz w:val="24"/>
          <w:szCs w:val="24"/>
          <w:lang w:eastAsia="en-AU"/>
        </w:rPr>
        <w:t>Between 2003 and 2006, the proportion of children on guardianship and custody orders achieving national numeracy benchmarks varied across years and grades but, overall, decreased by Year 7.</w:t>
      </w:r>
      <w:r>
        <w:rPr>
          <w:rFonts w:ascii="Calibri" w:hAnsi="Calibri" w:cs="Calibri"/>
          <w:sz w:val="24"/>
          <w:szCs w:val="24"/>
          <w:lang w:eastAsia="en-AU"/>
        </w:rPr>
        <w:t xml:space="preserve"> </w:t>
      </w:r>
      <w:r w:rsidRPr="00821556">
        <w:rPr>
          <w:rFonts w:ascii="Calibri" w:hAnsi="Calibri" w:cs="Calibri"/>
          <w:sz w:val="24"/>
          <w:szCs w:val="24"/>
          <w:lang w:eastAsia="en-AU"/>
        </w:rPr>
        <w:t xml:space="preserve">There was more variation among the proportions achieving national reading benchmarks, with a general decrease in Year 5 before </w:t>
      </w:r>
      <w:r w:rsidR="00083500">
        <w:rPr>
          <w:rFonts w:ascii="Calibri" w:hAnsi="Calibri" w:cs="Calibri"/>
          <w:sz w:val="24"/>
          <w:szCs w:val="24"/>
          <w:lang w:eastAsia="en-AU"/>
        </w:rPr>
        <w:t>an improvement</w:t>
      </w:r>
      <w:r w:rsidR="00083500" w:rsidRPr="00821556">
        <w:rPr>
          <w:rFonts w:ascii="Calibri" w:hAnsi="Calibri" w:cs="Calibri"/>
          <w:sz w:val="24"/>
          <w:szCs w:val="24"/>
          <w:lang w:eastAsia="en-AU"/>
        </w:rPr>
        <w:t xml:space="preserve"> </w:t>
      </w:r>
      <w:r w:rsidRPr="00821556">
        <w:rPr>
          <w:rFonts w:ascii="Calibri" w:hAnsi="Calibri" w:cs="Calibri"/>
          <w:sz w:val="24"/>
          <w:szCs w:val="24"/>
          <w:lang w:eastAsia="en-AU"/>
        </w:rPr>
        <w:t>in Year 7.</w:t>
      </w:r>
      <w:r>
        <w:rPr>
          <w:rFonts w:ascii="Calibri" w:hAnsi="Calibri" w:cs="Calibri"/>
          <w:sz w:val="24"/>
          <w:szCs w:val="24"/>
          <w:lang w:eastAsia="en-AU"/>
        </w:rPr>
        <w:t xml:space="preserve"> For example, in 2005 among Indigenous students on orders, reading benchmark achievement was 67 per cent for Grade 3 students, 37 per cent for Grade 5, and 55 per cent for Grade 7. A similar pattern was found among other students on orders (78, 61 and 72 per cent respectively).</w:t>
      </w:r>
      <w:r w:rsidR="00A43557">
        <w:rPr>
          <w:rFonts w:ascii="Calibri" w:hAnsi="Calibri" w:cs="Calibri"/>
          <w:sz w:val="24"/>
          <w:szCs w:val="24"/>
          <w:lang w:eastAsia="en-AU"/>
        </w:rPr>
        <w:t xml:space="preserve"> </w:t>
      </w:r>
    </w:p>
    <w:p w:rsidR="00D0122C" w:rsidRPr="00821556" w:rsidRDefault="00D0122C" w:rsidP="00D0122C">
      <w:pPr>
        <w:rPr>
          <w:rFonts w:ascii="Calibri" w:hAnsi="Calibri" w:cs="Calibri"/>
          <w:sz w:val="24"/>
          <w:szCs w:val="24"/>
          <w:lang w:eastAsia="en-AU"/>
        </w:rPr>
      </w:pPr>
    </w:p>
    <w:p w:rsidR="00D0122C" w:rsidRDefault="00D0122C" w:rsidP="00D0122C">
      <w:pPr>
        <w:rPr>
          <w:rFonts w:ascii="Calibri" w:hAnsi="Calibri" w:cs="Calibri"/>
          <w:sz w:val="24"/>
          <w:szCs w:val="24"/>
          <w:lang w:eastAsia="en-AU"/>
        </w:rPr>
      </w:pPr>
      <w:r w:rsidRPr="00821556">
        <w:rPr>
          <w:rFonts w:ascii="Calibri" w:hAnsi="Calibri" w:cs="Calibri"/>
          <w:sz w:val="24"/>
          <w:szCs w:val="24"/>
          <w:lang w:eastAsia="en-AU"/>
        </w:rPr>
        <w:t xml:space="preserve">Between 2003 and 2006, the proportion of Indigenous children on guardianship and custody orders achieving national reading and numeracy benchmarks was significantly lower than that of </w:t>
      </w:r>
      <w:r>
        <w:rPr>
          <w:rFonts w:ascii="Calibri" w:hAnsi="Calibri" w:cs="Calibri"/>
          <w:sz w:val="24"/>
          <w:szCs w:val="24"/>
          <w:lang w:eastAsia="en-AU"/>
        </w:rPr>
        <w:t xml:space="preserve">other children on orders. For example, in 2006 among </w:t>
      </w:r>
      <w:r w:rsidR="0034641D">
        <w:rPr>
          <w:rFonts w:ascii="Calibri" w:hAnsi="Calibri" w:cs="Calibri"/>
          <w:sz w:val="24"/>
          <w:szCs w:val="24"/>
          <w:lang w:eastAsia="en-AU"/>
        </w:rPr>
        <w:t xml:space="preserve">Grade </w:t>
      </w:r>
      <w:r>
        <w:rPr>
          <w:rFonts w:ascii="Calibri" w:hAnsi="Calibri" w:cs="Calibri"/>
          <w:sz w:val="24"/>
          <w:szCs w:val="24"/>
          <w:lang w:eastAsia="en-AU"/>
        </w:rPr>
        <w:t>3 students, 45 per cent of Indigenous students achieved the numeracy benchmark compared to 75 per cent of other students.</w:t>
      </w:r>
      <w:r w:rsidR="00A43557">
        <w:rPr>
          <w:rFonts w:ascii="Calibri" w:hAnsi="Calibri" w:cs="Calibri"/>
          <w:sz w:val="24"/>
          <w:szCs w:val="24"/>
          <w:lang w:eastAsia="en-AU"/>
        </w:rPr>
        <w:t xml:space="preserve"> </w:t>
      </w:r>
    </w:p>
    <w:p w:rsidR="00D0122C" w:rsidRPr="00821556" w:rsidRDefault="00D0122C" w:rsidP="00D0122C">
      <w:pPr>
        <w:rPr>
          <w:rFonts w:ascii="Calibri" w:hAnsi="Calibri" w:cs="Calibri"/>
          <w:sz w:val="24"/>
          <w:szCs w:val="24"/>
          <w:lang w:eastAsia="en-AU"/>
        </w:rPr>
      </w:pPr>
    </w:p>
    <w:p w:rsidR="00D0122C" w:rsidRPr="003E6CD1" w:rsidRDefault="0074031D" w:rsidP="00520DEC">
      <w:pPr>
        <w:pStyle w:val="Figure"/>
        <w:ind w:right="2527"/>
      </w:pPr>
      <w:bookmarkStart w:id="179" w:name="_Toc400010306"/>
      <w:r>
        <w:t xml:space="preserve">Table </w:t>
      </w:r>
      <w:fldSimple w:instr=" SEQ Table \* ARABIC ">
        <w:r w:rsidR="00BF1EC9">
          <w:rPr>
            <w:noProof/>
          </w:rPr>
          <w:t>20</w:t>
        </w:r>
      </w:fldSimple>
      <w:r>
        <w:t xml:space="preserve">: </w:t>
      </w:r>
      <w:r w:rsidRPr="003E6CD1">
        <w:t>Proportion of children on guardianship/custody orders achieving the national reading and numeracy benchmarks, by Indigenous status, 2003 to 2006</w:t>
      </w:r>
      <w:bookmarkEnd w:id="179"/>
    </w:p>
    <w:tbl>
      <w:tblPr>
        <w:tblW w:w="4865" w:type="pct"/>
        <w:tblLayout w:type="fixed"/>
        <w:tblLook w:val="04A0" w:firstRow="1" w:lastRow="0" w:firstColumn="1" w:lastColumn="0" w:noHBand="0" w:noVBand="1"/>
        <w:tblDescription w:val="Table 20: Proportion of children on guardianship/custody orders achieving the national reading and numeracy benchmarks, by Indigenous status, 2003 to 2006"/>
      </w:tblPr>
      <w:tblGrid>
        <w:gridCol w:w="1228"/>
        <w:gridCol w:w="1287"/>
        <w:gridCol w:w="1275"/>
        <w:gridCol w:w="1419"/>
        <w:gridCol w:w="1279"/>
        <w:gridCol w:w="1133"/>
        <w:gridCol w:w="1419"/>
        <w:gridCol w:w="1275"/>
      </w:tblGrid>
      <w:tr w:rsidR="00EC36A2" w:rsidRPr="00821556" w:rsidTr="00EC36A2">
        <w:trPr>
          <w:trHeight w:val="420"/>
        </w:trPr>
        <w:tc>
          <w:tcPr>
            <w:tcW w:w="595" w:type="pct"/>
            <w:tcBorders>
              <w:top w:val="single" w:sz="4" w:space="0" w:color="auto"/>
              <w:left w:val="nil"/>
              <w:bottom w:val="single" w:sz="4" w:space="0" w:color="auto"/>
              <w:right w:val="nil"/>
            </w:tcBorders>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p>
        </w:tc>
        <w:tc>
          <w:tcPr>
            <w:tcW w:w="624" w:type="pct"/>
            <w:tcBorders>
              <w:top w:val="single" w:sz="4" w:space="0" w:color="auto"/>
              <w:left w:val="nil"/>
              <w:bottom w:val="single" w:sz="8" w:space="0" w:color="auto"/>
              <w:right w:val="nil"/>
            </w:tcBorders>
            <w:shd w:val="clear" w:color="auto" w:fill="auto"/>
            <w:vAlign w:val="center"/>
            <w:hideMark/>
          </w:tcPr>
          <w:p w:rsidR="00D0122C" w:rsidRPr="00821556" w:rsidRDefault="00D0122C" w:rsidP="003F4913">
            <w:pPr>
              <w:keepLine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 </w:t>
            </w:r>
          </w:p>
        </w:tc>
        <w:tc>
          <w:tcPr>
            <w:tcW w:w="618" w:type="pct"/>
            <w:tcBorders>
              <w:top w:val="single" w:sz="4" w:space="0" w:color="auto"/>
              <w:left w:val="nil"/>
              <w:bottom w:val="single" w:sz="8" w:space="0" w:color="auto"/>
              <w:right w:val="nil"/>
            </w:tcBorders>
            <w:shd w:val="clear" w:color="auto" w:fill="auto"/>
            <w:tcMar>
              <w:right w:w="28" w:type="dxa"/>
            </w:tcMar>
            <w:vAlign w:val="center"/>
            <w:hideMark/>
          </w:tcPr>
          <w:p w:rsidR="00D0122C" w:rsidRPr="00821556" w:rsidRDefault="003F4913" w:rsidP="00135409">
            <w:pPr>
              <w:keepLines/>
              <w:tabs>
                <w:tab w:val="left" w:pos="198"/>
              </w:tabs>
              <w:spacing w:before="60" w:after="60" w:line="200" w:lineRule="atLeast"/>
              <w:jc w:val="right"/>
              <w:rPr>
                <w:rFonts w:ascii="Arial" w:eastAsia="Calibri" w:hAnsi="Arial"/>
                <w:b/>
                <w:color w:val="000000"/>
                <w:sz w:val="16"/>
                <w:lang w:eastAsia="en-US"/>
              </w:rPr>
            </w:pPr>
            <w:r>
              <w:rPr>
                <w:rFonts w:ascii="Arial" w:eastAsia="Calibri" w:hAnsi="Arial"/>
                <w:b/>
                <w:color w:val="000000"/>
                <w:sz w:val="16"/>
                <w:lang w:eastAsia="en-US"/>
              </w:rPr>
              <w:t>Indigenous Australians</w:t>
            </w:r>
            <w:r>
              <w:rPr>
                <w:rFonts w:ascii="Arial" w:eastAsia="Calibri" w:hAnsi="Arial"/>
                <w:b/>
                <w:color w:val="000000"/>
                <w:sz w:val="16"/>
                <w:lang w:eastAsia="en-US"/>
              </w:rPr>
              <w:br/>
            </w:r>
            <w:r w:rsidR="00D0122C" w:rsidRPr="00821556">
              <w:rPr>
                <w:rFonts w:ascii="Arial" w:eastAsia="Calibri" w:hAnsi="Arial"/>
                <w:b/>
                <w:color w:val="000000"/>
                <w:sz w:val="16"/>
                <w:lang w:eastAsia="en-US"/>
              </w:rPr>
              <w:t>Per cent</w:t>
            </w:r>
          </w:p>
        </w:tc>
        <w:tc>
          <w:tcPr>
            <w:tcW w:w="688" w:type="pct"/>
            <w:tcBorders>
              <w:top w:val="single" w:sz="4" w:space="0" w:color="auto"/>
              <w:left w:val="nil"/>
              <w:bottom w:val="single" w:sz="8" w:space="0" w:color="auto"/>
              <w:right w:val="nil"/>
            </w:tcBorders>
            <w:shd w:val="clear" w:color="auto" w:fill="auto"/>
            <w:vAlign w:val="center"/>
            <w:hideMark/>
          </w:tcPr>
          <w:p w:rsidR="00D0122C" w:rsidRPr="00821556" w:rsidRDefault="003F4913" w:rsidP="00135409">
            <w:pPr>
              <w:keepLines/>
              <w:tabs>
                <w:tab w:val="left" w:pos="198"/>
              </w:tabs>
              <w:spacing w:before="60" w:after="60" w:line="200" w:lineRule="atLeast"/>
              <w:jc w:val="right"/>
              <w:rPr>
                <w:rFonts w:ascii="Arial" w:eastAsia="Calibri" w:hAnsi="Arial"/>
                <w:b/>
                <w:color w:val="000000"/>
                <w:sz w:val="16"/>
                <w:lang w:eastAsia="en-US"/>
              </w:rPr>
            </w:pPr>
            <w:r>
              <w:rPr>
                <w:rFonts w:ascii="Arial" w:eastAsia="Calibri" w:hAnsi="Arial"/>
                <w:b/>
                <w:color w:val="000000"/>
                <w:sz w:val="16"/>
                <w:lang w:eastAsia="en-US"/>
              </w:rPr>
              <w:t>Indigenous Australians</w:t>
            </w:r>
            <w:r>
              <w:rPr>
                <w:rFonts w:ascii="Arial" w:eastAsia="Calibri" w:hAnsi="Arial"/>
                <w:b/>
                <w:color w:val="000000"/>
                <w:sz w:val="16"/>
                <w:lang w:eastAsia="en-US"/>
              </w:rPr>
              <w:br/>
            </w:r>
            <w:r w:rsidR="00D0122C" w:rsidRPr="00821556">
              <w:rPr>
                <w:rFonts w:ascii="Arial" w:eastAsia="Calibri" w:hAnsi="Arial"/>
                <w:b/>
                <w:color w:val="000000"/>
                <w:sz w:val="16"/>
                <w:lang w:eastAsia="en-US"/>
              </w:rPr>
              <w:t>95% CI</w:t>
            </w:r>
          </w:p>
        </w:tc>
        <w:tc>
          <w:tcPr>
            <w:tcW w:w="620" w:type="pct"/>
            <w:tcBorders>
              <w:top w:val="single" w:sz="4" w:space="0" w:color="auto"/>
              <w:left w:val="nil"/>
              <w:bottom w:val="single" w:sz="8" w:space="0" w:color="auto"/>
              <w:right w:val="nil"/>
            </w:tcBorders>
            <w:shd w:val="clear" w:color="auto" w:fill="auto"/>
            <w:vAlign w:val="center"/>
            <w:hideMark/>
          </w:tcPr>
          <w:p w:rsidR="00D0122C" w:rsidRPr="00821556" w:rsidRDefault="003F4913" w:rsidP="00135409">
            <w:pPr>
              <w:keepLines/>
              <w:tabs>
                <w:tab w:val="left" w:pos="198"/>
              </w:tabs>
              <w:spacing w:before="60" w:after="60" w:line="200" w:lineRule="atLeast"/>
              <w:jc w:val="right"/>
              <w:rPr>
                <w:rFonts w:ascii="Arial" w:eastAsia="Calibri" w:hAnsi="Arial"/>
                <w:b/>
                <w:color w:val="000000"/>
                <w:sz w:val="16"/>
                <w:lang w:eastAsia="en-US"/>
              </w:rPr>
            </w:pPr>
            <w:r>
              <w:rPr>
                <w:rFonts w:ascii="Arial" w:eastAsia="Calibri" w:hAnsi="Arial"/>
                <w:b/>
                <w:color w:val="000000"/>
                <w:sz w:val="16"/>
                <w:lang w:eastAsia="en-US"/>
              </w:rPr>
              <w:t>Indigenous Australians</w:t>
            </w:r>
            <w:r>
              <w:rPr>
                <w:rFonts w:ascii="Arial" w:eastAsia="Calibri" w:hAnsi="Arial"/>
                <w:b/>
                <w:color w:val="000000"/>
                <w:sz w:val="16"/>
                <w:lang w:eastAsia="en-US"/>
              </w:rPr>
              <w:br/>
            </w:r>
            <w:r w:rsidR="00D0122C" w:rsidRPr="00821556">
              <w:rPr>
                <w:rFonts w:ascii="Arial" w:eastAsia="Calibri" w:hAnsi="Arial"/>
                <w:b/>
                <w:color w:val="000000"/>
                <w:sz w:val="16"/>
                <w:lang w:eastAsia="en-US"/>
              </w:rPr>
              <w:t>Sample size</w:t>
            </w:r>
          </w:p>
        </w:tc>
        <w:tc>
          <w:tcPr>
            <w:tcW w:w="549" w:type="pct"/>
            <w:tcBorders>
              <w:top w:val="single" w:sz="4" w:space="0" w:color="auto"/>
              <w:left w:val="nil"/>
              <w:bottom w:val="single" w:sz="8" w:space="0" w:color="auto"/>
              <w:right w:val="nil"/>
            </w:tcBorders>
            <w:shd w:val="clear" w:color="auto" w:fill="auto"/>
            <w:vAlign w:val="center"/>
            <w:hideMark/>
          </w:tcPr>
          <w:p w:rsidR="00D0122C" w:rsidRPr="00821556" w:rsidRDefault="003F4913" w:rsidP="00135409">
            <w:pPr>
              <w:keepLines/>
              <w:tabs>
                <w:tab w:val="left" w:pos="198"/>
              </w:tabs>
              <w:spacing w:before="60" w:after="60" w:line="200" w:lineRule="atLeast"/>
              <w:jc w:val="right"/>
              <w:rPr>
                <w:rFonts w:ascii="Arial" w:eastAsia="Calibri" w:hAnsi="Arial"/>
                <w:b/>
                <w:color w:val="000000"/>
                <w:sz w:val="16"/>
                <w:lang w:eastAsia="en-US"/>
              </w:rPr>
            </w:pPr>
            <w:r>
              <w:rPr>
                <w:rFonts w:ascii="Arial" w:eastAsia="Calibri" w:hAnsi="Arial"/>
                <w:b/>
                <w:color w:val="000000"/>
                <w:sz w:val="16"/>
                <w:lang w:eastAsia="en-US"/>
              </w:rPr>
              <w:t>Other Australians</w:t>
            </w:r>
            <w:r>
              <w:rPr>
                <w:rFonts w:ascii="Arial" w:eastAsia="Calibri" w:hAnsi="Arial"/>
                <w:b/>
                <w:color w:val="000000"/>
                <w:sz w:val="16"/>
                <w:lang w:eastAsia="en-US"/>
              </w:rPr>
              <w:br/>
            </w:r>
            <w:r w:rsidR="00D0122C" w:rsidRPr="00821556">
              <w:rPr>
                <w:rFonts w:ascii="Arial" w:eastAsia="Calibri" w:hAnsi="Arial"/>
                <w:b/>
                <w:color w:val="000000"/>
                <w:sz w:val="16"/>
                <w:lang w:eastAsia="en-US"/>
              </w:rPr>
              <w:t>Per cent</w:t>
            </w:r>
          </w:p>
        </w:tc>
        <w:tc>
          <w:tcPr>
            <w:tcW w:w="688" w:type="pct"/>
            <w:tcBorders>
              <w:top w:val="single" w:sz="4" w:space="0" w:color="auto"/>
              <w:left w:val="nil"/>
              <w:bottom w:val="single" w:sz="8" w:space="0" w:color="auto"/>
              <w:right w:val="nil"/>
            </w:tcBorders>
            <w:shd w:val="clear" w:color="auto" w:fill="auto"/>
            <w:vAlign w:val="center"/>
            <w:hideMark/>
          </w:tcPr>
          <w:p w:rsidR="00D0122C" w:rsidRPr="00821556" w:rsidRDefault="003F4913" w:rsidP="00135409">
            <w:pPr>
              <w:keepLines/>
              <w:tabs>
                <w:tab w:val="left" w:pos="198"/>
              </w:tabs>
              <w:spacing w:before="60" w:after="60" w:line="200" w:lineRule="atLeast"/>
              <w:jc w:val="right"/>
              <w:rPr>
                <w:rFonts w:ascii="Arial" w:eastAsia="Calibri" w:hAnsi="Arial"/>
                <w:b/>
                <w:color w:val="000000"/>
                <w:sz w:val="16"/>
                <w:lang w:eastAsia="en-US"/>
              </w:rPr>
            </w:pPr>
            <w:r>
              <w:rPr>
                <w:rFonts w:ascii="Arial" w:eastAsia="Calibri" w:hAnsi="Arial"/>
                <w:b/>
                <w:color w:val="000000"/>
                <w:sz w:val="16"/>
                <w:lang w:eastAsia="en-US"/>
              </w:rPr>
              <w:t>Other Australians</w:t>
            </w:r>
            <w:r>
              <w:rPr>
                <w:rFonts w:ascii="Arial" w:eastAsia="Calibri" w:hAnsi="Arial"/>
                <w:b/>
                <w:color w:val="000000"/>
                <w:sz w:val="16"/>
                <w:lang w:eastAsia="en-US"/>
              </w:rPr>
              <w:br/>
            </w:r>
            <w:r w:rsidR="00D0122C" w:rsidRPr="00821556">
              <w:rPr>
                <w:rFonts w:ascii="Arial" w:eastAsia="Calibri" w:hAnsi="Arial"/>
                <w:b/>
                <w:color w:val="000000"/>
                <w:sz w:val="16"/>
                <w:lang w:eastAsia="en-US"/>
              </w:rPr>
              <w:t>95% CI</w:t>
            </w:r>
          </w:p>
        </w:tc>
        <w:tc>
          <w:tcPr>
            <w:tcW w:w="618" w:type="pct"/>
            <w:tcBorders>
              <w:top w:val="single" w:sz="4" w:space="0" w:color="auto"/>
              <w:left w:val="nil"/>
              <w:bottom w:val="single" w:sz="8" w:space="0" w:color="auto"/>
              <w:right w:val="nil"/>
            </w:tcBorders>
            <w:shd w:val="clear" w:color="auto" w:fill="auto"/>
            <w:tcMar>
              <w:right w:w="28" w:type="dxa"/>
            </w:tcMar>
            <w:vAlign w:val="center"/>
            <w:hideMark/>
          </w:tcPr>
          <w:p w:rsidR="00D0122C" w:rsidRPr="00821556" w:rsidRDefault="003F4913" w:rsidP="00135409">
            <w:pPr>
              <w:keepLines/>
              <w:tabs>
                <w:tab w:val="left" w:pos="198"/>
              </w:tabs>
              <w:spacing w:before="60" w:after="60" w:line="200" w:lineRule="atLeast"/>
              <w:jc w:val="right"/>
              <w:rPr>
                <w:rFonts w:ascii="Arial" w:eastAsia="Calibri" w:hAnsi="Arial"/>
                <w:b/>
                <w:color w:val="000000"/>
                <w:sz w:val="16"/>
                <w:lang w:eastAsia="en-US"/>
              </w:rPr>
            </w:pPr>
            <w:r>
              <w:rPr>
                <w:rFonts w:ascii="Arial" w:eastAsia="Calibri" w:hAnsi="Arial"/>
                <w:b/>
                <w:color w:val="000000"/>
                <w:sz w:val="16"/>
                <w:lang w:eastAsia="en-US"/>
              </w:rPr>
              <w:t>Other Australians</w:t>
            </w:r>
            <w:r>
              <w:rPr>
                <w:rFonts w:ascii="Arial" w:eastAsia="Calibri" w:hAnsi="Arial"/>
                <w:b/>
                <w:color w:val="000000"/>
                <w:sz w:val="16"/>
                <w:lang w:eastAsia="en-US"/>
              </w:rPr>
              <w:br/>
            </w:r>
            <w:r w:rsidR="00D0122C" w:rsidRPr="00821556">
              <w:rPr>
                <w:rFonts w:ascii="Arial" w:eastAsia="Calibri" w:hAnsi="Arial"/>
                <w:b/>
                <w:color w:val="000000"/>
                <w:sz w:val="16"/>
                <w:lang w:eastAsia="en-US"/>
              </w:rPr>
              <w:t>Sample size</w:t>
            </w:r>
          </w:p>
        </w:tc>
      </w:tr>
      <w:tr w:rsidR="00EC36A2" w:rsidRPr="00821556" w:rsidTr="00EC36A2">
        <w:trPr>
          <w:trHeight w:val="288"/>
        </w:trPr>
        <w:tc>
          <w:tcPr>
            <w:tcW w:w="595" w:type="pct"/>
            <w:vMerge w:val="restart"/>
            <w:tcBorders>
              <w:top w:val="single" w:sz="4" w:space="0" w:color="auto"/>
              <w:bottom w:val="single" w:sz="4" w:space="0" w:color="auto"/>
            </w:tcBorders>
          </w:tcPr>
          <w:p w:rsidR="00D0122C" w:rsidRPr="00821556" w:rsidRDefault="003F4913" w:rsidP="00135409">
            <w:pPr>
              <w:keepLines/>
              <w:tabs>
                <w:tab w:val="left" w:pos="198"/>
              </w:tabs>
              <w:spacing w:before="60" w:after="60" w:line="200" w:lineRule="atLeast"/>
              <w:rPr>
                <w:rFonts w:ascii="Arial" w:eastAsia="Calibri" w:hAnsi="Arial"/>
                <w:b/>
                <w:color w:val="000000"/>
                <w:sz w:val="16"/>
                <w:lang w:eastAsia="en-US"/>
              </w:rPr>
            </w:pPr>
            <w:r>
              <w:rPr>
                <w:rFonts w:ascii="Arial" w:eastAsia="Calibri" w:hAnsi="Arial"/>
                <w:b/>
                <w:color w:val="000000"/>
                <w:sz w:val="16"/>
                <w:lang w:eastAsia="en-US"/>
              </w:rPr>
              <w:t>Reading Benchmark</w:t>
            </w:r>
            <w:r>
              <w:rPr>
                <w:rFonts w:ascii="Arial" w:eastAsia="Calibri" w:hAnsi="Arial"/>
                <w:b/>
                <w:color w:val="000000"/>
                <w:sz w:val="16"/>
                <w:lang w:eastAsia="en-US"/>
              </w:rPr>
              <w:br/>
            </w:r>
            <w:r w:rsidR="00D0122C" w:rsidRPr="00821556">
              <w:rPr>
                <w:rFonts w:ascii="Arial" w:eastAsia="Calibri" w:hAnsi="Arial"/>
                <w:b/>
                <w:color w:val="000000"/>
                <w:sz w:val="16"/>
                <w:lang w:eastAsia="en-US"/>
              </w:rPr>
              <w:t>2006</w:t>
            </w:r>
          </w:p>
        </w:tc>
        <w:tc>
          <w:tcPr>
            <w:tcW w:w="624" w:type="pct"/>
            <w:tcBorders>
              <w:top w:val="nil"/>
              <w:left w:val="nil"/>
              <w:bottom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3*</w:t>
            </w:r>
          </w:p>
        </w:tc>
        <w:tc>
          <w:tcPr>
            <w:tcW w:w="618" w:type="pct"/>
            <w:tcBorders>
              <w:top w:val="nil"/>
              <w:left w:val="nil"/>
              <w:bottom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70.2</w:t>
            </w:r>
          </w:p>
        </w:tc>
        <w:tc>
          <w:tcPr>
            <w:tcW w:w="688" w:type="pct"/>
            <w:tcBorders>
              <w:top w:val="nil"/>
              <w:left w:val="nil"/>
              <w:bottom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61.3–78.2</w:t>
            </w:r>
          </w:p>
        </w:tc>
        <w:tc>
          <w:tcPr>
            <w:tcW w:w="620" w:type="pct"/>
            <w:tcBorders>
              <w:top w:val="nil"/>
              <w:left w:val="nil"/>
              <w:bottom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121</w:t>
            </w:r>
          </w:p>
        </w:tc>
        <w:tc>
          <w:tcPr>
            <w:tcW w:w="549" w:type="pct"/>
            <w:tcBorders>
              <w:top w:val="nil"/>
              <w:left w:val="nil"/>
              <w:bottom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83.1</w:t>
            </w:r>
          </w:p>
        </w:tc>
        <w:tc>
          <w:tcPr>
            <w:tcW w:w="688" w:type="pct"/>
            <w:tcBorders>
              <w:top w:val="nil"/>
              <w:left w:val="nil"/>
              <w:bottom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78.8–86.8</w:t>
            </w:r>
          </w:p>
        </w:tc>
        <w:tc>
          <w:tcPr>
            <w:tcW w:w="618" w:type="pct"/>
            <w:tcBorders>
              <w:top w:val="nil"/>
              <w:left w:val="nil"/>
              <w:bottom w:val="nil"/>
              <w:right w:val="nil"/>
            </w:tcBorders>
            <w:shd w:val="clear" w:color="auto" w:fill="auto"/>
            <w:noWrap/>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360</w:t>
            </w:r>
          </w:p>
        </w:tc>
      </w:tr>
      <w:tr w:rsidR="00EC36A2" w:rsidRPr="00821556" w:rsidTr="00EC36A2">
        <w:trPr>
          <w:trHeight w:val="288"/>
        </w:trPr>
        <w:tc>
          <w:tcPr>
            <w:tcW w:w="595" w:type="pct"/>
            <w:vMerge/>
            <w:tcBorders>
              <w:bottom w:val="single" w:sz="4" w:space="0" w:color="auto"/>
            </w:tcBorders>
          </w:tcPr>
          <w:p w:rsidR="00D0122C" w:rsidRPr="00821556" w:rsidRDefault="00D0122C" w:rsidP="00135409">
            <w:pPr>
              <w:keepLines/>
              <w:tabs>
                <w:tab w:val="left" w:pos="198"/>
              </w:tabs>
              <w:spacing w:before="60" w:after="60" w:line="200" w:lineRule="atLeast"/>
              <w:rPr>
                <w:rFonts w:ascii="Arial" w:eastAsia="Calibri" w:hAnsi="Arial"/>
                <w:b/>
                <w:color w:val="000000"/>
                <w:sz w:val="16"/>
                <w:lang w:eastAsia="en-US"/>
              </w:rPr>
            </w:pPr>
          </w:p>
        </w:tc>
        <w:tc>
          <w:tcPr>
            <w:tcW w:w="624"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5*</w:t>
            </w:r>
          </w:p>
        </w:tc>
        <w:tc>
          <w:tcPr>
            <w:tcW w:w="61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47.0</w:t>
            </w:r>
          </w:p>
        </w:tc>
        <w:tc>
          <w:tcPr>
            <w:tcW w:w="68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38.9–55.3</w:t>
            </w:r>
          </w:p>
        </w:tc>
        <w:tc>
          <w:tcPr>
            <w:tcW w:w="620"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151</w:t>
            </w:r>
          </w:p>
        </w:tc>
        <w:tc>
          <w:tcPr>
            <w:tcW w:w="549"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63.6</w:t>
            </w:r>
          </w:p>
        </w:tc>
        <w:tc>
          <w:tcPr>
            <w:tcW w:w="68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58.8–68.1</w:t>
            </w:r>
          </w:p>
        </w:tc>
        <w:tc>
          <w:tcPr>
            <w:tcW w:w="618" w:type="pct"/>
            <w:tcBorders>
              <w:top w:val="nil"/>
              <w:left w:val="nil"/>
              <w:right w:val="nil"/>
            </w:tcBorders>
            <w:shd w:val="clear" w:color="auto" w:fill="auto"/>
            <w:noWrap/>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428</w:t>
            </w:r>
          </w:p>
        </w:tc>
      </w:tr>
      <w:tr w:rsidR="00EC36A2" w:rsidRPr="00821556" w:rsidTr="00EC36A2">
        <w:trPr>
          <w:trHeight w:val="288"/>
        </w:trPr>
        <w:tc>
          <w:tcPr>
            <w:tcW w:w="595" w:type="pct"/>
            <w:vMerge/>
            <w:tcBorders>
              <w:bottom w:val="single" w:sz="4" w:space="0" w:color="auto"/>
            </w:tcBorders>
          </w:tcPr>
          <w:p w:rsidR="00D0122C" w:rsidRPr="00821556" w:rsidRDefault="00D0122C" w:rsidP="00135409">
            <w:pPr>
              <w:keepLines/>
              <w:tabs>
                <w:tab w:val="left" w:pos="198"/>
              </w:tabs>
              <w:spacing w:before="60" w:after="60" w:line="200" w:lineRule="atLeast"/>
              <w:rPr>
                <w:rFonts w:ascii="Arial" w:eastAsia="Calibri" w:hAnsi="Arial"/>
                <w:b/>
                <w:color w:val="000000"/>
                <w:sz w:val="16"/>
                <w:lang w:eastAsia="en-US"/>
              </w:rPr>
            </w:pPr>
          </w:p>
        </w:tc>
        <w:tc>
          <w:tcPr>
            <w:tcW w:w="624"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7*</w:t>
            </w:r>
          </w:p>
        </w:tc>
        <w:tc>
          <w:tcPr>
            <w:tcW w:w="61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43.5</w:t>
            </w:r>
          </w:p>
        </w:tc>
        <w:tc>
          <w:tcPr>
            <w:tcW w:w="68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34.9–52.4</w:t>
            </w:r>
          </w:p>
        </w:tc>
        <w:tc>
          <w:tcPr>
            <w:tcW w:w="620"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131</w:t>
            </w:r>
          </w:p>
        </w:tc>
        <w:tc>
          <w:tcPr>
            <w:tcW w:w="549"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67.9</w:t>
            </w:r>
          </w:p>
        </w:tc>
        <w:tc>
          <w:tcPr>
            <w:tcW w:w="68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63.3–72.3</w:t>
            </w:r>
          </w:p>
        </w:tc>
        <w:tc>
          <w:tcPr>
            <w:tcW w:w="618" w:type="pct"/>
            <w:tcBorders>
              <w:top w:val="nil"/>
              <w:left w:val="nil"/>
              <w:bottom w:val="single" w:sz="4" w:space="0" w:color="auto"/>
              <w:right w:val="nil"/>
            </w:tcBorders>
            <w:shd w:val="clear" w:color="auto" w:fill="auto"/>
            <w:noWrap/>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424</w:t>
            </w:r>
          </w:p>
        </w:tc>
      </w:tr>
      <w:tr w:rsidR="00EC36A2" w:rsidRPr="00821556" w:rsidTr="00EC36A2">
        <w:trPr>
          <w:trHeight w:val="288"/>
        </w:trPr>
        <w:tc>
          <w:tcPr>
            <w:tcW w:w="595" w:type="pct"/>
            <w:vMerge w:val="restart"/>
            <w:tcBorders>
              <w:top w:val="single" w:sz="4" w:space="0" w:color="auto"/>
              <w:left w:val="nil"/>
              <w:bottom w:val="single" w:sz="4" w:space="0" w:color="auto"/>
              <w:right w:val="nil"/>
            </w:tcBorders>
          </w:tcPr>
          <w:p w:rsidR="00D0122C" w:rsidRPr="00821556" w:rsidRDefault="003F4913" w:rsidP="00135409">
            <w:pPr>
              <w:keepLines/>
              <w:tabs>
                <w:tab w:val="left" w:pos="198"/>
              </w:tabs>
              <w:spacing w:before="60" w:after="60" w:line="200" w:lineRule="atLeast"/>
              <w:rPr>
                <w:rFonts w:ascii="Arial" w:eastAsia="Calibri" w:hAnsi="Arial"/>
                <w:b/>
                <w:color w:val="000000"/>
                <w:sz w:val="16"/>
                <w:lang w:eastAsia="en-US"/>
              </w:rPr>
            </w:pPr>
            <w:r>
              <w:rPr>
                <w:rFonts w:ascii="Arial" w:eastAsia="Calibri" w:hAnsi="Arial"/>
                <w:b/>
                <w:color w:val="000000"/>
                <w:sz w:val="16"/>
                <w:lang w:eastAsia="en-US"/>
              </w:rPr>
              <w:t>Reading Benchmark</w:t>
            </w:r>
            <w:r>
              <w:rPr>
                <w:rFonts w:ascii="Arial" w:eastAsia="Calibri" w:hAnsi="Arial"/>
                <w:b/>
                <w:color w:val="000000"/>
                <w:sz w:val="16"/>
                <w:lang w:eastAsia="en-US"/>
              </w:rPr>
              <w:br/>
            </w:r>
            <w:r w:rsidR="00D0122C" w:rsidRPr="00821556">
              <w:rPr>
                <w:rFonts w:ascii="Arial" w:eastAsia="Calibri" w:hAnsi="Arial"/>
                <w:b/>
                <w:color w:val="000000"/>
                <w:sz w:val="16"/>
                <w:lang w:eastAsia="en-US"/>
              </w:rPr>
              <w:t>2005</w:t>
            </w:r>
          </w:p>
        </w:tc>
        <w:tc>
          <w:tcPr>
            <w:tcW w:w="624" w:type="pct"/>
            <w:tcBorders>
              <w:top w:val="single" w:sz="4" w:space="0" w:color="auto"/>
              <w:left w:val="nil"/>
              <w:bottom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3</w:t>
            </w:r>
          </w:p>
        </w:tc>
        <w:tc>
          <w:tcPr>
            <w:tcW w:w="61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67.2</w:t>
            </w:r>
          </w:p>
        </w:tc>
        <w:tc>
          <w:tcPr>
            <w:tcW w:w="68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57.9–75.7</w:t>
            </w:r>
          </w:p>
        </w:tc>
        <w:tc>
          <w:tcPr>
            <w:tcW w:w="620"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116</w:t>
            </w:r>
          </w:p>
        </w:tc>
        <w:tc>
          <w:tcPr>
            <w:tcW w:w="549"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78.7</w:t>
            </w:r>
          </w:p>
        </w:tc>
        <w:tc>
          <w:tcPr>
            <w:tcW w:w="68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73.9–82.9</w:t>
            </w:r>
          </w:p>
        </w:tc>
        <w:tc>
          <w:tcPr>
            <w:tcW w:w="61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338</w:t>
            </w:r>
          </w:p>
        </w:tc>
      </w:tr>
      <w:tr w:rsidR="00EC36A2" w:rsidRPr="00821556" w:rsidTr="00EC36A2">
        <w:trPr>
          <w:trHeight w:val="288"/>
        </w:trPr>
        <w:tc>
          <w:tcPr>
            <w:tcW w:w="595" w:type="pct"/>
            <w:vMerge/>
            <w:tcBorders>
              <w:left w:val="nil"/>
              <w:bottom w:val="single" w:sz="4" w:space="0" w:color="auto"/>
              <w:right w:val="nil"/>
            </w:tcBorders>
          </w:tcPr>
          <w:p w:rsidR="00D0122C" w:rsidRPr="00821556" w:rsidRDefault="00D0122C" w:rsidP="00135409">
            <w:pPr>
              <w:keepLines/>
              <w:tabs>
                <w:tab w:val="left" w:pos="198"/>
              </w:tabs>
              <w:spacing w:before="60" w:after="60" w:line="200" w:lineRule="atLeast"/>
              <w:rPr>
                <w:rFonts w:ascii="Arial" w:eastAsia="Calibri" w:hAnsi="Arial"/>
                <w:b/>
                <w:color w:val="000000"/>
                <w:sz w:val="16"/>
                <w:lang w:eastAsia="en-US"/>
              </w:rPr>
            </w:pPr>
          </w:p>
        </w:tc>
        <w:tc>
          <w:tcPr>
            <w:tcW w:w="624"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5*</w:t>
            </w:r>
          </w:p>
        </w:tc>
        <w:tc>
          <w:tcPr>
            <w:tcW w:w="61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36.8</w:t>
            </w:r>
          </w:p>
        </w:tc>
        <w:tc>
          <w:tcPr>
            <w:tcW w:w="68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28.4–45.9</w:t>
            </w:r>
          </w:p>
        </w:tc>
        <w:tc>
          <w:tcPr>
            <w:tcW w:w="620"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125</w:t>
            </w:r>
          </w:p>
        </w:tc>
        <w:tc>
          <w:tcPr>
            <w:tcW w:w="549"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61.0</w:t>
            </w:r>
          </w:p>
        </w:tc>
        <w:tc>
          <w:tcPr>
            <w:tcW w:w="68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56.0–65.9</w:t>
            </w:r>
          </w:p>
        </w:tc>
        <w:tc>
          <w:tcPr>
            <w:tcW w:w="61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385</w:t>
            </w:r>
          </w:p>
        </w:tc>
      </w:tr>
      <w:tr w:rsidR="00EC36A2" w:rsidRPr="00821556" w:rsidTr="00EC36A2">
        <w:trPr>
          <w:trHeight w:val="288"/>
        </w:trPr>
        <w:tc>
          <w:tcPr>
            <w:tcW w:w="595" w:type="pct"/>
            <w:vMerge/>
            <w:tcBorders>
              <w:left w:val="nil"/>
              <w:bottom w:val="single" w:sz="4" w:space="0" w:color="auto"/>
              <w:right w:val="nil"/>
            </w:tcBorders>
          </w:tcPr>
          <w:p w:rsidR="00D0122C" w:rsidRPr="00821556" w:rsidRDefault="00D0122C" w:rsidP="00135409">
            <w:pPr>
              <w:keepLines/>
              <w:tabs>
                <w:tab w:val="left" w:pos="198"/>
              </w:tabs>
              <w:spacing w:before="60" w:after="60" w:line="200" w:lineRule="atLeast"/>
              <w:rPr>
                <w:rFonts w:ascii="Arial" w:eastAsia="Calibri" w:hAnsi="Arial"/>
                <w:b/>
                <w:color w:val="000000"/>
                <w:sz w:val="16"/>
                <w:lang w:eastAsia="en-US"/>
              </w:rPr>
            </w:pPr>
          </w:p>
        </w:tc>
        <w:tc>
          <w:tcPr>
            <w:tcW w:w="624"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7*</w:t>
            </w:r>
          </w:p>
        </w:tc>
        <w:tc>
          <w:tcPr>
            <w:tcW w:w="61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55.0</w:t>
            </w:r>
          </w:p>
        </w:tc>
        <w:tc>
          <w:tcPr>
            <w:tcW w:w="68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46.0–63.8</w:t>
            </w:r>
          </w:p>
        </w:tc>
        <w:tc>
          <w:tcPr>
            <w:tcW w:w="620"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129</w:t>
            </w:r>
          </w:p>
        </w:tc>
        <w:tc>
          <w:tcPr>
            <w:tcW w:w="549"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72.2</w:t>
            </w:r>
          </w:p>
        </w:tc>
        <w:tc>
          <w:tcPr>
            <w:tcW w:w="68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67.6–76.5</w:t>
            </w:r>
          </w:p>
        </w:tc>
        <w:tc>
          <w:tcPr>
            <w:tcW w:w="61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403</w:t>
            </w:r>
          </w:p>
        </w:tc>
      </w:tr>
      <w:tr w:rsidR="00EC36A2" w:rsidRPr="00821556" w:rsidTr="00EC36A2">
        <w:trPr>
          <w:trHeight w:val="288"/>
        </w:trPr>
        <w:tc>
          <w:tcPr>
            <w:tcW w:w="595" w:type="pct"/>
            <w:vMerge w:val="restart"/>
            <w:tcBorders>
              <w:top w:val="nil"/>
              <w:left w:val="nil"/>
              <w:bottom w:val="single" w:sz="4" w:space="0" w:color="auto"/>
              <w:right w:val="nil"/>
            </w:tcBorders>
          </w:tcPr>
          <w:p w:rsidR="003F4913" w:rsidRDefault="003F4913" w:rsidP="00135409">
            <w:pPr>
              <w:keepLines/>
              <w:tabs>
                <w:tab w:val="left" w:pos="198"/>
              </w:tabs>
              <w:spacing w:before="60" w:after="60" w:line="200" w:lineRule="atLeast"/>
              <w:rPr>
                <w:rFonts w:ascii="Arial" w:eastAsia="Calibri" w:hAnsi="Arial"/>
                <w:b/>
                <w:color w:val="000000"/>
                <w:sz w:val="16"/>
                <w:lang w:eastAsia="en-US"/>
              </w:rPr>
            </w:pPr>
            <w:r>
              <w:rPr>
                <w:rFonts w:ascii="Arial" w:eastAsia="Calibri" w:hAnsi="Arial"/>
                <w:b/>
                <w:color w:val="000000"/>
                <w:sz w:val="16"/>
                <w:lang w:eastAsia="en-US"/>
              </w:rPr>
              <w:t xml:space="preserve">Reading </w:t>
            </w:r>
            <w:proofErr w:type="spellStart"/>
            <w:r>
              <w:rPr>
                <w:rFonts w:ascii="Arial" w:eastAsia="Calibri" w:hAnsi="Arial"/>
                <w:b/>
                <w:color w:val="000000"/>
                <w:sz w:val="16"/>
                <w:lang w:eastAsia="en-US"/>
              </w:rPr>
              <w:t>BenchmarK</w:t>
            </w:r>
            <w:proofErr w:type="spellEnd"/>
          </w:p>
          <w:p w:rsidR="00D0122C" w:rsidRPr="00821556" w:rsidRDefault="00D0122C" w:rsidP="00135409">
            <w:pPr>
              <w:keepLines/>
              <w:tabs>
                <w:tab w:val="left" w:pos="198"/>
              </w:tabs>
              <w:spacing w:before="60" w:after="60" w:line="200" w:lineRule="atLeast"/>
              <w:rPr>
                <w:rFonts w:ascii="Arial" w:eastAsia="Calibri" w:hAnsi="Arial"/>
                <w:b/>
                <w:color w:val="000000"/>
                <w:sz w:val="16"/>
                <w:lang w:eastAsia="en-US"/>
              </w:rPr>
            </w:pPr>
            <w:r w:rsidRPr="00821556">
              <w:rPr>
                <w:rFonts w:ascii="Arial" w:eastAsia="Calibri" w:hAnsi="Arial"/>
                <w:b/>
                <w:color w:val="000000"/>
                <w:sz w:val="16"/>
                <w:lang w:eastAsia="en-US"/>
              </w:rPr>
              <w:t>2004</w:t>
            </w:r>
          </w:p>
        </w:tc>
        <w:tc>
          <w:tcPr>
            <w:tcW w:w="624" w:type="pct"/>
            <w:tcBorders>
              <w:top w:val="single" w:sz="4" w:space="0" w:color="auto"/>
              <w:left w:val="nil"/>
              <w:bottom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3</w:t>
            </w:r>
          </w:p>
        </w:tc>
        <w:tc>
          <w:tcPr>
            <w:tcW w:w="61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83.2</w:t>
            </w:r>
          </w:p>
        </w:tc>
        <w:tc>
          <w:tcPr>
            <w:tcW w:w="68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75.2–89.4</w:t>
            </w:r>
          </w:p>
        </w:tc>
        <w:tc>
          <w:tcPr>
            <w:tcW w:w="620"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119</w:t>
            </w:r>
          </w:p>
        </w:tc>
        <w:tc>
          <w:tcPr>
            <w:tcW w:w="549"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86.0</w:t>
            </w:r>
          </w:p>
        </w:tc>
        <w:tc>
          <w:tcPr>
            <w:tcW w:w="68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82.2–89.3</w:t>
            </w:r>
          </w:p>
        </w:tc>
        <w:tc>
          <w:tcPr>
            <w:tcW w:w="61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387</w:t>
            </w:r>
          </w:p>
        </w:tc>
      </w:tr>
      <w:tr w:rsidR="00EC36A2" w:rsidRPr="00821556" w:rsidTr="00EC36A2">
        <w:trPr>
          <w:trHeight w:val="288"/>
        </w:trPr>
        <w:tc>
          <w:tcPr>
            <w:tcW w:w="595" w:type="pct"/>
            <w:vMerge/>
            <w:tcBorders>
              <w:left w:val="nil"/>
              <w:bottom w:val="single" w:sz="4" w:space="0" w:color="auto"/>
              <w:right w:val="nil"/>
            </w:tcBorders>
          </w:tcPr>
          <w:p w:rsidR="00D0122C" w:rsidRPr="00821556" w:rsidRDefault="00D0122C" w:rsidP="00135409">
            <w:pPr>
              <w:keepLines/>
              <w:tabs>
                <w:tab w:val="left" w:pos="198"/>
              </w:tabs>
              <w:spacing w:before="60" w:after="60" w:line="200" w:lineRule="atLeast"/>
              <w:rPr>
                <w:rFonts w:ascii="Arial" w:eastAsia="Calibri" w:hAnsi="Arial"/>
                <w:b/>
                <w:color w:val="000000"/>
                <w:sz w:val="16"/>
                <w:lang w:eastAsia="en-US"/>
              </w:rPr>
            </w:pPr>
          </w:p>
        </w:tc>
        <w:tc>
          <w:tcPr>
            <w:tcW w:w="624"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5*</w:t>
            </w:r>
          </w:p>
        </w:tc>
        <w:tc>
          <w:tcPr>
            <w:tcW w:w="61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50.0</w:t>
            </w:r>
          </w:p>
        </w:tc>
        <w:tc>
          <w:tcPr>
            <w:tcW w:w="68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40.4–59.6</w:t>
            </w:r>
          </w:p>
        </w:tc>
        <w:tc>
          <w:tcPr>
            <w:tcW w:w="620"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112</w:t>
            </w:r>
          </w:p>
        </w:tc>
        <w:tc>
          <w:tcPr>
            <w:tcW w:w="549"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66.6</w:t>
            </w:r>
          </w:p>
        </w:tc>
        <w:tc>
          <w:tcPr>
            <w:tcW w:w="68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61.5–71.4</w:t>
            </w:r>
          </w:p>
        </w:tc>
        <w:tc>
          <w:tcPr>
            <w:tcW w:w="61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365</w:t>
            </w:r>
          </w:p>
        </w:tc>
      </w:tr>
      <w:tr w:rsidR="00EC36A2" w:rsidRPr="00821556" w:rsidTr="00EC36A2">
        <w:trPr>
          <w:trHeight w:val="288"/>
        </w:trPr>
        <w:tc>
          <w:tcPr>
            <w:tcW w:w="595" w:type="pct"/>
            <w:vMerge/>
            <w:tcBorders>
              <w:left w:val="nil"/>
              <w:bottom w:val="single" w:sz="4" w:space="0" w:color="auto"/>
              <w:right w:val="nil"/>
            </w:tcBorders>
          </w:tcPr>
          <w:p w:rsidR="00D0122C" w:rsidRPr="00821556" w:rsidRDefault="00D0122C" w:rsidP="00135409">
            <w:pPr>
              <w:keepLines/>
              <w:tabs>
                <w:tab w:val="left" w:pos="198"/>
              </w:tabs>
              <w:spacing w:before="60" w:after="60" w:line="200" w:lineRule="atLeast"/>
              <w:rPr>
                <w:rFonts w:ascii="Arial" w:eastAsia="Calibri" w:hAnsi="Arial"/>
                <w:b/>
                <w:color w:val="000000"/>
                <w:sz w:val="16"/>
                <w:lang w:eastAsia="en-US"/>
              </w:rPr>
            </w:pPr>
          </w:p>
        </w:tc>
        <w:tc>
          <w:tcPr>
            <w:tcW w:w="624"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7</w:t>
            </w:r>
          </w:p>
        </w:tc>
        <w:tc>
          <w:tcPr>
            <w:tcW w:w="61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66.0</w:t>
            </w:r>
          </w:p>
        </w:tc>
        <w:tc>
          <w:tcPr>
            <w:tcW w:w="68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55.7–75.3</w:t>
            </w:r>
          </w:p>
        </w:tc>
        <w:tc>
          <w:tcPr>
            <w:tcW w:w="620"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97</w:t>
            </w:r>
          </w:p>
        </w:tc>
        <w:tc>
          <w:tcPr>
            <w:tcW w:w="549"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79.3</w:t>
            </w:r>
          </w:p>
        </w:tc>
        <w:tc>
          <w:tcPr>
            <w:tcW w:w="68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74.6–83.4</w:t>
            </w:r>
          </w:p>
        </w:tc>
        <w:tc>
          <w:tcPr>
            <w:tcW w:w="61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352</w:t>
            </w:r>
          </w:p>
        </w:tc>
      </w:tr>
      <w:tr w:rsidR="00EC36A2" w:rsidRPr="00821556" w:rsidTr="00EC36A2">
        <w:trPr>
          <w:trHeight w:val="288"/>
        </w:trPr>
        <w:tc>
          <w:tcPr>
            <w:tcW w:w="595" w:type="pct"/>
            <w:vMerge w:val="restart"/>
            <w:tcBorders>
              <w:top w:val="nil"/>
              <w:left w:val="nil"/>
              <w:bottom w:val="single" w:sz="4" w:space="0" w:color="auto"/>
              <w:right w:val="nil"/>
            </w:tcBorders>
          </w:tcPr>
          <w:p w:rsidR="00D0122C" w:rsidRPr="00821556" w:rsidRDefault="003F4913" w:rsidP="00135409">
            <w:pPr>
              <w:keepLines/>
              <w:tabs>
                <w:tab w:val="left" w:pos="198"/>
              </w:tabs>
              <w:spacing w:before="60" w:after="60" w:line="200" w:lineRule="atLeast"/>
              <w:rPr>
                <w:rFonts w:ascii="Arial" w:eastAsia="Calibri" w:hAnsi="Arial"/>
                <w:b/>
                <w:color w:val="000000"/>
                <w:sz w:val="16"/>
                <w:lang w:eastAsia="en-US"/>
              </w:rPr>
            </w:pPr>
            <w:r>
              <w:rPr>
                <w:rFonts w:ascii="Arial" w:eastAsia="Calibri" w:hAnsi="Arial"/>
                <w:b/>
                <w:color w:val="000000"/>
                <w:sz w:val="16"/>
                <w:lang w:eastAsia="en-US"/>
              </w:rPr>
              <w:t>Reading Benchmark</w:t>
            </w:r>
            <w:r>
              <w:rPr>
                <w:rFonts w:ascii="Arial" w:eastAsia="Calibri" w:hAnsi="Arial"/>
                <w:b/>
                <w:color w:val="000000"/>
                <w:sz w:val="16"/>
                <w:lang w:eastAsia="en-US"/>
              </w:rPr>
              <w:br/>
            </w:r>
            <w:r w:rsidR="00D0122C" w:rsidRPr="00821556">
              <w:rPr>
                <w:rFonts w:ascii="Arial" w:eastAsia="Calibri" w:hAnsi="Arial"/>
                <w:b/>
                <w:color w:val="000000"/>
                <w:sz w:val="16"/>
                <w:lang w:eastAsia="en-US"/>
              </w:rPr>
              <w:t>2003</w:t>
            </w:r>
          </w:p>
        </w:tc>
        <w:tc>
          <w:tcPr>
            <w:tcW w:w="624" w:type="pct"/>
            <w:tcBorders>
              <w:top w:val="nil"/>
              <w:left w:val="nil"/>
              <w:bottom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3*</w:t>
            </w:r>
          </w:p>
        </w:tc>
        <w:tc>
          <w:tcPr>
            <w:tcW w:w="618" w:type="pct"/>
            <w:tcBorders>
              <w:top w:val="nil"/>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63.0</w:t>
            </w:r>
          </w:p>
        </w:tc>
        <w:tc>
          <w:tcPr>
            <w:tcW w:w="688" w:type="pct"/>
            <w:tcBorders>
              <w:top w:val="nil"/>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53.1–72.1</w:t>
            </w:r>
          </w:p>
        </w:tc>
        <w:tc>
          <w:tcPr>
            <w:tcW w:w="620" w:type="pct"/>
            <w:tcBorders>
              <w:top w:val="nil"/>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108</w:t>
            </w:r>
          </w:p>
        </w:tc>
        <w:tc>
          <w:tcPr>
            <w:tcW w:w="549" w:type="pct"/>
            <w:tcBorders>
              <w:top w:val="nil"/>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78.8</w:t>
            </w:r>
          </w:p>
        </w:tc>
        <w:tc>
          <w:tcPr>
            <w:tcW w:w="688" w:type="pct"/>
            <w:tcBorders>
              <w:top w:val="nil"/>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74.2–83.0</w:t>
            </w:r>
          </w:p>
        </w:tc>
        <w:tc>
          <w:tcPr>
            <w:tcW w:w="618" w:type="pct"/>
            <w:tcBorders>
              <w:top w:val="nil"/>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354</w:t>
            </w:r>
          </w:p>
        </w:tc>
      </w:tr>
      <w:tr w:rsidR="00EC36A2" w:rsidRPr="00821556" w:rsidTr="00EC36A2">
        <w:trPr>
          <w:trHeight w:val="288"/>
        </w:trPr>
        <w:tc>
          <w:tcPr>
            <w:tcW w:w="595" w:type="pct"/>
            <w:vMerge/>
            <w:tcBorders>
              <w:left w:val="nil"/>
              <w:bottom w:val="single" w:sz="4" w:space="0" w:color="auto"/>
              <w:right w:val="nil"/>
            </w:tcBorders>
          </w:tcPr>
          <w:p w:rsidR="00D0122C" w:rsidRPr="00821556" w:rsidRDefault="00D0122C" w:rsidP="00135409">
            <w:pPr>
              <w:keepLines/>
              <w:tabs>
                <w:tab w:val="left" w:pos="198"/>
              </w:tabs>
              <w:spacing w:before="60" w:after="60" w:line="200" w:lineRule="atLeast"/>
              <w:rPr>
                <w:rFonts w:ascii="Arial" w:eastAsia="Calibri" w:hAnsi="Arial"/>
                <w:b/>
                <w:color w:val="000000"/>
                <w:sz w:val="16"/>
                <w:lang w:eastAsia="en-US"/>
              </w:rPr>
            </w:pPr>
          </w:p>
        </w:tc>
        <w:tc>
          <w:tcPr>
            <w:tcW w:w="624"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5</w:t>
            </w:r>
          </w:p>
        </w:tc>
        <w:tc>
          <w:tcPr>
            <w:tcW w:w="61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53.8</w:t>
            </w:r>
          </w:p>
        </w:tc>
        <w:tc>
          <w:tcPr>
            <w:tcW w:w="68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44.9–62.6</w:t>
            </w:r>
          </w:p>
        </w:tc>
        <w:tc>
          <w:tcPr>
            <w:tcW w:w="620"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130</w:t>
            </w:r>
          </w:p>
        </w:tc>
        <w:tc>
          <w:tcPr>
            <w:tcW w:w="549"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64.9</w:t>
            </w:r>
          </w:p>
        </w:tc>
        <w:tc>
          <w:tcPr>
            <w:tcW w:w="68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59.8–69.8</w:t>
            </w:r>
          </w:p>
        </w:tc>
        <w:tc>
          <w:tcPr>
            <w:tcW w:w="61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365</w:t>
            </w:r>
          </w:p>
        </w:tc>
      </w:tr>
      <w:tr w:rsidR="00EC36A2" w:rsidRPr="00821556" w:rsidTr="00EC36A2">
        <w:trPr>
          <w:trHeight w:val="288"/>
        </w:trPr>
        <w:tc>
          <w:tcPr>
            <w:tcW w:w="595" w:type="pct"/>
            <w:vMerge/>
            <w:tcBorders>
              <w:left w:val="nil"/>
              <w:bottom w:val="single" w:sz="4" w:space="0" w:color="auto"/>
              <w:right w:val="nil"/>
            </w:tcBorders>
          </w:tcPr>
          <w:p w:rsidR="00D0122C" w:rsidRPr="00821556" w:rsidRDefault="00D0122C" w:rsidP="00135409">
            <w:pPr>
              <w:keepLines/>
              <w:tabs>
                <w:tab w:val="left" w:pos="198"/>
              </w:tabs>
              <w:spacing w:before="60" w:after="60" w:line="200" w:lineRule="atLeast"/>
              <w:rPr>
                <w:rFonts w:ascii="Arial" w:eastAsia="Calibri" w:hAnsi="Arial"/>
                <w:b/>
                <w:color w:val="000000"/>
                <w:sz w:val="16"/>
                <w:lang w:eastAsia="en-US"/>
              </w:rPr>
            </w:pPr>
          </w:p>
        </w:tc>
        <w:tc>
          <w:tcPr>
            <w:tcW w:w="624"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7*</w:t>
            </w:r>
          </w:p>
        </w:tc>
        <w:tc>
          <w:tcPr>
            <w:tcW w:w="61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57.1</w:t>
            </w:r>
          </w:p>
        </w:tc>
        <w:tc>
          <w:tcPr>
            <w:tcW w:w="68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46.3–67.5</w:t>
            </w:r>
          </w:p>
        </w:tc>
        <w:tc>
          <w:tcPr>
            <w:tcW w:w="620"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91</w:t>
            </w:r>
          </w:p>
        </w:tc>
        <w:tc>
          <w:tcPr>
            <w:tcW w:w="549"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72.4</w:t>
            </w:r>
          </w:p>
        </w:tc>
        <w:tc>
          <w:tcPr>
            <w:tcW w:w="68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67.8–76.7</w:t>
            </w:r>
          </w:p>
        </w:tc>
        <w:tc>
          <w:tcPr>
            <w:tcW w:w="61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413</w:t>
            </w:r>
          </w:p>
        </w:tc>
      </w:tr>
      <w:tr w:rsidR="00EC36A2" w:rsidRPr="00821556" w:rsidTr="00EC36A2">
        <w:trPr>
          <w:trHeight w:val="288"/>
        </w:trPr>
        <w:tc>
          <w:tcPr>
            <w:tcW w:w="595" w:type="pct"/>
            <w:tcBorders>
              <w:top w:val="single" w:sz="4" w:space="0" w:color="auto"/>
              <w:left w:val="nil"/>
              <w:bottom w:val="single" w:sz="4" w:space="0" w:color="auto"/>
              <w:right w:val="nil"/>
            </w:tcBorders>
          </w:tcPr>
          <w:p w:rsidR="003F4913" w:rsidRPr="00821556" w:rsidRDefault="003F4913" w:rsidP="00135409">
            <w:pPr>
              <w:keepLines/>
              <w:tabs>
                <w:tab w:val="left" w:pos="198"/>
              </w:tabs>
              <w:spacing w:before="60" w:after="60" w:line="200" w:lineRule="atLeast"/>
              <w:rPr>
                <w:rFonts w:ascii="Arial" w:eastAsia="Calibri" w:hAnsi="Arial"/>
                <w:b/>
                <w:color w:val="000000"/>
                <w:sz w:val="16"/>
                <w:lang w:eastAsia="en-US"/>
              </w:rPr>
            </w:pPr>
          </w:p>
        </w:tc>
        <w:tc>
          <w:tcPr>
            <w:tcW w:w="624" w:type="pct"/>
            <w:tcBorders>
              <w:top w:val="single" w:sz="4" w:space="0" w:color="auto"/>
              <w:left w:val="nil"/>
              <w:bottom w:val="single" w:sz="4" w:space="0" w:color="auto"/>
              <w:right w:val="nil"/>
            </w:tcBorders>
            <w:shd w:val="clear" w:color="auto" w:fill="auto"/>
            <w:vAlign w:val="center"/>
          </w:tcPr>
          <w:p w:rsidR="003F4913" w:rsidRPr="00821556" w:rsidRDefault="003F4913" w:rsidP="00135409">
            <w:pPr>
              <w:keepLines/>
              <w:tabs>
                <w:tab w:val="left" w:pos="198"/>
              </w:tabs>
              <w:spacing w:before="60" w:after="60" w:line="200" w:lineRule="atLeast"/>
              <w:rPr>
                <w:rFonts w:ascii="Arial" w:eastAsia="Calibri" w:hAnsi="Arial"/>
                <w:color w:val="000000"/>
                <w:sz w:val="16"/>
                <w:lang w:eastAsia="en-US"/>
              </w:rPr>
            </w:pPr>
          </w:p>
        </w:tc>
        <w:tc>
          <w:tcPr>
            <w:tcW w:w="618" w:type="pct"/>
            <w:tcBorders>
              <w:top w:val="single" w:sz="4" w:space="0" w:color="auto"/>
              <w:left w:val="nil"/>
              <w:bottom w:val="single" w:sz="4" w:space="0" w:color="auto"/>
              <w:right w:val="nil"/>
            </w:tcBorders>
            <w:shd w:val="clear" w:color="auto" w:fill="auto"/>
            <w:vAlign w:val="center"/>
          </w:tcPr>
          <w:p w:rsidR="003F4913" w:rsidRPr="00821556" w:rsidRDefault="003F4913" w:rsidP="003F4913">
            <w:pPr>
              <w:keepLines/>
              <w:tabs>
                <w:tab w:val="left" w:pos="198"/>
              </w:tabs>
              <w:spacing w:before="60" w:after="60" w:line="200" w:lineRule="atLeast"/>
              <w:jc w:val="right"/>
              <w:rPr>
                <w:rFonts w:ascii="Arial" w:eastAsia="Calibri" w:hAnsi="Arial"/>
                <w:b/>
                <w:color w:val="000000"/>
                <w:sz w:val="16"/>
                <w:lang w:eastAsia="en-US"/>
              </w:rPr>
            </w:pPr>
            <w:r>
              <w:rPr>
                <w:rFonts w:ascii="Arial" w:eastAsia="Calibri" w:hAnsi="Arial"/>
                <w:b/>
                <w:color w:val="000000"/>
                <w:sz w:val="16"/>
                <w:lang w:eastAsia="en-US"/>
              </w:rPr>
              <w:t>Indigenous Australians</w:t>
            </w:r>
            <w:r>
              <w:rPr>
                <w:rFonts w:ascii="Arial" w:eastAsia="Calibri" w:hAnsi="Arial"/>
                <w:b/>
                <w:color w:val="000000"/>
                <w:sz w:val="16"/>
                <w:lang w:eastAsia="en-US"/>
              </w:rPr>
              <w:br/>
            </w:r>
            <w:r w:rsidRPr="00821556">
              <w:rPr>
                <w:rFonts w:ascii="Arial" w:eastAsia="Calibri" w:hAnsi="Arial"/>
                <w:b/>
                <w:color w:val="000000"/>
                <w:sz w:val="16"/>
                <w:lang w:eastAsia="en-US"/>
              </w:rPr>
              <w:t>Per cent</w:t>
            </w:r>
          </w:p>
        </w:tc>
        <w:tc>
          <w:tcPr>
            <w:tcW w:w="688" w:type="pct"/>
            <w:tcBorders>
              <w:top w:val="single" w:sz="4" w:space="0" w:color="auto"/>
              <w:left w:val="nil"/>
              <w:bottom w:val="single" w:sz="4" w:space="0" w:color="auto"/>
              <w:right w:val="nil"/>
            </w:tcBorders>
            <w:shd w:val="clear" w:color="auto" w:fill="auto"/>
            <w:vAlign w:val="center"/>
          </w:tcPr>
          <w:p w:rsidR="003F4913" w:rsidRPr="00821556" w:rsidRDefault="003F4913" w:rsidP="003F4913">
            <w:pPr>
              <w:keepLines/>
              <w:tabs>
                <w:tab w:val="left" w:pos="198"/>
              </w:tabs>
              <w:spacing w:before="60" w:after="60" w:line="200" w:lineRule="atLeast"/>
              <w:jc w:val="right"/>
              <w:rPr>
                <w:rFonts w:ascii="Arial" w:eastAsia="Calibri" w:hAnsi="Arial"/>
                <w:b/>
                <w:color w:val="000000"/>
                <w:sz w:val="16"/>
                <w:lang w:eastAsia="en-US"/>
              </w:rPr>
            </w:pPr>
            <w:r>
              <w:rPr>
                <w:rFonts w:ascii="Arial" w:eastAsia="Calibri" w:hAnsi="Arial"/>
                <w:b/>
                <w:color w:val="000000"/>
                <w:sz w:val="16"/>
                <w:lang w:eastAsia="en-US"/>
              </w:rPr>
              <w:t>Indigenous Australians</w:t>
            </w:r>
            <w:r>
              <w:rPr>
                <w:rFonts w:ascii="Arial" w:eastAsia="Calibri" w:hAnsi="Arial"/>
                <w:b/>
                <w:color w:val="000000"/>
                <w:sz w:val="16"/>
                <w:lang w:eastAsia="en-US"/>
              </w:rPr>
              <w:br/>
            </w:r>
            <w:r w:rsidRPr="00821556">
              <w:rPr>
                <w:rFonts w:ascii="Arial" w:eastAsia="Calibri" w:hAnsi="Arial"/>
                <w:b/>
                <w:color w:val="000000"/>
                <w:sz w:val="16"/>
                <w:lang w:eastAsia="en-US"/>
              </w:rPr>
              <w:t>95% CI</w:t>
            </w:r>
          </w:p>
        </w:tc>
        <w:tc>
          <w:tcPr>
            <w:tcW w:w="620" w:type="pct"/>
            <w:tcBorders>
              <w:top w:val="single" w:sz="4" w:space="0" w:color="auto"/>
              <w:left w:val="nil"/>
              <w:bottom w:val="single" w:sz="4" w:space="0" w:color="auto"/>
              <w:right w:val="nil"/>
            </w:tcBorders>
            <w:shd w:val="clear" w:color="auto" w:fill="auto"/>
            <w:vAlign w:val="center"/>
          </w:tcPr>
          <w:p w:rsidR="003F4913" w:rsidRPr="00821556" w:rsidRDefault="003F4913" w:rsidP="003F4913">
            <w:pPr>
              <w:keepLines/>
              <w:tabs>
                <w:tab w:val="left" w:pos="198"/>
              </w:tabs>
              <w:spacing w:before="60" w:after="60" w:line="200" w:lineRule="atLeast"/>
              <w:jc w:val="right"/>
              <w:rPr>
                <w:rFonts w:ascii="Arial" w:eastAsia="Calibri" w:hAnsi="Arial"/>
                <w:b/>
                <w:color w:val="000000"/>
                <w:sz w:val="16"/>
                <w:lang w:eastAsia="en-US"/>
              </w:rPr>
            </w:pPr>
            <w:r>
              <w:rPr>
                <w:rFonts w:ascii="Arial" w:eastAsia="Calibri" w:hAnsi="Arial"/>
                <w:b/>
                <w:color w:val="000000"/>
                <w:sz w:val="16"/>
                <w:lang w:eastAsia="en-US"/>
              </w:rPr>
              <w:t>Indigenous Australians</w:t>
            </w:r>
            <w:r>
              <w:rPr>
                <w:rFonts w:ascii="Arial" w:eastAsia="Calibri" w:hAnsi="Arial"/>
                <w:b/>
                <w:color w:val="000000"/>
                <w:sz w:val="16"/>
                <w:lang w:eastAsia="en-US"/>
              </w:rPr>
              <w:br/>
            </w:r>
            <w:r w:rsidRPr="00821556">
              <w:rPr>
                <w:rFonts w:ascii="Arial" w:eastAsia="Calibri" w:hAnsi="Arial"/>
                <w:b/>
                <w:color w:val="000000"/>
                <w:sz w:val="16"/>
                <w:lang w:eastAsia="en-US"/>
              </w:rPr>
              <w:t>Sample size</w:t>
            </w:r>
          </w:p>
        </w:tc>
        <w:tc>
          <w:tcPr>
            <w:tcW w:w="549" w:type="pct"/>
            <w:tcBorders>
              <w:top w:val="single" w:sz="4" w:space="0" w:color="auto"/>
              <w:left w:val="nil"/>
              <w:bottom w:val="single" w:sz="4" w:space="0" w:color="auto"/>
              <w:right w:val="nil"/>
            </w:tcBorders>
            <w:shd w:val="clear" w:color="auto" w:fill="auto"/>
            <w:vAlign w:val="center"/>
          </w:tcPr>
          <w:p w:rsidR="003F4913" w:rsidRPr="00821556" w:rsidRDefault="003F4913" w:rsidP="003F4913">
            <w:pPr>
              <w:keepLines/>
              <w:tabs>
                <w:tab w:val="left" w:pos="198"/>
              </w:tabs>
              <w:spacing w:before="60" w:after="60" w:line="200" w:lineRule="atLeast"/>
              <w:jc w:val="right"/>
              <w:rPr>
                <w:rFonts w:ascii="Arial" w:eastAsia="Calibri" w:hAnsi="Arial"/>
                <w:b/>
                <w:color w:val="000000"/>
                <w:sz w:val="16"/>
                <w:lang w:eastAsia="en-US"/>
              </w:rPr>
            </w:pPr>
            <w:r>
              <w:rPr>
                <w:rFonts w:ascii="Arial" w:eastAsia="Calibri" w:hAnsi="Arial"/>
                <w:b/>
                <w:color w:val="000000"/>
                <w:sz w:val="16"/>
                <w:lang w:eastAsia="en-US"/>
              </w:rPr>
              <w:t>Other Australians</w:t>
            </w:r>
            <w:r>
              <w:rPr>
                <w:rFonts w:ascii="Arial" w:eastAsia="Calibri" w:hAnsi="Arial"/>
                <w:b/>
                <w:color w:val="000000"/>
                <w:sz w:val="16"/>
                <w:lang w:eastAsia="en-US"/>
              </w:rPr>
              <w:br/>
            </w:r>
            <w:r w:rsidRPr="00821556">
              <w:rPr>
                <w:rFonts w:ascii="Arial" w:eastAsia="Calibri" w:hAnsi="Arial"/>
                <w:b/>
                <w:color w:val="000000"/>
                <w:sz w:val="16"/>
                <w:lang w:eastAsia="en-US"/>
              </w:rPr>
              <w:t>Per cent</w:t>
            </w:r>
          </w:p>
        </w:tc>
        <w:tc>
          <w:tcPr>
            <w:tcW w:w="688" w:type="pct"/>
            <w:tcBorders>
              <w:top w:val="single" w:sz="4" w:space="0" w:color="auto"/>
              <w:left w:val="nil"/>
              <w:bottom w:val="single" w:sz="4" w:space="0" w:color="auto"/>
              <w:right w:val="nil"/>
            </w:tcBorders>
            <w:shd w:val="clear" w:color="auto" w:fill="auto"/>
            <w:vAlign w:val="center"/>
          </w:tcPr>
          <w:p w:rsidR="003F4913" w:rsidRPr="00821556" w:rsidRDefault="003F4913" w:rsidP="003F4913">
            <w:pPr>
              <w:keepLines/>
              <w:tabs>
                <w:tab w:val="left" w:pos="198"/>
              </w:tabs>
              <w:spacing w:before="60" w:after="60" w:line="200" w:lineRule="atLeast"/>
              <w:jc w:val="right"/>
              <w:rPr>
                <w:rFonts w:ascii="Arial" w:eastAsia="Calibri" w:hAnsi="Arial"/>
                <w:b/>
                <w:color w:val="000000"/>
                <w:sz w:val="16"/>
                <w:lang w:eastAsia="en-US"/>
              </w:rPr>
            </w:pPr>
            <w:r>
              <w:rPr>
                <w:rFonts w:ascii="Arial" w:eastAsia="Calibri" w:hAnsi="Arial"/>
                <w:b/>
                <w:color w:val="000000"/>
                <w:sz w:val="16"/>
                <w:lang w:eastAsia="en-US"/>
              </w:rPr>
              <w:t>Other Australians</w:t>
            </w:r>
            <w:r>
              <w:rPr>
                <w:rFonts w:ascii="Arial" w:eastAsia="Calibri" w:hAnsi="Arial"/>
                <w:b/>
                <w:color w:val="000000"/>
                <w:sz w:val="16"/>
                <w:lang w:eastAsia="en-US"/>
              </w:rPr>
              <w:br/>
            </w:r>
            <w:r w:rsidRPr="00821556">
              <w:rPr>
                <w:rFonts w:ascii="Arial" w:eastAsia="Calibri" w:hAnsi="Arial"/>
                <w:b/>
                <w:color w:val="000000"/>
                <w:sz w:val="16"/>
                <w:lang w:eastAsia="en-US"/>
              </w:rPr>
              <w:t>95% CI</w:t>
            </w:r>
          </w:p>
        </w:tc>
        <w:tc>
          <w:tcPr>
            <w:tcW w:w="618" w:type="pct"/>
            <w:tcBorders>
              <w:top w:val="single" w:sz="4" w:space="0" w:color="auto"/>
              <w:left w:val="nil"/>
              <w:bottom w:val="single" w:sz="4" w:space="0" w:color="auto"/>
              <w:right w:val="nil"/>
            </w:tcBorders>
            <w:shd w:val="clear" w:color="auto" w:fill="auto"/>
            <w:vAlign w:val="center"/>
          </w:tcPr>
          <w:p w:rsidR="003F4913" w:rsidRPr="00821556" w:rsidRDefault="003F4913" w:rsidP="003F4913">
            <w:pPr>
              <w:keepLines/>
              <w:tabs>
                <w:tab w:val="left" w:pos="198"/>
              </w:tabs>
              <w:spacing w:before="60" w:after="60" w:line="200" w:lineRule="atLeast"/>
              <w:jc w:val="right"/>
              <w:rPr>
                <w:rFonts w:ascii="Arial" w:eastAsia="Calibri" w:hAnsi="Arial"/>
                <w:b/>
                <w:color w:val="000000"/>
                <w:sz w:val="16"/>
                <w:lang w:eastAsia="en-US"/>
              </w:rPr>
            </w:pPr>
            <w:r>
              <w:rPr>
                <w:rFonts w:ascii="Arial" w:eastAsia="Calibri" w:hAnsi="Arial"/>
                <w:b/>
                <w:color w:val="000000"/>
                <w:sz w:val="16"/>
                <w:lang w:eastAsia="en-US"/>
              </w:rPr>
              <w:t>Other Australians</w:t>
            </w:r>
            <w:r>
              <w:rPr>
                <w:rFonts w:ascii="Arial" w:eastAsia="Calibri" w:hAnsi="Arial"/>
                <w:b/>
                <w:color w:val="000000"/>
                <w:sz w:val="16"/>
                <w:lang w:eastAsia="en-US"/>
              </w:rPr>
              <w:br/>
            </w:r>
            <w:r w:rsidRPr="00821556">
              <w:rPr>
                <w:rFonts w:ascii="Arial" w:eastAsia="Calibri" w:hAnsi="Arial"/>
                <w:b/>
                <w:color w:val="000000"/>
                <w:sz w:val="16"/>
                <w:lang w:eastAsia="en-US"/>
              </w:rPr>
              <w:t>Sample size</w:t>
            </w:r>
          </w:p>
        </w:tc>
      </w:tr>
      <w:tr w:rsidR="00EC36A2" w:rsidRPr="00821556" w:rsidTr="00EC36A2">
        <w:trPr>
          <w:trHeight w:val="288"/>
        </w:trPr>
        <w:tc>
          <w:tcPr>
            <w:tcW w:w="595" w:type="pct"/>
            <w:vMerge w:val="restart"/>
            <w:tcBorders>
              <w:top w:val="single" w:sz="4" w:space="0" w:color="auto"/>
              <w:left w:val="nil"/>
              <w:bottom w:val="single" w:sz="4" w:space="0" w:color="auto"/>
              <w:right w:val="nil"/>
            </w:tcBorders>
          </w:tcPr>
          <w:p w:rsidR="00D0122C" w:rsidRPr="00821556" w:rsidRDefault="003F4913" w:rsidP="00135409">
            <w:pPr>
              <w:keepLines/>
              <w:tabs>
                <w:tab w:val="left" w:pos="198"/>
              </w:tabs>
              <w:spacing w:before="60" w:after="60" w:line="200" w:lineRule="atLeast"/>
              <w:rPr>
                <w:rFonts w:ascii="Arial" w:eastAsia="Calibri" w:hAnsi="Arial"/>
                <w:b/>
                <w:color w:val="000000"/>
                <w:sz w:val="16"/>
                <w:lang w:eastAsia="en-US"/>
              </w:rPr>
            </w:pPr>
            <w:r>
              <w:rPr>
                <w:rFonts w:ascii="Arial" w:eastAsia="Calibri" w:hAnsi="Arial"/>
                <w:b/>
                <w:color w:val="000000"/>
                <w:sz w:val="16"/>
                <w:lang w:eastAsia="en-US"/>
              </w:rPr>
              <w:t>Numeracy Benchmark</w:t>
            </w:r>
            <w:r>
              <w:rPr>
                <w:rFonts w:ascii="Arial" w:eastAsia="Calibri" w:hAnsi="Arial"/>
                <w:b/>
                <w:color w:val="000000"/>
                <w:sz w:val="16"/>
                <w:lang w:eastAsia="en-US"/>
              </w:rPr>
              <w:br/>
            </w:r>
            <w:r w:rsidR="00D0122C" w:rsidRPr="00821556">
              <w:rPr>
                <w:rFonts w:ascii="Arial" w:eastAsia="Calibri" w:hAnsi="Arial"/>
                <w:b/>
                <w:color w:val="000000"/>
                <w:sz w:val="16"/>
                <w:lang w:eastAsia="en-US"/>
              </w:rPr>
              <w:t>2006</w:t>
            </w:r>
          </w:p>
        </w:tc>
        <w:tc>
          <w:tcPr>
            <w:tcW w:w="624" w:type="pct"/>
            <w:tcBorders>
              <w:top w:val="single" w:sz="4" w:space="0" w:color="auto"/>
              <w:left w:val="nil"/>
              <w:bottom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3*</w:t>
            </w:r>
          </w:p>
        </w:tc>
        <w:tc>
          <w:tcPr>
            <w:tcW w:w="618" w:type="pct"/>
            <w:tcBorders>
              <w:top w:val="single" w:sz="4" w:space="0" w:color="auto"/>
              <w:left w:val="nil"/>
              <w:bottom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45.3</w:t>
            </w:r>
          </w:p>
        </w:tc>
        <w:tc>
          <w:tcPr>
            <w:tcW w:w="688" w:type="pct"/>
            <w:tcBorders>
              <w:top w:val="single" w:sz="4" w:space="0" w:color="auto"/>
              <w:left w:val="nil"/>
              <w:bottom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36.5–54.3</w:t>
            </w:r>
          </w:p>
        </w:tc>
        <w:tc>
          <w:tcPr>
            <w:tcW w:w="620" w:type="pct"/>
            <w:tcBorders>
              <w:top w:val="single" w:sz="4" w:space="0" w:color="auto"/>
              <w:left w:val="nil"/>
              <w:bottom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128</w:t>
            </w:r>
          </w:p>
        </w:tc>
        <w:tc>
          <w:tcPr>
            <w:tcW w:w="549" w:type="pct"/>
            <w:tcBorders>
              <w:top w:val="single" w:sz="4" w:space="0" w:color="auto"/>
              <w:left w:val="nil"/>
              <w:bottom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75.0</w:t>
            </w:r>
          </w:p>
        </w:tc>
        <w:tc>
          <w:tcPr>
            <w:tcW w:w="688" w:type="pct"/>
            <w:tcBorders>
              <w:top w:val="single" w:sz="4" w:space="0" w:color="auto"/>
              <w:left w:val="nil"/>
              <w:bottom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70.2–79.4</w:t>
            </w:r>
          </w:p>
        </w:tc>
        <w:tc>
          <w:tcPr>
            <w:tcW w:w="618" w:type="pct"/>
            <w:tcBorders>
              <w:top w:val="single" w:sz="4" w:space="0" w:color="auto"/>
              <w:left w:val="nil"/>
              <w:bottom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364</w:t>
            </w:r>
          </w:p>
        </w:tc>
      </w:tr>
      <w:tr w:rsidR="00EC36A2" w:rsidRPr="00821556" w:rsidTr="00EC36A2">
        <w:trPr>
          <w:trHeight w:val="288"/>
        </w:trPr>
        <w:tc>
          <w:tcPr>
            <w:tcW w:w="595" w:type="pct"/>
            <w:vMerge/>
            <w:tcBorders>
              <w:left w:val="nil"/>
              <w:bottom w:val="single" w:sz="4" w:space="0" w:color="auto"/>
              <w:right w:val="nil"/>
            </w:tcBorders>
          </w:tcPr>
          <w:p w:rsidR="00D0122C" w:rsidRPr="00821556" w:rsidRDefault="00D0122C" w:rsidP="00135409">
            <w:pPr>
              <w:keepLines/>
              <w:tabs>
                <w:tab w:val="left" w:pos="198"/>
              </w:tabs>
              <w:spacing w:before="60" w:after="60" w:line="200" w:lineRule="atLeast"/>
              <w:rPr>
                <w:rFonts w:ascii="Arial" w:eastAsia="Calibri" w:hAnsi="Arial"/>
                <w:b/>
                <w:color w:val="000000"/>
                <w:sz w:val="16"/>
                <w:lang w:eastAsia="en-US"/>
              </w:rPr>
            </w:pPr>
          </w:p>
        </w:tc>
        <w:tc>
          <w:tcPr>
            <w:tcW w:w="624"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5*</w:t>
            </w:r>
          </w:p>
        </w:tc>
        <w:tc>
          <w:tcPr>
            <w:tcW w:w="61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45.0</w:t>
            </w:r>
          </w:p>
        </w:tc>
        <w:tc>
          <w:tcPr>
            <w:tcW w:w="68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36.9–53.3</w:t>
            </w:r>
          </w:p>
        </w:tc>
        <w:tc>
          <w:tcPr>
            <w:tcW w:w="620"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151</w:t>
            </w:r>
          </w:p>
        </w:tc>
        <w:tc>
          <w:tcPr>
            <w:tcW w:w="549"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64.0</w:t>
            </w:r>
          </w:p>
        </w:tc>
        <w:tc>
          <w:tcPr>
            <w:tcW w:w="68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59.3–68.5</w:t>
            </w:r>
          </w:p>
        </w:tc>
        <w:tc>
          <w:tcPr>
            <w:tcW w:w="61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433</w:t>
            </w:r>
          </w:p>
        </w:tc>
      </w:tr>
      <w:tr w:rsidR="00EC36A2" w:rsidRPr="00821556" w:rsidTr="00EC36A2">
        <w:trPr>
          <w:trHeight w:val="288"/>
        </w:trPr>
        <w:tc>
          <w:tcPr>
            <w:tcW w:w="595" w:type="pct"/>
            <w:vMerge/>
            <w:tcBorders>
              <w:left w:val="nil"/>
              <w:bottom w:val="single" w:sz="4" w:space="0" w:color="auto"/>
              <w:right w:val="nil"/>
            </w:tcBorders>
          </w:tcPr>
          <w:p w:rsidR="00D0122C" w:rsidRPr="00821556" w:rsidRDefault="00D0122C" w:rsidP="00135409">
            <w:pPr>
              <w:keepLines/>
              <w:tabs>
                <w:tab w:val="left" w:pos="198"/>
              </w:tabs>
              <w:spacing w:before="60" w:after="60" w:line="200" w:lineRule="atLeast"/>
              <w:rPr>
                <w:rFonts w:ascii="Arial" w:eastAsia="Calibri" w:hAnsi="Arial"/>
                <w:b/>
                <w:color w:val="000000"/>
                <w:sz w:val="16"/>
                <w:lang w:eastAsia="en-US"/>
              </w:rPr>
            </w:pPr>
          </w:p>
        </w:tc>
        <w:tc>
          <w:tcPr>
            <w:tcW w:w="624"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7*</w:t>
            </w:r>
          </w:p>
        </w:tc>
        <w:tc>
          <w:tcPr>
            <w:tcW w:w="61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27.3</w:t>
            </w:r>
          </w:p>
        </w:tc>
        <w:tc>
          <w:tcPr>
            <w:tcW w:w="68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19.9–35.7</w:t>
            </w:r>
          </w:p>
        </w:tc>
        <w:tc>
          <w:tcPr>
            <w:tcW w:w="620"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132</w:t>
            </w:r>
          </w:p>
        </w:tc>
        <w:tc>
          <w:tcPr>
            <w:tcW w:w="549"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53.9</w:t>
            </w:r>
          </w:p>
        </w:tc>
        <w:tc>
          <w:tcPr>
            <w:tcW w:w="68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49.0–58.8</w:t>
            </w:r>
          </w:p>
        </w:tc>
        <w:tc>
          <w:tcPr>
            <w:tcW w:w="61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421</w:t>
            </w:r>
          </w:p>
        </w:tc>
      </w:tr>
      <w:tr w:rsidR="00EC36A2" w:rsidRPr="00821556" w:rsidTr="00EC36A2">
        <w:trPr>
          <w:trHeight w:val="288"/>
        </w:trPr>
        <w:tc>
          <w:tcPr>
            <w:tcW w:w="595" w:type="pct"/>
            <w:vMerge w:val="restart"/>
            <w:tcBorders>
              <w:top w:val="nil"/>
              <w:left w:val="nil"/>
              <w:bottom w:val="single" w:sz="4" w:space="0" w:color="auto"/>
              <w:right w:val="nil"/>
            </w:tcBorders>
          </w:tcPr>
          <w:p w:rsidR="00D0122C" w:rsidRPr="00821556" w:rsidRDefault="003F4913" w:rsidP="00135409">
            <w:pPr>
              <w:keepLines/>
              <w:tabs>
                <w:tab w:val="left" w:pos="198"/>
              </w:tabs>
              <w:spacing w:before="60" w:after="60" w:line="200" w:lineRule="atLeast"/>
              <w:rPr>
                <w:rFonts w:ascii="Arial" w:eastAsia="Calibri" w:hAnsi="Arial"/>
                <w:b/>
                <w:color w:val="000000"/>
                <w:sz w:val="16"/>
                <w:lang w:eastAsia="en-US"/>
              </w:rPr>
            </w:pPr>
            <w:r>
              <w:rPr>
                <w:rFonts w:ascii="Arial" w:eastAsia="Calibri" w:hAnsi="Arial"/>
                <w:b/>
                <w:color w:val="000000"/>
                <w:sz w:val="16"/>
                <w:lang w:eastAsia="en-US"/>
              </w:rPr>
              <w:t>Numeracy Benchmark</w:t>
            </w:r>
            <w:r>
              <w:rPr>
                <w:rFonts w:ascii="Arial" w:eastAsia="Calibri" w:hAnsi="Arial"/>
                <w:b/>
                <w:color w:val="000000"/>
                <w:sz w:val="16"/>
                <w:lang w:eastAsia="en-US"/>
              </w:rPr>
              <w:br/>
            </w:r>
            <w:r w:rsidR="00D0122C" w:rsidRPr="00821556">
              <w:rPr>
                <w:rFonts w:ascii="Arial" w:eastAsia="Calibri" w:hAnsi="Arial"/>
                <w:b/>
                <w:color w:val="000000"/>
                <w:sz w:val="16"/>
                <w:lang w:eastAsia="en-US"/>
              </w:rPr>
              <w:t>2005</w:t>
            </w:r>
          </w:p>
        </w:tc>
        <w:tc>
          <w:tcPr>
            <w:tcW w:w="624" w:type="pct"/>
            <w:tcBorders>
              <w:top w:val="single" w:sz="4" w:space="0" w:color="auto"/>
              <w:left w:val="nil"/>
              <w:bottom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3*</w:t>
            </w:r>
          </w:p>
        </w:tc>
        <w:tc>
          <w:tcPr>
            <w:tcW w:w="61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59.0</w:t>
            </w:r>
          </w:p>
        </w:tc>
        <w:tc>
          <w:tcPr>
            <w:tcW w:w="68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49.5–68.0</w:t>
            </w:r>
          </w:p>
        </w:tc>
        <w:tc>
          <w:tcPr>
            <w:tcW w:w="620"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117</w:t>
            </w:r>
          </w:p>
        </w:tc>
        <w:tc>
          <w:tcPr>
            <w:tcW w:w="549"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77.5</w:t>
            </w:r>
          </w:p>
        </w:tc>
        <w:tc>
          <w:tcPr>
            <w:tcW w:w="68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72.7–81.8</w:t>
            </w:r>
          </w:p>
        </w:tc>
        <w:tc>
          <w:tcPr>
            <w:tcW w:w="61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346</w:t>
            </w:r>
          </w:p>
        </w:tc>
      </w:tr>
      <w:tr w:rsidR="00EC36A2" w:rsidRPr="00821556" w:rsidTr="00EC36A2">
        <w:trPr>
          <w:trHeight w:val="288"/>
        </w:trPr>
        <w:tc>
          <w:tcPr>
            <w:tcW w:w="595" w:type="pct"/>
            <w:vMerge/>
            <w:tcBorders>
              <w:left w:val="nil"/>
              <w:bottom w:val="single" w:sz="4" w:space="0" w:color="auto"/>
              <w:right w:val="nil"/>
            </w:tcBorders>
          </w:tcPr>
          <w:p w:rsidR="00D0122C" w:rsidRPr="00821556" w:rsidRDefault="00D0122C" w:rsidP="00135409">
            <w:pPr>
              <w:keepLines/>
              <w:tabs>
                <w:tab w:val="left" w:pos="198"/>
              </w:tabs>
              <w:spacing w:before="60" w:after="60" w:line="200" w:lineRule="atLeast"/>
              <w:rPr>
                <w:rFonts w:ascii="Arial" w:eastAsia="Calibri" w:hAnsi="Arial"/>
                <w:b/>
                <w:color w:val="000000"/>
                <w:sz w:val="16"/>
                <w:lang w:eastAsia="en-US"/>
              </w:rPr>
            </w:pPr>
          </w:p>
        </w:tc>
        <w:tc>
          <w:tcPr>
            <w:tcW w:w="624"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5*</w:t>
            </w:r>
          </w:p>
        </w:tc>
        <w:tc>
          <w:tcPr>
            <w:tcW w:w="61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49.2</w:t>
            </w:r>
          </w:p>
        </w:tc>
        <w:tc>
          <w:tcPr>
            <w:tcW w:w="68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40.3–58.2</w:t>
            </w:r>
          </w:p>
        </w:tc>
        <w:tc>
          <w:tcPr>
            <w:tcW w:w="620"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128</w:t>
            </w:r>
          </w:p>
        </w:tc>
        <w:tc>
          <w:tcPr>
            <w:tcW w:w="549"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69.5</w:t>
            </w:r>
          </w:p>
        </w:tc>
        <w:tc>
          <w:tcPr>
            <w:tcW w:w="68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64.6–74.1</w:t>
            </w:r>
          </w:p>
        </w:tc>
        <w:tc>
          <w:tcPr>
            <w:tcW w:w="61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377</w:t>
            </w:r>
          </w:p>
        </w:tc>
      </w:tr>
      <w:tr w:rsidR="00EC36A2" w:rsidRPr="00821556" w:rsidTr="00EC36A2">
        <w:trPr>
          <w:trHeight w:val="288"/>
        </w:trPr>
        <w:tc>
          <w:tcPr>
            <w:tcW w:w="595" w:type="pct"/>
            <w:vMerge/>
            <w:tcBorders>
              <w:left w:val="nil"/>
              <w:bottom w:val="single" w:sz="4" w:space="0" w:color="auto"/>
              <w:right w:val="nil"/>
            </w:tcBorders>
          </w:tcPr>
          <w:p w:rsidR="00D0122C" w:rsidRPr="00821556" w:rsidRDefault="00D0122C" w:rsidP="00135409">
            <w:pPr>
              <w:keepLines/>
              <w:tabs>
                <w:tab w:val="left" w:pos="198"/>
              </w:tabs>
              <w:spacing w:before="60" w:after="60" w:line="200" w:lineRule="atLeast"/>
              <w:rPr>
                <w:rFonts w:ascii="Arial" w:eastAsia="Calibri" w:hAnsi="Arial"/>
                <w:b/>
                <w:color w:val="000000"/>
                <w:sz w:val="16"/>
                <w:lang w:eastAsia="en-US"/>
              </w:rPr>
            </w:pPr>
          </w:p>
        </w:tc>
        <w:tc>
          <w:tcPr>
            <w:tcW w:w="624"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7*</w:t>
            </w:r>
          </w:p>
        </w:tc>
        <w:tc>
          <w:tcPr>
            <w:tcW w:w="61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39.7</w:t>
            </w:r>
          </w:p>
        </w:tc>
        <w:tc>
          <w:tcPr>
            <w:tcW w:w="68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31.1–48.8</w:t>
            </w:r>
          </w:p>
        </w:tc>
        <w:tc>
          <w:tcPr>
            <w:tcW w:w="620"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126</w:t>
            </w:r>
          </w:p>
        </w:tc>
        <w:tc>
          <w:tcPr>
            <w:tcW w:w="549"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56.1</w:t>
            </w:r>
          </w:p>
        </w:tc>
        <w:tc>
          <w:tcPr>
            <w:tcW w:w="68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51.1–61.0</w:t>
            </w:r>
          </w:p>
        </w:tc>
        <w:tc>
          <w:tcPr>
            <w:tcW w:w="61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401</w:t>
            </w:r>
          </w:p>
        </w:tc>
      </w:tr>
      <w:tr w:rsidR="00EC36A2" w:rsidRPr="00821556" w:rsidTr="00EC36A2">
        <w:trPr>
          <w:trHeight w:val="288"/>
        </w:trPr>
        <w:tc>
          <w:tcPr>
            <w:tcW w:w="595" w:type="pct"/>
            <w:vMerge w:val="restart"/>
            <w:tcBorders>
              <w:top w:val="nil"/>
              <w:left w:val="nil"/>
              <w:bottom w:val="single" w:sz="4" w:space="0" w:color="auto"/>
              <w:right w:val="nil"/>
            </w:tcBorders>
          </w:tcPr>
          <w:p w:rsidR="00D0122C" w:rsidRPr="00821556" w:rsidRDefault="003F4913" w:rsidP="00135409">
            <w:pPr>
              <w:keepLines/>
              <w:tabs>
                <w:tab w:val="left" w:pos="198"/>
              </w:tabs>
              <w:spacing w:before="60" w:after="60" w:line="200" w:lineRule="atLeast"/>
              <w:rPr>
                <w:rFonts w:ascii="Arial" w:eastAsia="Calibri" w:hAnsi="Arial"/>
                <w:b/>
                <w:color w:val="000000"/>
                <w:sz w:val="16"/>
                <w:lang w:eastAsia="en-US"/>
              </w:rPr>
            </w:pPr>
            <w:r>
              <w:rPr>
                <w:rFonts w:ascii="Arial" w:eastAsia="Calibri" w:hAnsi="Arial"/>
                <w:b/>
                <w:color w:val="000000"/>
                <w:sz w:val="16"/>
                <w:lang w:eastAsia="en-US"/>
              </w:rPr>
              <w:t>Numeracy Benchmark</w:t>
            </w:r>
            <w:r>
              <w:rPr>
                <w:rFonts w:ascii="Arial" w:eastAsia="Calibri" w:hAnsi="Arial"/>
                <w:b/>
                <w:color w:val="000000"/>
                <w:sz w:val="16"/>
                <w:lang w:eastAsia="en-US"/>
              </w:rPr>
              <w:br/>
            </w:r>
            <w:r w:rsidR="00D0122C" w:rsidRPr="00821556">
              <w:rPr>
                <w:rFonts w:ascii="Arial" w:eastAsia="Calibri" w:hAnsi="Arial"/>
                <w:b/>
                <w:color w:val="000000"/>
                <w:sz w:val="16"/>
                <w:lang w:eastAsia="en-US"/>
              </w:rPr>
              <w:t>2004</w:t>
            </w:r>
          </w:p>
        </w:tc>
        <w:tc>
          <w:tcPr>
            <w:tcW w:w="624" w:type="pct"/>
            <w:tcBorders>
              <w:top w:val="single" w:sz="4" w:space="0" w:color="auto"/>
              <w:left w:val="nil"/>
              <w:bottom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3*</w:t>
            </w:r>
          </w:p>
        </w:tc>
        <w:tc>
          <w:tcPr>
            <w:tcW w:w="61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58.9</w:t>
            </w:r>
          </w:p>
        </w:tc>
        <w:tc>
          <w:tcPr>
            <w:tcW w:w="68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49.7–67.6</w:t>
            </w:r>
          </w:p>
        </w:tc>
        <w:tc>
          <w:tcPr>
            <w:tcW w:w="620"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124</w:t>
            </w:r>
          </w:p>
        </w:tc>
        <w:tc>
          <w:tcPr>
            <w:tcW w:w="549"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75.4</w:t>
            </w:r>
          </w:p>
        </w:tc>
        <w:tc>
          <w:tcPr>
            <w:tcW w:w="68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70.8–79.6</w:t>
            </w:r>
          </w:p>
        </w:tc>
        <w:tc>
          <w:tcPr>
            <w:tcW w:w="61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386</w:t>
            </w:r>
          </w:p>
        </w:tc>
      </w:tr>
      <w:tr w:rsidR="00EC36A2" w:rsidRPr="00821556" w:rsidTr="00EC36A2">
        <w:trPr>
          <w:trHeight w:val="288"/>
        </w:trPr>
        <w:tc>
          <w:tcPr>
            <w:tcW w:w="595" w:type="pct"/>
            <w:vMerge/>
            <w:tcBorders>
              <w:left w:val="nil"/>
              <w:bottom w:val="single" w:sz="4" w:space="0" w:color="auto"/>
              <w:right w:val="nil"/>
            </w:tcBorders>
          </w:tcPr>
          <w:p w:rsidR="00D0122C" w:rsidRPr="00821556" w:rsidRDefault="00D0122C" w:rsidP="00135409">
            <w:pPr>
              <w:keepLines/>
              <w:tabs>
                <w:tab w:val="left" w:pos="198"/>
              </w:tabs>
              <w:spacing w:before="60" w:after="60" w:line="200" w:lineRule="atLeast"/>
              <w:rPr>
                <w:rFonts w:ascii="Arial" w:eastAsia="Calibri" w:hAnsi="Arial"/>
                <w:b/>
                <w:color w:val="000000"/>
                <w:sz w:val="16"/>
                <w:lang w:eastAsia="en-US"/>
              </w:rPr>
            </w:pPr>
          </w:p>
        </w:tc>
        <w:tc>
          <w:tcPr>
            <w:tcW w:w="624"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5*</w:t>
            </w:r>
          </w:p>
        </w:tc>
        <w:tc>
          <w:tcPr>
            <w:tcW w:w="61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46.2</w:t>
            </w:r>
          </w:p>
        </w:tc>
        <w:tc>
          <w:tcPr>
            <w:tcW w:w="68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36.9–55.6</w:t>
            </w:r>
          </w:p>
        </w:tc>
        <w:tc>
          <w:tcPr>
            <w:tcW w:w="620"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117</w:t>
            </w:r>
          </w:p>
        </w:tc>
        <w:tc>
          <w:tcPr>
            <w:tcW w:w="549"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70.3</w:t>
            </w:r>
          </w:p>
        </w:tc>
        <w:tc>
          <w:tcPr>
            <w:tcW w:w="68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65.4–74.9</w:t>
            </w:r>
          </w:p>
        </w:tc>
        <w:tc>
          <w:tcPr>
            <w:tcW w:w="61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377</w:t>
            </w:r>
          </w:p>
        </w:tc>
      </w:tr>
      <w:tr w:rsidR="00EC36A2" w:rsidRPr="00821556" w:rsidTr="00EC36A2">
        <w:trPr>
          <w:trHeight w:val="288"/>
        </w:trPr>
        <w:tc>
          <w:tcPr>
            <w:tcW w:w="595" w:type="pct"/>
            <w:vMerge/>
            <w:tcBorders>
              <w:left w:val="nil"/>
              <w:bottom w:val="single" w:sz="4" w:space="0" w:color="auto"/>
              <w:right w:val="nil"/>
            </w:tcBorders>
          </w:tcPr>
          <w:p w:rsidR="00D0122C" w:rsidRPr="00821556" w:rsidRDefault="00D0122C" w:rsidP="00135409">
            <w:pPr>
              <w:keepLines/>
              <w:tabs>
                <w:tab w:val="left" w:pos="198"/>
              </w:tabs>
              <w:spacing w:before="60" w:after="60" w:line="200" w:lineRule="atLeast"/>
              <w:rPr>
                <w:rFonts w:ascii="Arial" w:eastAsia="Calibri" w:hAnsi="Arial"/>
                <w:b/>
                <w:color w:val="000000"/>
                <w:sz w:val="16"/>
                <w:lang w:eastAsia="en-US"/>
              </w:rPr>
            </w:pPr>
          </w:p>
        </w:tc>
        <w:tc>
          <w:tcPr>
            <w:tcW w:w="624"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7*</w:t>
            </w:r>
          </w:p>
        </w:tc>
        <w:tc>
          <w:tcPr>
            <w:tcW w:w="61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35.8</w:t>
            </w:r>
          </w:p>
        </w:tc>
        <w:tc>
          <w:tcPr>
            <w:tcW w:w="68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26.2–46.3</w:t>
            </w:r>
          </w:p>
        </w:tc>
        <w:tc>
          <w:tcPr>
            <w:tcW w:w="620"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95</w:t>
            </w:r>
          </w:p>
        </w:tc>
        <w:tc>
          <w:tcPr>
            <w:tcW w:w="549"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52.9</w:t>
            </w:r>
          </w:p>
        </w:tc>
        <w:tc>
          <w:tcPr>
            <w:tcW w:w="68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47.5–58.2</w:t>
            </w:r>
          </w:p>
        </w:tc>
        <w:tc>
          <w:tcPr>
            <w:tcW w:w="61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346</w:t>
            </w:r>
          </w:p>
        </w:tc>
      </w:tr>
      <w:tr w:rsidR="00EC36A2" w:rsidRPr="00821556" w:rsidTr="00EC36A2">
        <w:trPr>
          <w:trHeight w:val="288"/>
        </w:trPr>
        <w:tc>
          <w:tcPr>
            <w:tcW w:w="595" w:type="pct"/>
            <w:vMerge w:val="restart"/>
            <w:tcBorders>
              <w:top w:val="single" w:sz="4" w:space="0" w:color="auto"/>
              <w:left w:val="nil"/>
              <w:bottom w:val="single" w:sz="12" w:space="0" w:color="auto"/>
              <w:right w:val="nil"/>
            </w:tcBorders>
          </w:tcPr>
          <w:p w:rsidR="00D0122C" w:rsidRPr="00821556" w:rsidRDefault="003F4913" w:rsidP="00135409">
            <w:pPr>
              <w:keepLines/>
              <w:tabs>
                <w:tab w:val="left" w:pos="198"/>
              </w:tabs>
              <w:spacing w:before="60" w:after="60" w:line="200" w:lineRule="atLeast"/>
              <w:rPr>
                <w:rFonts w:ascii="Arial" w:eastAsia="Calibri" w:hAnsi="Arial"/>
                <w:b/>
                <w:color w:val="000000"/>
                <w:sz w:val="16"/>
                <w:lang w:eastAsia="en-US"/>
              </w:rPr>
            </w:pPr>
            <w:r>
              <w:rPr>
                <w:rFonts w:ascii="Arial" w:eastAsia="Calibri" w:hAnsi="Arial"/>
                <w:b/>
                <w:color w:val="000000"/>
                <w:sz w:val="16"/>
                <w:lang w:eastAsia="en-US"/>
              </w:rPr>
              <w:t>Numeracy Benchmark</w:t>
            </w:r>
            <w:r>
              <w:rPr>
                <w:rFonts w:ascii="Arial" w:eastAsia="Calibri" w:hAnsi="Arial"/>
                <w:b/>
                <w:color w:val="000000"/>
                <w:sz w:val="16"/>
                <w:lang w:eastAsia="en-US"/>
              </w:rPr>
              <w:br/>
            </w:r>
            <w:r w:rsidR="00D0122C" w:rsidRPr="00821556">
              <w:rPr>
                <w:rFonts w:ascii="Arial" w:eastAsia="Calibri" w:hAnsi="Arial"/>
                <w:b/>
                <w:color w:val="000000"/>
                <w:sz w:val="16"/>
                <w:lang w:eastAsia="en-US"/>
              </w:rPr>
              <w:t>2003</w:t>
            </w:r>
          </w:p>
        </w:tc>
        <w:tc>
          <w:tcPr>
            <w:tcW w:w="624" w:type="pct"/>
            <w:tcBorders>
              <w:top w:val="single" w:sz="4" w:space="0" w:color="auto"/>
              <w:left w:val="nil"/>
              <w:bottom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3</w:t>
            </w:r>
          </w:p>
        </w:tc>
        <w:tc>
          <w:tcPr>
            <w:tcW w:w="61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62.8</w:t>
            </w:r>
          </w:p>
        </w:tc>
        <w:tc>
          <w:tcPr>
            <w:tcW w:w="68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53.2–71.7</w:t>
            </w:r>
          </w:p>
        </w:tc>
        <w:tc>
          <w:tcPr>
            <w:tcW w:w="620"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113</w:t>
            </w:r>
          </w:p>
        </w:tc>
        <w:tc>
          <w:tcPr>
            <w:tcW w:w="549"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75.7</w:t>
            </w:r>
          </w:p>
        </w:tc>
        <w:tc>
          <w:tcPr>
            <w:tcW w:w="68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70.9–80.0</w:t>
            </w:r>
          </w:p>
        </w:tc>
        <w:tc>
          <w:tcPr>
            <w:tcW w:w="618" w:type="pct"/>
            <w:tcBorders>
              <w:top w:val="single" w:sz="4" w:space="0" w:color="auto"/>
              <w:left w:val="nil"/>
              <w:bottom w:val="nil"/>
              <w:right w:val="nil"/>
            </w:tcBorders>
            <w:shd w:val="clear" w:color="auto" w:fill="auto"/>
            <w:vAlign w:val="bottom"/>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362</w:t>
            </w:r>
          </w:p>
        </w:tc>
      </w:tr>
      <w:tr w:rsidR="00EC36A2" w:rsidRPr="00821556" w:rsidTr="00EC36A2">
        <w:trPr>
          <w:trHeight w:val="288"/>
        </w:trPr>
        <w:tc>
          <w:tcPr>
            <w:tcW w:w="595" w:type="pct"/>
            <w:vMerge/>
            <w:tcBorders>
              <w:top w:val="single" w:sz="4" w:space="0" w:color="auto"/>
              <w:left w:val="nil"/>
              <w:bottom w:val="single" w:sz="12" w:space="0" w:color="auto"/>
              <w:right w:val="nil"/>
            </w:tcBorders>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p>
        </w:tc>
        <w:tc>
          <w:tcPr>
            <w:tcW w:w="624"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5*</w:t>
            </w:r>
          </w:p>
        </w:tc>
        <w:tc>
          <w:tcPr>
            <w:tcW w:w="61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45.9</w:t>
            </w:r>
          </w:p>
        </w:tc>
        <w:tc>
          <w:tcPr>
            <w:tcW w:w="68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37.2–54.7</w:t>
            </w:r>
          </w:p>
        </w:tc>
        <w:tc>
          <w:tcPr>
            <w:tcW w:w="620"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133</w:t>
            </w:r>
          </w:p>
        </w:tc>
        <w:tc>
          <w:tcPr>
            <w:tcW w:w="549"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70.8</w:t>
            </w:r>
          </w:p>
        </w:tc>
        <w:tc>
          <w:tcPr>
            <w:tcW w:w="68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65.9–75.3</w:t>
            </w:r>
          </w:p>
        </w:tc>
        <w:tc>
          <w:tcPr>
            <w:tcW w:w="618" w:type="pct"/>
            <w:tcBorders>
              <w:top w:val="nil"/>
              <w:left w:val="nil"/>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380</w:t>
            </w:r>
          </w:p>
        </w:tc>
      </w:tr>
      <w:tr w:rsidR="00EC36A2" w:rsidRPr="00821556" w:rsidTr="00EC36A2">
        <w:trPr>
          <w:trHeight w:val="300"/>
        </w:trPr>
        <w:tc>
          <w:tcPr>
            <w:tcW w:w="595" w:type="pct"/>
            <w:vMerge/>
            <w:tcBorders>
              <w:top w:val="single" w:sz="4" w:space="0" w:color="auto"/>
              <w:left w:val="nil"/>
              <w:bottom w:val="single" w:sz="4" w:space="0" w:color="auto"/>
              <w:right w:val="nil"/>
            </w:tcBorders>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p>
        </w:tc>
        <w:tc>
          <w:tcPr>
            <w:tcW w:w="624"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rPr>
                <w:rFonts w:ascii="Arial" w:eastAsia="Calibri" w:hAnsi="Arial"/>
                <w:color w:val="000000"/>
                <w:sz w:val="16"/>
                <w:lang w:eastAsia="en-US"/>
              </w:rPr>
            </w:pPr>
            <w:r w:rsidRPr="00821556">
              <w:rPr>
                <w:rFonts w:ascii="Arial" w:eastAsia="Calibri" w:hAnsi="Arial"/>
                <w:color w:val="000000"/>
                <w:sz w:val="16"/>
                <w:lang w:eastAsia="en-US"/>
              </w:rPr>
              <w:t>Grade 7*</w:t>
            </w:r>
          </w:p>
        </w:tc>
        <w:tc>
          <w:tcPr>
            <w:tcW w:w="61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29.8</w:t>
            </w:r>
          </w:p>
        </w:tc>
        <w:tc>
          <w:tcPr>
            <w:tcW w:w="68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20.8–40.1</w:t>
            </w:r>
          </w:p>
        </w:tc>
        <w:tc>
          <w:tcPr>
            <w:tcW w:w="620"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94</w:t>
            </w:r>
          </w:p>
        </w:tc>
        <w:tc>
          <w:tcPr>
            <w:tcW w:w="549"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58.2</w:t>
            </w:r>
          </w:p>
        </w:tc>
        <w:tc>
          <w:tcPr>
            <w:tcW w:w="68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53.3–63.0</w:t>
            </w:r>
          </w:p>
        </w:tc>
        <w:tc>
          <w:tcPr>
            <w:tcW w:w="618" w:type="pct"/>
            <w:tcBorders>
              <w:top w:val="nil"/>
              <w:left w:val="nil"/>
              <w:bottom w:val="single" w:sz="4" w:space="0" w:color="auto"/>
              <w:right w:val="nil"/>
            </w:tcBorders>
            <w:shd w:val="clear" w:color="auto" w:fill="auto"/>
            <w:vAlign w:val="center"/>
            <w:hideMark/>
          </w:tcPr>
          <w:p w:rsidR="00D0122C" w:rsidRPr="00821556" w:rsidRDefault="00D0122C" w:rsidP="00135409">
            <w:pPr>
              <w:keepLines/>
              <w:tabs>
                <w:tab w:val="left" w:pos="198"/>
              </w:tabs>
              <w:spacing w:before="60" w:after="60" w:line="200" w:lineRule="atLeast"/>
              <w:jc w:val="right"/>
              <w:rPr>
                <w:rFonts w:ascii="Arial" w:eastAsia="Calibri" w:hAnsi="Arial"/>
                <w:color w:val="000000"/>
                <w:sz w:val="16"/>
                <w:lang w:eastAsia="en-US"/>
              </w:rPr>
            </w:pPr>
            <w:r w:rsidRPr="00821556">
              <w:rPr>
                <w:rFonts w:ascii="Arial" w:eastAsia="Calibri" w:hAnsi="Arial"/>
                <w:color w:val="000000"/>
                <w:sz w:val="16"/>
                <w:lang w:eastAsia="en-US"/>
              </w:rPr>
              <w:t>416</w:t>
            </w:r>
          </w:p>
        </w:tc>
      </w:tr>
    </w:tbl>
    <w:p w:rsidR="00D0122C" w:rsidRPr="00C3426B" w:rsidRDefault="00D0122C" w:rsidP="00BD1A6A">
      <w:pPr>
        <w:pStyle w:val="StyleArial7ptBefore6pt1"/>
        <w:spacing w:before="60"/>
        <w:ind w:left="284" w:hanging="284"/>
        <w:rPr>
          <w:lang w:eastAsia="en-US"/>
        </w:rPr>
      </w:pPr>
      <w:r w:rsidRPr="00C3426B">
        <w:rPr>
          <w:lang w:eastAsia="en-US"/>
        </w:rPr>
        <w:t xml:space="preserve">Notes </w:t>
      </w:r>
    </w:p>
    <w:p w:rsidR="00D0122C" w:rsidRPr="00821556" w:rsidRDefault="00D0122C" w:rsidP="00BD1A6A">
      <w:pPr>
        <w:pStyle w:val="StyleArial7ptLeft0cmHanging05cmBefore6pt"/>
        <w:spacing w:before="60"/>
        <w:ind w:left="284" w:hanging="284"/>
        <w:rPr>
          <w:lang w:eastAsia="en-US"/>
        </w:rPr>
      </w:pPr>
      <w:r w:rsidRPr="00821556">
        <w:rPr>
          <w:lang w:eastAsia="en-US"/>
        </w:rPr>
        <w:t>1.</w:t>
      </w:r>
      <w:r w:rsidRPr="00821556">
        <w:rPr>
          <w:lang w:eastAsia="en-US"/>
        </w:rPr>
        <w:tab/>
        <w:t>Includes all children in the study population who had the test score data required to calculate achievement of the national benchmarks (that is, sat test, exempt). Data only include children on guardianship/custody orders attending government schools in the five participating states (</w:t>
      </w:r>
      <w:r w:rsidR="00BE6770">
        <w:rPr>
          <w:lang w:eastAsia="en-US"/>
        </w:rPr>
        <w:t>Victoria</w:t>
      </w:r>
      <w:r w:rsidRPr="00821556">
        <w:rPr>
          <w:lang w:eastAsia="en-US"/>
        </w:rPr>
        <w:t xml:space="preserve">, </w:t>
      </w:r>
      <w:r>
        <w:rPr>
          <w:lang w:eastAsia="en-US"/>
        </w:rPr>
        <w:t>Q</w:t>
      </w:r>
      <w:r w:rsidR="00BE6770">
        <w:rPr>
          <w:lang w:eastAsia="en-US"/>
        </w:rPr>
        <w:t>ueensland</w:t>
      </w:r>
      <w:r w:rsidRPr="00821556">
        <w:rPr>
          <w:lang w:eastAsia="en-US"/>
        </w:rPr>
        <w:t xml:space="preserve">, WA, SA and </w:t>
      </w:r>
      <w:r w:rsidR="00BE6770">
        <w:rPr>
          <w:lang w:eastAsia="en-US"/>
        </w:rPr>
        <w:t>Tasmania</w:t>
      </w:r>
      <w:r w:rsidRPr="00821556">
        <w:rPr>
          <w:lang w:eastAsia="en-US"/>
        </w:rPr>
        <w:t>)</w:t>
      </w:r>
      <w:r>
        <w:rPr>
          <w:lang w:eastAsia="en-US"/>
        </w:rPr>
        <w:t>.</w:t>
      </w:r>
    </w:p>
    <w:p w:rsidR="00D0122C" w:rsidRDefault="00D0122C" w:rsidP="00BD1A6A">
      <w:pPr>
        <w:pStyle w:val="StyleArial7ptLeft0cmHanging05cmBefore6pt"/>
        <w:spacing w:before="60"/>
        <w:ind w:left="284" w:hanging="284"/>
        <w:rPr>
          <w:lang w:eastAsia="en-US"/>
        </w:rPr>
      </w:pPr>
      <w:r w:rsidRPr="00821556">
        <w:rPr>
          <w:lang w:eastAsia="en-US"/>
        </w:rPr>
        <w:t>2.</w:t>
      </w:r>
      <w:r w:rsidRPr="00821556">
        <w:rPr>
          <w:lang w:eastAsia="en-US"/>
        </w:rPr>
        <w:tab/>
        <w:t xml:space="preserve">Asterisks indicate statistically significant differences between the proportions of Indigenous and non-Indigenous children achieving the national benchmark. </w:t>
      </w:r>
    </w:p>
    <w:p w:rsidR="00D0122C" w:rsidRPr="00821556" w:rsidRDefault="00D0122C" w:rsidP="00BD1A6A">
      <w:pPr>
        <w:pStyle w:val="StyleArial7ptLeft0cmHanging05cmBefore6pt"/>
        <w:spacing w:before="60"/>
        <w:ind w:left="284" w:hanging="284"/>
        <w:rPr>
          <w:lang w:eastAsia="en-US"/>
        </w:rPr>
      </w:pPr>
      <w:r>
        <w:rPr>
          <w:lang w:eastAsia="en-US"/>
        </w:rPr>
        <w:t>3.</w:t>
      </w:r>
      <w:r>
        <w:rPr>
          <w:lang w:eastAsia="en-US"/>
        </w:rPr>
        <w:tab/>
        <w:t xml:space="preserve">‘Other Australians’ includes children whose Indigenous status was unknown. </w:t>
      </w:r>
    </w:p>
    <w:p w:rsidR="00D0122C" w:rsidRPr="00821556" w:rsidRDefault="00D0122C" w:rsidP="00BD1A6A">
      <w:pPr>
        <w:pStyle w:val="StyleArial7ptBefore6pt1"/>
        <w:spacing w:before="60"/>
        <w:rPr>
          <w:lang w:eastAsia="en-US"/>
        </w:rPr>
      </w:pPr>
      <w:r w:rsidRPr="00C3426B">
        <w:rPr>
          <w:lang w:eastAsia="en-US"/>
        </w:rPr>
        <w:t>Source</w:t>
      </w:r>
      <w:r w:rsidRPr="00821556">
        <w:rPr>
          <w:lang w:eastAsia="en-US"/>
        </w:rPr>
        <w:t>: AIHW 2011</w:t>
      </w:r>
      <w:r>
        <w:rPr>
          <w:lang w:eastAsia="en-US"/>
        </w:rPr>
        <w:t>c</w:t>
      </w:r>
      <w:r w:rsidRPr="00821556">
        <w:rPr>
          <w:lang w:eastAsia="en-US"/>
        </w:rPr>
        <w:t>.</w:t>
      </w:r>
    </w:p>
    <w:p w:rsidR="00D24A08" w:rsidRDefault="00D24A08">
      <w:pPr>
        <w:rPr>
          <w:rFonts w:ascii="Arial" w:hAnsi="Arial"/>
          <w:bCs/>
          <w:color w:val="00755E"/>
          <w:sz w:val="24"/>
          <w:szCs w:val="26"/>
        </w:rPr>
      </w:pPr>
      <w:bookmarkStart w:id="180" w:name="_Toc400007760"/>
      <w:r>
        <w:br w:type="page"/>
      </w:r>
    </w:p>
    <w:p w:rsidR="00D0122C" w:rsidRDefault="00D0122C" w:rsidP="00D36B99">
      <w:pPr>
        <w:pStyle w:val="Heading3"/>
      </w:pPr>
      <w:r>
        <w:t>Leaving care plans</w:t>
      </w:r>
      <w:bookmarkEnd w:id="180"/>
    </w:p>
    <w:p w:rsidR="00D0122C" w:rsidRDefault="00D0122C" w:rsidP="004B3342">
      <w:pPr>
        <w:pStyle w:val="Heading4a"/>
      </w:pPr>
      <w:r>
        <w:t xml:space="preserve">Indicator </w:t>
      </w:r>
      <w:r w:rsidRPr="0060478E">
        <w:t>4.6</w:t>
      </w:r>
      <w:r>
        <w:t xml:space="preserve">: </w:t>
      </w:r>
      <w:r w:rsidRPr="0060478E">
        <w:t>Proportion of children aged 15–17 years who have a leaving care plan</w:t>
      </w:r>
    </w:p>
    <w:p w:rsidR="00D0122C" w:rsidRDefault="00D0122C" w:rsidP="00D0122C">
      <w:pPr>
        <w:rPr>
          <w:rFonts w:ascii="Calibri" w:hAnsi="Calibri"/>
          <w:sz w:val="24"/>
          <w:szCs w:val="24"/>
        </w:rPr>
      </w:pPr>
    </w:p>
    <w:p w:rsidR="00D0122C" w:rsidRDefault="00D0122C" w:rsidP="00D0122C">
      <w:pPr>
        <w:rPr>
          <w:rFonts w:ascii="Calibri" w:hAnsi="Calibri"/>
          <w:sz w:val="24"/>
          <w:szCs w:val="24"/>
        </w:rPr>
      </w:pPr>
      <w:r w:rsidRPr="008D0B0F">
        <w:rPr>
          <w:rFonts w:ascii="Calibri" w:hAnsi="Calibri"/>
          <w:sz w:val="24"/>
          <w:szCs w:val="24"/>
        </w:rPr>
        <w:t xml:space="preserve">Historically, young people leaving </w:t>
      </w:r>
      <w:r>
        <w:rPr>
          <w:rFonts w:ascii="Calibri" w:hAnsi="Calibri"/>
          <w:sz w:val="24"/>
          <w:szCs w:val="24"/>
        </w:rPr>
        <w:t xml:space="preserve">out-of-home </w:t>
      </w:r>
      <w:r w:rsidRPr="008D0B0F">
        <w:rPr>
          <w:rFonts w:ascii="Calibri" w:hAnsi="Calibri"/>
          <w:sz w:val="24"/>
          <w:szCs w:val="24"/>
        </w:rPr>
        <w:t>care and making the transition to independent living have been considered one of the most vulnerable and disadvantaged social groups. Research has also shown that these young people do not have the level of support (emotional, social and financial) available to most young people in their transition to adulthood</w:t>
      </w:r>
      <w:r>
        <w:rPr>
          <w:rFonts w:ascii="Calibri" w:hAnsi="Calibri"/>
          <w:sz w:val="24"/>
          <w:szCs w:val="24"/>
        </w:rPr>
        <w:t>,</w:t>
      </w:r>
      <w:r w:rsidRPr="008D0B0F">
        <w:rPr>
          <w:rFonts w:ascii="Calibri" w:hAnsi="Calibri"/>
          <w:sz w:val="24"/>
          <w:szCs w:val="24"/>
        </w:rPr>
        <w:t xml:space="preserve"> and that this transition occurs at an earlier age and in a more abrupt manner than</w:t>
      </w:r>
      <w:r w:rsidR="00854603">
        <w:rPr>
          <w:rFonts w:ascii="Calibri" w:hAnsi="Calibri"/>
          <w:sz w:val="24"/>
          <w:szCs w:val="24"/>
        </w:rPr>
        <w:t xml:space="preserve"> it does for</w:t>
      </w:r>
      <w:r w:rsidRPr="008D0B0F">
        <w:rPr>
          <w:rFonts w:ascii="Calibri" w:hAnsi="Calibri"/>
          <w:sz w:val="24"/>
          <w:szCs w:val="24"/>
        </w:rPr>
        <w:t xml:space="preserve"> young people of the same age in the general </w:t>
      </w:r>
      <w:r>
        <w:rPr>
          <w:rFonts w:ascii="Calibri" w:hAnsi="Calibri"/>
          <w:sz w:val="24"/>
          <w:szCs w:val="24"/>
        </w:rPr>
        <w:t xml:space="preserve">population </w:t>
      </w:r>
      <w:r w:rsidRPr="008D0B0F">
        <w:rPr>
          <w:rFonts w:ascii="Calibri" w:hAnsi="Calibri"/>
          <w:sz w:val="24"/>
          <w:szCs w:val="24"/>
        </w:rPr>
        <w:t>(Osborn &amp; Bromfield 2007).</w:t>
      </w:r>
    </w:p>
    <w:p w:rsidR="00D0122C" w:rsidRDefault="00D0122C" w:rsidP="00D0122C">
      <w:pPr>
        <w:rPr>
          <w:rFonts w:ascii="Calibri" w:hAnsi="Calibri"/>
          <w:sz w:val="24"/>
          <w:szCs w:val="24"/>
        </w:rPr>
      </w:pPr>
    </w:p>
    <w:p w:rsidR="00D0122C" w:rsidRPr="00821556" w:rsidRDefault="00D0122C" w:rsidP="00D0122C">
      <w:pPr>
        <w:rPr>
          <w:rFonts w:ascii="Calibri" w:hAnsi="Calibri"/>
          <w:sz w:val="24"/>
          <w:szCs w:val="24"/>
        </w:rPr>
      </w:pPr>
      <w:r w:rsidRPr="00821556">
        <w:rPr>
          <w:rFonts w:ascii="Calibri" w:hAnsi="Calibri"/>
          <w:sz w:val="24"/>
          <w:szCs w:val="24"/>
        </w:rPr>
        <w:t>A leaving care plan (also called a transition from care plan) is developed in preparation for a young person</w:t>
      </w:r>
      <w:r>
        <w:rPr>
          <w:rFonts w:ascii="Calibri" w:hAnsi="Calibri"/>
          <w:sz w:val="24"/>
          <w:szCs w:val="24"/>
        </w:rPr>
        <w:t>’s exit from</w:t>
      </w:r>
      <w:r w:rsidRPr="00821556">
        <w:rPr>
          <w:rFonts w:ascii="Calibri" w:hAnsi="Calibri"/>
          <w:sz w:val="24"/>
          <w:szCs w:val="24"/>
        </w:rPr>
        <w:t xml:space="preserve"> </w:t>
      </w:r>
      <w:r>
        <w:rPr>
          <w:rFonts w:ascii="Calibri" w:hAnsi="Calibri"/>
          <w:sz w:val="24"/>
          <w:szCs w:val="24"/>
        </w:rPr>
        <w:t xml:space="preserve">out-of-home </w:t>
      </w:r>
      <w:r w:rsidRPr="00821556">
        <w:rPr>
          <w:rFonts w:ascii="Calibri" w:hAnsi="Calibri"/>
          <w:sz w:val="24"/>
          <w:szCs w:val="24"/>
        </w:rPr>
        <w:t>care into independent living. Leaving care plans are developed in agreement with the young person and usually include information on goals, planned actions, needs assessments, income support and post-care support (such as counselling, mentoring</w:t>
      </w:r>
      <w:r w:rsidR="007D4669">
        <w:rPr>
          <w:rFonts w:ascii="Calibri" w:hAnsi="Calibri"/>
          <w:sz w:val="24"/>
          <w:szCs w:val="24"/>
        </w:rPr>
        <w:t xml:space="preserve"> and</w:t>
      </w:r>
      <w:r w:rsidRPr="00821556">
        <w:rPr>
          <w:rFonts w:ascii="Calibri" w:hAnsi="Calibri"/>
          <w:sz w:val="24"/>
          <w:szCs w:val="24"/>
        </w:rPr>
        <w:t xml:space="preserve"> ongoing case management). </w:t>
      </w:r>
    </w:p>
    <w:p w:rsidR="00D0122C" w:rsidRDefault="00D0122C" w:rsidP="00D0122C">
      <w:pPr>
        <w:rPr>
          <w:rFonts w:ascii="Calibri" w:hAnsi="Calibri"/>
          <w:sz w:val="24"/>
          <w:szCs w:val="24"/>
        </w:rPr>
      </w:pPr>
    </w:p>
    <w:p w:rsidR="00D0122C" w:rsidRDefault="00D0122C" w:rsidP="00D0122C">
      <w:pPr>
        <w:rPr>
          <w:rFonts w:ascii="Calibri" w:hAnsi="Calibri"/>
          <w:sz w:val="24"/>
          <w:szCs w:val="24"/>
        </w:rPr>
      </w:pPr>
      <w:r w:rsidRPr="00821556">
        <w:rPr>
          <w:rFonts w:ascii="Calibri" w:hAnsi="Calibri"/>
          <w:sz w:val="24"/>
          <w:szCs w:val="24"/>
        </w:rPr>
        <w:t>At 30 June 2012, an estimated 77</w:t>
      </w:r>
      <w:r>
        <w:rPr>
          <w:rFonts w:ascii="Calibri" w:hAnsi="Calibri"/>
          <w:sz w:val="24"/>
          <w:szCs w:val="24"/>
        </w:rPr>
        <w:t xml:space="preserve"> per cent</w:t>
      </w:r>
      <w:r w:rsidRPr="00821556">
        <w:rPr>
          <w:rFonts w:ascii="Calibri" w:hAnsi="Calibri"/>
          <w:sz w:val="24"/>
          <w:szCs w:val="24"/>
        </w:rPr>
        <w:t xml:space="preserve"> of young people aged 15 years and over had a current and approved leaving care plan (based on data from Victoria, Queensland and Western Australia only).</w:t>
      </w:r>
    </w:p>
    <w:p w:rsidR="00D0122C" w:rsidRPr="00821556" w:rsidRDefault="00D0122C" w:rsidP="00D0122C">
      <w:pPr>
        <w:rPr>
          <w:rFonts w:ascii="Calibri" w:hAnsi="Calibri"/>
          <w:sz w:val="24"/>
          <w:szCs w:val="24"/>
        </w:rPr>
      </w:pPr>
    </w:p>
    <w:p w:rsidR="00D0122C" w:rsidRPr="00E47AEA" w:rsidRDefault="0074031D" w:rsidP="00520DEC">
      <w:pPr>
        <w:pStyle w:val="Figure"/>
        <w:ind w:right="2527"/>
      </w:pPr>
      <w:bookmarkStart w:id="181" w:name="_Toc400010307"/>
      <w:r>
        <w:t xml:space="preserve">Table </w:t>
      </w:r>
      <w:fldSimple w:instr=" SEQ Table \* ARABIC ">
        <w:r w:rsidR="00BF1EC9">
          <w:rPr>
            <w:noProof/>
          </w:rPr>
          <w:t>21</w:t>
        </w:r>
      </w:fldSimple>
      <w:r>
        <w:t xml:space="preserve">: </w:t>
      </w:r>
      <w:r w:rsidRPr="00E47AEA">
        <w:t xml:space="preserve">Young people aged 15 years and over who have a current </w:t>
      </w:r>
      <w:r w:rsidR="00D36B99">
        <w:t>and approved leaving care plan,</w:t>
      </w:r>
      <w:r w:rsidR="00520DEC">
        <w:t xml:space="preserve"> </w:t>
      </w:r>
      <w:r w:rsidRPr="00E47AEA">
        <w:t>at 30 June 2012</w:t>
      </w:r>
      <w:bookmarkEnd w:id="181"/>
    </w:p>
    <w:tbl>
      <w:tblPr>
        <w:tblW w:w="2439" w:type="pct"/>
        <w:tblLook w:val="04A0" w:firstRow="1" w:lastRow="0" w:firstColumn="1" w:lastColumn="0" w:noHBand="0" w:noVBand="1"/>
        <w:tblDescription w:val="Table 20: Proportion of children on guardianship/custody orders achieving the national reading and numeracy benchmarks, by Indigenous status, 2003 to 2006"/>
      </w:tblPr>
      <w:tblGrid>
        <w:gridCol w:w="2943"/>
        <w:gridCol w:w="2267"/>
      </w:tblGrid>
      <w:tr w:rsidR="00D0122C" w:rsidRPr="00821556" w:rsidTr="00D24A08">
        <w:tc>
          <w:tcPr>
            <w:tcW w:w="2824" w:type="pct"/>
            <w:tcBorders>
              <w:top w:val="single" w:sz="4" w:space="0" w:color="auto"/>
              <w:bottom w:val="single" w:sz="4" w:space="0" w:color="auto"/>
            </w:tcBorders>
            <w:shd w:val="clear" w:color="auto" w:fill="auto"/>
            <w:vAlign w:val="bottom"/>
          </w:tcPr>
          <w:p w:rsidR="00D0122C" w:rsidRPr="00821556" w:rsidRDefault="00D24A08" w:rsidP="00135409">
            <w:pPr>
              <w:pStyle w:val="TableFigHeadingtotal"/>
              <w:rPr>
                <w:rFonts w:eastAsia="Calibri" w:cs="Arial"/>
              </w:rPr>
            </w:pPr>
            <w:r>
              <w:rPr>
                <w:rFonts w:eastAsia="Calibri" w:cs="Arial"/>
              </w:rPr>
              <w:t>Indigenous status</w:t>
            </w:r>
          </w:p>
        </w:tc>
        <w:tc>
          <w:tcPr>
            <w:tcW w:w="2176" w:type="pct"/>
            <w:tcBorders>
              <w:top w:val="single" w:sz="4" w:space="0" w:color="auto"/>
              <w:bottom w:val="single" w:sz="4" w:space="0" w:color="auto"/>
            </w:tcBorders>
            <w:shd w:val="clear" w:color="auto" w:fill="auto"/>
          </w:tcPr>
          <w:p w:rsidR="00D0122C" w:rsidRPr="00821556" w:rsidRDefault="00D0122C" w:rsidP="00135409">
            <w:pPr>
              <w:pStyle w:val="TableFigHeadingtotal"/>
              <w:jc w:val="right"/>
              <w:rPr>
                <w:rFonts w:cs="Arial"/>
              </w:rPr>
            </w:pPr>
            <w:r w:rsidRPr="00821556">
              <w:rPr>
                <w:rFonts w:cs="Arial"/>
              </w:rPr>
              <w:t>Per cent</w:t>
            </w:r>
          </w:p>
        </w:tc>
      </w:tr>
      <w:tr w:rsidR="00D0122C" w:rsidRPr="00821556" w:rsidTr="00D24A08">
        <w:tc>
          <w:tcPr>
            <w:tcW w:w="2824" w:type="pct"/>
            <w:tcBorders>
              <w:top w:val="single" w:sz="4" w:space="0" w:color="auto"/>
            </w:tcBorders>
            <w:shd w:val="clear" w:color="auto" w:fill="auto"/>
            <w:vAlign w:val="bottom"/>
          </w:tcPr>
          <w:p w:rsidR="00D0122C" w:rsidRPr="00821556" w:rsidRDefault="00D0122C" w:rsidP="00135409">
            <w:pPr>
              <w:pStyle w:val="TableFigText"/>
              <w:rPr>
                <w:rFonts w:eastAsia="Calibri" w:cs="Arial"/>
              </w:rPr>
            </w:pPr>
            <w:r w:rsidRPr="00821556">
              <w:rPr>
                <w:rFonts w:eastAsia="Calibri" w:cs="Arial"/>
              </w:rPr>
              <w:t xml:space="preserve">Indigenous </w:t>
            </w:r>
          </w:p>
        </w:tc>
        <w:tc>
          <w:tcPr>
            <w:tcW w:w="2176" w:type="pct"/>
            <w:tcBorders>
              <w:top w:val="single" w:sz="4" w:space="0" w:color="auto"/>
            </w:tcBorders>
            <w:shd w:val="clear" w:color="auto" w:fill="auto"/>
          </w:tcPr>
          <w:p w:rsidR="00D0122C" w:rsidRPr="00821556" w:rsidRDefault="00D0122C" w:rsidP="00135409">
            <w:pPr>
              <w:pStyle w:val="TableFigText"/>
              <w:jc w:val="right"/>
              <w:rPr>
                <w:rFonts w:eastAsia="Calibri" w:cs="Arial"/>
              </w:rPr>
            </w:pPr>
            <w:r w:rsidRPr="00821556">
              <w:rPr>
                <w:rFonts w:eastAsia="Calibri" w:cs="Arial"/>
              </w:rPr>
              <w:t>74.0</w:t>
            </w:r>
          </w:p>
        </w:tc>
      </w:tr>
      <w:tr w:rsidR="00D0122C" w:rsidRPr="00821556" w:rsidTr="00D24A08">
        <w:tc>
          <w:tcPr>
            <w:tcW w:w="2824" w:type="pct"/>
            <w:shd w:val="clear" w:color="auto" w:fill="auto"/>
            <w:vAlign w:val="bottom"/>
          </w:tcPr>
          <w:p w:rsidR="00D0122C" w:rsidRPr="00821556" w:rsidRDefault="00D0122C" w:rsidP="00135409">
            <w:pPr>
              <w:pStyle w:val="TableFigText"/>
              <w:rPr>
                <w:rFonts w:eastAsia="Calibri" w:cs="Arial"/>
              </w:rPr>
            </w:pPr>
            <w:r w:rsidRPr="00821556">
              <w:rPr>
                <w:rFonts w:eastAsia="Calibri" w:cs="Arial"/>
              </w:rPr>
              <w:t xml:space="preserve">Non-Indigenous </w:t>
            </w:r>
          </w:p>
        </w:tc>
        <w:tc>
          <w:tcPr>
            <w:tcW w:w="2176" w:type="pct"/>
            <w:shd w:val="clear" w:color="auto" w:fill="auto"/>
          </w:tcPr>
          <w:p w:rsidR="00D0122C" w:rsidRPr="00821556" w:rsidRDefault="00D0122C" w:rsidP="00135409">
            <w:pPr>
              <w:pStyle w:val="TableFigText"/>
              <w:jc w:val="right"/>
              <w:rPr>
                <w:rFonts w:eastAsia="Calibri" w:cs="Arial"/>
              </w:rPr>
            </w:pPr>
            <w:r w:rsidRPr="00821556">
              <w:rPr>
                <w:rFonts w:eastAsia="Calibri" w:cs="Arial"/>
              </w:rPr>
              <w:t>78.1</w:t>
            </w:r>
          </w:p>
        </w:tc>
      </w:tr>
      <w:tr w:rsidR="00D0122C" w:rsidRPr="00821556" w:rsidTr="00D24A08">
        <w:tc>
          <w:tcPr>
            <w:tcW w:w="2824" w:type="pct"/>
            <w:tcBorders>
              <w:bottom w:val="single" w:sz="4" w:space="0" w:color="auto"/>
            </w:tcBorders>
            <w:shd w:val="clear" w:color="auto" w:fill="auto"/>
            <w:vAlign w:val="bottom"/>
          </w:tcPr>
          <w:p w:rsidR="00D0122C" w:rsidRPr="00821556" w:rsidRDefault="00D0122C" w:rsidP="00135409">
            <w:pPr>
              <w:pStyle w:val="TableFigHeadingtotal"/>
              <w:rPr>
                <w:rFonts w:eastAsia="Calibri" w:cs="Arial"/>
              </w:rPr>
            </w:pPr>
            <w:r w:rsidRPr="00821556">
              <w:rPr>
                <w:rFonts w:eastAsia="Calibri" w:cs="Arial"/>
              </w:rPr>
              <w:t>All young people</w:t>
            </w:r>
            <w:r w:rsidRPr="00821556">
              <w:rPr>
                <w:rFonts w:eastAsia="Calibri" w:cs="Arial"/>
                <w:vertAlign w:val="superscript"/>
              </w:rPr>
              <w:t>(a)</w:t>
            </w:r>
          </w:p>
        </w:tc>
        <w:tc>
          <w:tcPr>
            <w:tcW w:w="2176" w:type="pct"/>
            <w:tcBorders>
              <w:bottom w:val="single" w:sz="4" w:space="0" w:color="auto"/>
            </w:tcBorders>
            <w:shd w:val="clear" w:color="auto" w:fill="auto"/>
          </w:tcPr>
          <w:p w:rsidR="00D0122C" w:rsidRPr="00EA5E75" w:rsidRDefault="00D0122C" w:rsidP="00135409">
            <w:pPr>
              <w:pStyle w:val="TableFigText"/>
              <w:keepNext/>
              <w:jc w:val="right"/>
              <w:rPr>
                <w:rFonts w:eastAsia="Calibri" w:cs="Arial"/>
                <w:b/>
              </w:rPr>
            </w:pPr>
            <w:r w:rsidRPr="00EA5E75">
              <w:rPr>
                <w:rFonts w:eastAsia="Calibri" w:cs="Arial"/>
                <w:b/>
              </w:rPr>
              <w:t>77.0</w:t>
            </w:r>
          </w:p>
        </w:tc>
      </w:tr>
    </w:tbl>
    <w:p w:rsidR="00D0122C" w:rsidRPr="00F07C4A" w:rsidRDefault="00D0122C" w:rsidP="00D66FAA">
      <w:pPr>
        <w:pStyle w:val="StyleArial7ptLeft0cmHanging05cmBefore6pt"/>
        <w:rPr>
          <w:rFonts w:eastAsia="Calibri"/>
        </w:rPr>
      </w:pPr>
      <w:r w:rsidRPr="00F07C4A">
        <w:rPr>
          <w:rFonts w:eastAsia="Calibri"/>
        </w:rPr>
        <w:t>(a)</w:t>
      </w:r>
      <w:r w:rsidRPr="00F07C4A">
        <w:rPr>
          <w:rFonts w:eastAsia="Calibri"/>
        </w:rPr>
        <w:tab/>
        <w:t xml:space="preserve">‘All young people’ includes children whose Indigenous status was unknown. </w:t>
      </w:r>
    </w:p>
    <w:p w:rsidR="00D0122C" w:rsidRPr="00F07C4A" w:rsidRDefault="00D0122C" w:rsidP="00D66FAA">
      <w:pPr>
        <w:pStyle w:val="StyleArial7ptLeft0cmHanging05cmBefore6pt"/>
        <w:rPr>
          <w:rFonts w:eastAsia="Calibri"/>
        </w:rPr>
      </w:pPr>
      <w:r w:rsidRPr="00F07C4A">
        <w:rPr>
          <w:rFonts w:eastAsia="Calibri"/>
        </w:rPr>
        <w:t xml:space="preserve">Note: </w:t>
      </w:r>
      <w:r w:rsidR="00854603" w:rsidRPr="00F07C4A">
        <w:rPr>
          <w:rFonts w:eastAsia="Calibri"/>
        </w:rPr>
        <w:tab/>
      </w:r>
      <w:r w:rsidRPr="00F07C4A">
        <w:rPr>
          <w:rFonts w:eastAsia="Calibri"/>
        </w:rPr>
        <w:t>Reported numbers are based on data from Victoria, Queensland and Western Australia only.</w:t>
      </w:r>
      <w:r w:rsidRPr="00F07C4A">
        <w:t xml:space="preserve"> These </w:t>
      </w:r>
      <w:r w:rsidRPr="00F07C4A">
        <w:br/>
        <w:t xml:space="preserve">data were provided for national reporting for the first time in 2012. Data only include children </w:t>
      </w:r>
      <w:r w:rsidRPr="00F07C4A">
        <w:rPr>
          <w:rFonts w:eastAsia="Calibri"/>
        </w:rPr>
        <w:t xml:space="preserve">who are required </w:t>
      </w:r>
      <w:r w:rsidRPr="00F07C4A">
        <w:rPr>
          <w:rFonts w:eastAsia="Calibri"/>
        </w:rPr>
        <w:br/>
        <w:t xml:space="preserve">by jurisdictional policy/legislation to have a current and approved leaving care plan. </w:t>
      </w:r>
    </w:p>
    <w:p w:rsidR="00D0122C" w:rsidRDefault="00D0122C" w:rsidP="00D66FAA">
      <w:pPr>
        <w:pStyle w:val="StyleArial7ptLeft0cmHanging05cmBefore6pt"/>
        <w:rPr>
          <w:rFonts w:eastAsia="Calibri"/>
        </w:rPr>
      </w:pPr>
      <w:r w:rsidRPr="00F07C4A">
        <w:rPr>
          <w:rFonts w:eastAsia="Calibri"/>
        </w:rPr>
        <w:t>Source: AIHW Child Protection Data Collections.</w:t>
      </w:r>
    </w:p>
    <w:p w:rsidR="00D0122C" w:rsidRDefault="00D0122C" w:rsidP="003A70CF">
      <w:pPr>
        <w:pStyle w:val="Heading3"/>
      </w:pPr>
      <w:bookmarkStart w:id="182" w:name="_Toc400007761"/>
      <w:r>
        <w:t>Cross-sector clients</w:t>
      </w:r>
      <w:bookmarkEnd w:id="182"/>
    </w:p>
    <w:p w:rsidR="00D0122C" w:rsidRDefault="00D0122C" w:rsidP="004B3342">
      <w:pPr>
        <w:pStyle w:val="Heading4a"/>
      </w:pPr>
      <w:r>
        <w:t xml:space="preserve">Indicator </w:t>
      </w:r>
      <w:r w:rsidRPr="0060478E">
        <w:t>4.7</w:t>
      </w:r>
      <w:r>
        <w:t xml:space="preserve">: </w:t>
      </w:r>
      <w:r w:rsidRPr="0060478E">
        <w:t>Proportion of child protection clients aged 0–17 years who enter juvenile corrective services or seek assistance from homelessness services</w:t>
      </w:r>
    </w:p>
    <w:p w:rsidR="00D0122C" w:rsidRPr="003A70CF" w:rsidRDefault="00D0122C" w:rsidP="00D0122C">
      <w:pPr>
        <w:rPr>
          <w:rFonts w:ascii="Calibri" w:hAnsi="Calibri"/>
          <w:sz w:val="24"/>
          <w:szCs w:val="24"/>
        </w:rPr>
      </w:pPr>
    </w:p>
    <w:p w:rsidR="00D0122C" w:rsidRDefault="00D0122C" w:rsidP="00D0122C">
      <w:pPr>
        <w:rPr>
          <w:rFonts w:ascii="Calibri" w:hAnsi="Calibri"/>
          <w:sz w:val="24"/>
          <w:szCs w:val="24"/>
        </w:rPr>
      </w:pPr>
      <w:r w:rsidRPr="00B67925">
        <w:rPr>
          <w:rFonts w:ascii="Calibri" w:hAnsi="Calibri"/>
          <w:sz w:val="24"/>
          <w:szCs w:val="24"/>
        </w:rPr>
        <w:t>Research shows that there are relationships between homelessness, child abuse and neglect, and</w:t>
      </w:r>
      <w:r>
        <w:rPr>
          <w:rFonts w:ascii="Calibri" w:hAnsi="Calibri"/>
          <w:sz w:val="24"/>
          <w:szCs w:val="24"/>
        </w:rPr>
        <w:t xml:space="preserve"> </w:t>
      </w:r>
      <w:r w:rsidRPr="00B67925">
        <w:rPr>
          <w:rFonts w:ascii="Calibri" w:hAnsi="Calibri"/>
          <w:sz w:val="24"/>
          <w:szCs w:val="24"/>
        </w:rPr>
        <w:t>criminal activity among young people. For example, there is evidence that children who have</w:t>
      </w:r>
      <w:r>
        <w:rPr>
          <w:rFonts w:ascii="Calibri" w:hAnsi="Calibri"/>
          <w:sz w:val="24"/>
          <w:szCs w:val="24"/>
        </w:rPr>
        <w:t xml:space="preserve"> </w:t>
      </w:r>
      <w:r w:rsidRPr="00B67925">
        <w:rPr>
          <w:rFonts w:ascii="Calibri" w:hAnsi="Calibri"/>
          <w:sz w:val="24"/>
          <w:szCs w:val="24"/>
        </w:rPr>
        <w:t>been abused or neglected are more likely to be involved in crime and more likely to experience</w:t>
      </w:r>
      <w:r>
        <w:rPr>
          <w:rFonts w:ascii="Calibri" w:hAnsi="Calibri"/>
          <w:sz w:val="24"/>
          <w:szCs w:val="24"/>
        </w:rPr>
        <w:t xml:space="preserve"> </w:t>
      </w:r>
      <w:r w:rsidRPr="00B67925">
        <w:rPr>
          <w:rFonts w:ascii="Calibri" w:hAnsi="Calibri"/>
          <w:sz w:val="24"/>
          <w:szCs w:val="24"/>
        </w:rPr>
        <w:t>homelessness than those who have not (National Youth Commission 2008;</w:t>
      </w:r>
      <w:r>
        <w:rPr>
          <w:rFonts w:ascii="Calibri" w:hAnsi="Calibri"/>
          <w:sz w:val="24"/>
          <w:szCs w:val="24"/>
        </w:rPr>
        <w:t xml:space="preserve"> </w:t>
      </w:r>
      <w:r w:rsidRPr="00B67925">
        <w:rPr>
          <w:rFonts w:ascii="Calibri" w:hAnsi="Calibri"/>
          <w:sz w:val="24"/>
          <w:szCs w:val="24"/>
        </w:rPr>
        <w:t>Prichard &amp; Payne 2005; Stewart</w:t>
      </w:r>
      <w:r w:rsidR="00937E3D">
        <w:rPr>
          <w:rFonts w:ascii="Calibri" w:hAnsi="Calibri"/>
          <w:sz w:val="24"/>
          <w:szCs w:val="24"/>
        </w:rPr>
        <w:t xml:space="preserve">, Dennison &amp; </w:t>
      </w:r>
      <w:proofErr w:type="spellStart"/>
      <w:r w:rsidR="00937E3D">
        <w:rPr>
          <w:rFonts w:ascii="Calibri" w:hAnsi="Calibri"/>
          <w:sz w:val="24"/>
          <w:szCs w:val="24"/>
        </w:rPr>
        <w:t>Hurren</w:t>
      </w:r>
      <w:proofErr w:type="spellEnd"/>
      <w:r w:rsidRPr="00B67925">
        <w:rPr>
          <w:rFonts w:ascii="Calibri" w:hAnsi="Calibri"/>
          <w:sz w:val="24"/>
          <w:szCs w:val="24"/>
        </w:rPr>
        <w:t xml:space="preserve"> 2005). However, information on the extent of multiple-sector</w:t>
      </w:r>
      <w:r>
        <w:rPr>
          <w:rFonts w:ascii="Calibri" w:hAnsi="Calibri"/>
          <w:sz w:val="24"/>
          <w:szCs w:val="24"/>
        </w:rPr>
        <w:t xml:space="preserve"> </w:t>
      </w:r>
      <w:r w:rsidRPr="00B67925">
        <w:rPr>
          <w:rFonts w:ascii="Calibri" w:hAnsi="Calibri"/>
          <w:sz w:val="24"/>
          <w:szCs w:val="24"/>
        </w:rPr>
        <w:t>involvement and the pathways of young people through these services is limited.</w:t>
      </w:r>
      <w:r>
        <w:rPr>
          <w:rFonts w:ascii="Calibri" w:hAnsi="Calibri"/>
          <w:sz w:val="24"/>
          <w:szCs w:val="24"/>
        </w:rPr>
        <w:t xml:space="preserve"> Some proxy data from a recent linkage project are available to allow interim reporting on this indicator. </w:t>
      </w:r>
    </w:p>
    <w:p w:rsidR="00D0122C" w:rsidRPr="00B67925" w:rsidRDefault="00D0122C" w:rsidP="00D0122C">
      <w:pPr>
        <w:rPr>
          <w:rFonts w:ascii="Calibri" w:hAnsi="Calibri"/>
          <w:sz w:val="24"/>
          <w:szCs w:val="24"/>
        </w:rPr>
      </w:pPr>
    </w:p>
    <w:p w:rsidR="00D0122C" w:rsidRDefault="00D0122C" w:rsidP="00D0122C">
      <w:pPr>
        <w:rPr>
          <w:rFonts w:ascii="Calibri" w:hAnsi="Calibri"/>
          <w:sz w:val="24"/>
          <w:szCs w:val="24"/>
        </w:rPr>
      </w:pPr>
      <w:r>
        <w:rPr>
          <w:rFonts w:ascii="Calibri" w:hAnsi="Calibri"/>
          <w:sz w:val="24"/>
          <w:szCs w:val="24"/>
        </w:rPr>
        <w:t>An</w:t>
      </w:r>
      <w:r w:rsidRPr="00B67925">
        <w:rPr>
          <w:rFonts w:ascii="Calibri" w:hAnsi="Calibri"/>
          <w:sz w:val="24"/>
          <w:szCs w:val="24"/>
        </w:rPr>
        <w:t xml:space="preserve"> AIHW </w:t>
      </w:r>
      <w:r>
        <w:rPr>
          <w:rFonts w:ascii="Calibri" w:hAnsi="Calibri"/>
          <w:sz w:val="24"/>
          <w:szCs w:val="24"/>
        </w:rPr>
        <w:t xml:space="preserve">data </w:t>
      </w:r>
      <w:r w:rsidRPr="00B67925">
        <w:rPr>
          <w:rFonts w:ascii="Calibri" w:hAnsi="Calibri"/>
          <w:sz w:val="24"/>
          <w:szCs w:val="24"/>
        </w:rPr>
        <w:t>linkage project examined multiple-sector involvement among young</w:t>
      </w:r>
      <w:r>
        <w:rPr>
          <w:rFonts w:ascii="Calibri" w:hAnsi="Calibri"/>
          <w:sz w:val="24"/>
          <w:szCs w:val="24"/>
        </w:rPr>
        <w:t xml:space="preserve"> </w:t>
      </w:r>
      <w:r w:rsidRPr="00B67925">
        <w:rPr>
          <w:rFonts w:ascii="Calibri" w:hAnsi="Calibri"/>
          <w:sz w:val="24"/>
          <w:szCs w:val="24"/>
        </w:rPr>
        <w:t xml:space="preserve">people in three </w:t>
      </w:r>
      <w:r w:rsidR="00B36891">
        <w:rPr>
          <w:rFonts w:ascii="Calibri" w:hAnsi="Calibri"/>
          <w:sz w:val="24"/>
          <w:szCs w:val="24"/>
        </w:rPr>
        <w:t>community sector</w:t>
      </w:r>
      <w:r w:rsidRPr="00B67925">
        <w:rPr>
          <w:rFonts w:ascii="Calibri" w:hAnsi="Calibri"/>
          <w:sz w:val="24"/>
          <w:szCs w:val="24"/>
        </w:rPr>
        <w:t xml:space="preserve"> data collections: SAAP (superseded by the </w:t>
      </w:r>
      <w:r w:rsidR="0075472C">
        <w:rPr>
          <w:rFonts w:ascii="Calibri" w:hAnsi="Calibri"/>
          <w:sz w:val="24"/>
          <w:szCs w:val="24"/>
        </w:rPr>
        <w:t>SHS</w:t>
      </w:r>
      <w:r w:rsidRPr="00B67925">
        <w:rPr>
          <w:rFonts w:ascii="Calibri" w:hAnsi="Calibri"/>
          <w:sz w:val="24"/>
          <w:szCs w:val="24"/>
        </w:rPr>
        <w:t xml:space="preserve"> Collection in 2011), the</w:t>
      </w:r>
      <w:r>
        <w:rPr>
          <w:rFonts w:ascii="Calibri" w:hAnsi="Calibri"/>
          <w:sz w:val="24"/>
          <w:szCs w:val="24"/>
        </w:rPr>
        <w:t xml:space="preserve"> </w:t>
      </w:r>
      <w:r w:rsidRPr="00B67925">
        <w:rPr>
          <w:rFonts w:ascii="Calibri" w:hAnsi="Calibri"/>
          <w:sz w:val="24"/>
          <w:szCs w:val="24"/>
        </w:rPr>
        <w:t>Juvenile Justice National Minimum Data Set (JJ NMDS), and child protection notifications and</w:t>
      </w:r>
      <w:r>
        <w:rPr>
          <w:rFonts w:ascii="Calibri" w:hAnsi="Calibri"/>
          <w:sz w:val="24"/>
          <w:szCs w:val="24"/>
        </w:rPr>
        <w:t xml:space="preserve"> </w:t>
      </w:r>
      <w:r w:rsidRPr="00B67925">
        <w:rPr>
          <w:rFonts w:ascii="Calibri" w:hAnsi="Calibri"/>
          <w:sz w:val="24"/>
          <w:szCs w:val="24"/>
        </w:rPr>
        <w:t>substantiations in Victoria and Tasmania (</w:t>
      </w:r>
      <w:r w:rsidRPr="00CD12F7">
        <w:rPr>
          <w:rFonts w:ascii="Calibri" w:hAnsi="Calibri"/>
          <w:sz w:val="24"/>
          <w:szCs w:val="24"/>
        </w:rPr>
        <w:t>AIHW 2012</w:t>
      </w:r>
      <w:r>
        <w:rPr>
          <w:rFonts w:ascii="Calibri" w:hAnsi="Calibri"/>
          <w:sz w:val="24"/>
          <w:szCs w:val="24"/>
        </w:rPr>
        <w:t>c</w:t>
      </w:r>
      <w:r w:rsidRPr="00B67925">
        <w:rPr>
          <w:rFonts w:ascii="Calibri" w:hAnsi="Calibri"/>
          <w:sz w:val="24"/>
          <w:szCs w:val="24"/>
        </w:rPr>
        <w:t>).</w:t>
      </w:r>
    </w:p>
    <w:p w:rsidR="00D0122C" w:rsidRPr="00B67925" w:rsidRDefault="00D0122C" w:rsidP="00D0122C">
      <w:pPr>
        <w:rPr>
          <w:rFonts w:ascii="Calibri" w:hAnsi="Calibri"/>
          <w:sz w:val="24"/>
          <w:szCs w:val="24"/>
        </w:rPr>
      </w:pPr>
    </w:p>
    <w:p w:rsidR="00D0122C" w:rsidRDefault="00D0122C" w:rsidP="00D0122C">
      <w:pPr>
        <w:rPr>
          <w:rFonts w:ascii="Calibri" w:hAnsi="Calibri"/>
          <w:sz w:val="24"/>
          <w:szCs w:val="24"/>
        </w:rPr>
      </w:pPr>
      <w:r w:rsidRPr="00B67925">
        <w:rPr>
          <w:rFonts w:ascii="Calibri" w:hAnsi="Calibri"/>
          <w:sz w:val="24"/>
          <w:szCs w:val="24"/>
        </w:rPr>
        <w:t>This research found that young people involved in one of the homelessness, juvenile justice</w:t>
      </w:r>
      <w:r>
        <w:rPr>
          <w:rFonts w:ascii="Calibri" w:hAnsi="Calibri"/>
          <w:sz w:val="24"/>
          <w:szCs w:val="24"/>
        </w:rPr>
        <w:t xml:space="preserve"> </w:t>
      </w:r>
      <w:r w:rsidRPr="00B67925">
        <w:rPr>
          <w:rFonts w:ascii="Calibri" w:hAnsi="Calibri"/>
          <w:sz w:val="24"/>
          <w:szCs w:val="24"/>
        </w:rPr>
        <w:t>and child protection service systems were more likely than those in the general population to</w:t>
      </w:r>
      <w:r>
        <w:rPr>
          <w:rFonts w:ascii="Calibri" w:hAnsi="Calibri"/>
          <w:sz w:val="24"/>
          <w:szCs w:val="24"/>
        </w:rPr>
        <w:t xml:space="preserve"> </w:t>
      </w:r>
      <w:r w:rsidRPr="00B67925">
        <w:rPr>
          <w:rFonts w:ascii="Calibri" w:hAnsi="Calibri"/>
          <w:sz w:val="24"/>
          <w:szCs w:val="24"/>
        </w:rPr>
        <w:t>experience multiple-sector involvement.</w:t>
      </w:r>
      <w:r>
        <w:rPr>
          <w:rFonts w:ascii="Calibri" w:hAnsi="Calibri"/>
          <w:sz w:val="24"/>
          <w:szCs w:val="24"/>
        </w:rPr>
        <w:t xml:space="preserve"> </w:t>
      </w:r>
      <w:r w:rsidRPr="00B67925">
        <w:rPr>
          <w:rFonts w:ascii="Calibri" w:hAnsi="Calibri"/>
          <w:sz w:val="24"/>
          <w:szCs w:val="24"/>
        </w:rPr>
        <w:t>Around 1</w:t>
      </w:r>
      <w:r>
        <w:rPr>
          <w:rFonts w:ascii="Calibri" w:hAnsi="Calibri"/>
          <w:sz w:val="24"/>
          <w:szCs w:val="24"/>
        </w:rPr>
        <w:t>–</w:t>
      </w:r>
      <w:r w:rsidRPr="00B67925">
        <w:rPr>
          <w:rFonts w:ascii="Calibri" w:hAnsi="Calibri"/>
          <w:sz w:val="24"/>
          <w:szCs w:val="24"/>
        </w:rPr>
        <w:t>2</w:t>
      </w:r>
      <w:r>
        <w:rPr>
          <w:rFonts w:ascii="Calibri" w:hAnsi="Calibri"/>
          <w:sz w:val="24"/>
          <w:szCs w:val="24"/>
        </w:rPr>
        <w:t xml:space="preserve"> per cent</w:t>
      </w:r>
      <w:r w:rsidRPr="00B67925">
        <w:rPr>
          <w:rFonts w:ascii="Calibri" w:hAnsi="Calibri"/>
          <w:sz w:val="24"/>
          <w:szCs w:val="24"/>
        </w:rPr>
        <w:t xml:space="preserve"> of the general population receive</w:t>
      </w:r>
      <w:r w:rsidR="00937E3D">
        <w:rPr>
          <w:rFonts w:ascii="Calibri" w:hAnsi="Calibri"/>
          <w:sz w:val="24"/>
          <w:szCs w:val="24"/>
        </w:rPr>
        <w:t>s</w:t>
      </w:r>
      <w:r w:rsidRPr="00B67925">
        <w:rPr>
          <w:rFonts w:ascii="Calibri" w:hAnsi="Calibri"/>
          <w:sz w:val="24"/>
          <w:szCs w:val="24"/>
        </w:rPr>
        <w:t xml:space="preserve"> homelessness services each year. However,</w:t>
      </w:r>
      <w:r>
        <w:rPr>
          <w:rFonts w:ascii="Calibri" w:hAnsi="Calibri"/>
          <w:sz w:val="24"/>
          <w:szCs w:val="24"/>
        </w:rPr>
        <w:t xml:space="preserve"> </w:t>
      </w:r>
      <w:r w:rsidRPr="00B67925">
        <w:rPr>
          <w:rFonts w:ascii="Calibri" w:hAnsi="Calibri"/>
          <w:sz w:val="24"/>
          <w:szCs w:val="24"/>
        </w:rPr>
        <w:t>almost 15</w:t>
      </w:r>
      <w:r>
        <w:rPr>
          <w:rFonts w:ascii="Calibri" w:hAnsi="Calibri"/>
          <w:sz w:val="24"/>
          <w:szCs w:val="24"/>
        </w:rPr>
        <w:t xml:space="preserve"> per cent</w:t>
      </w:r>
      <w:r w:rsidRPr="00B67925">
        <w:rPr>
          <w:rFonts w:ascii="Calibri" w:hAnsi="Calibri"/>
          <w:sz w:val="24"/>
          <w:szCs w:val="24"/>
        </w:rPr>
        <w:t xml:space="preserve"> of those under juvenile justice supervision received homelessness services in the</w:t>
      </w:r>
      <w:r>
        <w:rPr>
          <w:rFonts w:ascii="Calibri" w:hAnsi="Calibri"/>
          <w:sz w:val="24"/>
          <w:szCs w:val="24"/>
        </w:rPr>
        <w:t xml:space="preserve"> </w:t>
      </w:r>
      <w:r w:rsidRPr="00B67925">
        <w:rPr>
          <w:rFonts w:ascii="Calibri" w:hAnsi="Calibri"/>
          <w:sz w:val="24"/>
          <w:szCs w:val="24"/>
        </w:rPr>
        <w:t>year before their most recent supervision, and 8</w:t>
      </w:r>
      <w:r>
        <w:rPr>
          <w:rFonts w:ascii="Calibri" w:hAnsi="Calibri"/>
          <w:sz w:val="24"/>
          <w:szCs w:val="24"/>
        </w:rPr>
        <w:t xml:space="preserve"> per cent</w:t>
      </w:r>
      <w:r w:rsidRPr="00B67925">
        <w:rPr>
          <w:rFonts w:ascii="Calibri" w:hAnsi="Calibri"/>
          <w:sz w:val="24"/>
          <w:szCs w:val="24"/>
        </w:rPr>
        <w:t xml:space="preserve"> received services in the year after. Similarly, 6</w:t>
      </w:r>
      <w:r>
        <w:rPr>
          <w:rFonts w:ascii="Calibri" w:hAnsi="Calibri"/>
          <w:sz w:val="24"/>
          <w:szCs w:val="24"/>
        </w:rPr>
        <w:t xml:space="preserve"> per cent </w:t>
      </w:r>
      <w:r w:rsidRPr="00B67925">
        <w:rPr>
          <w:rFonts w:ascii="Calibri" w:hAnsi="Calibri"/>
          <w:sz w:val="24"/>
          <w:szCs w:val="24"/>
        </w:rPr>
        <w:t xml:space="preserve">of those </w:t>
      </w:r>
      <w:r>
        <w:rPr>
          <w:rFonts w:ascii="Calibri" w:hAnsi="Calibri"/>
          <w:sz w:val="24"/>
          <w:szCs w:val="24"/>
        </w:rPr>
        <w:t xml:space="preserve">who were the subject of </w:t>
      </w:r>
      <w:proofErr w:type="gramStart"/>
      <w:r w:rsidRPr="00B67925">
        <w:rPr>
          <w:rFonts w:ascii="Calibri" w:hAnsi="Calibri"/>
          <w:sz w:val="24"/>
          <w:szCs w:val="24"/>
        </w:rPr>
        <w:t>a child</w:t>
      </w:r>
      <w:proofErr w:type="gramEnd"/>
      <w:r w:rsidRPr="00B67925">
        <w:rPr>
          <w:rFonts w:ascii="Calibri" w:hAnsi="Calibri"/>
          <w:sz w:val="24"/>
          <w:szCs w:val="24"/>
        </w:rPr>
        <w:t xml:space="preserve"> protection </w:t>
      </w:r>
      <w:r>
        <w:rPr>
          <w:rFonts w:ascii="Calibri" w:hAnsi="Calibri"/>
          <w:sz w:val="24"/>
          <w:szCs w:val="24"/>
        </w:rPr>
        <w:t xml:space="preserve">substantiation </w:t>
      </w:r>
      <w:r w:rsidRPr="00B67925">
        <w:rPr>
          <w:rFonts w:ascii="Calibri" w:hAnsi="Calibri"/>
          <w:sz w:val="24"/>
          <w:szCs w:val="24"/>
        </w:rPr>
        <w:t>received homelessness services the</w:t>
      </w:r>
      <w:r>
        <w:rPr>
          <w:rFonts w:ascii="Calibri" w:hAnsi="Calibri"/>
          <w:sz w:val="24"/>
          <w:szCs w:val="24"/>
        </w:rPr>
        <w:t xml:space="preserve"> </w:t>
      </w:r>
      <w:r w:rsidRPr="00B67925">
        <w:rPr>
          <w:rFonts w:ascii="Calibri" w:hAnsi="Calibri"/>
          <w:sz w:val="24"/>
          <w:szCs w:val="24"/>
        </w:rPr>
        <w:t>year before their most recent substantiat</w:t>
      </w:r>
      <w:r>
        <w:rPr>
          <w:rFonts w:ascii="Calibri" w:hAnsi="Calibri"/>
          <w:sz w:val="24"/>
          <w:szCs w:val="24"/>
        </w:rPr>
        <w:t>ion</w:t>
      </w:r>
      <w:r w:rsidRPr="00B67925">
        <w:rPr>
          <w:rFonts w:ascii="Calibri" w:hAnsi="Calibri"/>
          <w:sz w:val="24"/>
          <w:szCs w:val="24"/>
        </w:rPr>
        <w:t>, and 7</w:t>
      </w:r>
      <w:r>
        <w:rPr>
          <w:rFonts w:ascii="Calibri" w:hAnsi="Calibri"/>
          <w:sz w:val="24"/>
          <w:szCs w:val="24"/>
        </w:rPr>
        <w:t xml:space="preserve"> per cent</w:t>
      </w:r>
      <w:r w:rsidRPr="00B67925">
        <w:rPr>
          <w:rFonts w:ascii="Calibri" w:hAnsi="Calibri"/>
          <w:sz w:val="24"/>
          <w:szCs w:val="24"/>
        </w:rPr>
        <w:t xml:space="preserve"> in the year after. Around 1</w:t>
      </w:r>
      <w:r>
        <w:rPr>
          <w:rFonts w:ascii="Calibri" w:hAnsi="Calibri"/>
          <w:sz w:val="24"/>
          <w:szCs w:val="24"/>
        </w:rPr>
        <w:t xml:space="preserve"> per cent</w:t>
      </w:r>
      <w:r w:rsidRPr="00B67925">
        <w:rPr>
          <w:rFonts w:ascii="Calibri" w:hAnsi="Calibri"/>
          <w:sz w:val="24"/>
          <w:szCs w:val="24"/>
        </w:rPr>
        <w:t xml:space="preserve"> of</w:t>
      </w:r>
      <w:r>
        <w:rPr>
          <w:rFonts w:ascii="Calibri" w:hAnsi="Calibri"/>
          <w:sz w:val="24"/>
          <w:szCs w:val="24"/>
        </w:rPr>
        <w:t xml:space="preserve"> </w:t>
      </w:r>
      <w:r w:rsidRPr="00B67925">
        <w:rPr>
          <w:rFonts w:ascii="Calibri" w:hAnsi="Calibri"/>
          <w:sz w:val="24"/>
          <w:szCs w:val="24"/>
        </w:rPr>
        <w:t>Australians aged 16</w:t>
      </w:r>
      <w:r w:rsidR="00213218">
        <w:rPr>
          <w:rFonts w:ascii="Calibri" w:hAnsi="Calibri"/>
          <w:sz w:val="24"/>
          <w:szCs w:val="24"/>
        </w:rPr>
        <w:t xml:space="preserve"> to </w:t>
      </w:r>
      <w:r w:rsidRPr="00B67925">
        <w:rPr>
          <w:rFonts w:ascii="Calibri" w:hAnsi="Calibri"/>
          <w:sz w:val="24"/>
          <w:szCs w:val="24"/>
        </w:rPr>
        <w:t>17 are under juvenile justice supervision each year. However, more than</w:t>
      </w:r>
      <w:r>
        <w:rPr>
          <w:rFonts w:ascii="Calibri" w:hAnsi="Calibri"/>
          <w:sz w:val="24"/>
          <w:szCs w:val="24"/>
        </w:rPr>
        <w:t xml:space="preserve"> </w:t>
      </w:r>
      <w:r w:rsidRPr="00B67925">
        <w:rPr>
          <w:rFonts w:ascii="Calibri" w:hAnsi="Calibri"/>
          <w:sz w:val="24"/>
          <w:szCs w:val="24"/>
        </w:rPr>
        <w:t>10</w:t>
      </w:r>
      <w:r>
        <w:rPr>
          <w:rFonts w:ascii="Calibri" w:hAnsi="Calibri"/>
          <w:sz w:val="24"/>
          <w:szCs w:val="24"/>
        </w:rPr>
        <w:t xml:space="preserve"> per cent</w:t>
      </w:r>
      <w:r w:rsidRPr="00B67925">
        <w:rPr>
          <w:rFonts w:ascii="Calibri" w:hAnsi="Calibri"/>
          <w:sz w:val="24"/>
          <w:szCs w:val="24"/>
        </w:rPr>
        <w:t xml:space="preserve"> of those who received homelessness support as an adult had a history of supervision</w:t>
      </w:r>
      <w:r>
        <w:rPr>
          <w:rFonts w:ascii="Calibri" w:hAnsi="Calibri"/>
          <w:sz w:val="24"/>
          <w:szCs w:val="24"/>
        </w:rPr>
        <w:t xml:space="preserve"> </w:t>
      </w:r>
      <w:r w:rsidRPr="00B67925">
        <w:rPr>
          <w:rFonts w:ascii="Calibri" w:hAnsi="Calibri"/>
          <w:sz w:val="24"/>
          <w:szCs w:val="24"/>
        </w:rPr>
        <w:t>(</w:t>
      </w:r>
      <w:r w:rsidRPr="006233E6">
        <w:rPr>
          <w:rFonts w:ascii="Calibri" w:hAnsi="Calibri"/>
          <w:sz w:val="24"/>
          <w:szCs w:val="24"/>
        </w:rPr>
        <w:t>AIHW 2013</w:t>
      </w:r>
      <w:r>
        <w:rPr>
          <w:rFonts w:ascii="Calibri" w:hAnsi="Calibri"/>
          <w:sz w:val="24"/>
          <w:szCs w:val="24"/>
        </w:rPr>
        <w:t>c</w:t>
      </w:r>
      <w:r w:rsidRPr="00B67925">
        <w:rPr>
          <w:rFonts w:ascii="Calibri" w:hAnsi="Calibri"/>
          <w:sz w:val="24"/>
          <w:szCs w:val="24"/>
        </w:rPr>
        <w:t>).</w:t>
      </w:r>
      <w:r>
        <w:rPr>
          <w:rFonts w:ascii="Calibri" w:hAnsi="Calibri"/>
          <w:sz w:val="24"/>
          <w:szCs w:val="24"/>
        </w:rPr>
        <w:t xml:space="preserve"> </w:t>
      </w:r>
    </w:p>
    <w:p w:rsidR="00D0122C" w:rsidRDefault="00D0122C" w:rsidP="00D0122C">
      <w:pPr>
        <w:rPr>
          <w:rFonts w:ascii="Calibri" w:hAnsi="Calibri"/>
          <w:sz w:val="24"/>
          <w:szCs w:val="24"/>
        </w:rPr>
      </w:pPr>
    </w:p>
    <w:p w:rsidR="00D0122C" w:rsidRDefault="00D0122C" w:rsidP="00D0122C">
      <w:pPr>
        <w:rPr>
          <w:rFonts w:ascii="Calibri" w:hAnsi="Calibri"/>
          <w:sz w:val="24"/>
          <w:szCs w:val="24"/>
        </w:rPr>
      </w:pPr>
      <w:r w:rsidRPr="00B67925">
        <w:rPr>
          <w:rFonts w:ascii="Calibri" w:hAnsi="Calibri"/>
          <w:sz w:val="24"/>
          <w:szCs w:val="24"/>
        </w:rPr>
        <w:t>Although the findings should be interpreted with caution</w:t>
      </w:r>
      <w:r>
        <w:rPr>
          <w:rFonts w:ascii="Calibri" w:hAnsi="Calibri"/>
          <w:sz w:val="24"/>
          <w:szCs w:val="24"/>
        </w:rPr>
        <w:t xml:space="preserve"> (as</w:t>
      </w:r>
      <w:r w:rsidRPr="00B67925">
        <w:rPr>
          <w:rFonts w:ascii="Calibri" w:hAnsi="Calibri"/>
          <w:sz w:val="24"/>
          <w:szCs w:val="24"/>
        </w:rPr>
        <w:t xml:space="preserve"> they are based on data for</w:t>
      </w:r>
      <w:r>
        <w:rPr>
          <w:rFonts w:ascii="Calibri" w:hAnsi="Calibri"/>
          <w:sz w:val="24"/>
          <w:szCs w:val="24"/>
        </w:rPr>
        <w:t xml:space="preserve"> </w:t>
      </w:r>
      <w:r w:rsidRPr="00B67925">
        <w:rPr>
          <w:rFonts w:ascii="Calibri" w:hAnsi="Calibri"/>
          <w:sz w:val="24"/>
          <w:szCs w:val="24"/>
        </w:rPr>
        <w:t>limited years and the child protection data are for only two states</w:t>
      </w:r>
      <w:r>
        <w:rPr>
          <w:rFonts w:ascii="Calibri" w:hAnsi="Calibri"/>
          <w:sz w:val="24"/>
          <w:szCs w:val="24"/>
        </w:rPr>
        <w:t>)</w:t>
      </w:r>
      <w:r w:rsidRPr="00B67925">
        <w:rPr>
          <w:rFonts w:ascii="Calibri" w:hAnsi="Calibri"/>
          <w:sz w:val="24"/>
          <w:szCs w:val="24"/>
        </w:rPr>
        <w:t>, the results highlight the</w:t>
      </w:r>
      <w:r>
        <w:rPr>
          <w:rFonts w:ascii="Calibri" w:hAnsi="Calibri"/>
          <w:sz w:val="24"/>
          <w:szCs w:val="24"/>
        </w:rPr>
        <w:t xml:space="preserve"> </w:t>
      </w:r>
      <w:r w:rsidRPr="00B67925">
        <w:rPr>
          <w:rFonts w:ascii="Calibri" w:hAnsi="Calibri"/>
          <w:sz w:val="24"/>
          <w:szCs w:val="24"/>
        </w:rPr>
        <w:t>possibilities for future data linkage work in these sectors.</w:t>
      </w:r>
    </w:p>
    <w:p w:rsidR="000439DA" w:rsidRPr="00821556" w:rsidRDefault="000439DA" w:rsidP="000439DA">
      <w:pPr>
        <w:spacing w:after="200"/>
        <w:rPr>
          <w:rFonts w:ascii="Arial" w:hAnsi="Arial"/>
          <w:sz w:val="22"/>
          <w:szCs w:val="24"/>
          <w:lang w:eastAsia="en-AU"/>
        </w:rPr>
      </w:pPr>
    </w:p>
    <w:p w:rsidR="001A41ED" w:rsidRPr="00C54D6D" w:rsidRDefault="00F13829" w:rsidP="00C54D6D">
      <w:pPr>
        <w:widowControl w:val="0"/>
        <w:autoSpaceDE w:val="0"/>
        <w:autoSpaceDN w:val="0"/>
        <w:adjustRightInd w:val="0"/>
        <w:spacing w:line="200" w:lineRule="exact"/>
        <w:ind w:left="426" w:right="3876"/>
        <w:rPr>
          <w:rFonts w:ascii="Arial" w:hAnsi="Arial"/>
          <w:bCs/>
          <w:color w:val="000000"/>
          <w:sz w:val="24"/>
          <w:szCs w:val="24"/>
        </w:rPr>
      </w:pPr>
      <w:r w:rsidRPr="00821556">
        <w:rPr>
          <w:rFonts w:ascii="Arial" w:hAnsi="Arial" w:cs="Arial"/>
          <w:sz w:val="24"/>
          <w:szCs w:val="24"/>
        </w:rPr>
        <w:br w:type="page"/>
      </w:r>
    </w:p>
    <w:p w:rsidR="00C54D6D" w:rsidRPr="00356B6E" w:rsidRDefault="00C54D6D" w:rsidP="00B940CF">
      <w:pPr>
        <w:pStyle w:val="Heading1"/>
      </w:pPr>
      <w:bookmarkStart w:id="183" w:name="_Toc400007762"/>
      <w:bookmarkStart w:id="184" w:name="_Toc400711489"/>
      <w:r>
        <w:t>Chapter seven: Outcome 5</w:t>
      </w:r>
      <w:r>
        <w:noBreakHyphen/>
        <w:t>Indigenous children are supported and safe in their families and communities</w:t>
      </w:r>
      <w:bookmarkEnd w:id="183"/>
      <w:bookmarkEnd w:id="184"/>
    </w:p>
    <w:p w:rsidR="00F13829" w:rsidRPr="00083ED1" w:rsidRDefault="00754A9B" w:rsidP="008B2956">
      <w:pPr>
        <w:pBdr>
          <w:top w:val="single" w:sz="4" w:space="1" w:color="auto"/>
          <w:left w:val="single" w:sz="4" w:space="4" w:color="auto"/>
          <w:bottom w:val="single" w:sz="4" w:space="1" w:color="auto"/>
          <w:right w:val="single" w:sz="4" w:space="4" w:color="auto"/>
        </w:pBdr>
        <w:tabs>
          <w:tab w:val="left" w:pos="851"/>
        </w:tabs>
        <w:ind w:left="425" w:right="1109"/>
        <w:jc w:val="center"/>
        <w:rPr>
          <w:rFonts w:ascii="Arial" w:hAnsi="Arial" w:cs="Arial"/>
          <w:sz w:val="28"/>
          <w:szCs w:val="28"/>
        </w:rPr>
      </w:pPr>
      <w:r w:rsidRPr="00083ED1">
        <w:rPr>
          <w:rFonts w:ascii="Arial" w:hAnsi="Arial" w:cs="Arial"/>
          <w:sz w:val="28"/>
          <w:szCs w:val="28"/>
        </w:rPr>
        <w:t>Indigenous children are supported and safe in strong, thriving families and communities to reduce the over-representation of Indigenous children in child protection systems.</w:t>
      </w:r>
      <w:r w:rsidR="003B4864" w:rsidRPr="00083ED1">
        <w:rPr>
          <w:rFonts w:ascii="Arial" w:hAnsi="Arial" w:cs="Arial"/>
          <w:sz w:val="28"/>
          <w:szCs w:val="28"/>
        </w:rPr>
        <w:t xml:space="preserve"> </w:t>
      </w:r>
      <w:r w:rsidRPr="00083ED1">
        <w:rPr>
          <w:rFonts w:ascii="Arial" w:hAnsi="Arial" w:cs="Arial"/>
          <w:sz w:val="28"/>
          <w:szCs w:val="28"/>
        </w:rPr>
        <w:t xml:space="preserve">For those </w:t>
      </w:r>
      <w:r w:rsidR="006D4B55" w:rsidRPr="00083ED1">
        <w:rPr>
          <w:rFonts w:ascii="Arial" w:hAnsi="Arial" w:cs="Arial"/>
          <w:sz w:val="28"/>
          <w:szCs w:val="28"/>
        </w:rPr>
        <w:t xml:space="preserve">Indigenous </w:t>
      </w:r>
      <w:r w:rsidRPr="00083ED1">
        <w:rPr>
          <w:rFonts w:ascii="Arial" w:hAnsi="Arial" w:cs="Arial"/>
          <w:sz w:val="28"/>
          <w:szCs w:val="28"/>
        </w:rPr>
        <w:t>children in child protection systems, culturally appropriate care and support is provided to enhance their wellbeing.</w:t>
      </w:r>
    </w:p>
    <w:p w:rsidR="00F13829" w:rsidRPr="00083ED1" w:rsidRDefault="00F13829" w:rsidP="00F13829">
      <w:pPr>
        <w:ind w:left="-1134" w:right="1895"/>
        <w:rPr>
          <w:rFonts w:ascii="Arial" w:hAnsi="Arial" w:cs="Arial"/>
          <w:sz w:val="18"/>
          <w:szCs w:val="18"/>
        </w:rPr>
      </w:pPr>
    </w:p>
    <w:p w:rsidR="00F13829" w:rsidRPr="00083ED1" w:rsidRDefault="00F13829" w:rsidP="00F13829">
      <w:pPr>
        <w:ind w:left="-1134" w:right="1895"/>
        <w:rPr>
          <w:rFonts w:ascii="Arial" w:hAnsi="Arial" w:cs="Arial"/>
          <w:sz w:val="18"/>
          <w:szCs w:val="18"/>
        </w:rPr>
      </w:pPr>
    </w:p>
    <w:p w:rsidR="00F7630E" w:rsidRDefault="00F7630E" w:rsidP="0053469E">
      <w:pPr>
        <w:pStyle w:val="Heading2"/>
      </w:pPr>
      <w:bookmarkStart w:id="185" w:name="_Toc400007763"/>
      <w:bookmarkStart w:id="186" w:name="_Toc400711490"/>
      <w:r w:rsidRPr="0053469E">
        <w:t>Overview</w:t>
      </w:r>
      <w:bookmarkEnd w:id="185"/>
      <w:bookmarkEnd w:id="186"/>
    </w:p>
    <w:p w:rsidR="003826D0" w:rsidRDefault="003826D0" w:rsidP="00F7630E">
      <w:pPr>
        <w:rPr>
          <w:rFonts w:ascii="Calibri" w:hAnsi="Calibri" w:cs="Calibri"/>
          <w:sz w:val="24"/>
          <w:szCs w:val="24"/>
        </w:rPr>
      </w:pPr>
      <w:r>
        <w:rPr>
          <w:rFonts w:ascii="Calibri" w:hAnsi="Calibri" w:cs="Calibri"/>
          <w:sz w:val="24"/>
          <w:szCs w:val="24"/>
        </w:rPr>
        <w:t>There is one national priority under the Second Action Plan against Outcome 5: Closing the Gap. It aims to ensure that Indigenous families and communities are in a position to provide their children with the safe and supportive environments they need to reach their full potential.</w:t>
      </w:r>
    </w:p>
    <w:p w:rsidR="003826D0" w:rsidRDefault="003826D0" w:rsidP="00F7630E">
      <w:pPr>
        <w:rPr>
          <w:rFonts w:ascii="Calibri" w:hAnsi="Calibri" w:cs="Calibri"/>
          <w:sz w:val="24"/>
          <w:szCs w:val="24"/>
        </w:rPr>
      </w:pPr>
    </w:p>
    <w:p w:rsidR="00F5611D" w:rsidRPr="003826D0" w:rsidRDefault="00F5611D" w:rsidP="00F5611D">
      <w:pPr>
        <w:rPr>
          <w:rFonts w:ascii="Calibri" w:hAnsi="Calibri" w:cs="Calibri"/>
          <w:sz w:val="24"/>
          <w:szCs w:val="24"/>
        </w:rPr>
      </w:pPr>
      <w:r>
        <w:rPr>
          <w:rFonts w:ascii="Calibri" w:hAnsi="Calibri" w:cs="Calibri"/>
          <w:sz w:val="24"/>
          <w:szCs w:val="24"/>
        </w:rPr>
        <w:t>The actions taken by each jurisdiction under this national priority, including other associated supporting actions, are described in detail below.</w:t>
      </w:r>
    </w:p>
    <w:p w:rsidR="00F5611D" w:rsidRDefault="00F5611D" w:rsidP="00F7630E">
      <w:pPr>
        <w:rPr>
          <w:rFonts w:ascii="Calibri" w:hAnsi="Calibri" w:cs="Calibri"/>
          <w:sz w:val="24"/>
          <w:szCs w:val="24"/>
        </w:rPr>
      </w:pPr>
    </w:p>
    <w:p w:rsidR="00C25CA9" w:rsidRDefault="00C25CA9" w:rsidP="00F7630E">
      <w:pPr>
        <w:rPr>
          <w:rFonts w:ascii="Calibri" w:hAnsi="Calibri" w:cs="Calibri"/>
          <w:sz w:val="24"/>
          <w:szCs w:val="24"/>
        </w:rPr>
      </w:pPr>
      <w:r>
        <w:rPr>
          <w:rFonts w:ascii="Calibri" w:hAnsi="Calibri" w:cs="Calibri"/>
          <w:sz w:val="24"/>
          <w:szCs w:val="24"/>
        </w:rPr>
        <w:t>There is one indicator</w:t>
      </w:r>
      <w:r w:rsidR="00F5611D">
        <w:rPr>
          <w:rFonts w:ascii="Calibri" w:hAnsi="Calibri" w:cs="Calibri"/>
          <w:sz w:val="24"/>
          <w:szCs w:val="24"/>
        </w:rPr>
        <w:t xml:space="preserve">, discussed further at the end of this </w:t>
      </w:r>
      <w:r w:rsidR="008D421A">
        <w:rPr>
          <w:rFonts w:ascii="Calibri" w:hAnsi="Calibri" w:cs="Calibri"/>
          <w:sz w:val="24"/>
          <w:szCs w:val="24"/>
        </w:rPr>
        <w:t>c</w:t>
      </w:r>
      <w:r w:rsidR="00F5611D">
        <w:rPr>
          <w:rFonts w:ascii="Calibri" w:hAnsi="Calibri" w:cs="Calibri"/>
          <w:sz w:val="24"/>
          <w:szCs w:val="24"/>
        </w:rPr>
        <w:t>hapter,</w:t>
      </w:r>
      <w:r>
        <w:rPr>
          <w:rFonts w:ascii="Calibri" w:hAnsi="Calibri" w:cs="Calibri"/>
          <w:sz w:val="24"/>
          <w:szCs w:val="24"/>
        </w:rPr>
        <w:t xml:space="preserve"> to m</w:t>
      </w:r>
      <w:r w:rsidR="00B827C1">
        <w:rPr>
          <w:rFonts w:ascii="Calibri" w:hAnsi="Calibri" w:cs="Calibri"/>
          <w:sz w:val="24"/>
          <w:szCs w:val="24"/>
        </w:rPr>
        <w:t>easure progress towards Outcome </w:t>
      </w:r>
      <w:r>
        <w:rPr>
          <w:rFonts w:ascii="Calibri" w:hAnsi="Calibri" w:cs="Calibri"/>
          <w:sz w:val="24"/>
          <w:szCs w:val="24"/>
        </w:rPr>
        <w:t>5:</w:t>
      </w:r>
    </w:p>
    <w:p w:rsidR="00C25CA9" w:rsidRPr="00F5611D" w:rsidRDefault="00C25CA9" w:rsidP="00F5611D">
      <w:pPr>
        <w:pStyle w:val="ListBullet"/>
      </w:pPr>
      <w:r>
        <w:t>Placement of Indigenous children</w:t>
      </w:r>
      <w:r w:rsidR="00F5611D">
        <w:t>.</w:t>
      </w:r>
    </w:p>
    <w:p w:rsidR="00770E2B" w:rsidRPr="006F793D" w:rsidRDefault="00D176F0" w:rsidP="00B827C1">
      <w:pPr>
        <w:pStyle w:val="Heading2"/>
      </w:pPr>
      <w:bookmarkStart w:id="187" w:name="_Toc400007764"/>
      <w:bookmarkStart w:id="188" w:name="_Toc400711491"/>
      <w:r>
        <w:t>Australian, s</w:t>
      </w:r>
      <w:r w:rsidR="00837D95">
        <w:t xml:space="preserve">tate and territory </w:t>
      </w:r>
      <w:r>
        <w:t xml:space="preserve">government </w:t>
      </w:r>
      <w:r w:rsidR="00837D95">
        <w:t>activities</w:t>
      </w:r>
      <w:bookmarkEnd w:id="187"/>
      <w:bookmarkEnd w:id="188"/>
    </w:p>
    <w:p w:rsidR="008C2B08" w:rsidRPr="007D2E7F" w:rsidRDefault="008C2B08" w:rsidP="00B827C1">
      <w:pPr>
        <w:pStyle w:val="Heading3"/>
      </w:pPr>
      <w:bookmarkStart w:id="189" w:name="_Toc400007765"/>
      <w:r w:rsidRPr="007D2E7F">
        <w:t>Australian Government</w:t>
      </w:r>
      <w:bookmarkEnd w:id="189"/>
    </w:p>
    <w:p w:rsidR="008C2B08" w:rsidRPr="00706368" w:rsidRDefault="008B2956" w:rsidP="00F56F9B">
      <w:pPr>
        <w:pStyle w:val="Heading4"/>
      </w:pPr>
      <w:r w:rsidRPr="00706368">
        <w:t>Closing the Gap</w:t>
      </w:r>
    </w:p>
    <w:p w:rsidR="008B61D4" w:rsidRPr="00DC1B19" w:rsidRDefault="008B61D4" w:rsidP="008B61D4">
      <w:pPr>
        <w:rPr>
          <w:rStyle w:val="StyleBodyCalibri12pt"/>
        </w:rPr>
      </w:pPr>
      <w:r w:rsidRPr="00DC1B19">
        <w:rPr>
          <w:rStyle w:val="StyleBodyCalibri12pt"/>
        </w:rPr>
        <w:t xml:space="preserve">Significant progress has been made on the Cross Border Project (the Project) by Western Australia, South Australia and the Northern Territory to develop practical solutions to tri-border practice issues with the assistance of the </w:t>
      </w:r>
      <w:r w:rsidR="00036F0B" w:rsidRPr="00DC1B19">
        <w:rPr>
          <w:rStyle w:val="StyleBodyCalibri12pt"/>
        </w:rPr>
        <w:t>ACU</w:t>
      </w:r>
      <w:r w:rsidRPr="00DC1B19">
        <w:rPr>
          <w:rStyle w:val="StyleBodyCalibri12pt"/>
        </w:rPr>
        <w:t>.</w:t>
      </w:r>
      <w:r w:rsidR="007764A2" w:rsidRPr="00DC1B19">
        <w:rPr>
          <w:rStyle w:val="StyleBodyCalibri12pt"/>
        </w:rPr>
        <w:t xml:space="preserve"> </w:t>
      </w:r>
    </w:p>
    <w:p w:rsidR="008B61D4" w:rsidRPr="00DC1B19" w:rsidRDefault="008B61D4" w:rsidP="008B61D4">
      <w:pPr>
        <w:rPr>
          <w:rStyle w:val="StyleBodyCalibri12pt"/>
        </w:rPr>
      </w:pPr>
    </w:p>
    <w:p w:rsidR="008B61D4" w:rsidRPr="00DC1B19" w:rsidRDefault="008B61D4" w:rsidP="008B61D4">
      <w:pPr>
        <w:rPr>
          <w:rStyle w:val="StyleBodyCalibri12pt"/>
        </w:rPr>
      </w:pPr>
      <w:r w:rsidRPr="00DC1B19">
        <w:rPr>
          <w:rStyle w:val="StyleBodyCalibri12pt"/>
        </w:rPr>
        <w:t xml:space="preserve">Progress includes the establishment of a Cross Border Operational Group comprising senior operational managers from Western Australia, South Australia and </w:t>
      </w:r>
      <w:r w:rsidR="00AB3D3F" w:rsidRPr="00DC1B19">
        <w:rPr>
          <w:rStyle w:val="StyleBodyCalibri12pt"/>
        </w:rPr>
        <w:t xml:space="preserve">the </w:t>
      </w:r>
      <w:r w:rsidRPr="00DC1B19">
        <w:rPr>
          <w:rStyle w:val="StyleBodyCalibri12pt"/>
        </w:rPr>
        <w:t xml:space="preserve">Northern Territory, to drive practical reforms in child protection </w:t>
      </w:r>
      <w:r w:rsidR="004F7D8A" w:rsidRPr="00DC1B19">
        <w:rPr>
          <w:rStyle w:val="StyleBodyCalibri12pt"/>
        </w:rPr>
        <w:t>cross-</w:t>
      </w:r>
      <w:r w:rsidRPr="00DC1B19">
        <w:rPr>
          <w:rStyle w:val="StyleBodyCalibri12pt"/>
        </w:rPr>
        <w:t xml:space="preserve">border practice. Work has also progressed on identifying strategies to enable </w:t>
      </w:r>
      <w:r w:rsidR="004F7D8A" w:rsidRPr="00DC1B19">
        <w:rPr>
          <w:rStyle w:val="StyleBodyCalibri12pt"/>
        </w:rPr>
        <w:t>cross-</w:t>
      </w:r>
      <w:r w:rsidRPr="00DC1B19">
        <w:rPr>
          <w:rStyle w:val="StyleBodyCalibri12pt"/>
        </w:rPr>
        <w:t xml:space="preserve">border recognition of carer assessments. There is a commitment from the three jurisdictions to develop </w:t>
      </w:r>
      <w:r w:rsidR="004F7D8A" w:rsidRPr="00DC1B19">
        <w:rPr>
          <w:rStyle w:val="StyleBodyCalibri12pt"/>
        </w:rPr>
        <w:t>practice-</w:t>
      </w:r>
      <w:r w:rsidRPr="00DC1B19">
        <w:rPr>
          <w:rStyle w:val="StyleBodyCalibri12pt"/>
        </w:rPr>
        <w:t xml:space="preserve">based ‘minimum standards’ for kinship care assessments across the three jurisdictions. </w:t>
      </w:r>
    </w:p>
    <w:p w:rsidR="00F5611D" w:rsidRPr="00DC1B19" w:rsidRDefault="00F5611D" w:rsidP="008B61D4">
      <w:pPr>
        <w:rPr>
          <w:rStyle w:val="StyleBodyCalibri12pt"/>
        </w:rPr>
      </w:pPr>
    </w:p>
    <w:p w:rsidR="008B61D4" w:rsidRPr="00DC1B19" w:rsidRDefault="008B61D4" w:rsidP="008B61D4">
      <w:pPr>
        <w:rPr>
          <w:rStyle w:val="StyleBodyCalibri12pt"/>
        </w:rPr>
      </w:pPr>
      <w:r w:rsidRPr="00DC1B19">
        <w:rPr>
          <w:rStyle w:val="StyleBodyCalibri12pt"/>
        </w:rPr>
        <w:t>To enhance practitioners’ understanding, the existing Interstate Protocols’ Operational Procedures have been reviewed to include important information about child protection practice in the APY Lands. Practice issues have also been included in local child protection orientation programs.</w:t>
      </w:r>
    </w:p>
    <w:p w:rsidR="008B61D4" w:rsidRPr="00DC1B19" w:rsidRDefault="008B61D4" w:rsidP="008B61D4">
      <w:pPr>
        <w:rPr>
          <w:rStyle w:val="StyleBodyCalibri12pt"/>
        </w:rPr>
      </w:pPr>
    </w:p>
    <w:p w:rsidR="008B61D4" w:rsidRPr="00DC1B19" w:rsidRDefault="008B61D4" w:rsidP="008B61D4">
      <w:pPr>
        <w:rPr>
          <w:rStyle w:val="StyleBodyCalibri12pt"/>
        </w:rPr>
      </w:pPr>
      <w:r w:rsidRPr="00DC1B19">
        <w:rPr>
          <w:rStyle w:val="StyleBodyCalibri12pt"/>
        </w:rPr>
        <w:t>Child protection officers’ authorisation to exercise mandated child protection functions under each jurisdiction’s legislation stops at the border. Reciprocal delegation arrangements across borders in emergency situations will be explored</w:t>
      </w:r>
      <w:r w:rsidR="004F7D8A" w:rsidRPr="00DC1B19">
        <w:rPr>
          <w:rStyle w:val="StyleBodyCalibri12pt"/>
        </w:rPr>
        <w:t>,</w:t>
      </w:r>
      <w:r w:rsidRPr="00DC1B19">
        <w:rPr>
          <w:rStyle w:val="StyleBodyCalibri12pt"/>
        </w:rPr>
        <w:t xml:space="preserve"> and consultations are expected to occur within and across the jurisdictions.</w:t>
      </w:r>
    </w:p>
    <w:p w:rsidR="008B61D4" w:rsidRPr="00DC1B19" w:rsidRDefault="008B61D4" w:rsidP="008B61D4">
      <w:pPr>
        <w:rPr>
          <w:rStyle w:val="StyleBodyCalibri12pt"/>
        </w:rPr>
      </w:pPr>
    </w:p>
    <w:p w:rsidR="008B61D4" w:rsidRPr="00DC1B19" w:rsidRDefault="008B61D4" w:rsidP="008B61D4">
      <w:pPr>
        <w:rPr>
          <w:rStyle w:val="StyleBodyCalibri12pt"/>
        </w:rPr>
      </w:pPr>
      <w:r w:rsidRPr="00DC1B19">
        <w:rPr>
          <w:rStyle w:val="StyleBodyCalibri12pt"/>
        </w:rPr>
        <w:t xml:space="preserve">The Project has enhanced awareness and knowledge across the three jurisdictions of respective legal, operational and practice issues that will help towards reform and practice improvements and inform further </w:t>
      </w:r>
      <w:r w:rsidR="004F7D8A" w:rsidRPr="00DC1B19">
        <w:rPr>
          <w:rStyle w:val="StyleBodyCalibri12pt"/>
        </w:rPr>
        <w:t>joined-</w:t>
      </w:r>
      <w:r w:rsidRPr="00DC1B19">
        <w:rPr>
          <w:rStyle w:val="StyleBodyCalibri12pt"/>
        </w:rPr>
        <w:t xml:space="preserve">up approaches to </w:t>
      </w:r>
      <w:r w:rsidR="004F7D8A" w:rsidRPr="00DC1B19">
        <w:rPr>
          <w:rStyle w:val="StyleBodyCalibri12pt"/>
        </w:rPr>
        <w:t>cross-</w:t>
      </w:r>
      <w:r w:rsidRPr="00DC1B19">
        <w:rPr>
          <w:rStyle w:val="StyleBodyCalibri12pt"/>
        </w:rPr>
        <w:t xml:space="preserve">border child protection. There is also potential for this work to inform best practice in other </w:t>
      </w:r>
      <w:r w:rsidR="004F7D8A" w:rsidRPr="00DC1B19">
        <w:rPr>
          <w:rStyle w:val="StyleBodyCalibri12pt"/>
        </w:rPr>
        <w:t>cross-</w:t>
      </w:r>
      <w:r w:rsidRPr="00DC1B19">
        <w:rPr>
          <w:rStyle w:val="StyleBodyCalibri12pt"/>
        </w:rPr>
        <w:t>border areas.</w:t>
      </w:r>
    </w:p>
    <w:p w:rsidR="00C729FA" w:rsidRPr="00DC1B19" w:rsidRDefault="00C729FA" w:rsidP="008B61D4">
      <w:pPr>
        <w:rPr>
          <w:rStyle w:val="StyleBodyCalibri12pt"/>
        </w:rPr>
      </w:pPr>
    </w:p>
    <w:p w:rsidR="008B61D4" w:rsidRPr="00DC1B19" w:rsidRDefault="008B61D4" w:rsidP="008B61D4">
      <w:pPr>
        <w:rPr>
          <w:rStyle w:val="StyleBodyCalibri12pt"/>
        </w:rPr>
      </w:pPr>
      <w:r w:rsidRPr="00DC1B19">
        <w:rPr>
          <w:rStyle w:val="StyleBodyCalibri12pt"/>
        </w:rPr>
        <w:t>The Australian Government has commenced analysis and scoping work to identify state and territory strategic directions and current or planned initiatives to build the capacity of Aboriginal and Torres Strait Islander organisations through partnerships with mainstream providers.</w:t>
      </w:r>
    </w:p>
    <w:p w:rsidR="008B61D4" w:rsidRPr="00DC1B19" w:rsidRDefault="008B61D4" w:rsidP="008B61D4">
      <w:pPr>
        <w:rPr>
          <w:rStyle w:val="StyleBodyCalibri12pt"/>
        </w:rPr>
      </w:pPr>
    </w:p>
    <w:p w:rsidR="008B61D4" w:rsidRPr="00DC1B19" w:rsidRDefault="008B61D4" w:rsidP="008B61D4">
      <w:pPr>
        <w:rPr>
          <w:rStyle w:val="StyleBodyCalibri12pt"/>
        </w:rPr>
      </w:pPr>
      <w:bookmarkStart w:id="190" w:name="Saturday"/>
      <w:bookmarkEnd w:id="190"/>
      <w:r w:rsidRPr="00DC1B19">
        <w:rPr>
          <w:rStyle w:val="StyleBodyCalibri12pt"/>
        </w:rPr>
        <w:t xml:space="preserve">Capacity building of </w:t>
      </w:r>
      <w:r w:rsidR="00C8305C" w:rsidRPr="00DC1B19">
        <w:rPr>
          <w:rStyle w:val="StyleBodyCalibri12pt"/>
        </w:rPr>
        <w:t>community sector</w:t>
      </w:r>
      <w:r w:rsidRPr="00DC1B19">
        <w:rPr>
          <w:rStyle w:val="StyleBodyCalibri12pt"/>
        </w:rPr>
        <w:t xml:space="preserve"> Aboriginal and Torres Strait Islander organisations is a key element of the </w:t>
      </w:r>
      <w:proofErr w:type="spellStart"/>
      <w:r w:rsidR="00A25FC9" w:rsidRPr="00DC1B19">
        <w:rPr>
          <w:rStyle w:val="StyleBodyCalibri12pt"/>
        </w:rPr>
        <w:t>SCfC</w:t>
      </w:r>
      <w:proofErr w:type="spellEnd"/>
      <w:r w:rsidR="00A25FC9" w:rsidRPr="00DC1B19">
        <w:rPr>
          <w:rStyle w:val="StyleBodyCalibri12pt"/>
        </w:rPr>
        <w:t xml:space="preserve"> </w:t>
      </w:r>
      <w:r w:rsidRPr="00DC1B19">
        <w:rPr>
          <w:rStyle w:val="StyleBodyCalibri12pt"/>
        </w:rPr>
        <w:t xml:space="preserve">initiative. The Capacity Strengthening Unit (CSU) is working with Aboriginal and Torres Strait Organisations in the </w:t>
      </w:r>
      <w:proofErr w:type="spellStart"/>
      <w:r w:rsidRPr="00DC1B19">
        <w:rPr>
          <w:rStyle w:val="StyleBodyCalibri12pt"/>
        </w:rPr>
        <w:t>SCfC</w:t>
      </w:r>
      <w:proofErr w:type="spellEnd"/>
      <w:r w:rsidRPr="00DC1B19">
        <w:rPr>
          <w:rStyle w:val="StyleBodyCalibri12pt"/>
        </w:rPr>
        <w:t xml:space="preserve"> sites across the Northern Territory. A key component of the capacity initiative is to conduct a health check with </w:t>
      </w:r>
      <w:r w:rsidR="00A25FC9" w:rsidRPr="00DC1B19">
        <w:rPr>
          <w:rStyle w:val="StyleBodyCalibri12pt"/>
        </w:rPr>
        <w:t xml:space="preserve">each </w:t>
      </w:r>
      <w:r w:rsidRPr="00DC1B19">
        <w:rPr>
          <w:rStyle w:val="StyleBodyCalibri12pt"/>
        </w:rPr>
        <w:t xml:space="preserve">organisation that will lead into the development of a </w:t>
      </w:r>
      <w:proofErr w:type="spellStart"/>
      <w:r w:rsidRPr="00DC1B19">
        <w:rPr>
          <w:rStyle w:val="StyleBodyCalibri12pt"/>
        </w:rPr>
        <w:t>workplan</w:t>
      </w:r>
      <w:proofErr w:type="spellEnd"/>
      <w:r w:rsidRPr="00DC1B19">
        <w:rPr>
          <w:rStyle w:val="StyleBodyCalibri12pt"/>
        </w:rPr>
        <w:t xml:space="preserve"> to address </w:t>
      </w:r>
      <w:r w:rsidR="00A25FC9" w:rsidRPr="00DC1B19">
        <w:rPr>
          <w:rStyle w:val="StyleBodyCalibri12pt"/>
        </w:rPr>
        <w:t>organisation-</w:t>
      </w:r>
      <w:r w:rsidRPr="00DC1B19">
        <w:rPr>
          <w:rStyle w:val="StyleBodyCalibri12pt"/>
        </w:rPr>
        <w:t>identified gaps in areas such as governance, human resources, financial management, management systems and legal and regulatory compliance. Organisational profiles and the preparedness to have open and honest dialogue will be pivotal in building a sound working relationship with the organisations.</w:t>
      </w:r>
    </w:p>
    <w:p w:rsidR="008B61D4" w:rsidRPr="00DC1B19" w:rsidRDefault="008B61D4" w:rsidP="008B61D4">
      <w:pPr>
        <w:rPr>
          <w:rStyle w:val="StyleBodyCalibri12pt"/>
        </w:rPr>
      </w:pPr>
    </w:p>
    <w:p w:rsidR="008B61D4" w:rsidRPr="00DC1B19" w:rsidRDefault="008B61D4" w:rsidP="008B61D4">
      <w:pPr>
        <w:rPr>
          <w:rStyle w:val="StyleBodyCalibri12pt"/>
        </w:rPr>
      </w:pPr>
      <w:r w:rsidRPr="00DC1B19">
        <w:rPr>
          <w:rStyle w:val="StyleBodyCalibri12pt"/>
        </w:rPr>
        <w:t>In addition to the health check, CSU will assis</w:t>
      </w:r>
      <w:r w:rsidR="00AC0923" w:rsidRPr="00DC1B19">
        <w:rPr>
          <w:rStyle w:val="StyleBodyCalibri12pt"/>
        </w:rPr>
        <w:t>t in the provision of resources and</w:t>
      </w:r>
      <w:r w:rsidR="00A25FC9" w:rsidRPr="00DC1B19">
        <w:rPr>
          <w:rStyle w:val="StyleBodyCalibri12pt"/>
        </w:rPr>
        <w:t xml:space="preserve"> </w:t>
      </w:r>
      <w:r w:rsidRPr="00DC1B19">
        <w:rPr>
          <w:rStyle w:val="StyleBodyCalibri12pt"/>
        </w:rPr>
        <w:t>tools to enable the organisation</w:t>
      </w:r>
      <w:r w:rsidR="00A25FC9" w:rsidRPr="00DC1B19">
        <w:rPr>
          <w:rStyle w:val="StyleBodyCalibri12pt"/>
        </w:rPr>
        <w:t>s</w:t>
      </w:r>
      <w:r w:rsidRPr="00DC1B19">
        <w:rPr>
          <w:rStyle w:val="StyleBodyCalibri12pt"/>
        </w:rPr>
        <w:t xml:space="preserve"> to meet </w:t>
      </w:r>
      <w:r w:rsidR="00AC0923" w:rsidRPr="00DC1B19">
        <w:rPr>
          <w:rStyle w:val="StyleBodyCalibri12pt"/>
        </w:rPr>
        <w:t>the</w:t>
      </w:r>
      <w:r w:rsidRPr="00DC1B19">
        <w:rPr>
          <w:rStyle w:val="StyleBodyCalibri12pt"/>
        </w:rPr>
        <w:t xml:space="preserve"> objectives of their strategic plan and deliver </w:t>
      </w:r>
      <w:r w:rsidR="00D10B96" w:rsidRPr="00DC1B19">
        <w:rPr>
          <w:rStyle w:val="StyleBodyCalibri12pt"/>
        </w:rPr>
        <w:t>high-</w:t>
      </w:r>
      <w:r w:rsidRPr="00DC1B19">
        <w:rPr>
          <w:rStyle w:val="StyleBodyCalibri12pt"/>
        </w:rPr>
        <w:t xml:space="preserve">quality services. A Quality Service Support Panel has also been established to work alongside the </w:t>
      </w:r>
      <w:proofErr w:type="spellStart"/>
      <w:r w:rsidRPr="00DC1B19">
        <w:rPr>
          <w:rStyle w:val="StyleBodyCalibri12pt"/>
        </w:rPr>
        <w:t>SCfC</w:t>
      </w:r>
      <w:proofErr w:type="spellEnd"/>
      <w:r w:rsidRPr="00DC1B19">
        <w:rPr>
          <w:rStyle w:val="StyleBodyCalibri12pt"/>
        </w:rPr>
        <w:t xml:space="preserve"> Facilitating Partner organisations to assist them in the development of a local community board structure, develop</w:t>
      </w:r>
      <w:r w:rsidR="00A25FC9" w:rsidRPr="00DC1B19">
        <w:rPr>
          <w:rStyle w:val="StyleBodyCalibri12pt"/>
        </w:rPr>
        <w:t>ment of</w:t>
      </w:r>
      <w:r w:rsidRPr="00DC1B19">
        <w:rPr>
          <w:rStyle w:val="StyleBodyCalibri12pt"/>
        </w:rPr>
        <w:t xml:space="preserve"> an integrated service plan and monitor</w:t>
      </w:r>
      <w:r w:rsidR="00A25FC9" w:rsidRPr="00DC1B19">
        <w:rPr>
          <w:rStyle w:val="StyleBodyCalibri12pt"/>
        </w:rPr>
        <w:t>ing</w:t>
      </w:r>
      <w:r w:rsidRPr="00DC1B19">
        <w:rPr>
          <w:rStyle w:val="StyleBodyCalibri12pt"/>
        </w:rPr>
        <w:t xml:space="preserve"> </w:t>
      </w:r>
      <w:r w:rsidR="00A25FC9" w:rsidRPr="00DC1B19">
        <w:rPr>
          <w:rStyle w:val="StyleBodyCalibri12pt"/>
        </w:rPr>
        <w:t xml:space="preserve">of, </w:t>
      </w:r>
      <w:r w:rsidRPr="00DC1B19">
        <w:rPr>
          <w:rStyle w:val="StyleBodyCalibri12pt"/>
        </w:rPr>
        <w:t xml:space="preserve">and support </w:t>
      </w:r>
      <w:r w:rsidR="00A25FC9" w:rsidRPr="00DC1B19">
        <w:rPr>
          <w:rStyle w:val="StyleBodyCalibri12pt"/>
        </w:rPr>
        <w:t xml:space="preserve">for, </w:t>
      </w:r>
      <w:r w:rsidRPr="00DC1B19">
        <w:rPr>
          <w:rStyle w:val="StyleBodyCalibri12pt"/>
        </w:rPr>
        <w:t xml:space="preserve">the Facilitating Partner organisation to contribute to the achievement of the </w:t>
      </w:r>
      <w:proofErr w:type="spellStart"/>
      <w:r w:rsidRPr="00DC1B19">
        <w:rPr>
          <w:rStyle w:val="StyleBodyCalibri12pt"/>
        </w:rPr>
        <w:t>SCfC</w:t>
      </w:r>
      <w:proofErr w:type="spellEnd"/>
      <w:r w:rsidRPr="00DC1B19">
        <w:rPr>
          <w:rStyle w:val="StyleBodyCalibri12pt"/>
        </w:rPr>
        <w:t xml:space="preserve"> aims and objectives.</w:t>
      </w:r>
    </w:p>
    <w:p w:rsidR="008B61D4" w:rsidRPr="00DC1B19" w:rsidRDefault="008B61D4" w:rsidP="008B61D4">
      <w:pPr>
        <w:rPr>
          <w:rStyle w:val="StyleBodyCalibri12pt"/>
        </w:rPr>
      </w:pPr>
    </w:p>
    <w:p w:rsidR="008B61D4" w:rsidRPr="00DC1B19" w:rsidRDefault="008B61D4" w:rsidP="008B61D4">
      <w:pPr>
        <w:rPr>
          <w:rStyle w:val="StyleBodyCalibri12pt"/>
        </w:rPr>
      </w:pPr>
      <w:r w:rsidRPr="00DC1B19">
        <w:rPr>
          <w:rStyle w:val="StyleBodyCalibri12pt"/>
        </w:rPr>
        <w:t xml:space="preserve">Mapping work has commenced within the Australian Government to identify state and territory strategic directions and current or planned initiatives to encourage Aboriginal and Torres Strait </w:t>
      </w:r>
      <w:r w:rsidR="00A25FC9" w:rsidRPr="00DC1B19">
        <w:rPr>
          <w:rStyle w:val="StyleBodyCalibri12pt"/>
        </w:rPr>
        <w:t xml:space="preserve">Islander people </w:t>
      </w:r>
      <w:r w:rsidRPr="00DC1B19">
        <w:rPr>
          <w:rStyle w:val="StyleBodyCalibri12pt"/>
        </w:rPr>
        <w:t>to work in the child protection system.</w:t>
      </w:r>
    </w:p>
    <w:p w:rsidR="008B61D4" w:rsidRPr="00DC1B19" w:rsidRDefault="008B61D4" w:rsidP="008B61D4">
      <w:pPr>
        <w:rPr>
          <w:rStyle w:val="StyleBodyCalibri12pt"/>
        </w:rPr>
      </w:pPr>
    </w:p>
    <w:p w:rsidR="008B61D4" w:rsidRPr="00DC1B19" w:rsidRDefault="008B61D4" w:rsidP="008B61D4">
      <w:pPr>
        <w:rPr>
          <w:rStyle w:val="StyleBodyCalibri12pt"/>
        </w:rPr>
      </w:pPr>
      <w:r w:rsidRPr="00DC1B19">
        <w:rPr>
          <w:rStyle w:val="StyleBodyCalibri12pt"/>
        </w:rPr>
        <w:t xml:space="preserve">Indigenous workforce participation in child protection and family support was identified as a priority consideration at the </w:t>
      </w:r>
      <w:r w:rsidR="00314725" w:rsidRPr="00DC1B19">
        <w:rPr>
          <w:rStyle w:val="StyleBodyCalibri12pt"/>
        </w:rPr>
        <w:t>ATSICPP</w:t>
      </w:r>
      <w:r w:rsidRPr="00DC1B19">
        <w:rPr>
          <w:rStyle w:val="StyleBodyCalibri12pt"/>
        </w:rPr>
        <w:t xml:space="preserve"> a</w:t>
      </w:r>
      <w:r w:rsidR="002F2FB0" w:rsidRPr="00DC1B19">
        <w:rPr>
          <w:rStyle w:val="StyleBodyCalibri12pt"/>
        </w:rPr>
        <w:t>nd Indigenous Leaders workshops</w:t>
      </w:r>
      <w:r w:rsidR="00A25FC9" w:rsidRPr="00DC1B19">
        <w:rPr>
          <w:rStyle w:val="StyleBodyCalibri12pt"/>
        </w:rPr>
        <w:t>.</w:t>
      </w:r>
    </w:p>
    <w:p w:rsidR="008B61D4" w:rsidRPr="00DC1B19" w:rsidRDefault="008B61D4" w:rsidP="008B61D4">
      <w:pPr>
        <w:rPr>
          <w:rStyle w:val="StyleBodyCalibri12pt"/>
        </w:rPr>
      </w:pPr>
    </w:p>
    <w:p w:rsidR="008B61D4" w:rsidRPr="00DC1B19" w:rsidRDefault="008B61D4" w:rsidP="008B61D4">
      <w:pPr>
        <w:rPr>
          <w:rStyle w:val="StyleBodyCalibri12pt"/>
        </w:rPr>
      </w:pPr>
      <w:r w:rsidRPr="00DC1B19">
        <w:rPr>
          <w:rStyle w:val="StyleBodyCalibri12pt"/>
        </w:rPr>
        <w:t xml:space="preserve">Aboriginal employment targets are identified as part of the Stronger Futures in the Northern Territory Package. This includes specific targets for each of the elements under the Child, Youth, Family and Community Wellbeing </w:t>
      </w:r>
      <w:r w:rsidR="0059292D" w:rsidRPr="00DC1B19">
        <w:rPr>
          <w:rStyle w:val="StyleBodyCalibri12pt"/>
        </w:rPr>
        <w:t>P</w:t>
      </w:r>
      <w:r w:rsidRPr="00DC1B19">
        <w:rPr>
          <w:rStyle w:val="StyleBodyCalibri12pt"/>
        </w:rPr>
        <w:t>ackage (CYFCWP) Implementation Plan</w:t>
      </w:r>
      <w:r w:rsidR="002F2FB0" w:rsidRPr="00DC1B19">
        <w:rPr>
          <w:rStyle w:val="StyleBodyCalibri12pt"/>
        </w:rPr>
        <w:t>,</w:t>
      </w:r>
      <w:r w:rsidRPr="00DC1B19">
        <w:rPr>
          <w:rStyle w:val="StyleBodyCalibri12pt"/>
        </w:rPr>
        <w:t xml:space="preserve"> including the </w:t>
      </w:r>
      <w:proofErr w:type="spellStart"/>
      <w:r w:rsidR="002F2FB0" w:rsidRPr="00DC1B19">
        <w:rPr>
          <w:rStyle w:val="StyleBodyCalibri12pt"/>
        </w:rPr>
        <w:t>SCfC</w:t>
      </w:r>
      <w:proofErr w:type="spellEnd"/>
      <w:r w:rsidRPr="00DC1B19">
        <w:rPr>
          <w:rStyle w:val="StyleBodyCalibri12pt"/>
        </w:rPr>
        <w:t xml:space="preserve"> program. As one strategy to support organisations to meet the targets for the CYFCWP, </w:t>
      </w:r>
      <w:proofErr w:type="spellStart"/>
      <w:r w:rsidRPr="00DC1B19">
        <w:rPr>
          <w:rStyle w:val="StyleBodyCalibri12pt"/>
        </w:rPr>
        <w:t>SCfC</w:t>
      </w:r>
      <w:proofErr w:type="spellEnd"/>
      <w:r w:rsidRPr="00DC1B19">
        <w:rPr>
          <w:rStyle w:val="StyleBodyCalibri12pt"/>
        </w:rPr>
        <w:t xml:space="preserve"> pre-employment training will be rolled ou</w:t>
      </w:r>
      <w:r w:rsidR="002F2FB0" w:rsidRPr="00DC1B19">
        <w:rPr>
          <w:rStyle w:val="StyleBodyCalibri12pt"/>
        </w:rPr>
        <w:t xml:space="preserve">t in </w:t>
      </w:r>
      <w:proofErr w:type="spellStart"/>
      <w:r w:rsidR="002F2FB0" w:rsidRPr="00DC1B19">
        <w:rPr>
          <w:rStyle w:val="StyleBodyCalibri12pt"/>
        </w:rPr>
        <w:t>SCfC</w:t>
      </w:r>
      <w:proofErr w:type="spellEnd"/>
      <w:r w:rsidR="002F2FB0" w:rsidRPr="00DC1B19">
        <w:rPr>
          <w:rStyle w:val="StyleBodyCalibri12pt"/>
        </w:rPr>
        <w:t xml:space="preserve"> communities from 2013</w:t>
      </w:r>
      <w:r w:rsidR="00D8419A" w:rsidRPr="00DC1B19">
        <w:rPr>
          <w:rStyle w:val="StyleBodyCalibri12pt"/>
        </w:rPr>
        <w:t>–</w:t>
      </w:r>
      <w:r w:rsidRPr="00DC1B19">
        <w:rPr>
          <w:rStyle w:val="StyleBodyCalibri12pt"/>
        </w:rPr>
        <w:t>14. This training is intended to develop a pool of skilled local Aboriginal workers and increase the capacity of individuals to work across the various roles in the child and family sector.</w:t>
      </w:r>
    </w:p>
    <w:p w:rsidR="00BD5D4E" w:rsidRPr="00821556" w:rsidRDefault="00BD5D4E" w:rsidP="00B827C1">
      <w:pPr>
        <w:pStyle w:val="Heading3"/>
      </w:pPr>
      <w:bookmarkStart w:id="191" w:name="_Toc400007766"/>
      <w:r w:rsidRPr="00821556">
        <w:t>Australian Capital Territory</w:t>
      </w:r>
      <w:bookmarkEnd w:id="191"/>
    </w:p>
    <w:p w:rsidR="00BD457A" w:rsidRPr="0053469E" w:rsidRDefault="004628A1" w:rsidP="00F56F9B">
      <w:pPr>
        <w:pStyle w:val="Heading4"/>
      </w:pPr>
      <w:r w:rsidRPr="0053469E">
        <w:t xml:space="preserve">Other </w:t>
      </w:r>
      <w:r w:rsidR="00DE6E5D" w:rsidRPr="0053469E">
        <w:t>Supporting Actions</w:t>
      </w:r>
    </w:p>
    <w:p w:rsidR="004628A1" w:rsidRDefault="004628A1" w:rsidP="004628A1">
      <w:pPr>
        <w:rPr>
          <w:rFonts w:ascii="Calibri" w:hAnsi="Calibri" w:cs="Calibri"/>
          <w:sz w:val="24"/>
          <w:szCs w:val="24"/>
        </w:rPr>
      </w:pPr>
      <w:r w:rsidRPr="004628A1">
        <w:rPr>
          <w:rFonts w:ascii="Calibri" w:hAnsi="Calibri" w:cs="Calibri"/>
          <w:sz w:val="24"/>
          <w:szCs w:val="24"/>
        </w:rPr>
        <w:t xml:space="preserve">In the ACT, the Gungahlin, Belconnen and Tuggeranong </w:t>
      </w:r>
      <w:r w:rsidR="00533153">
        <w:rPr>
          <w:rFonts w:ascii="Calibri" w:hAnsi="Calibri" w:cs="Calibri"/>
          <w:sz w:val="24"/>
          <w:szCs w:val="24"/>
        </w:rPr>
        <w:t>CFC</w:t>
      </w:r>
      <w:r w:rsidRPr="004628A1">
        <w:rPr>
          <w:rFonts w:ascii="Calibri" w:hAnsi="Calibri" w:cs="Calibri"/>
          <w:sz w:val="24"/>
          <w:szCs w:val="24"/>
        </w:rPr>
        <w:t>s have engaged with the Aboriginal and Torres Strait Islander community to provide input into the development of programs. A wide range of community-building activities have been implemented</w:t>
      </w:r>
      <w:r w:rsidR="00D8419A">
        <w:rPr>
          <w:rFonts w:ascii="Calibri" w:hAnsi="Calibri" w:cs="Calibri"/>
          <w:sz w:val="24"/>
          <w:szCs w:val="24"/>
        </w:rPr>
        <w:t>,</w:t>
      </w:r>
      <w:r w:rsidRPr="004628A1">
        <w:rPr>
          <w:rFonts w:ascii="Calibri" w:hAnsi="Calibri" w:cs="Calibri"/>
          <w:sz w:val="24"/>
          <w:szCs w:val="24"/>
        </w:rPr>
        <w:t xml:space="preserve"> based on advice and input from Aboriginal and Torres Strait Islander children, parents and the community. The activities supported include:</w:t>
      </w:r>
    </w:p>
    <w:p w:rsidR="00F56F9B" w:rsidRDefault="00F56F9B">
      <w:pPr>
        <w:rPr>
          <w:rFonts w:ascii="Calibri" w:hAnsi="Calibri"/>
          <w:sz w:val="24"/>
        </w:rPr>
      </w:pPr>
      <w:r>
        <w:br w:type="page"/>
      </w:r>
    </w:p>
    <w:p w:rsidR="004628A1" w:rsidRPr="004628A1" w:rsidRDefault="004628A1" w:rsidP="00664F67">
      <w:pPr>
        <w:pStyle w:val="ListBullet"/>
      </w:pPr>
      <w:r w:rsidRPr="004628A1">
        <w:t>weekly women’s group</w:t>
      </w:r>
    </w:p>
    <w:p w:rsidR="004628A1" w:rsidRPr="004628A1" w:rsidRDefault="004628A1" w:rsidP="00664F67">
      <w:pPr>
        <w:pStyle w:val="ListBullet"/>
      </w:pPr>
      <w:r w:rsidRPr="004628A1">
        <w:t>weekly kids’ group</w:t>
      </w:r>
    </w:p>
    <w:p w:rsidR="004628A1" w:rsidRPr="004628A1" w:rsidRDefault="004628A1" w:rsidP="00664F67">
      <w:pPr>
        <w:pStyle w:val="ListBullet"/>
      </w:pPr>
      <w:r w:rsidRPr="004628A1">
        <w:t>Adult First Aid Program and swimming lessons</w:t>
      </w:r>
    </w:p>
    <w:p w:rsidR="004628A1" w:rsidRPr="004628A1" w:rsidRDefault="004628A1" w:rsidP="00664F67">
      <w:pPr>
        <w:pStyle w:val="ListBullet"/>
      </w:pPr>
      <w:r w:rsidRPr="004628A1">
        <w:t>professional development—Indigenous Triple P, Indigenous Mental Health First Aid, Core of Life, Murray Chapman Speaker Series</w:t>
      </w:r>
    </w:p>
    <w:p w:rsidR="004628A1" w:rsidRPr="004628A1" w:rsidRDefault="004628A1" w:rsidP="00664F67">
      <w:pPr>
        <w:pStyle w:val="ListBullet"/>
      </w:pPr>
      <w:r w:rsidRPr="004628A1">
        <w:t>cultural excursions and self-care workshops</w:t>
      </w:r>
    </w:p>
    <w:p w:rsidR="004628A1" w:rsidRPr="004628A1" w:rsidRDefault="004628A1" w:rsidP="00664F67">
      <w:pPr>
        <w:pStyle w:val="ListBullet"/>
      </w:pPr>
      <w:r w:rsidRPr="004628A1">
        <w:t>art and craft workshops for women’s group and kids’ group</w:t>
      </w:r>
    </w:p>
    <w:p w:rsidR="004628A1" w:rsidRPr="004628A1" w:rsidRDefault="004628A1" w:rsidP="00664F67">
      <w:pPr>
        <w:pStyle w:val="ListBullet"/>
      </w:pPr>
      <w:r w:rsidRPr="004628A1">
        <w:t>dance workshops for kids’ group</w:t>
      </w:r>
    </w:p>
    <w:p w:rsidR="004628A1" w:rsidRPr="004628A1" w:rsidRDefault="004628A1" w:rsidP="00664F67">
      <w:pPr>
        <w:pStyle w:val="ListBullet"/>
      </w:pPr>
      <w:r w:rsidRPr="004628A1">
        <w:t>community celebrations and events</w:t>
      </w:r>
    </w:p>
    <w:p w:rsidR="004628A1" w:rsidRPr="004628A1" w:rsidRDefault="004628A1" w:rsidP="00664F67">
      <w:pPr>
        <w:pStyle w:val="ListBullet"/>
      </w:pPr>
      <w:r w:rsidRPr="004628A1">
        <w:t xml:space="preserve">mentoring, for example, by Raiders (Rugby League team) </w:t>
      </w:r>
    </w:p>
    <w:p w:rsidR="004628A1" w:rsidRPr="004628A1" w:rsidRDefault="004628A1" w:rsidP="00664F67">
      <w:pPr>
        <w:pStyle w:val="ListBullet"/>
      </w:pPr>
      <w:proofErr w:type="gramStart"/>
      <w:r w:rsidRPr="004628A1">
        <w:t>economic</w:t>
      </w:r>
      <w:proofErr w:type="gramEnd"/>
      <w:r w:rsidRPr="004628A1">
        <w:t xml:space="preserve"> participation, engaging local Aboriginal people to facilitate workshops/groups.</w:t>
      </w:r>
    </w:p>
    <w:p w:rsidR="004628A1" w:rsidRPr="004628A1" w:rsidRDefault="004628A1" w:rsidP="00B827C1">
      <w:pPr>
        <w:ind w:left="284" w:hanging="283"/>
        <w:rPr>
          <w:rFonts w:ascii="Calibri" w:hAnsi="Calibri" w:cs="Calibri"/>
          <w:sz w:val="24"/>
          <w:szCs w:val="24"/>
        </w:rPr>
      </w:pPr>
    </w:p>
    <w:p w:rsidR="004628A1" w:rsidRPr="004628A1" w:rsidRDefault="004628A1" w:rsidP="004628A1">
      <w:pPr>
        <w:rPr>
          <w:rFonts w:ascii="Calibri" w:hAnsi="Calibri" w:cs="Calibri"/>
          <w:sz w:val="24"/>
          <w:szCs w:val="24"/>
        </w:rPr>
      </w:pPr>
      <w:r w:rsidRPr="004628A1">
        <w:rPr>
          <w:rFonts w:ascii="Calibri" w:hAnsi="Calibri" w:cs="Calibri"/>
          <w:sz w:val="24"/>
          <w:szCs w:val="24"/>
        </w:rPr>
        <w:t xml:space="preserve">Further, one child protection worker is currently co-located at all three </w:t>
      </w:r>
      <w:r w:rsidR="00533153">
        <w:rPr>
          <w:rFonts w:ascii="Calibri" w:hAnsi="Calibri" w:cs="Calibri"/>
          <w:sz w:val="24"/>
          <w:szCs w:val="24"/>
        </w:rPr>
        <w:t>CFC</w:t>
      </w:r>
      <w:r w:rsidRPr="004628A1">
        <w:rPr>
          <w:rFonts w:ascii="Calibri" w:hAnsi="Calibri" w:cs="Calibri"/>
          <w:sz w:val="24"/>
          <w:szCs w:val="24"/>
        </w:rPr>
        <w:t>s</w:t>
      </w:r>
      <w:r w:rsidR="00D8419A">
        <w:rPr>
          <w:rFonts w:ascii="Calibri" w:hAnsi="Calibri" w:cs="Calibri"/>
          <w:sz w:val="24"/>
          <w:szCs w:val="24"/>
        </w:rPr>
        <w:t>,</w:t>
      </w:r>
      <w:r w:rsidRPr="004628A1">
        <w:rPr>
          <w:rFonts w:ascii="Calibri" w:hAnsi="Calibri" w:cs="Calibri"/>
          <w:sz w:val="24"/>
          <w:szCs w:val="24"/>
        </w:rPr>
        <w:t xml:space="preserve"> to focus on Aboriginal and Torres Strait Islander children, young people and families. This ensures that Aboriginal and Torres Strait Islander families who are coming to the attention of </w:t>
      </w:r>
      <w:r w:rsidR="00A555D0">
        <w:rPr>
          <w:rFonts w:ascii="Calibri" w:hAnsi="Calibri" w:cs="Calibri"/>
          <w:sz w:val="24"/>
          <w:szCs w:val="24"/>
        </w:rPr>
        <w:t>CPS</w:t>
      </w:r>
      <w:r w:rsidRPr="004628A1">
        <w:rPr>
          <w:rFonts w:ascii="Calibri" w:hAnsi="Calibri" w:cs="Calibri"/>
          <w:sz w:val="24"/>
          <w:szCs w:val="24"/>
        </w:rPr>
        <w:t xml:space="preserve"> can be serviced within the community. </w:t>
      </w:r>
    </w:p>
    <w:p w:rsidR="004628A1" w:rsidRPr="004628A1" w:rsidRDefault="004628A1" w:rsidP="004628A1">
      <w:pPr>
        <w:rPr>
          <w:rFonts w:ascii="Calibri" w:hAnsi="Calibri" w:cs="Calibri"/>
          <w:sz w:val="24"/>
          <w:szCs w:val="24"/>
        </w:rPr>
      </w:pPr>
    </w:p>
    <w:p w:rsidR="004628A1" w:rsidRPr="004628A1" w:rsidRDefault="004628A1" w:rsidP="004628A1">
      <w:pPr>
        <w:rPr>
          <w:rFonts w:ascii="Calibri" w:hAnsi="Calibri" w:cs="Calibri"/>
          <w:sz w:val="24"/>
          <w:szCs w:val="24"/>
        </w:rPr>
      </w:pPr>
      <w:r w:rsidRPr="004628A1">
        <w:rPr>
          <w:rFonts w:ascii="Calibri" w:hAnsi="Calibri" w:cs="Calibri"/>
          <w:sz w:val="24"/>
          <w:szCs w:val="24"/>
        </w:rPr>
        <w:t xml:space="preserve">The Aboriginal and Torres Strait Islander Services Unit </w:t>
      </w:r>
      <w:r w:rsidR="002F2FB0">
        <w:rPr>
          <w:rFonts w:ascii="Calibri" w:hAnsi="Calibri" w:cs="Calibri"/>
          <w:sz w:val="24"/>
          <w:szCs w:val="24"/>
        </w:rPr>
        <w:t xml:space="preserve">(the Unit) </w:t>
      </w:r>
      <w:r w:rsidRPr="004628A1">
        <w:rPr>
          <w:rFonts w:ascii="Calibri" w:hAnsi="Calibri" w:cs="Calibri"/>
          <w:sz w:val="24"/>
          <w:szCs w:val="24"/>
        </w:rPr>
        <w:t>continued to administer the Integrated Service Delivery for Aboriginal and Torres Strait Islander Families Program. This program involves a multidisciplinary team working with Aboriginal and Torres Strait Islander families to provide intensive support across multiple areas of need, including health, education, social and wellbeing services. The amount of time families engage with the program varies. Some families require short-term engagement (a few months)</w:t>
      </w:r>
      <w:r w:rsidR="00D8419A">
        <w:rPr>
          <w:rFonts w:ascii="Calibri" w:hAnsi="Calibri" w:cs="Calibri"/>
          <w:sz w:val="24"/>
          <w:szCs w:val="24"/>
        </w:rPr>
        <w:t>,</w:t>
      </w:r>
      <w:r w:rsidRPr="004628A1">
        <w:rPr>
          <w:rFonts w:ascii="Calibri" w:hAnsi="Calibri" w:cs="Calibri"/>
          <w:sz w:val="24"/>
          <w:szCs w:val="24"/>
        </w:rPr>
        <w:t xml:space="preserve"> while other families require ongoing and sustained intervention. </w:t>
      </w:r>
    </w:p>
    <w:p w:rsidR="004628A1" w:rsidRPr="004628A1" w:rsidRDefault="004628A1" w:rsidP="004628A1">
      <w:pPr>
        <w:rPr>
          <w:rFonts w:ascii="Calibri" w:hAnsi="Calibri" w:cs="Calibri"/>
          <w:sz w:val="24"/>
          <w:szCs w:val="24"/>
        </w:rPr>
      </w:pPr>
    </w:p>
    <w:p w:rsidR="004628A1" w:rsidRPr="004628A1" w:rsidRDefault="004628A1" w:rsidP="004628A1">
      <w:pPr>
        <w:rPr>
          <w:rFonts w:ascii="Calibri" w:hAnsi="Calibri" w:cs="Calibri"/>
          <w:sz w:val="24"/>
          <w:szCs w:val="24"/>
        </w:rPr>
      </w:pPr>
      <w:r w:rsidRPr="004628A1">
        <w:rPr>
          <w:rFonts w:ascii="Calibri" w:hAnsi="Calibri" w:cs="Calibri"/>
          <w:sz w:val="24"/>
          <w:szCs w:val="24"/>
        </w:rPr>
        <w:t xml:space="preserve">The Unit has </w:t>
      </w:r>
      <w:r w:rsidR="0023281D">
        <w:rPr>
          <w:rFonts w:ascii="Calibri" w:hAnsi="Calibri" w:cs="Calibri"/>
          <w:sz w:val="24"/>
          <w:szCs w:val="24"/>
        </w:rPr>
        <w:t xml:space="preserve">played </w:t>
      </w:r>
      <w:r w:rsidRPr="004628A1">
        <w:rPr>
          <w:rFonts w:ascii="Calibri" w:hAnsi="Calibri" w:cs="Calibri"/>
          <w:sz w:val="24"/>
          <w:szCs w:val="24"/>
        </w:rPr>
        <w:t>a key role in assisting Care and Protection Services staff in the development and implementation of care plans, including cultural plans for Aboriginal and Torres Strait Islander children and young people in the care of the Director-General. The Unit also provi</w:t>
      </w:r>
      <w:r w:rsidR="002F2FB0">
        <w:rPr>
          <w:rFonts w:ascii="Calibri" w:hAnsi="Calibri" w:cs="Calibri"/>
          <w:sz w:val="24"/>
          <w:szCs w:val="24"/>
        </w:rPr>
        <w:t>de</w:t>
      </w:r>
      <w:r w:rsidR="0023281D">
        <w:rPr>
          <w:rFonts w:ascii="Calibri" w:hAnsi="Calibri" w:cs="Calibri"/>
          <w:sz w:val="24"/>
          <w:szCs w:val="24"/>
        </w:rPr>
        <w:t>d</w:t>
      </w:r>
      <w:r w:rsidR="002F2FB0">
        <w:rPr>
          <w:rFonts w:ascii="Calibri" w:hAnsi="Calibri" w:cs="Calibri"/>
          <w:sz w:val="24"/>
          <w:szCs w:val="24"/>
        </w:rPr>
        <w:t xml:space="preserve"> Cultural Plan training</w:t>
      </w:r>
      <w:r w:rsidR="00D8419A">
        <w:rPr>
          <w:rFonts w:ascii="Calibri" w:hAnsi="Calibri" w:cs="Calibri"/>
          <w:sz w:val="24"/>
          <w:szCs w:val="24"/>
        </w:rPr>
        <w:t>,</w:t>
      </w:r>
      <w:r w:rsidRPr="004628A1">
        <w:rPr>
          <w:rFonts w:ascii="Calibri" w:hAnsi="Calibri" w:cs="Calibri"/>
          <w:sz w:val="24"/>
          <w:szCs w:val="24"/>
        </w:rPr>
        <w:t xml:space="preserve"> and staff assisted in the delivery of two training sessions during the year.</w:t>
      </w:r>
    </w:p>
    <w:p w:rsidR="004628A1" w:rsidRPr="004628A1" w:rsidRDefault="004628A1" w:rsidP="004628A1">
      <w:pPr>
        <w:rPr>
          <w:rFonts w:ascii="Calibri" w:hAnsi="Calibri" w:cs="Calibri"/>
          <w:sz w:val="24"/>
          <w:szCs w:val="24"/>
        </w:rPr>
      </w:pPr>
    </w:p>
    <w:p w:rsidR="004628A1" w:rsidRPr="004628A1" w:rsidRDefault="004628A1" w:rsidP="004628A1">
      <w:pPr>
        <w:rPr>
          <w:rFonts w:ascii="Calibri" w:hAnsi="Calibri" w:cs="Calibri"/>
          <w:sz w:val="24"/>
          <w:szCs w:val="24"/>
        </w:rPr>
      </w:pPr>
      <w:r w:rsidRPr="004628A1">
        <w:rPr>
          <w:rFonts w:ascii="Calibri" w:hAnsi="Calibri" w:cs="Calibri"/>
          <w:sz w:val="24"/>
          <w:szCs w:val="24"/>
        </w:rPr>
        <w:t xml:space="preserve">The ACT has begun transition work to establish a stand-alone Office for Aboriginal and Torres Strait Islander Affairs in the Community Services Directorate. The change aims to drive better outcomes for some of our most disadvantaged Aboriginal and Torres Strait Islander families through a more coordinated and </w:t>
      </w:r>
      <w:r w:rsidR="00F43AB7" w:rsidRPr="004628A1">
        <w:rPr>
          <w:rFonts w:ascii="Calibri" w:hAnsi="Calibri" w:cs="Calibri"/>
          <w:sz w:val="24"/>
          <w:szCs w:val="24"/>
        </w:rPr>
        <w:t>whole</w:t>
      </w:r>
      <w:r w:rsidR="00F43AB7">
        <w:rPr>
          <w:rFonts w:ascii="Calibri" w:hAnsi="Calibri" w:cs="Calibri"/>
          <w:sz w:val="24"/>
          <w:szCs w:val="24"/>
        </w:rPr>
        <w:t>-</w:t>
      </w:r>
      <w:r w:rsidR="00F43AB7" w:rsidRPr="004628A1">
        <w:rPr>
          <w:rFonts w:ascii="Calibri" w:hAnsi="Calibri" w:cs="Calibri"/>
          <w:sz w:val="24"/>
          <w:szCs w:val="24"/>
        </w:rPr>
        <w:t>of</w:t>
      </w:r>
      <w:r w:rsidR="00F43AB7">
        <w:rPr>
          <w:rFonts w:ascii="Calibri" w:hAnsi="Calibri" w:cs="Calibri"/>
          <w:sz w:val="24"/>
          <w:szCs w:val="24"/>
        </w:rPr>
        <w:t>-</w:t>
      </w:r>
      <w:r w:rsidRPr="004628A1">
        <w:rPr>
          <w:rFonts w:ascii="Calibri" w:hAnsi="Calibri" w:cs="Calibri"/>
          <w:sz w:val="24"/>
          <w:szCs w:val="24"/>
        </w:rPr>
        <w:t>government approach to the delivery of services.</w:t>
      </w:r>
    </w:p>
    <w:p w:rsidR="004628A1" w:rsidRPr="004628A1" w:rsidRDefault="004628A1" w:rsidP="004628A1">
      <w:pPr>
        <w:rPr>
          <w:rFonts w:ascii="Calibri" w:hAnsi="Calibri" w:cs="Calibri"/>
          <w:sz w:val="24"/>
          <w:szCs w:val="24"/>
        </w:rPr>
      </w:pPr>
    </w:p>
    <w:p w:rsidR="004628A1" w:rsidRPr="004628A1" w:rsidRDefault="004628A1" w:rsidP="004628A1">
      <w:pPr>
        <w:rPr>
          <w:rFonts w:ascii="Calibri" w:hAnsi="Calibri" w:cs="Calibri"/>
          <w:sz w:val="24"/>
          <w:szCs w:val="24"/>
        </w:rPr>
      </w:pPr>
      <w:r w:rsidRPr="004628A1">
        <w:rPr>
          <w:rFonts w:ascii="Calibri" w:hAnsi="Calibri" w:cs="Calibri"/>
          <w:sz w:val="24"/>
          <w:szCs w:val="24"/>
        </w:rPr>
        <w:t>Under the new arrangements, Aboriginal and Torres Strait Islander people will have more say in shaping the programs and services that assist them to participate in our community. A key feature of the way the new Office will operate is that it will work more closely with members of the Aboriginal and Torres Strait Islander Elected Body and other relevant community organisations, as well as individuals from the local Aboriginal and Torres Strait Islander community.</w:t>
      </w:r>
    </w:p>
    <w:p w:rsidR="00BD5D4E" w:rsidRPr="00821556" w:rsidRDefault="00BD5D4E" w:rsidP="00B827C1">
      <w:pPr>
        <w:pStyle w:val="Heading3"/>
      </w:pPr>
      <w:bookmarkStart w:id="192" w:name="_Toc400007767"/>
      <w:r w:rsidRPr="00821556">
        <w:t>New South Wales</w:t>
      </w:r>
      <w:bookmarkEnd w:id="192"/>
    </w:p>
    <w:p w:rsidR="007F15D3" w:rsidRPr="007847B7" w:rsidRDefault="00A46B04" w:rsidP="00F56F9B">
      <w:pPr>
        <w:pStyle w:val="Heading4"/>
      </w:pPr>
      <w:r w:rsidRPr="007847B7">
        <w:t>Other</w:t>
      </w:r>
      <w:r w:rsidR="00DE6E5D" w:rsidRPr="007847B7">
        <w:t xml:space="preserve"> Supporting Actions</w:t>
      </w:r>
    </w:p>
    <w:p w:rsidR="00A46B04" w:rsidRPr="00A46B04" w:rsidRDefault="00A46B04" w:rsidP="00A46B04">
      <w:pPr>
        <w:rPr>
          <w:rFonts w:ascii="Calibri" w:hAnsi="Calibri" w:cs="Calibri"/>
          <w:sz w:val="24"/>
          <w:szCs w:val="24"/>
        </w:rPr>
      </w:pPr>
      <w:r w:rsidRPr="00A46B04">
        <w:rPr>
          <w:rFonts w:ascii="Calibri" w:hAnsi="Calibri" w:cs="Calibri"/>
          <w:sz w:val="24"/>
          <w:szCs w:val="24"/>
        </w:rPr>
        <w:t xml:space="preserve">Protecting Aboriginal Children Together (PACT) is </w:t>
      </w:r>
      <w:r w:rsidR="0010572E">
        <w:rPr>
          <w:rFonts w:ascii="Calibri" w:hAnsi="Calibri" w:cs="Calibri"/>
          <w:sz w:val="24"/>
          <w:szCs w:val="24"/>
        </w:rPr>
        <w:t xml:space="preserve">a </w:t>
      </w:r>
      <w:r w:rsidRPr="00A46B04">
        <w:rPr>
          <w:rFonts w:ascii="Calibri" w:hAnsi="Calibri" w:cs="Calibri"/>
          <w:sz w:val="24"/>
          <w:szCs w:val="24"/>
        </w:rPr>
        <w:t xml:space="preserve">model of consultation using selected Aboriginal </w:t>
      </w:r>
      <w:r w:rsidR="00C8305C">
        <w:rPr>
          <w:rFonts w:ascii="Calibri" w:hAnsi="Calibri" w:cs="Calibri"/>
          <w:sz w:val="24"/>
          <w:szCs w:val="24"/>
        </w:rPr>
        <w:t>organisation</w:t>
      </w:r>
      <w:r w:rsidR="00C8305C" w:rsidRPr="00A46B04">
        <w:rPr>
          <w:rFonts w:ascii="Calibri" w:hAnsi="Calibri" w:cs="Calibri"/>
          <w:sz w:val="24"/>
          <w:szCs w:val="24"/>
        </w:rPr>
        <w:t xml:space="preserve">s </w:t>
      </w:r>
      <w:r w:rsidRPr="00A46B04">
        <w:rPr>
          <w:rFonts w:ascii="Calibri" w:hAnsi="Calibri" w:cs="Calibri"/>
          <w:sz w:val="24"/>
          <w:szCs w:val="24"/>
        </w:rPr>
        <w:t xml:space="preserve">to work with Aboriginal communities and provide timely advice to </w:t>
      </w:r>
      <w:r w:rsidRPr="0058576F">
        <w:rPr>
          <w:rFonts w:ascii="Calibri" w:hAnsi="Calibri" w:cs="Calibri"/>
          <w:sz w:val="24"/>
          <w:szCs w:val="24"/>
        </w:rPr>
        <w:t>FACS</w:t>
      </w:r>
      <w:r w:rsidRPr="00A46B04">
        <w:rPr>
          <w:rFonts w:ascii="Calibri" w:hAnsi="Calibri" w:cs="Calibri"/>
          <w:sz w:val="24"/>
          <w:szCs w:val="24"/>
        </w:rPr>
        <w:t xml:space="preserve"> caseworkers to determine the most appropriate ways of keeping Aboriginal children and young people safe in accordance with the </w:t>
      </w:r>
      <w:r w:rsidR="006A4B94">
        <w:rPr>
          <w:rFonts w:ascii="Calibri" w:hAnsi="Calibri" w:cs="Calibri"/>
          <w:sz w:val="24"/>
          <w:szCs w:val="24"/>
        </w:rPr>
        <w:t>A</w:t>
      </w:r>
      <w:r w:rsidR="00314725">
        <w:rPr>
          <w:rFonts w:ascii="Calibri" w:hAnsi="Calibri" w:cs="Calibri"/>
          <w:sz w:val="24"/>
          <w:szCs w:val="24"/>
        </w:rPr>
        <w:t>TSI</w:t>
      </w:r>
      <w:r w:rsidR="006A4B94">
        <w:rPr>
          <w:rFonts w:ascii="Calibri" w:hAnsi="Calibri" w:cs="Calibri"/>
          <w:sz w:val="24"/>
          <w:szCs w:val="24"/>
        </w:rPr>
        <w:t>CPP</w:t>
      </w:r>
      <w:r w:rsidRPr="00A46B04">
        <w:rPr>
          <w:rFonts w:ascii="Calibri" w:hAnsi="Calibri" w:cs="Calibri"/>
          <w:sz w:val="24"/>
          <w:szCs w:val="24"/>
        </w:rPr>
        <w:t xml:space="preserve">. PACT is being trialled in two locations in NSW: Moree and Shellharbour. Shellharbour commenced operations in April 2012 and Moree in November 2012. Local Implementation Groups have been established with PACT services to </w:t>
      </w:r>
      <w:r w:rsidR="001D7308">
        <w:rPr>
          <w:rFonts w:ascii="Calibri" w:hAnsi="Calibri" w:cs="Calibri"/>
          <w:sz w:val="24"/>
          <w:szCs w:val="24"/>
        </w:rPr>
        <w:t>support local implementation</w:t>
      </w:r>
      <w:r w:rsidRPr="00A46B04">
        <w:rPr>
          <w:rFonts w:ascii="Calibri" w:hAnsi="Calibri" w:cs="Calibri"/>
          <w:sz w:val="24"/>
          <w:szCs w:val="24"/>
        </w:rPr>
        <w:t>.</w:t>
      </w:r>
      <w:r w:rsidR="007764A2">
        <w:rPr>
          <w:rFonts w:ascii="Calibri" w:hAnsi="Calibri" w:cs="Calibri"/>
          <w:sz w:val="24"/>
          <w:szCs w:val="24"/>
        </w:rPr>
        <w:t xml:space="preserve"> </w:t>
      </w:r>
    </w:p>
    <w:p w:rsidR="00A46B04" w:rsidRPr="00A46B04" w:rsidRDefault="00A46B04" w:rsidP="00A46B04">
      <w:pPr>
        <w:rPr>
          <w:rFonts w:ascii="Calibri" w:hAnsi="Calibri" w:cs="Calibri"/>
          <w:sz w:val="24"/>
          <w:szCs w:val="24"/>
        </w:rPr>
      </w:pPr>
    </w:p>
    <w:p w:rsidR="00A46B04" w:rsidRPr="00A46B04" w:rsidRDefault="00A46B04" w:rsidP="00A46B04">
      <w:pPr>
        <w:rPr>
          <w:rFonts w:ascii="Calibri" w:hAnsi="Calibri" w:cs="Calibri"/>
          <w:sz w:val="24"/>
          <w:szCs w:val="24"/>
        </w:rPr>
      </w:pPr>
      <w:r w:rsidRPr="00A46B04">
        <w:rPr>
          <w:rFonts w:ascii="Calibri" w:hAnsi="Calibri" w:cs="Calibri"/>
          <w:sz w:val="24"/>
          <w:szCs w:val="24"/>
        </w:rPr>
        <w:t xml:space="preserve">Care Circles are part of the NSW Government's commitment to improving the </w:t>
      </w:r>
      <w:r w:rsidR="008A1566">
        <w:rPr>
          <w:rFonts w:ascii="Calibri" w:hAnsi="Calibri" w:cs="Calibri"/>
          <w:sz w:val="24"/>
          <w:szCs w:val="24"/>
        </w:rPr>
        <w:t>wellbeing</w:t>
      </w:r>
      <w:r w:rsidRPr="00A46B04">
        <w:rPr>
          <w:rFonts w:ascii="Calibri" w:hAnsi="Calibri" w:cs="Calibri"/>
          <w:sz w:val="24"/>
          <w:szCs w:val="24"/>
        </w:rPr>
        <w:t xml:space="preserve"> of Aboriginal families through better meeting their needs in the Children's Court. The program aims to encourage more culturally appropriate decision</w:t>
      </w:r>
      <w:r w:rsidR="00F43AB7">
        <w:rPr>
          <w:rFonts w:ascii="Calibri" w:hAnsi="Calibri" w:cs="Calibri"/>
          <w:sz w:val="24"/>
          <w:szCs w:val="24"/>
        </w:rPr>
        <w:t xml:space="preserve"> </w:t>
      </w:r>
      <w:r w:rsidRPr="00A46B04">
        <w:rPr>
          <w:rFonts w:ascii="Calibri" w:hAnsi="Calibri" w:cs="Calibri"/>
          <w:sz w:val="24"/>
          <w:szCs w:val="24"/>
        </w:rPr>
        <w:t xml:space="preserve">making and care plans for Aboriginal children and families. Compared to the usual court process, the culturally comfortable and supportive environment of Care Circles aims to make care proceedings less daunting and distressing for the families involved. Care Circles also provide opportunities for greater mutual understanding between Community Panel members, participating families, </w:t>
      </w:r>
      <w:r w:rsidR="00F6059B">
        <w:rPr>
          <w:rFonts w:ascii="Calibri" w:hAnsi="Calibri" w:cs="Calibri"/>
          <w:sz w:val="24"/>
          <w:szCs w:val="24"/>
        </w:rPr>
        <w:t>CS</w:t>
      </w:r>
      <w:r w:rsidRPr="00A46B04">
        <w:rPr>
          <w:rFonts w:ascii="Calibri" w:hAnsi="Calibri" w:cs="Calibri"/>
          <w:sz w:val="24"/>
          <w:szCs w:val="24"/>
        </w:rPr>
        <w:t xml:space="preserve"> staff, Magistrates and other legal representatives. Care Circles continue to operate in Nowra, with the program also expanded to Lismore in late 2011. </w:t>
      </w:r>
    </w:p>
    <w:p w:rsidR="00A46B04" w:rsidRPr="00A46B04" w:rsidRDefault="00A46B04" w:rsidP="00A46B04">
      <w:pPr>
        <w:rPr>
          <w:rFonts w:ascii="Calibri" w:hAnsi="Calibri" w:cs="Calibri"/>
          <w:sz w:val="24"/>
          <w:szCs w:val="24"/>
        </w:rPr>
      </w:pPr>
    </w:p>
    <w:p w:rsidR="00A46B04" w:rsidRPr="00A46B04" w:rsidRDefault="00A46B04" w:rsidP="00A46B04">
      <w:pPr>
        <w:rPr>
          <w:rFonts w:ascii="Calibri" w:hAnsi="Calibri" w:cs="Calibri"/>
          <w:sz w:val="24"/>
          <w:szCs w:val="24"/>
        </w:rPr>
      </w:pPr>
      <w:r w:rsidRPr="00A46B04">
        <w:rPr>
          <w:rFonts w:ascii="Calibri" w:hAnsi="Calibri" w:cs="Calibri"/>
          <w:sz w:val="24"/>
          <w:szCs w:val="24"/>
        </w:rPr>
        <w:t xml:space="preserve">The Aboriginal Child Youth and Family Strategy (ACYFS) is a </w:t>
      </w:r>
      <w:proofErr w:type="gramStart"/>
      <w:r w:rsidRPr="00E164A7">
        <w:rPr>
          <w:rFonts w:ascii="Calibri" w:hAnsi="Calibri" w:cs="Calibri"/>
          <w:sz w:val="24"/>
          <w:szCs w:val="24"/>
        </w:rPr>
        <w:t>FACS</w:t>
      </w:r>
      <w:r w:rsidR="007721BC">
        <w:rPr>
          <w:rFonts w:ascii="Calibri" w:hAnsi="Calibri" w:cs="Calibri"/>
          <w:sz w:val="24"/>
          <w:szCs w:val="24"/>
        </w:rPr>
        <w:t>(</w:t>
      </w:r>
      <w:proofErr w:type="gramEnd"/>
      <w:r w:rsidR="007721BC">
        <w:rPr>
          <w:rFonts w:ascii="Calibri" w:hAnsi="Calibri" w:cs="Calibri"/>
          <w:sz w:val="24"/>
          <w:szCs w:val="24"/>
        </w:rPr>
        <w:t xml:space="preserve">CS) </w:t>
      </w:r>
      <w:r w:rsidRPr="00A46B04">
        <w:rPr>
          <w:rFonts w:ascii="Calibri" w:hAnsi="Calibri" w:cs="Calibri"/>
          <w:sz w:val="24"/>
          <w:szCs w:val="24"/>
        </w:rPr>
        <w:t xml:space="preserve">prevention and early intervention strategy designed to support Aboriginal families expecting a baby or with children aged up to </w:t>
      </w:r>
      <w:r w:rsidR="0022566F">
        <w:rPr>
          <w:rFonts w:ascii="Calibri" w:hAnsi="Calibri" w:cs="Calibri"/>
          <w:sz w:val="24"/>
          <w:szCs w:val="24"/>
        </w:rPr>
        <w:t>5</w:t>
      </w:r>
      <w:r w:rsidRPr="00A46B04">
        <w:rPr>
          <w:rFonts w:ascii="Calibri" w:hAnsi="Calibri" w:cs="Calibri"/>
          <w:sz w:val="24"/>
          <w:szCs w:val="24"/>
        </w:rPr>
        <w:t xml:space="preserve"> years</w:t>
      </w:r>
      <w:r w:rsidR="002F2FB0">
        <w:rPr>
          <w:rFonts w:ascii="Calibri" w:hAnsi="Calibri" w:cs="Calibri"/>
          <w:sz w:val="24"/>
          <w:szCs w:val="24"/>
        </w:rPr>
        <w:t>,</w:t>
      </w:r>
      <w:r w:rsidRPr="00A46B04">
        <w:rPr>
          <w:rFonts w:ascii="Calibri" w:hAnsi="Calibri" w:cs="Calibri"/>
          <w:sz w:val="24"/>
          <w:szCs w:val="24"/>
        </w:rPr>
        <w:t xml:space="preserve"> to assist these children to have the best start to life and skills for life and learning at school entry. ACYFS service delivery is flexible and targeted to the needs of local Aboriginal communities. </w:t>
      </w:r>
    </w:p>
    <w:p w:rsidR="00A46B04" w:rsidRPr="00A46B04" w:rsidRDefault="00A46B04" w:rsidP="00A46B04">
      <w:pPr>
        <w:rPr>
          <w:rFonts w:ascii="Calibri" w:hAnsi="Calibri" w:cs="Calibri"/>
          <w:sz w:val="24"/>
          <w:szCs w:val="24"/>
        </w:rPr>
      </w:pPr>
    </w:p>
    <w:p w:rsidR="00A46B04" w:rsidRPr="00A46B04" w:rsidRDefault="002F2FB0" w:rsidP="00A46B04">
      <w:pPr>
        <w:rPr>
          <w:rFonts w:ascii="Calibri" w:hAnsi="Calibri" w:cs="Calibri"/>
          <w:sz w:val="24"/>
          <w:szCs w:val="24"/>
        </w:rPr>
      </w:pPr>
      <w:r>
        <w:rPr>
          <w:rFonts w:ascii="Calibri" w:hAnsi="Calibri" w:cs="Calibri"/>
          <w:sz w:val="24"/>
          <w:szCs w:val="24"/>
        </w:rPr>
        <w:t>In 2012</w:t>
      </w:r>
      <w:r w:rsidR="00F43AB7">
        <w:rPr>
          <w:rFonts w:ascii="Calibri" w:hAnsi="Calibri" w:cs="Calibri"/>
          <w:sz w:val="24"/>
          <w:szCs w:val="24"/>
        </w:rPr>
        <w:t>–</w:t>
      </w:r>
      <w:r w:rsidR="00A46B04" w:rsidRPr="00A46B04">
        <w:rPr>
          <w:rFonts w:ascii="Calibri" w:hAnsi="Calibri" w:cs="Calibri"/>
          <w:sz w:val="24"/>
          <w:szCs w:val="24"/>
        </w:rPr>
        <w:t>13</w:t>
      </w:r>
      <w:r>
        <w:rPr>
          <w:rFonts w:ascii="Calibri" w:hAnsi="Calibri" w:cs="Calibri"/>
          <w:sz w:val="24"/>
          <w:szCs w:val="24"/>
        </w:rPr>
        <w:t>,</w:t>
      </w:r>
      <w:r w:rsidR="00A46B04" w:rsidRPr="00A46B04">
        <w:rPr>
          <w:rFonts w:ascii="Calibri" w:hAnsi="Calibri" w:cs="Calibri"/>
          <w:sz w:val="24"/>
          <w:szCs w:val="24"/>
        </w:rPr>
        <w:t xml:space="preserve"> </w:t>
      </w:r>
      <w:proofErr w:type="gramStart"/>
      <w:r w:rsidR="00A46B04" w:rsidRPr="00A46B04">
        <w:rPr>
          <w:rFonts w:ascii="Calibri" w:hAnsi="Calibri" w:cs="Calibri"/>
          <w:sz w:val="24"/>
          <w:szCs w:val="24"/>
        </w:rPr>
        <w:t>FACS</w:t>
      </w:r>
      <w:r w:rsidR="0059292D">
        <w:rPr>
          <w:rFonts w:ascii="Calibri" w:hAnsi="Calibri" w:cs="Calibri"/>
          <w:sz w:val="24"/>
          <w:szCs w:val="24"/>
        </w:rPr>
        <w:t>(</w:t>
      </w:r>
      <w:proofErr w:type="gramEnd"/>
      <w:r w:rsidR="0059292D">
        <w:rPr>
          <w:rFonts w:ascii="Calibri" w:hAnsi="Calibri" w:cs="Calibri"/>
          <w:sz w:val="24"/>
          <w:szCs w:val="24"/>
        </w:rPr>
        <w:t>CS)</w:t>
      </w:r>
      <w:r w:rsidR="00A46B04" w:rsidRPr="00A46B04">
        <w:rPr>
          <w:rFonts w:ascii="Calibri" w:hAnsi="Calibri" w:cs="Calibri"/>
          <w:sz w:val="24"/>
          <w:szCs w:val="24"/>
        </w:rPr>
        <w:t xml:space="preserve"> funded approximately 60 </w:t>
      </w:r>
      <w:r w:rsidR="00C8305C">
        <w:rPr>
          <w:rFonts w:ascii="Calibri" w:hAnsi="Calibri" w:cs="Calibri"/>
          <w:sz w:val="24"/>
          <w:szCs w:val="24"/>
        </w:rPr>
        <w:t>community sector</w:t>
      </w:r>
      <w:r w:rsidR="00C8305C" w:rsidRPr="00A46B04">
        <w:rPr>
          <w:rFonts w:ascii="Calibri" w:hAnsi="Calibri" w:cs="Calibri"/>
          <w:sz w:val="24"/>
          <w:szCs w:val="24"/>
        </w:rPr>
        <w:t xml:space="preserve"> </w:t>
      </w:r>
      <w:r w:rsidR="00A46B04" w:rsidRPr="00A46B04">
        <w:rPr>
          <w:rFonts w:ascii="Calibri" w:hAnsi="Calibri" w:cs="Calibri"/>
          <w:sz w:val="24"/>
          <w:szCs w:val="24"/>
        </w:rPr>
        <w:t>services across NSW to deliver a suite of initiatives and services</w:t>
      </w:r>
      <w:r>
        <w:rPr>
          <w:rFonts w:ascii="Calibri" w:hAnsi="Calibri" w:cs="Calibri"/>
          <w:sz w:val="24"/>
          <w:szCs w:val="24"/>
        </w:rPr>
        <w:t>. These included</w:t>
      </w:r>
      <w:r w:rsidR="00A46B04" w:rsidRPr="00A46B04">
        <w:rPr>
          <w:rFonts w:ascii="Calibri" w:hAnsi="Calibri" w:cs="Calibri"/>
          <w:sz w:val="24"/>
          <w:szCs w:val="24"/>
        </w:rPr>
        <w:t xml:space="preserve"> the ACYFS parenting books </w:t>
      </w:r>
      <w:r w:rsidR="00F43AB7">
        <w:rPr>
          <w:rFonts w:ascii="Calibri" w:hAnsi="Calibri" w:cs="Calibri"/>
          <w:sz w:val="24"/>
          <w:szCs w:val="24"/>
        </w:rPr>
        <w:t>(</w:t>
      </w:r>
      <w:r w:rsidR="00A46B04" w:rsidRPr="00A46B04">
        <w:rPr>
          <w:rFonts w:ascii="Calibri" w:hAnsi="Calibri" w:cs="Calibri"/>
          <w:sz w:val="24"/>
          <w:szCs w:val="24"/>
        </w:rPr>
        <w:t xml:space="preserve">Growing </w:t>
      </w:r>
      <w:proofErr w:type="gramStart"/>
      <w:r w:rsidR="00A46B04" w:rsidRPr="00A46B04">
        <w:rPr>
          <w:rFonts w:ascii="Calibri" w:hAnsi="Calibri" w:cs="Calibri"/>
          <w:sz w:val="24"/>
          <w:szCs w:val="24"/>
        </w:rPr>
        <w:t>Up</w:t>
      </w:r>
      <w:proofErr w:type="gramEnd"/>
      <w:r w:rsidR="00A46B04" w:rsidRPr="00A46B04">
        <w:rPr>
          <w:rFonts w:ascii="Calibri" w:hAnsi="Calibri" w:cs="Calibri"/>
          <w:sz w:val="24"/>
          <w:szCs w:val="24"/>
        </w:rPr>
        <w:t xml:space="preserve"> Strong series</w:t>
      </w:r>
      <w:r w:rsidR="00F43AB7">
        <w:rPr>
          <w:rFonts w:ascii="Calibri" w:hAnsi="Calibri" w:cs="Calibri"/>
          <w:sz w:val="24"/>
          <w:szCs w:val="24"/>
        </w:rPr>
        <w:t>)</w:t>
      </w:r>
      <w:r w:rsidR="00A46B04" w:rsidRPr="00A46B04">
        <w:rPr>
          <w:rFonts w:ascii="Calibri" w:hAnsi="Calibri" w:cs="Calibri"/>
          <w:sz w:val="24"/>
          <w:szCs w:val="24"/>
        </w:rPr>
        <w:t xml:space="preserve">, supported playgroups, family worker services, parenting programs, community </w:t>
      </w:r>
      <w:r w:rsidR="00F43AB7" w:rsidRPr="00A46B04">
        <w:rPr>
          <w:rFonts w:ascii="Calibri" w:hAnsi="Calibri" w:cs="Calibri"/>
          <w:sz w:val="24"/>
          <w:szCs w:val="24"/>
        </w:rPr>
        <w:t>capacity</w:t>
      </w:r>
      <w:r w:rsidR="00F43AB7">
        <w:rPr>
          <w:rFonts w:ascii="Calibri" w:hAnsi="Calibri" w:cs="Calibri"/>
          <w:sz w:val="24"/>
          <w:szCs w:val="24"/>
        </w:rPr>
        <w:t>-</w:t>
      </w:r>
      <w:r w:rsidR="00A46B04" w:rsidRPr="00A46B04">
        <w:rPr>
          <w:rFonts w:ascii="Calibri" w:hAnsi="Calibri" w:cs="Calibri"/>
          <w:sz w:val="24"/>
          <w:szCs w:val="24"/>
        </w:rPr>
        <w:t>build</w:t>
      </w:r>
      <w:r>
        <w:rPr>
          <w:rFonts w:ascii="Calibri" w:hAnsi="Calibri" w:cs="Calibri"/>
          <w:sz w:val="24"/>
          <w:szCs w:val="24"/>
        </w:rPr>
        <w:t>ing activities and partnership and</w:t>
      </w:r>
      <w:r w:rsidR="00A46B04" w:rsidRPr="00A46B04">
        <w:rPr>
          <w:rFonts w:ascii="Calibri" w:hAnsi="Calibri" w:cs="Calibri"/>
          <w:sz w:val="24"/>
          <w:szCs w:val="24"/>
        </w:rPr>
        <w:t xml:space="preserve"> network activities that aim to build capacity and connection in the service system.</w:t>
      </w:r>
    </w:p>
    <w:p w:rsidR="00A46B04" w:rsidRPr="00A46B04" w:rsidRDefault="00A46B04" w:rsidP="00A46B04">
      <w:pPr>
        <w:rPr>
          <w:rFonts w:ascii="Calibri" w:hAnsi="Calibri" w:cs="Calibri"/>
          <w:sz w:val="24"/>
          <w:szCs w:val="24"/>
        </w:rPr>
      </w:pPr>
    </w:p>
    <w:p w:rsidR="00A46B04" w:rsidRPr="00A46B04" w:rsidRDefault="00A46B04" w:rsidP="00A46B04">
      <w:pPr>
        <w:rPr>
          <w:rFonts w:ascii="Calibri" w:hAnsi="Calibri" w:cs="Calibri"/>
          <w:sz w:val="24"/>
          <w:szCs w:val="24"/>
        </w:rPr>
      </w:pPr>
      <w:r w:rsidRPr="00A46B04">
        <w:rPr>
          <w:rFonts w:ascii="Calibri" w:hAnsi="Calibri" w:cs="Calibri"/>
          <w:sz w:val="24"/>
          <w:szCs w:val="24"/>
        </w:rPr>
        <w:t xml:space="preserve">Aboriginal Intensive Family Based Services (IFBS) provide time-limited, home-based, intensive support for Aboriginal families where children are at risk of entering care due to child protection concerns or are already in care with a restoration plan in place. </w:t>
      </w:r>
      <w:proofErr w:type="gramStart"/>
      <w:r w:rsidRPr="00E164A7">
        <w:rPr>
          <w:rFonts w:ascii="Calibri" w:hAnsi="Calibri" w:cs="Calibri"/>
          <w:sz w:val="24"/>
          <w:szCs w:val="24"/>
        </w:rPr>
        <w:t>FACS(</w:t>
      </w:r>
      <w:proofErr w:type="gramEnd"/>
      <w:r w:rsidRPr="00E164A7">
        <w:rPr>
          <w:rFonts w:ascii="Calibri" w:hAnsi="Calibri" w:cs="Calibri"/>
          <w:sz w:val="24"/>
          <w:szCs w:val="24"/>
        </w:rPr>
        <w:t>CS)</w:t>
      </w:r>
      <w:r w:rsidRPr="00A46B04">
        <w:rPr>
          <w:rFonts w:ascii="Calibri" w:hAnsi="Calibri" w:cs="Calibri"/>
          <w:sz w:val="24"/>
          <w:szCs w:val="24"/>
        </w:rPr>
        <w:t xml:space="preserve"> currently manages seven IFBS sites</w:t>
      </w:r>
      <w:r w:rsidR="00306281">
        <w:rPr>
          <w:rFonts w:ascii="Calibri" w:hAnsi="Calibri" w:cs="Calibri"/>
          <w:sz w:val="24"/>
          <w:szCs w:val="24"/>
        </w:rPr>
        <w:t>,</w:t>
      </w:r>
      <w:r w:rsidRPr="00A46B04">
        <w:rPr>
          <w:rFonts w:ascii="Calibri" w:hAnsi="Calibri" w:cs="Calibri"/>
          <w:sz w:val="24"/>
          <w:szCs w:val="24"/>
        </w:rPr>
        <w:t xml:space="preserve"> at Bourke, Campbelltown, Casino, Dapto, Mt Druitt, Newcastle and Redfern. There are another four IFB</w:t>
      </w:r>
      <w:r w:rsidR="002F2FB0">
        <w:rPr>
          <w:rFonts w:ascii="Calibri" w:hAnsi="Calibri" w:cs="Calibri"/>
          <w:sz w:val="24"/>
          <w:szCs w:val="24"/>
        </w:rPr>
        <w:t>S sites currently being piloted</w:t>
      </w:r>
      <w:r w:rsidRPr="00A46B04">
        <w:rPr>
          <w:rFonts w:ascii="Calibri" w:hAnsi="Calibri" w:cs="Calibri"/>
          <w:sz w:val="24"/>
          <w:szCs w:val="24"/>
        </w:rPr>
        <w:t xml:space="preserve"> under Keep Them Safe</w:t>
      </w:r>
      <w:r w:rsidR="00306281">
        <w:rPr>
          <w:rFonts w:ascii="Calibri" w:hAnsi="Calibri" w:cs="Calibri"/>
          <w:sz w:val="24"/>
          <w:szCs w:val="24"/>
        </w:rPr>
        <w:t>,</w:t>
      </w:r>
      <w:r w:rsidRPr="00A46B04">
        <w:rPr>
          <w:rFonts w:ascii="Calibri" w:hAnsi="Calibri" w:cs="Calibri"/>
          <w:sz w:val="24"/>
          <w:szCs w:val="24"/>
        </w:rPr>
        <w:t xml:space="preserve"> in Wagga Wagga</w:t>
      </w:r>
      <w:r w:rsidR="00306281">
        <w:rPr>
          <w:rFonts w:ascii="Calibri" w:hAnsi="Calibri" w:cs="Calibri"/>
          <w:sz w:val="24"/>
          <w:szCs w:val="24"/>
        </w:rPr>
        <w:t>,</w:t>
      </w:r>
      <w:r w:rsidRPr="00A46B04">
        <w:rPr>
          <w:rFonts w:ascii="Calibri" w:hAnsi="Calibri" w:cs="Calibri"/>
          <w:sz w:val="24"/>
          <w:szCs w:val="24"/>
        </w:rPr>
        <w:t xml:space="preserve"> Wyong, Kempsey and Clarence Valley. Approximately 60 IFBS managers and caseworkers participated in intensive Homebuilders® training to build on their behavioural intervention, teaching and motivational interviewing skills. </w:t>
      </w:r>
    </w:p>
    <w:p w:rsidR="00A46B04" w:rsidRPr="00A46B04" w:rsidRDefault="00A46B04" w:rsidP="00A46B04">
      <w:pPr>
        <w:rPr>
          <w:rFonts w:ascii="Calibri" w:hAnsi="Calibri" w:cs="Calibri"/>
          <w:sz w:val="24"/>
          <w:szCs w:val="24"/>
        </w:rPr>
      </w:pPr>
    </w:p>
    <w:p w:rsidR="00A46B04" w:rsidRPr="00A46B04" w:rsidRDefault="00A46B04" w:rsidP="00A46B04">
      <w:pPr>
        <w:rPr>
          <w:rFonts w:ascii="Calibri" w:hAnsi="Calibri" w:cs="Calibri"/>
          <w:sz w:val="24"/>
          <w:szCs w:val="24"/>
        </w:rPr>
      </w:pPr>
      <w:r w:rsidRPr="00A46B04">
        <w:rPr>
          <w:rFonts w:ascii="Calibri" w:hAnsi="Calibri" w:cs="Calibri"/>
          <w:sz w:val="24"/>
          <w:szCs w:val="24"/>
        </w:rPr>
        <w:t xml:space="preserve">The Aboriginal </w:t>
      </w:r>
      <w:r w:rsidR="00533153">
        <w:rPr>
          <w:rFonts w:ascii="Calibri" w:hAnsi="Calibri" w:cs="Calibri"/>
          <w:sz w:val="24"/>
          <w:szCs w:val="24"/>
        </w:rPr>
        <w:t>CFC</w:t>
      </w:r>
      <w:r w:rsidRPr="00A46B04">
        <w:rPr>
          <w:rFonts w:ascii="Calibri" w:hAnsi="Calibri" w:cs="Calibri"/>
          <w:sz w:val="24"/>
          <w:szCs w:val="24"/>
        </w:rPr>
        <w:t xml:space="preserve"> Program is an initiative under the Indigenous Early Childhood Development National Partnership Agreement (IECDNP).</w:t>
      </w:r>
      <w:r w:rsidR="007764A2">
        <w:rPr>
          <w:rFonts w:ascii="Calibri" w:hAnsi="Calibri" w:cs="Calibri"/>
          <w:sz w:val="24"/>
          <w:szCs w:val="24"/>
        </w:rPr>
        <w:t xml:space="preserve"> </w:t>
      </w:r>
      <w:r w:rsidRPr="00A46B04">
        <w:rPr>
          <w:rFonts w:ascii="Calibri" w:hAnsi="Calibri" w:cs="Calibri"/>
          <w:sz w:val="24"/>
          <w:szCs w:val="24"/>
        </w:rPr>
        <w:t xml:space="preserve">Under the IECDNP, the </w:t>
      </w:r>
      <w:r w:rsidR="00D31C59">
        <w:rPr>
          <w:rFonts w:ascii="Calibri" w:hAnsi="Calibri" w:cs="Calibri"/>
          <w:sz w:val="24"/>
          <w:szCs w:val="24"/>
        </w:rPr>
        <w:t>Australian Government</w:t>
      </w:r>
      <w:r w:rsidR="002F2FB0">
        <w:rPr>
          <w:rFonts w:ascii="Calibri" w:hAnsi="Calibri" w:cs="Calibri"/>
          <w:sz w:val="24"/>
          <w:szCs w:val="24"/>
        </w:rPr>
        <w:t xml:space="preserve"> committed $</w:t>
      </w:r>
      <w:r w:rsidR="007E6FD8">
        <w:rPr>
          <w:rFonts w:ascii="Calibri" w:hAnsi="Calibri" w:cs="Calibri"/>
          <w:sz w:val="24"/>
          <w:szCs w:val="24"/>
        </w:rPr>
        <w:t xml:space="preserve">74 million </w:t>
      </w:r>
      <w:r w:rsidR="002F2FB0">
        <w:rPr>
          <w:rFonts w:ascii="Calibri" w:hAnsi="Calibri" w:cs="Calibri"/>
          <w:sz w:val="24"/>
          <w:szCs w:val="24"/>
        </w:rPr>
        <w:t>from 2008</w:t>
      </w:r>
      <w:r w:rsidR="007E6FD8">
        <w:rPr>
          <w:rFonts w:ascii="Calibri" w:hAnsi="Calibri" w:cs="Calibri"/>
          <w:sz w:val="24"/>
          <w:szCs w:val="24"/>
        </w:rPr>
        <w:t>–</w:t>
      </w:r>
      <w:r w:rsidR="002F2FB0">
        <w:rPr>
          <w:rFonts w:ascii="Calibri" w:hAnsi="Calibri" w:cs="Calibri"/>
          <w:sz w:val="24"/>
          <w:szCs w:val="24"/>
        </w:rPr>
        <w:t>09 to 2013</w:t>
      </w:r>
      <w:r w:rsidR="007E6FD8">
        <w:rPr>
          <w:rFonts w:ascii="Calibri" w:hAnsi="Calibri" w:cs="Calibri"/>
          <w:sz w:val="24"/>
          <w:szCs w:val="24"/>
        </w:rPr>
        <w:t>–</w:t>
      </w:r>
      <w:r w:rsidRPr="00A46B04">
        <w:rPr>
          <w:rFonts w:ascii="Calibri" w:hAnsi="Calibri" w:cs="Calibri"/>
          <w:sz w:val="24"/>
          <w:szCs w:val="24"/>
        </w:rPr>
        <w:t xml:space="preserve">14 to NSW to establish nine Aboriginal </w:t>
      </w:r>
      <w:r w:rsidRPr="006B230E">
        <w:rPr>
          <w:rFonts w:ascii="Calibri" w:hAnsi="Calibri" w:cs="Calibri"/>
          <w:sz w:val="24"/>
          <w:szCs w:val="24"/>
        </w:rPr>
        <w:t>Child and Family Centres</w:t>
      </w:r>
      <w:r w:rsidRPr="00A46B04">
        <w:rPr>
          <w:rFonts w:ascii="Calibri" w:hAnsi="Calibri" w:cs="Calibri"/>
          <w:sz w:val="24"/>
          <w:szCs w:val="24"/>
        </w:rPr>
        <w:t xml:space="preserve"> (ACFC). Progress on the establishment of the nine NSW Centres is on track</w:t>
      </w:r>
      <w:r w:rsidR="007E6FD8">
        <w:rPr>
          <w:rFonts w:ascii="Calibri" w:hAnsi="Calibri" w:cs="Calibri"/>
          <w:sz w:val="24"/>
          <w:szCs w:val="24"/>
        </w:rPr>
        <w:t>,</w:t>
      </w:r>
      <w:r w:rsidRPr="00A46B04">
        <w:rPr>
          <w:rFonts w:ascii="Calibri" w:hAnsi="Calibri" w:cs="Calibri"/>
          <w:sz w:val="24"/>
          <w:szCs w:val="24"/>
        </w:rPr>
        <w:t xml:space="preserve"> </w:t>
      </w:r>
      <w:r w:rsidR="002F2FB0">
        <w:rPr>
          <w:rFonts w:ascii="Calibri" w:hAnsi="Calibri" w:cs="Calibri"/>
          <w:sz w:val="24"/>
          <w:szCs w:val="24"/>
        </w:rPr>
        <w:t>in line with</w:t>
      </w:r>
      <w:r w:rsidRPr="00A46B04">
        <w:rPr>
          <w:rFonts w:ascii="Calibri" w:hAnsi="Calibri" w:cs="Calibri"/>
          <w:sz w:val="24"/>
          <w:szCs w:val="24"/>
        </w:rPr>
        <w:t xml:space="preserve"> the </w:t>
      </w:r>
      <w:r w:rsidR="00CC4FA8">
        <w:rPr>
          <w:rFonts w:ascii="Calibri" w:hAnsi="Calibri" w:cs="Calibri"/>
          <w:sz w:val="24"/>
          <w:szCs w:val="24"/>
        </w:rPr>
        <w:t>Australian Government</w:t>
      </w:r>
      <w:r w:rsidRPr="00A46B04">
        <w:rPr>
          <w:rFonts w:ascii="Calibri" w:hAnsi="Calibri" w:cs="Calibri"/>
          <w:sz w:val="24"/>
          <w:szCs w:val="24"/>
        </w:rPr>
        <w:t>/NSW Implementation Plan.</w:t>
      </w:r>
    </w:p>
    <w:p w:rsidR="00A46B04" w:rsidRPr="00A46B04" w:rsidRDefault="00A46B04" w:rsidP="00A46B04">
      <w:pPr>
        <w:rPr>
          <w:rFonts w:ascii="Calibri" w:hAnsi="Calibri" w:cs="Calibri"/>
          <w:sz w:val="24"/>
          <w:szCs w:val="24"/>
        </w:rPr>
      </w:pPr>
    </w:p>
    <w:p w:rsidR="00A46B04" w:rsidRPr="00A46B04" w:rsidRDefault="00A46B04" w:rsidP="00A46B04">
      <w:pPr>
        <w:rPr>
          <w:rFonts w:ascii="Calibri" w:hAnsi="Calibri" w:cs="Calibri"/>
          <w:sz w:val="24"/>
          <w:szCs w:val="24"/>
        </w:rPr>
      </w:pPr>
      <w:r w:rsidRPr="00A46B04">
        <w:rPr>
          <w:rFonts w:ascii="Calibri" w:hAnsi="Calibri" w:cs="Calibri"/>
          <w:sz w:val="24"/>
          <w:szCs w:val="24"/>
        </w:rPr>
        <w:t>Key achievements for</w:t>
      </w:r>
      <w:r w:rsidR="002F2FB0">
        <w:rPr>
          <w:rFonts w:ascii="Calibri" w:hAnsi="Calibri" w:cs="Calibri"/>
          <w:sz w:val="24"/>
          <w:szCs w:val="24"/>
        </w:rPr>
        <w:t xml:space="preserve"> 2012</w:t>
      </w:r>
      <w:r w:rsidR="007E6FD8">
        <w:rPr>
          <w:rFonts w:ascii="Calibri" w:hAnsi="Calibri" w:cs="Calibri"/>
          <w:sz w:val="24"/>
          <w:szCs w:val="24"/>
        </w:rPr>
        <w:t>–</w:t>
      </w:r>
      <w:r w:rsidRPr="00A46B04">
        <w:rPr>
          <w:rFonts w:ascii="Calibri" w:hAnsi="Calibri" w:cs="Calibri"/>
          <w:sz w:val="24"/>
          <w:szCs w:val="24"/>
        </w:rPr>
        <w:t>13 include commencement of construction in all locations (Mount Druitt, Minto, Ballina, Gunnedah, Nowra, Toronto, Lightning Ridge, Brewarrina and Doonside); practical completion and handover of Gunnedah (</w:t>
      </w:r>
      <w:proofErr w:type="spellStart"/>
      <w:r w:rsidRPr="00A46B04">
        <w:rPr>
          <w:rFonts w:ascii="Calibri" w:hAnsi="Calibri" w:cs="Calibri"/>
          <w:sz w:val="24"/>
          <w:szCs w:val="24"/>
        </w:rPr>
        <w:t>Winanga</w:t>
      </w:r>
      <w:proofErr w:type="spellEnd"/>
      <w:r w:rsidRPr="00A46B04">
        <w:rPr>
          <w:rFonts w:ascii="Calibri" w:hAnsi="Calibri" w:cs="Calibri"/>
          <w:sz w:val="24"/>
          <w:szCs w:val="24"/>
        </w:rPr>
        <w:t xml:space="preserve">-Li) and Ballina ACFCs; and </w:t>
      </w:r>
      <w:proofErr w:type="spellStart"/>
      <w:r w:rsidRPr="00A46B04">
        <w:rPr>
          <w:rFonts w:ascii="Calibri" w:hAnsi="Calibri" w:cs="Calibri"/>
          <w:sz w:val="24"/>
          <w:szCs w:val="24"/>
        </w:rPr>
        <w:t>Winanga</w:t>
      </w:r>
      <w:proofErr w:type="spellEnd"/>
      <w:r w:rsidRPr="00A46B04">
        <w:rPr>
          <w:rFonts w:ascii="Calibri" w:hAnsi="Calibri" w:cs="Calibri"/>
          <w:sz w:val="24"/>
          <w:szCs w:val="24"/>
        </w:rPr>
        <w:t>-Li (Gunnedah) opening ceremony</w:t>
      </w:r>
      <w:r w:rsidR="007E6FD8">
        <w:rPr>
          <w:rFonts w:ascii="Calibri" w:hAnsi="Calibri" w:cs="Calibri"/>
          <w:sz w:val="24"/>
          <w:szCs w:val="24"/>
        </w:rPr>
        <w:t>—</w:t>
      </w:r>
      <w:r w:rsidRPr="00A46B04">
        <w:rPr>
          <w:rFonts w:ascii="Calibri" w:hAnsi="Calibri" w:cs="Calibri"/>
          <w:sz w:val="24"/>
          <w:szCs w:val="24"/>
        </w:rPr>
        <w:t xml:space="preserve">the first of the Centres to be officially opened. Interim services have continued to be delivered from temporary premises in all locations (except Gunnedah). </w:t>
      </w:r>
    </w:p>
    <w:p w:rsidR="00A46B04" w:rsidRPr="00A46B04" w:rsidRDefault="00A46B04" w:rsidP="00A46B04">
      <w:pPr>
        <w:rPr>
          <w:rFonts w:ascii="Calibri" w:hAnsi="Calibri" w:cs="Calibri"/>
          <w:sz w:val="24"/>
          <w:szCs w:val="24"/>
        </w:rPr>
      </w:pPr>
    </w:p>
    <w:p w:rsidR="00A46B04" w:rsidRPr="00A46B04" w:rsidRDefault="009B2B97" w:rsidP="00A46B04">
      <w:pPr>
        <w:rPr>
          <w:rFonts w:ascii="Calibri" w:hAnsi="Calibri" w:cs="Calibri"/>
          <w:sz w:val="24"/>
          <w:szCs w:val="24"/>
        </w:rPr>
      </w:pPr>
      <w:r w:rsidRPr="009906C1">
        <w:rPr>
          <w:rFonts w:ascii="Calibri" w:eastAsia="MS Mincho" w:hAnsi="Calibri" w:cs="Arial"/>
          <w:sz w:val="24"/>
          <w:szCs w:val="24"/>
          <w:lang w:eastAsia="ja-JP"/>
        </w:rPr>
        <w:t>IECDNP</w:t>
      </w:r>
      <w:r w:rsidR="00A46B04" w:rsidRPr="00A46B04">
        <w:rPr>
          <w:rFonts w:ascii="Calibri" w:hAnsi="Calibri" w:cs="Calibri"/>
          <w:sz w:val="24"/>
          <w:szCs w:val="24"/>
        </w:rPr>
        <w:t xml:space="preserve"> Mental Health Drug </w:t>
      </w:r>
      <w:r w:rsidR="002F2FB0">
        <w:rPr>
          <w:rFonts w:ascii="Calibri" w:hAnsi="Calibri" w:cs="Calibri"/>
          <w:sz w:val="24"/>
          <w:szCs w:val="24"/>
        </w:rPr>
        <w:t>and</w:t>
      </w:r>
      <w:r w:rsidR="00A46B04" w:rsidRPr="00A46B04">
        <w:rPr>
          <w:rFonts w:ascii="Calibri" w:hAnsi="Calibri" w:cs="Calibri"/>
          <w:sz w:val="24"/>
          <w:szCs w:val="24"/>
        </w:rPr>
        <w:t xml:space="preserve"> Alcohol Servic</w:t>
      </w:r>
      <w:r>
        <w:rPr>
          <w:rFonts w:ascii="Calibri" w:hAnsi="Calibri" w:cs="Calibri"/>
          <w:sz w:val="24"/>
          <w:szCs w:val="24"/>
        </w:rPr>
        <w:t>es (IECD</w:t>
      </w:r>
      <w:r w:rsidR="00A46B04" w:rsidRPr="00A46B04">
        <w:rPr>
          <w:rFonts w:ascii="Calibri" w:hAnsi="Calibri" w:cs="Calibri"/>
          <w:sz w:val="24"/>
          <w:szCs w:val="24"/>
        </w:rPr>
        <w:t xml:space="preserve">NP MHDAS) provide prevention and early intervention mental health and drug </w:t>
      </w:r>
      <w:r w:rsidR="002F2FB0">
        <w:rPr>
          <w:rFonts w:ascii="Calibri" w:hAnsi="Calibri" w:cs="Calibri"/>
          <w:sz w:val="24"/>
          <w:szCs w:val="24"/>
        </w:rPr>
        <w:t>and</w:t>
      </w:r>
      <w:r w:rsidR="00A46B04" w:rsidRPr="00A46B04">
        <w:rPr>
          <w:rFonts w:ascii="Calibri" w:hAnsi="Calibri" w:cs="Calibri"/>
          <w:sz w:val="24"/>
          <w:szCs w:val="24"/>
        </w:rPr>
        <w:t xml:space="preserve"> alcohol services for pregnant Aboriginal women and their families accessing selected existing Aboriginal Maternal and Infant Health Services (AMIHS) in NSW. </w:t>
      </w:r>
    </w:p>
    <w:p w:rsidR="00A46B04" w:rsidRPr="00A46B04" w:rsidRDefault="00A46B04" w:rsidP="00A46B04">
      <w:pPr>
        <w:rPr>
          <w:rFonts w:ascii="Calibri" w:hAnsi="Calibri" w:cs="Calibri"/>
          <w:sz w:val="24"/>
          <w:szCs w:val="24"/>
        </w:rPr>
      </w:pPr>
    </w:p>
    <w:p w:rsidR="00A46B04" w:rsidRPr="00A46B04" w:rsidRDefault="00A46B04" w:rsidP="00A46B04">
      <w:pPr>
        <w:rPr>
          <w:rFonts w:ascii="Calibri" w:hAnsi="Calibri" w:cs="Calibri"/>
          <w:sz w:val="24"/>
          <w:szCs w:val="24"/>
        </w:rPr>
      </w:pPr>
      <w:r w:rsidRPr="00A46B04">
        <w:rPr>
          <w:rFonts w:ascii="Calibri" w:hAnsi="Calibri" w:cs="Calibri"/>
          <w:sz w:val="24"/>
          <w:szCs w:val="24"/>
        </w:rPr>
        <w:t>Eight specialist MHDAS</w:t>
      </w:r>
      <w:r w:rsidR="00DB5EE7">
        <w:rPr>
          <w:rFonts w:ascii="Calibri" w:hAnsi="Calibri" w:cs="Calibri"/>
          <w:sz w:val="24"/>
          <w:szCs w:val="24"/>
        </w:rPr>
        <w:t>s</w:t>
      </w:r>
      <w:r w:rsidRPr="00A46B04">
        <w:rPr>
          <w:rFonts w:ascii="Calibri" w:hAnsi="Calibri" w:cs="Calibri"/>
          <w:sz w:val="24"/>
          <w:szCs w:val="24"/>
        </w:rPr>
        <w:t xml:space="preserve"> are operational across NSW, providing prevention and early intervention services to Aboriginal pregnant women, their partners, families and communities. MHDAS</w:t>
      </w:r>
      <w:r w:rsidR="00DB5EE7">
        <w:rPr>
          <w:rFonts w:ascii="Calibri" w:hAnsi="Calibri" w:cs="Calibri"/>
          <w:sz w:val="24"/>
          <w:szCs w:val="24"/>
        </w:rPr>
        <w:t>s</w:t>
      </w:r>
      <w:r w:rsidRPr="00A46B04">
        <w:rPr>
          <w:rFonts w:ascii="Calibri" w:hAnsi="Calibri" w:cs="Calibri"/>
          <w:sz w:val="24"/>
          <w:szCs w:val="24"/>
        </w:rPr>
        <w:t xml:space="preserve"> are co-located</w:t>
      </w:r>
      <w:r w:rsidR="00471747">
        <w:rPr>
          <w:rFonts w:ascii="Calibri" w:hAnsi="Calibri" w:cs="Calibri"/>
          <w:sz w:val="24"/>
          <w:szCs w:val="24"/>
        </w:rPr>
        <w:t>,</w:t>
      </w:r>
      <w:r w:rsidRPr="00A46B04">
        <w:rPr>
          <w:rFonts w:ascii="Calibri" w:hAnsi="Calibri" w:cs="Calibri"/>
          <w:sz w:val="24"/>
          <w:szCs w:val="24"/>
        </w:rPr>
        <w:t xml:space="preserve"> and being delivered in partnership</w:t>
      </w:r>
      <w:r w:rsidR="00471747">
        <w:rPr>
          <w:rFonts w:ascii="Calibri" w:hAnsi="Calibri" w:cs="Calibri"/>
          <w:sz w:val="24"/>
          <w:szCs w:val="24"/>
        </w:rPr>
        <w:t>,</w:t>
      </w:r>
      <w:r w:rsidRPr="00A46B04">
        <w:rPr>
          <w:rFonts w:ascii="Calibri" w:hAnsi="Calibri" w:cs="Calibri"/>
          <w:sz w:val="24"/>
          <w:szCs w:val="24"/>
        </w:rPr>
        <w:t xml:space="preserve"> with </w:t>
      </w:r>
      <w:r w:rsidR="00381FF4">
        <w:rPr>
          <w:rFonts w:ascii="Calibri" w:hAnsi="Calibri" w:cs="Calibri"/>
          <w:sz w:val="24"/>
          <w:szCs w:val="24"/>
        </w:rPr>
        <w:t>AMIHS</w:t>
      </w:r>
      <w:r w:rsidRPr="00A46B04">
        <w:rPr>
          <w:rFonts w:ascii="Calibri" w:hAnsi="Calibri" w:cs="Calibri"/>
          <w:sz w:val="24"/>
          <w:szCs w:val="24"/>
        </w:rPr>
        <w:t>, which facilitates service continuity and ease of access for clients. Feedback at Aboriginal community focus groups identified that this one</w:t>
      </w:r>
      <w:r w:rsidR="0076123F">
        <w:rPr>
          <w:rFonts w:ascii="Calibri" w:hAnsi="Calibri" w:cs="Calibri"/>
          <w:sz w:val="24"/>
          <w:szCs w:val="24"/>
        </w:rPr>
        <w:t>-</w:t>
      </w:r>
      <w:r w:rsidRPr="00A46B04">
        <w:rPr>
          <w:rFonts w:ascii="Calibri" w:hAnsi="Calibri" w:cs="Calibri"/>
          <w:sz w:val="24"/>
          <w:szCs w:val="24"/>
        </w:rPr>
        <w:t>stop shop approach was particularly valued by participants and</w:t>
      </w:r>
      <w:r w:rsidR="0076123F">
        <w:rPr>
          <w:rFonts w:ascii="Calibri" w:hAnsi="Calibri" w:cs="Calibri"/>
          <w:sz w:val="24"/>
          <w:szCs w:val="24"/>
        </w:rPr>
        <w:t>,</w:t>
      </w:r>
      <w:r w:rsidRPr="00A46B04">
        <w:rPr>
          <w:rFonts w:ascii="Calibri" w:hAnsi="Calibri" w:cs="Calibri"/>
          <w:sz w:val="24"/>
          <w:szCs w:val="24"/>
        </w:rPr>
        <w:t xml:space="preserve"> further, that the services provided were respectful of culture and delivered in a culturally safe environment.</w:t>
      </w:r>
    </w:p>
    <w:p w:rsidR="00A46B04" w:rsidRPr="00A46B04" w:rsidRDefault="00A46B04" w:rsidP="00A46B04">
      <w:pPr>
        <w:rPr>
          <w:rFonts w:ascii="Calibri" w:hAnsi="Calibri" w:cs="Calibri"/>
          <w:sz w:val="24"/>
          <w:szCs w:val="24"/>
        </w:rPr>
      </w:pPr>
    </w:p>
    <w:p w:rsidR="00A46B04" w:rsidRDefault="00A46B04" w:rsidP="00A46B04">
      <w:pPr>
        <w:rPr>
          <w:rFonts w:ascii="Calibri" w:hAnsi="Calibri" w:cs="Calibri"/>
          <w:sz w:val="24"/>
          <w:szCs w:val="24"/>
        </w:rPr>
      </w:pPr>
      <w:r w:rsidRPr="00A46B04">
        <w:rPr>
          <w:rFonts w:ascii="Calibri" w:hAnsi="Calibri" w:cs="Calibri"/>
          <w:sz w:val="24"/>
          <w:szCs w:val="24"/>
        </w:rPr>
        <w:t>There were over 45 AMIHS sites delivering services in more than 80 locations across NSW in 2012</w:t>
      </w:r>
      <w:r w:rsidR="007E6FD8">
        <w:rPr>
          <w:rFonts w:ascii="Calibri" w:hAnsi="Calibri" w:cs="Calibri"/>
          <w:sz w:val="24"/>
          <w:szCs w:val="24"/>
        </w:rPr>
        <w:t>–</w:t>
      </w:r>
      <w:r w:rsidRPr="00A46B04">
        <w:rPr>
          <w:rFonts w:ascii="Calibri" w:hAnsi="Calibri" w:cs="Calibri"/>
          <w:sz w:val="24"/>
          <w:szCs w:val="24"/>
        </w:rPr>
        <w:t xml:space="preserve">13. These services are delivered through Local Health Districts </w:t>
      </w:r>
      <w:r w:rsidR="00DB5EE7">
        <w:rPr>
          <w:rFonts w:ascii="Calibri" w:hAnsi="Calibri" w:cs="Calibri"/>
          <w:sz w:val="24"/>
          <w:szCs w:val="24"/>
        </w:rPr>
        <w:t xml:space="preserve">(LHD) </w:t>
      </w:r>
      <w:r w:rsidRPr="00A46B04">
        <w:rPr>
          <w:rFonts w:ascii="Calibri" w:hAnsi="Calibri" w:cs="Calibri"/>
          <w:sz w:val="24"/>
          <w:szCs w:val="24"/>
        </w:rPr>
        <w:t>and by a number of Aboriginal Community Controlled Health Organisations</w:t>
      </w:r>
      <w:r w:rsidR="0076123F">
        <w:rPr>
          <w:rFonts w:ascii="Calibri" w:hAnsi="Calibri" w:cs="Calibri"/>
          <w:sz w:val="24"/>
          <w:szCs w:val="24"/>
        </w:rPr>
        <w:t xml:space="preserve"> (ACCHO)</w:t>
      </w:r>
      <w:r w:rsidRPr="00A46B04">
        <w:rPr>
          <w:rFonts w:ascii="Calibri" w:hAnsi="Calibri" w:cs="Calibri"/>
          <w:sz w:val="24"/>
          <w:szCs w:val="24"/>
        </w:rPr>
        <w:t>. The program aims to:</w:t>
      </w:r>
    </w:p>
    <w:p w:rsidR="00A46B04" w:rsidRPr="00A46B04" w:rsidRDefault="00A46B04" w:rsidP="00381FF4">
      <w:pPr>
        <w:pStyle w:val="ListBullet"/>
      </w:pPr>
      <w:r w:rsidRPr="00A46B04">
        <w:t>increase access to antenatal</w:t>
      </w:r>
      <w:r w:rsidR="002F2FB0">
        <w:t xml:space="preserve"> care before 14 weeks gestation</w:t>
      </w:r>
    </w:p>
    <w:p w:rsidR="00A46B04" w:rsidRPr="00A46B04" w:rsidRDefault="00A46B04" w:rsidP="00381FF4">
      <w:pPr>
        <w:pStyle w:val="ListBullet"/>
      </w:pPr>
      <w:r w:rsidRPr="00A46B04">
        <w:t xml:space="preserve">reduce the mortality rate </w:t>
      </w:r>
      <w:r w:rsidR="002F2FB0">
        <w:t>of Aboriginal infants each year</w:t>
      </w:r>
    </w:p>
    <w:p w:rsidR="00A46B04" w:rsidRPr="00A46B04" w:rsidRDefault="00A46B04" w:rsidP="00381FF4">
      <w:pPr>
        <w:pStyle w:val="ListBullet"/>
      </w:pPr>
      <w:r w:rsidRPr="00A46B04">
        <w:t>reduce l</w:t>
      </w:r>
      <w:r w:rsidR="002F2FB0">
        <w:t>ow birth weight and prematurity</w:t>
      </w:r>
    </w:p>
    <w:p w:rsidR="00A46B04" w:rsidRPr="00A46B04" w:rsidRDefault="00A46B04" w:rsidP="00381FF4">
      <w:pPr>
        <w:pStyle w:val="ListBullet"/>
      </w:pPr>
      <w:r w:rsidRPr="00A46B04">
        <w:t>reduce the rate o</w:t>
      </w:r>
      <w:r w:rsidR="002F2FB0">
        <w:t>f smoking during pregnancy</w:t>
      </w:r>
    </w:p>
    <w:p w:rsidR="00A46B04" w:rsidRDefault="00A46B04" w:rsidP="00381FF4">
      <w:pPr>
        <w:pStyle w:val="ListBullet"/>
      </w:pPr>
      <w:proofErr w:type="gramStart"/>
      <w:r w:rsidRPr="00A46B04">
        <w:t>reduce</w:t>
      </w:r>
      <w:proofErr w:type="gramEnd"/>
      <w:r w:rsidRPr="00A46B04">
        <w:t xml:space="preserve"> alcohol and other substance use during pregnancy. </w:t>
      </w:r>
    </w:p>
    <w:p w:rsidR="00A46B04" w:rsidRPr="00A46B04" w:rsidRDefault="00A46B04" w:rsidP="00A46B04">
      <w:pPr>
        <w:rPr>
          <w:rFonts w:ascii="Calibri" w:hAnsi="Calibri" w:cs="Calibri"/>
          <w:sz w:val="24"/>
          <w:szCs w:val="24"/>
        </w:rPr>
      </w:pPr>
    </w:p>
    <w:p w:rsidR="00A46B04" w:rsidRDefault="00A46B04" w:rsidP="00A46B04">
      <w:pPr>
        <w:rPr>
          <w:rFonts w:ascii="Calibri" w:hAnsi="Calibri" w:cs="Calibri"/>
          <w:sz w:val="24"/>
          <w:szCs w:val="24"/>
        </w:rPr>
      </w:pPr>
      <w:r w:rsidRPr="00A46B04">
        <w:rPr>
          <w:rFonts w:ascii="Calibri" w:hAnsi="Calibri" w:cs="Calibri"/>
          <w:sz w:val="24"/>
          <w:szCs w:val="24"/>
        </w:rPr>
        <w:t xml:space="preserve">AMIHS clients are also referred to smoking cessation programs, mental health and drug and alcohol programs and early childhood services, including Building Strong Foundations for Aboriginal Children, Families and Communities. </w:t>
      </w:r>
    </w:p>
    <w:p w:rsidR="00BD5D4E" w:rsidRPr="00F534CE" w:rsidRDefault="00BD5D4E" w:rsidP="00B827C1">
      <w:pPr>
        <w:pStyle w:val="Heading3"/>
      </w:pPr>
      <w:bookmarkStart w:id="193" w:name="_Toc400007768"/>
      <w:r w:rsidRPr="00F534CE">
        <w:t>Northern Territory</w:t>
      </w:r>
      <w:bookmarkEnd w:id="193"/>
    </w:p>
    <w:p w:rsidR="00F534CE" w:rsidRPr="007847B7" w:rsidRDefault="00F534CE" w:rsidP="00F56F9B">
      <w:pPr>
        <w:pStyle w:val="Heading4"/>
      </w:pPr>
      <w:r w:rsidRPr="007847B7">
        <w:t>Closing the Gap</w:t>
      </w:r>
    </w:p>
    <w:p w:rsidR="00FB12A0" w:rsidRDefault="00FB12A0" w:rsidP="00FB12A0">
      <w:pPr>
        <w:rPr>
          <w:rFonts w:ascii="Calibri" w:hAnsi="Calibri" w:cs="Calibri"/>
          <w:iCs/>
          <w:sz w:val="24"/>
          <w:szCs w:val="24"/>
        </w:rPr>
      </w:pPr>
      <w:r>
        <w:rPr>
          <w:rFonts w:ascii="Calibri" w:hAnsi="Calibri" w:cs="Calibri"/>
          <w:iCs/>
          <w:sz w:val="24"/>
          <w:szCs w:val="24"/>
        </w:rPr>
        <w:t>In t</w:t>
      </w:r>
      <w:r w:rsidR="00F534CE" w:rsidRPr="00F534CE">
        <w:rPr>
          <w:rFonts w:ascii="Calibri" w:hAnsi="Calibri" w:cs="Calibri"/>
          <w:iCs/>
          <w:sz w:val="24"/>
          <w:szCs w:val="24"/>
        </w:rPr>
        <w:t>he Northern Territory</w:t>
      </w:r>
      <w:r>
        <w:rPr>
          <w:rFonts w:ascii="Calibri" w:hAnsi="Calibri" w:cs="Calibri"/>
          <w:iCs/>
          <w:sz w:val="24"/>
          <w:szCs w:val="24"/>
        </w:rPr>
        <w:t>,</w:t>
      </w:r>
      <w:r w:rsidR="00F534CE" w:rsidRPr="00F534CE">
        <w:rPr>
          <w:rFonts w:ascii="Calibri" w:hAnsi="Calibri" w:cs="Calibri"/>
          <w:iCs/>
          <w:sz w:val="24"/>
          <w:szCs w:val="24"/>
        </w:rPr>
        <w:t xml:space="preserve"> </w:t>
      </w:r>
      <w:r w:rsidR="000341A5">
        <w:rPr>
          <w:rFonts w:ascii="Calibri" w:hAnsi="Calibri" w:cs="Calibri"/>
          <w:iCs/>
          <w:sz w:val="24"/>
          <w:szCs w:val="24"/>
        </w:rPr>
        <w:t>DCF</w:t>
      </w:r>
      <w:r w:rsidR="00F534CE" w:rsidRPr="00F534CE">
        <w:rPr>
          <w:rFonts w:ascii="Calibri" w:hAnsi="Calibri" w:cs="Calibri"/>
          <w:iCs/>
          <w:sz w:val="24"/>
          <w:szCs w:val="24"/>
        </w:rPr>
        <w:t xml:space="preserve"> has taken the lead on improving practical</w:t>
      </w:r>
      <w:r w:rsidR="0076123F">
        <w:rPr>
          <w:rFonts w:ascii="Calibri" w:hAnsi="Calibri" w:cs="Calibri"/>
          <w:iCs/>
          <w:sz w:val="24"/>
          <w:szCs w:val="24"/>
        </w:rPr>
        <w:t>,</w:t>
      </w:r>
      <w:r w:rsidR="00F534CE" w:rsidRPr="00F534CE">
        <w:rPr>
          <w:rFonts w:ascii="Calibri" w:hAnsi="Calibri" w:cs="Calibri"/>
          <w:iCs/>
          <w:sz w:val="24"/>
          <w:szCs w:val="24"/>
        </w:rPr>
        <w:t xml:space="preserve"> </w:t>
      </w:r>
      <w:r w:rsidR="0076123F" w:rsidRPr="00F534CE">
        <w:rPr>
          <w:rFonts w:ascii="Calibri" w:hAnsi="Calibri" w:cs="Calibri"/>
          <w:iCs/>
          <w:sz w:val="24"/>
          <w:szCs w:val="24"/>
        </w:rPr>
        <w:t>cross</w:t>
      </w:r>
      <w:r w:rsidR="0076123F">
        <w:rPr>
          <w:rFonts w:ascii="Calibri" w:hAnsi="Calibri" w:cs="Calibri"/>
          <w:iCs/>
          <w:sz w:val="24"/>
          <w:szCs w:val="24"/>
        </w:rPr>
        <w:t>-</w:t>
      </w:r>
      <w:r w:rsidR="00F534CE" w:rsidRPr="00F534CE">
        <w:rPr>
          <w:rFonts w:ascii="Calibri" w:hAnsi="Calibri" w:cs="Calibri"/>
          <w:iCs/>
          <w:sz w:val="24"/>
          <w:szCs w:val="24"/>
        </w:rPr>
        <w:t>border coordination activities to enhance child protection activity</w:t>
      </w:r>
      <w:r w:rsidR="002F2FB0">
        <w:rPr>
          <w:rFonts w:ascii="Calibri" w:hAnsi="Calibri" w:cs="Calibri"/>
          <w:iCs/>
          <w:sz w:val="24"/>
          <w:szCs w:val="24"/>
        </w:rPr>
        <w:t>,</w:t>
      </w:r>
      <w:r w:rsidR="00F534CE" w:rsidRPr="00F534CE">
        <w:rPr>
          <w:rFonts w:ascii="Calibri" w:hAnsi="Calibri" w:cs="Calibri"/>
          <w:iCs/>
          <w:sz w:val="24"/>
          <w:szCs w:val="24"/>
        </w:rPr>
        <w:t xml:space="preserve"> with </w:t>
      </w:r>
      <w:r w:rsidR="0076123F">
        <w:rPr>
          <w:rFonts w:ascii="Calibri" w:hAnsi="Calibri" w:cs="Calibri"/>
          <w:iCs/>
          <w:sz w:val="24"/>
          <w:szCs w:val="24"/>
        </w:rPr>
        <w:t>a primary</w:t>
      </w:r>
      <w:r w:rsidR="00F534CE" w:rsidRPr="00F534CE">
        <w:rPr>
          <w:rFonts w:ascii="Calibri" w:hAnsi="Calibri" w:cs="Calibri"/>
          <w:iCs/>
          <w:sz w:val="24"/>
          <w:szCs w:val="24"/>
        </w:rPr>
        <w:t xml:space="preserve"> focus on responding to the safety and wellbeing of children.</w:t>
      </w:r>
      <w:r>
        <w:rPr>
          <w:rFonts w:ascii="Calibri" w:hAnsi="Calibri" w:cs="Calibri"/>
          <w:iCs/>
          <w:sz w:val="24"/>
          <w:szCs w:val="24"/>
        </w:rPr>
        <w:t xml:space="preserve"> This work has been undertaken in conjunction with Western Australia and South Australia.</w:t>
      </w:r>
    </w:p>
    <w:p w:rsidR="00F534CE" w:rsidRDefault="00F534CE" w:rsidP="00F534CE">
      <w:pPr>
        <w:rPr>
          <w:rFonts w:ascii="Calibri" w:hAnsi="Calibri" w:cs="Calibri"/>
          <w:iCs/>
          <w:sz w:val="24"/>
          <w:szCs w:val="24"/>
        </w:rPr>
      </w:pPr>
    </w:p>
    <w:p w:rsidR="00F534CE" w:rsidRPr="00F534CE" w:rsidRDefault="000341A5" w:rsidP="00F534CE">
      <w:pPr>
        <w:rPr>
          <w:rFonts w:ascii="Calibri" w:hAnsi="Calibri" w:cs="Calibri"/>
          <w:sz w:val="24"/>
          <w:szCs w:val="24"/>
        </w:rPr>
      </w:pPr>
      <w:r>
        <w:rPr>
          <w:rFonts w:ascii="Calibri" w:hAnsi="Calibri" w:cs="Calibri"/>
          <w:iCs/>
          <w:sz w:val="24"/>
          <w:szCs w:val="24"/>
        </w:rPr>
        <w:t>DCF</w:t>
      </w:r>
      <w:r w:rsidR="00F534CE" w:rsidRPr="00F534CE">
        <w:rPr>
          <w:rFonts w:ascii="Calibri" w:hAnsi="Calibri" w:cs="Calibri"/>
          <w:iCs/>
          <w:sz w:val="24"/>
          <w:szCs w:val="24"/>
        </w:rPr>
        <w:t xml:space="preserve"> supports the Indigenous Employment Program (</w:t>
      </w:r>
      <w:r w:rsidR="003E2CBE">
        <w:rPr>
          <w:rFonts w:ascii="Calibri" w:hAnsi="Calibri" w:cs="Calibri"/>
          <w:iCs/>
          <w:sz w:val="24"/>
          <w:szCs w:val="24"/>
        </w:rPr>
        <w:t>11</w:t>
      </w:r>
      <w:r w:rsidR="003E2CBE" w:rsidRPr="00F534CE">
        <w:rPr>
          <w:rFonts w:ascii="Calibri" w:hAnsi="Calibri" w:cs="Calibri"/>
          <w:iCs/>
          <w:sz w:val="24"/>
          <w:szCs w:val="24"/>
        </w:rPr>
        <w:t xml:space="preserve"> </w:t>
      </w:r>
      <w:r w:rsidR="00F534CE" w:rsidRPr="00F534CE">
        <w:rPr>
          <w:rFonts w:ascii="Calibri" w:hAnsi="Calibri" w:cs="Calibri"/>
          <w:iCs/>
          <w:sz w:val="24"/>
          <w:szCs w:val="24"/>
        </w:rPr>
        <w:t>quarantined positions) and the National Indigenous Cadet program as e</w:t>
      </w:r>
      <w:r w:rsidR="002F2FB0">
        <w:rPr>
          <w:rFonts w:ascii="Calibri" w:hAnsi="Calibri" w:cs="Calibri"/>
          <w:iCs/>
          <w:sz w:val="24"/>
          <w:szCs w:val="24"/>
        </w:rPr>
        <w:t>ntry pathways into a career in child p</w:t>
      </w:r>
      <w:r w:rsidR="00F534CE" w:rsidRPr="00F534CE">
        <w:rPr>
          <w:rFonts w:ascii="Calibri" w:hAnsi="Calibri" w:cs="Calibri"/>
          <w:iCs/>
          <w:sz w:val="24"/>
          <w:szCs w:val="24"/>
        </w:rPr>
        <w:t>rotection. Through a</w:t>
      </w:r>
      <w:r w:rsidR="00883B4C">
        <w:rPr>
          <w:rFonts w:ascii="Calibri" w:hAnsi="Calibri" w:cs="Calibri"/>
          <w:iCs/>
          <w:sz w:val="24"/>
          <w:szCs w:val="24"/>
        </w:rPr>
        <w:t>n</w:t>
      </w:r>
      <w:r w:rsidR="00F534CE" w:rsidRPr="00F534CE">
        <w:rPr>
          <w:rFonts w:ascii="Calibri" w:hAnsi="Calibri" w:cs="Calibri"/>
          <w:iCs/>
          <w:sz w:val="24"/>
          <w:szCs w:val="24"/>
        </w:rPr>
        <w:t xml:space="preserve"> </w:t>
      </w:r>
      <w:r w:rsidR="00883B4C">
        <w:rPr>
          <w:rFonts w:ascii="Calibri" w:hAnsi="Calibri" w:cs="Calibri"/>
          <w:iCs/>
          <w:sz w:val="24"/>
          <w:szCs w:val="24"/>
        </w:rPr>
        <w:t>MOU</w:t>
      </w:r>
      <w:r w:rsidR="00F534CE" w:rsidRPr="00F534CE">
        <w:rPr>
          <w:rFonts w:ascii="Calibri" w:hAnsi="Calibri" w:cs="Calibri"/>
          <w:iCs/>
          <w:sz w:val="24"/>
          <w:szCs w:val="24"/>
        </w:rPr>
        <w:t xml:space="preserve"> with CDU</w:t>
      </w:r>
      <w:r w:rsidR="002F2FB0">
        <w:rPr>
          <w:rFonts w:ascii="Calibri" w:hAnsi="Calibri" w:cs="Calibri"/>
          <w:iCs/>
          <w:sz w:val="24"/>
          <w:szCs w:val="24"/>
        </w:rPr>
        <w:t>,</w:t>
      </w:r>
      <w:r w:rsidR="00F534CE" w:rsidRPr="00F534CE">
        <w:rPr>
          <w:rFonts w:ascii="Calibri" w:hAnsi="Calibri" w:cs="Calibri"/>
          <w:iCs/>
          <w:sz w:val="24"/>
          <w:szCs w:val="24"/>
        </w:rPr>
        <w:t xml:space="preserve"> </w:t>
      </w:r>
      <w:r>
        <w:rPr>
          <w:rFonts w:ascii="Calibri" w:hAnsi="Calibri" w:cs="Calibri"/>
          <w:iCs/>
          <w:sz w:val="24"/>
          <w:szCs w:val="24"/>
        </w:rPr>
        <w:t>DCF</w:t>
      </w:r>
      <w:r w:rsidR="00F534CE" w:rsidRPr="00F534CE">
        <w:rPr>
          <w:rFonts w:ascii="Calibri" w:hAnsi="Calibri" w:cs="Calibri"/>
          <w:iCs/>
          <w:sz w:val="24"/>
          <w:szCs w:val="24"/>
        </w:rPr>
        <w:t xml:space="preserve"> also provides fully funded undergraduate scholarships specifically attracting Indigenous students to professional child protection work.</w:t>
      </w:r>
      <w:r w:rsidR="007764A2">
        <w:rPr>
          <w:rFonts w:ascii="Calibri" w:hAnsi="Calibri" w:cs="Calibri"/>
          <w:iCs/>
          <w:sz w:val="24"/>
          <w:szCs w:val="24"/>
        </w:rPr>
        <w:t xml:space="preserve"> </w:t>
      </w:r>
      <w:r w:rsidR="00F534CE" w:rsidRPr="00F534CE">
        <w:rPr>
          <w:rFonts w:ascii="Calibri" w:hAnsi="Calibri" w:cs="Calibri"/>
          <w:iCs/>
          <w:sz w:val="24"/>
          <w:szCs w:val="24"/>
        </w:rPr>
        <w:t xml:space="preserve">A cultural supervision framework is being developed to support </w:t>
      </w:r>
      <w:r w:rsidR="00316329">
        <w:rPr>
          <w:rFonts w:ascii="Calibri" w:hAnsi="Calibri" w:cs="Calibri"/>
          <w:iCs/>
          <w:sz w:val="24"/>
          <w:szCs w:val="24"/>
        </w:rPr>
        <w:t>I</w:t>
      </w:r>
      <w:r w:rsidR="00316329" w:rsidRPr="00F534CE">
        <w:rPr>
          <w:rFonts w:ascii="Calibri" w:hAnsi="Calibri" w:cs="Calibri"/>
          <w:iCs/>
          <w:sz w:val="24"/>
          <w:szCs w:val="24"/>
        </w:rPr>
        <w:t xml:space="preserve">ndigenous </w:t>
      </w:r>
      <w:r w:rsidR="00F534CE" w:rsidRPr="00F534CE">
        <w:rPr>
          <w:rFonts w:ascii="Calibri" w:hAnsi="Calibri" w:cs="Calibri"/>
          <w:iCs/>
          <w:sz w:val="24"/>
          <w:szCs w:val="24"/>
        </w:rPr>
        <w:t xml:space="preserve">workers within child protection, positioning </w:t>
      </w:r>
      <w:r>
        <w:rPr>
          <w:rFonts w:ascii="Calibri" w:hAnsi="Calibri" w:cs="Calibri"/>
          <w:iCs/>
          <w:sz w:val="24"/>
          <w:szCs w:val="24"/>
        </w:rPr>
        <w:t>DCF</w:t>
      </w:r>
      <w:r w:rsidR="00F534CE" w:rsidRPr="00F534CE">
        <w:rPr>
          <w:rFonts w:ascii="Calibri" w:hAnsi="Calibri" w:cs="Calibri"/>
          <w:iCs/>
          <w:sz w:val="24"/>
          <w:szCs w:val="24"/>
        </w:rPr>
        <w:t xml:space="preserve"> as an employer of choice for Aboriginal Territorians.</w:t>
      </w:r>
    </w:p>
    <w:p w:rsidR="00BD5D4E" w:rsidRPr="00821556" w:rsidRDefault="00BD5D4E" w:rsidP="00B827C1">
      <w:pPr>
        <w:pStyle w:val="Heading3"/>
      </w:pPr>
      <w:bookmarkStart w:id="194" w:name="_Toc400007769"/>
      <w:r w:rsidRPr="00821556">
        <w:t>Queensland</w:t>
      </w:r>
      <w:bookmarkEnd w:id="194"/>
    </w:p>
    <w:p w:rsidR="006632D2" w:rsidRPr="00B71ABA" w:rsidRDefault="006632D2" w:rsidP="00F56F9B">
      <w:pPr>
        <w:pStyle w:val="Heading4"/>
        <w:rPr>
          <w:i/>
        </w:rPr>
      </w:pPr>
      <w:r w:rsidRPr="007847B7">
        <w:t>Closing the Gap</w:t>
      </w:r>
    </w:p>
    <w:p w:rsidR="006632D2" w:rsidRPr="006632D2" w:rsidRDefault="006632D2" w:rsidP="006632D2">
      <w:pPr>
        <w:rPr>
          <w:rFonts w:ascii="Calibri" w:hAnsi="Calibri" w:cs="Calibri"/>
          <w:sz w:val="24"/>
          <w:szCs w:val="24"/>
        </w:rPr>
      </w:pPr>
      <w:r w:rsidRPr="006632D2">
        <w:rPr>
          <w:rFonts w:ascii="Calibri" w:hAnsi="Calibri" w:cs="Calibri"/>
          <w:sz w:val="24"/>
          <w:szCs w:val="24"/>
        </w:rPr>
        <w:t xml:space="preserve">The </w:t>
      </w:r>
      <w:r w:rsidRPr="006632D2">
        <w:rPr>
          <w:rFonts w:ascii="Calibri" w:hAnsi="Calibri" w:cs="Calibri"/>
          <w:i/>
          <w:sz w:val="24"/>
          <w:szCs w:val="24"/>
        </w:rPr>
        <w:t>Child Protection Act 1999</w:t>
      </w:r>
      <w:r w:rsidRPr="006632D2">
        <w:rPr>
          <w:rFonts w:ascii="Calibri" w:hAnsi="Calibri" w:cs="Calibri"/>
          <w:sz w:val="24"/>
          <w:szCs w:val="24"/>
        </w:rPr>
        <w:t xml:space="preserve"> provides that</w:t>
      </w:r>
      <w:r w:rsidR="002F2FB0">
        <w:rPr>
          <w:rFonts w:ascii="Calibri" w:hAnsi="Calibri" w:cs="Calibri"/>
          <w:sz w:val="24"/>
          <w:szCs w:val="24"/>
        </w:rPr>
        <w:t>,</w:t>
      </w:r>
      <w:r w:rsidRPr="006632D2">
        <w:rPr>
          <w:rFonts w:ascii="Calibri" w:hAnsi="Calibri" w:cs="Calibri"/>
          <w:sz w:val="24"/>
          <w:szCs w:val="24"/>
        </w:rPr>
        <w:t xml:space="preserve"> if a child in care moves </w:t>
      </w:r>
      <w:proofErr w:type="gramStart"/>
      <w:r w:rsidRPr="006632D2">
        <w:rPr>
          <w:rFonts w:ascii="Calibri" w:hAnsi="Calibri" w:cs="Calibri"/>
          <w:sz w:val="24"/>
          <w:szCs w:val="24"/>
        </w:rPr>
        <w:t>interstate</w:t>
      </w:r>
      <w:r w:rsidR="00381FF4">
        <w:rPr>
          <w:rFonts w:ascii="Calibri" w:hAnsi="Calibri" w:cs="Calibri"/>
          <w:sz w:val="24"/>
          <w:szCs w:val="24"/>
        </w:rPr>
        <w:t>,</w:t>
      </w:r>
      <w:proofErr w:type="gramEnd"/>
      <w:r w:rsidRPr="006632D2">
        <w:rPr>
          <w:rFonts w:ascii="Calibri" w:hAnsi="Calibri" w:cs="Calibri"/>
          <w:sz w:val="24"/>
          <w:szCs w:val="24"/>
        </w:rPr>
        <w:t xml:space="preserve"> and a similar order could be made under the law of the other state or territory, a child protection order may be transferred to that state or territory. An order may also be transferred to Queensland. Queensland also has information sharing processes in place with other jurisdictions. The processes cover situations where information is received about a child who lives in another state or territory, or a family </w:t>
      </w:r>
      <w:r w:rsidR="0076123F">
        <w:rPr>
          <w:rFonts w:ascii="Calibri" w:hAnsi="Calibri" w:cs="Calibri"/>
          <w:sz w:val="24"/>
          <w:szCs w:val="24"/>
        </w:rPr>
        <w:t xml:space="preserve">with whom </w:t>
      </w:r>
      <w:r w:rsidRPr="006632D2">
        <w:rPr>
          <w:rFonts w:ascii="Calibri" w:hAnsi="Calibri" w:cs="Calibri"/>
          <w:sz w:val="24"/>
          <w:szCs w:val="24"/>
        </w:rPr>
        <w:t>the department has been working moves to another state or territory.</w:t>
      </w:r>
    </w:p>
    <w:p w:rsidR="006632D2" w:rsidRDefault="006632D2" w:rsidP="00DD4408">
      <w:pPr>
        <w:rPr>
          <w:rFonts w:ascii="Calibri" w:hAnsi="Calibri" w:cs="Calibri"/>
          <w:sz w:val="24"/>
          <w:szCs w:val="24"/>
        </w:rPr>
      </w:pPr>
    </w:p>
    <w:p w:rsidR="006632D2" w:rsidRPr="006632D2" w:rsidRDefault="006632D2" w:rsidP="006632D2">
      <w:pPr>
        <w:rPr>
          <w:rFonts w:ascii="Calibri" w:hAnsi="Calibri" w:cs="Calibri"/>
          <w:sz w:val="24"/>
          <w:szCs w:val="24"/>
        </w:rPr>
      </w:pPr>
      <w:r w:rsidRPr="006632D2">
        <w:rPr>
          <w:rFonts w:ascii="Calibri" w:hAnsi="Calibri" w:cs="Calibri"/>
          <w:sz w:val="24"/>
          <w:szCs w:val="24"/>
        </w:rPr>
        <w:t>The Queensland Aboriginal and Torres Strait Islander Human Services Coalition</w:t>
      </w:r>
      <w:r w:rsidR="00340ABE">
        <w:rPr>
          <w:rFonts w:ascii="Calibri" w:hAnsi="Calibri" w:cs="Calibri"/>
          <w:sz w:val="24"/>
          <w:szCs w:val="24"/>
        </w:rPr>
        <w:t xml:space="preserve"> (the </w:t>
      </w:r>
      <w:r w:rsidR="009B457C">
        <w:rPr>
          <w:rFonts w:ascii="Calibri" w:hAnsi="Calibri" w:cs="Calibri"/>
          <w:sz w:val="24"/>
          <w:szCs w:val="24"/>
        </w:rPr>
        <w:t xml:space="preserve">Queensland </w:t>
      </w:r>
      <w:r w:rsidR="00340ABE">
        <w:rPr>
          <w:rFonts w:ascii="Calibri" w:hAnsi="Calibri" w:cs="Calibri"/>
          <w:sz w:val="24"/>
          <w:szCs w:val="24"/>
        </w:rPr>
        <w:t>Coalition)</w:t>
      </w:r>
      <w:r w:rsidRPr="006632D2">
        <w:rPr>
          <w:rFonts w:ascii="Calibri" w:hAnsi="Calibri" w:cs="Calibri"/>
          <w:sz w:val="24"/>
          <w:szCs w:val="24"/>
        </w:rPr>
        <w:t xml:space="preserve"> was established in 2008. It </w:t>
      </w:r>
      <w:r w:rsidR="0076123F">
        <w:rPr>
          <w:rFonts w:ascii="Calibri" w:hAnsi="Calibri" w:cs="Calibri"/>
          <w:sz w:val="24"/>
          <w:szCs w:val="24"/>
        </w:rPr>
        <w:t>is</w:t>
      </w:r>
      <w:r w:rsidR="0076123F" w:rsidRPr="006632D2">
        <w:rPr>
          <w:rFonts w:ascii="Calibri" w:hAnsi="Calibri" w:cs="Calibri"/>
          <w:sz w:val="24"/>
          <w:szCs w:val="24"/>
        </w:rPr>
        <w:t xml:space="preserve"> </w:t>
      </w:r>
      <w:r w:rsidRPr="006632D2">
        <w:rPr>
          <w:rFonts w:ascii="Calibri" w:hAnsi="Calibri" w:cs="Calibri"/>
          <w:sz w:val="24"/>
          <w:szCs w:val="24"/>
        </w:rPr>
        <w:t xml:space="preserve">a network of more than 100 Aboriginal and Torres Strait Islander community-controlled human service providers. The </w:t>
      </w:r>
      <w:r w:rsidR="009B457C">
        <w:rPr>
          <w:rFonts w:ascii="Calibri" w:hAnsi="Calibri" w:cs="Calibri"/>
          <w:sz w:val="24"/>
          <w:szCs w:val="24"/>
        </w:rPr>
        <w:t xml:space="preserve">Queensland </w:t>
      </w:r>
      <w:r w:rsidRPr="006632D2">
        <w:rPr>
          <w:rFonts w:ascii="Calibri" w:hAnsi="Calibri" w:cs="Calibri"/>
          <w:sz w:val="24"/>
          <w:szCs w:val="24"/>
        </w:rPr>
        <w:t>Coalition promotes reforms ensuring the delivery of comprehensive, effective and integrated human services to Indigenous people and has implemented a number of one-off projects, for example, capacity building to improve service delivery for Indigenous clients.</w:t>
      </w:r>
    </w:p>
    <w:p w:rsidR="006632D2" w:rsidRPr="006632D2" w:rsidRDefault="006632D2" w:rsidP="006632D2">
      <w:pPr>
        <w:rPr>
          <w:rFonts w:ascii="Calibri" w:hAnsi="Calibri" w:cs="Calibri"/>
          <w:sz w:val="24"/>
          <w:szCs w:val="24"/>
        </w:rPr>
      </w:pPr>
    </w:p>
    <w:p w:rsidR="006632D2" w:rsidRDefault="006632D2" w:rsidP="006632D2">
      <w:pPr>
        <w:rPr>
          <w:rFonts w:ascii="Calibri" w:hAnsi="Calibri" w:cs="Calibri"/>
          <w:sz w:val="24"/>
          <w:szCs w:val="24"/>
        </w:rPr>
      </w:pPr>
      <w:r w:rsidRPr="006632D2">
        <w:rPr>
          <w:rFonts w:ascii="Calibri" w:hAnsi="Calibri" w:cs="Calibri"/>
          <w:sz w:val="24"/>
          <w:szCs w:val="24"/>
        </w:rPr>
        <w:t>In 2012</w:t>
      </w:r>
      <w:r w:rsidR="007E6FD8">
        <w:rPr>
          <w:rFonts w:ascii="Calibri" w:hAnsi="Calibri" w:cs="Calibri"/>
          <w:sz w:val="24"/>
          <w:szCs w:val="24"/>
        </w:rPr>
        <w:t>–</w:t>
      </w:r>
      <w:r w:rsidRPr="006632D2">
        <w:rPr>
          <w:rFonts w:ascii="Calibri" w:hAnsi="Calibri" w:cs="Calibri"/>
          <w:sz w:val="24"/>
          <w:szCs w:val="24"/>
        </w:rPr>
        <w:t xml:space="preserve">2013, </w:t>
      </w:r>
      <w:r w:rsidR="006C0E77" w:rsidRPr="00856FA8">
        <w:rPr>
          <w:rFonts w:ascii="Calibri" w:hAnsi="Calibri"/>
          <w:sz w:val="24"/>
        </w:rPr>
        <w:t>DCCSDS</w:t>
      </w:r>
      <w:r w:rsidR="002F2FB0">
        <w:rPr>
          <w:rFonts w:ascii="Calibri" w:hAnsi="Calibri" w:cs="Calibri"/>
          <w:sz w:val="24"/>
          <w:szCs w:val="24"/>
        </w:rPr>
        <w:t xml:space="preserve"> allocated $376 </w:t>
      </w:r>
      <w:r w:rsidRPr="006632D2">
        <w:rPr>
          <w:rFonts w:ascii="Calibri" w:hAnsi="Calibri" w:cs="Calibri"/>
          <w:sz w:val="24"/>
          <w:szCs w:val="24"/>
        </w:rPr>
        <w:t xml:space="preserve">229 in one-off funding to the Queensland Council of Social Service (QCOSS) to support the </w:t>
      </w:r>
      <w:r w:rsidR="009B457C">
        <w:rPr>
          <w:rFonts w:ascii="Calibri" w:hAnsi="Calibri" w:cs="Calibri"/>
          <w:sz w:val="24"/>
          <w:szCs w:val="24"/>
        </w:rPr>
        <w:t xml:space="preserve">Queensland </w:t>
      </w:r>
      <w:r w:rsidRPr="006632D2">
        <w:rPr>
          <w:rFonts w:ascii="Calibri" w:hAnsi="Calibri" w:cs="Calibri"/>
          <w:sz w:val="24"/>
          <w:szCs w:val="24"/>
        </w:rPr>
        <w:t xml:space="preserve">Coalition. The funding helps to provide targeted support to mainstream human service providers and Indigenous-managed organisations to improve outcomes for Aboriginal and Torres Strait Islander peoples. </w:t>
      </w:r>
      <w:r w:rsidR="009B457C">
        <w:rPr>
          <w:rFonts w:ascii="Calibri" w:hAnsi="Calibri" w:cs="Calibri"/>
          <w:sz w:val="24"/>
          <w:szCs w:val="24"/>
        </w:rPr>
        <w:t xml:space="preserve">Queensland </w:t>
      </w:r>
      <w:r w:rsidRPr="006632D2">
        <w:rPr>
          <w:rFonts w:ascii="Calibri" w:hAnsi="Calibri" w:cs="Calibri"/>
          <w:sz w:val="24"/>
          <w:szCs w:val="24"/>
        </w:rPr>
        <w:t>Co</w:t>
      </w:r>
      <w:r w:rsidR="002F2FB0">
        <w:rPr>
          <w:rFonts w:ascii="Calibri" w:hAnsi="Calibri" w:cs="Calibri"/>
          <w:sz w:val="24"/>
          <w:szCs w:val="24"/>
        </w:rPr>
        <w:t>alition achievements for 2012</w:t>
      </w:r>
      <w:r w:rsidR="007E6FD8">
        <w:rPr>
          <w:rFonts w:ascii="Calibri" w:hAnsi="Calibri" w:cs="Calibri"/>
          <w:sz w:val="24"/>
          <w:szCs w:val="24"/>
        </w:rPr>
        <w:t>–</w:t>
      </w:r>
      <w:r w:rsidRPr="006632D2">
        <w:rPr>
          <w:rFonts w:ascii="Calibri" w:hAnsi="Calibri" w:cs="Calibri"/>
          <w:sz w:val="24"/>
          <w:szCs w:val="24"/>
        </w:rPr>
        <w:t>13 include:</w:t>
      </w:r>
    </w:p>
    <w:p w:rsidR="006632D2" w:rsidRPr="006632D2" w:rsidRDefault="006632D2" w:rsidP="006C0E77">
      <w:pPr>
        <w:pStyle w:val="ListBullet"/>
      </w:pPr>
      <w:r w:rsidRPr="006632D2">
        <w:t>develop</w:t>
      </w:r>
      <w:r w:rsidR="002F2FB0">
        <w:t>ing</w:t>
      </w:r>
      <w:r w:rsidRPr="006632D2">
        <w:t xml:space="preserve"> a guide to using a program logic approach for Indigenous organisations as part of promoting integrated service delivery</w:t>
      </w:r>
    </w:p>
    <w:p w:rsidR="006632D2" w:rsidRPr="006632D2" w:rsidRDefault="006632D2" w:rsidP="006C0E77">
      <w:pPr>
        <w:pStyle w:val="ListBullet"/>
      </w:pPr>
      <w:r w:rsidRPr="006632D2">
        <w:t>support</w:t>
      </w:r>
      <w:r w:rsidR="002F2FB0">
        <w:t>ing</w:t>
      </w:r>
      <w:r w:rsidRPr="006632D2">
        <w:t xml:space="preserve"> QCOSS Homelessness Community Action Planning Officers on Aboriginal and Torres Strait Islander engagement</w:t>
      </w:r>
    </w:p>
    <w:p w:rsidR="006632D2" w:rsidRPr="006632D2" w:rsidRDefault="002F2FB0" w:rsidP="006C0E77">
      <w:pPr>
        <w:pStyle w:val="ListBullet"/>
      </w:pPr>
      <w:r>
        <w:t>working</w:t>
      </w:r>
      <w:r w:rsidR="006632D2" w:rsidRPr="006632D2">
        <w:t xml:space="preserve"> with Uniting Care through their change management process to improve service delivery to Aboriginal and Torres Strait Islander people</w:t>
      </w:r>
    </w:p>
    <w:p w:rsidR="006632D2" w:rsidRPr="006632D2" w:rsidRDefault="002F2FB0" w:rsidP="006C0E77">
      <w:pPr>
        <w:pStyle w:val="ListBullet"/>
      </w:pPr>
      <w:proofErr w:type="gramStart"/>
      <w:r>
        <w:t>conducting</w:t>
      </w:r>
      <w:proofErr w:type="gramEnd"/>
      <w:r>
        <w:t xml:space="preserve"> </w:t>
      </w:r>
      <w:r w:rsidR="006632D2" w:rsidRPr="006632D2">
        <w:t>Learni</w:t>
      </w:r>
      <w:r>
        <w:t xml:space="preserve">ng Together, Leading Together, an </w:t>
      </w:r>
      <w:r w:rsidR="006632D2" w:rsidRPr="006632D2">
        <w:t xml:space="preserve">accredited training </w:t>
      </w:r>
      <w:r w:rsidR="0048014D">
        <w:t xml:space="preserve">program </w:t>
      </w:r>
      <w:r w:rsidR="006632D2" w:rsidRPr="006632D2">
        <w:t xml:space="preserve">and a community of practice in association with the Sunshine Coast Institute of TAFE to support and develop Aboriginal and Torres Strait </w:t>
      </w:r>
      <w:r w:rsidR="00D4615F">
        <w:t xml:space="preserve">Islander </w:t>
      </w:r>
      <w:r w:rsidR="006632D2" w:rsidRPr="006632D2">
        <w:t>leadership.</w:t>
      </w:r>
    </w:p>
    <w:p w:rsidR="006632D2" w:rsidRDefault="006632D2" w:rsidP="00DD4408">
      <w:pPr>
        <w:rPr>
          <w:rFonts w:ascii="Calibri" w:hAnsi="Calibri" w:cs="Calibri"/>
          <w:sz w:val="24"/>
          <w:szCs w:val="24"/>
        </w:rPr>
      </w:pPr>
    </w:p>
    <w:p w:rsidR="006632D2" w:rsidRPr="006632D2" w:rsidRDefault="006632D2" w:rsidP="006632D2">
      <w:pPr>
        <w:rPr>
          <w:rFonts w:ascii="Calibri" w:hAnsi="Calibri" w:cs="Calibri"/>
          <w:sz w:val="24"/>
          <w:szCs w:val="24"/>
        </w:rPr>
      </w:pPr>
      <w:r w:rsidRPr="006632D2">
        <w:rPr>
          <w:rFonts w:ascii="Calibri" w:hAnsi="Calibri" w:cs="Calibri"/>
          <w:sz w:val="24"/>
          <w:szCs w:val="24"/>
        </w:rPr>
        <w:t>DCCSDS continued the Indigenous</w:t>
      </w:r>
      <w:r w:rsidRPr="006632D2">
        <w:rPr>
          <w:rFonts w:ascii="Calibri" w:hAnsi="Calibri" w:cs="Calibri"/>
          <w:b/>
          <w:sz w:val="24"/>
          <w:szCs w:val="24"/>
        </w:rPr>
        <w:t xml:space="preserve"> </w:t>
      </w:r>
      <w:r w:rsidRPr="006632D2">
        <w:rPr>
          <w:rFonts w:ascii="Calibri" w:hAnsi="Calibri" w:cs="Calibri"/>
          <w:sz w:val="24"/>
          <w:szCs w:val="24"/>
        </w:rPr>
        <w:t xml:space="preserve">Scholarship Program. This program provides Indigenous Child Safety </w:t>
      </w:r>
      <w:r w:rsidR="00AF4636">
        <w:rPr>
          <w:rFonts w:ascii="Calibri" w:hAnsi="Calibri" w:cs="Calibri"/>
          <w:sz w:val="24"/>
          <w:szCs w:val="24"/>
        </w:rPr>
        <w:t>Support</w:t>
      </w:r>
      <w:r w:rsidR="00AF4636" w:rsidRPr="006632D2">
        <w:rPr>
          <w:rFonts w:ascii="Calibri" w:hAnsi="Calibri" w:cs="Calibri"/>
          <w:sz w:val="24"/>
          <w:szCs w:val="24"/>
        </w:rPr>
        <w:t xml:space="preserve"> </w:t>
      </w:r>
      <w:r w:rsidRPr="006632D2">
        <w:rPr>
          <w:rFonts w:ascii="Calibri" w:hAnsi="Calibri" w:cs="Calibri"/>
          <w:sz w:val="24"/>
          <w:szCs w:val="24"/>
        </w:rPr>
        <w:t xml:space="preserve">Officers with a scholarship to undertake relevant studies and meet Child Safety Officer </w:t>
      </w:r>
      <w:proofErr w:type="gramStart"/>
      <w:r w:rsidRPr="006632D2">
        <w:rPr>
          <w:rFonts w:ascii="Calibri" w:hAnsi="Calibri" w:cs="Calibri"/>
          <w:sz w:val="24"/>
          <w:szCs w:val="24"/>
        </w:rPr>
        <w:t>qualification</w:t>
      </w:r>
      <w:proofErr w:type="gramEnd"/>
      <w:r w:rsidRPr="006632D2">
        <w:rPr>
          <w:rFonts w:ascii="Calibri" w:hAnsi="Calibri" w:cs="Calibri"/>
          <w:sz w:val="24"/>
          <w:szCs w:val="24"/>
        </w:rPr>
        <w:t xml:space="preserve"> requirements. One scholarship recipient is continuing with studies.</w:t>
      </w:r>
      <w:r w:rsidR="007764A2">
        <w:rPr>
          <w:rFonts w:ascii="Calibri" w:hAnsi="Calibri" w:cs="Calibri"/>
          <w:sz w:val="24"/>
          <w:szCs w:val="24"/>
        </w:rPr>
        <w:t xml:space="preserve"> </w:t>
      </w:r>
    </w:p>
    <w:p w:rsidR="006632D2" w:rsidRPr="006632D2" w:rsidRDefault="006632D2" w:rsidP="006632D2">
      <w:pPr>
        <w:rPr>
          <w:rFonts w:ascii="Calibri" w:hAnsi="Calibri" w:cs="Calibri"/>
          <w:sz w:val="24"/>
          <w:szCs w:val="24"/>
        </w:rPr>
      </w:pPr>
    </w:p>
    <w:p w:rsidR="006632D2" w:rsidRPr="006632D2" w:rsidRDefault="00006CA5" w:rsidP="006632D2">
      <w:pPr>
        <w:rPr>
          <w:rFonts w:ascii="Calibri" w:hAnsi="Calibri" w:cs="Calibri"/>
          <w:sz w:val="24"/>
          <w:szCs w:val="24"/>
        </w:rPr>
      </w:pPr>
      <w:r>
        <w:rPr>
          <w:rFonts w:ascii="Calibri" w:hAnsi="Calibri" w:cs="Calibri"/>
          <w:sz w:val="24"/>
          <w:szCs w:val="24"/>
        </w:rPr>
        <w:t>The Indigenous Cadetship p</w:t>
      </w:r>
      <w:r w:rsidR="006632D2" w:rsidRPr="006632D2">
        <w:rPr>
          <w:rFonts w:ascii="Calibri" w:hAnsi="Calibri" w:cs="Calibri"/>
          <w:sz w:val="24"/>
          <w:szCs w:val="24"/>
        </w:rPr>
        <w:t>rogram is a joint program with the Australian Government Department of Education for Indigenous tertiary students to receive study</w:t>
      </w:r>
      <w:r w:rsidR="009D4DD4">
        <w:rPr>
          <w:rFonts w:ascii="Calibri" w:hAnsi="Calibri" w:cs="Calibri"/>
          <w:sz w:val="24"/>
          <w:szCs w:val="24"/>
        </w:rPr>
        <w:t>,</w:t>
      </w:r>
      <w:r w:rsidR="006632D2" w:rsidRPr="006632D2">
        <w:rPr>
          <w:rFonts w:ascii="Calibri" w:hAnsi="Calibri" w:cs="Calibri"/>
          <w:sz w:val="24"/>
          <w:szCs w:val="24"/>
        </w:rPr>
        <w:t xml:space="preserve"> book allowances and 60 days</w:t>
      </w:r>
      <w:r w:rsidR="009D4DD4">
        <w:rPr>
          <w:rFonts w:ascii="Calibri" w:hAnsi="Calibri" w:cs="Calibri"/>
          <w:sz w:val="24"/>
          <w:szCs w:val="24"/>
        </w:rPr>
        <w:t>’</w:t>
      </w:r>
      <w:r w:rsidR="006632D2" w:rsidRPr="006632D2">
        <w:rPr>
          <w:rFonts w:ascii="Calibri" w:hAnsi="Calibri" w:cs="Calibri"/>
          <w:sz w:val="24"/>
          <w:szCs w:val="24"/>
        </w:rPr>
        <w:t xml:space="preserve"> paid work placement in their host department. The department has 12 active Cadetship recipients and another four recipients who have deferred their study.</w:t>
      </w:r>
    </w:p>
    <w:p w:rsidR="00332EE1" w:rsidRDefault="00332EE1" w:rsidP="00332EE1">
      <w:pPr>
        <w:rPr>
          <w:rFonts w:ascii="Calibri" w:hAnsi="Calibri" w:cs="Calibri"/>
          <w:sz w:val="24"/>
          <w:szCs w:val="24"/>
        </w:rPr>
      </w:pPr>
    </w:p>
    <w:p w:rsidR="00332EE1" w:rsidRPr="00332EE1" w:rsidRDefault="00332EE1" w:rsidP="00332EE1">
      <w:pPr>
        <w:rPr>
          <w:rFonts w:ascii="Calibri" w:hAnsi="Calibri" w:cs="Calibri"/>
          <w:sz w:val="24"/>
          <w:szCs w:val="24"/>
        </w:rPr>
      </w:pPr>
      <w:r w:rsidRPr="00332EE1">
        <w:rPr>
          <w:rFonts w:ascii="Calibri" w:hAnsi="Calibri" w:cs="Calibri"/>
          <w:sz w:val="24"/>
          <w:szCs w:val="24"/>
        </w:rPr>
        <w:t xml:space="preserve">DCCSDS funds Aboriginal and Torres Strait Islander Family Support Services (ATSIFSS) to provide intensive support to Indigenous families. The aim is to reduce the over-representation of Aboriginal and Torres Strait Islander children and young people in the child protection system. DCCSDS conducted a review of the ATSIFSS from February to June 2013, to assess the efficiency and effectiveness of the Family Support Program. The review was conducted in consultation with Indigenous service coordinators. The outcomes of the review will be used to further </w:t>
      </w:r>
      <w:r w:rsidR="00342A3C">
        <w:rPr>
          <w:rFonts w:ascii="Calibri" w:hAnsi="Calibri" w:cs="Calibri"/>
          <w:sz w:val="24"/>
          <w:szCs w:val="24"/>
        </w:rPr>
        <w:t xml:space="preserve">improve </w:t>
      </w:r>
      <w:r w:rsidRPr="00332EE1">
        <w:rPr>
          <w:rFonts w:ascii="Calibri" w:hAnsi="Calibri" w:cs="Calibri"/>
          <w:sz w:val="24"/>
          <w:szCs w:val="24"/>
        </w:rPr>
        <w:t xml:space="preserve">support </w:t>
      </w:r>
      <w:r w:rsidR="00342A3C">
        <w:rPr>
          <w:rFonts w:ascii="Calibri" w:hAnsi="Calibri" w:cs="Calibri"/>
          <w:sz w:val="24"/>
          <w:szCs w:val="24"/>
        </w:rPr>
        <w:t xml:space="preserve">for </w:t>
      </w:r>
      <w:r w:rsidRPr="00332EE1">
        <w:rPr>
          <w:rFonts w:ascii="Calibri" w:hAnsi="Calibri" w:cs="Calibri"/>
          <w:sz w:val="24"/>
          <w:szCs w:val="24"/>
        </w:rPr>
        <w:t>Indigenous children and their families.</w:t>
      </w:r>
    </w:p>
    <w:p w:rsidR="002B1CF4" w:rsidRDefault="002B1CF4" w:rsidP="00332EE1">
      <w:pPr>
        <w:rPr>
          <w:rFonts w:ascii="Calibri" w:hAnsi="Calibri" w:cs="Calibri"/>
          <w:sz w:val="24"/>
          <w:szCs w:val="24"/>
        </w:rPr>
      </w:pPr>
    </w:p>
    <w:p w:rsidR="00332EE1" w:rsidRPr="00332EE1" w:rsidRDefault="00332EE1" w:rsidP="00332EE1">
      <w:pPr>
        <w:rPr>
          <w:rFonts w:ascii="Calibri" w:hAnsi="Calibri" w:cs="Calibri"/>
          <w:sz w:val="24"/>
          <w:szCs w:val="24"/>
        </w:rPr>
      </w:pPr>
      <w:r w:rsidRPr="00332EE1">
        <w:rPr>
          <w:rFonts w:ascii="Calibri" w:hAnsi="Calibri" w:cs="Calibri"/>
          <w:sz w:val="24"/>
          <w:szCs w:val="24"/>
        </w:rPr>
        <w:t>Since July 2008, Cape York Welfare Reform (CYWR) has been operating under a tripartite agreement between the Australian and Queensland governments and the Cape York Institute for Policy and Leadership (CYI). CYWR currently operates in the Cape York communities of Aurukun, Coen, Hope Vale and Mossman Gorge and aims to restore social norms and reduce levels of welfare dependency, social dysfunction and economic exclusion in these communities. CYWR has been extended until the end of the 2014 calendar year.</w:t>
      </w:r>
    </w:p>
    <w:p w:rsidR="00332EE1" w:rsidRPr="00332EE1" w:rsidRDefault="00332EE1" w:rsidP="00332EE1">
      <w:pPr>
        <w:rPr>
          <w:rFonts w:ascii="Calibri" w:hAnsi="Calibri" w:cs="Calibri"/>
          <w:sz w:val="24"/>
          <w:szCs w:val="24"/>
        </w:rPr>
      </w:pPr>
    </w:p>
    <w:p w:rsidR="00332EE1" w:rsidRDefault="00332EE1" w:rsidP="00332EE1">
      <w:pPr>
        <w:rPr>
          <w:rFonts w:ascii="Calibri" w:hAnsi="Calibri" w:cs="Calibri"/>
          <w:sz w:val="24"/>
          <w:szCs w:val="24"/>
        </w:rPr>
      </w:pPr>
      <w:r w:rsidRPr="00332EE1">
        <w:rPr>
          <w:rFonts w:ascii="Calibri" w:hAnsi="Calibri" w:cs="Calibri"/>
          <w:sz w:val="24"/>
          <w:szCs w:val="24"/>
        </w:rPr>
        <w:t xml:space="preserve">The Family Responsibilities Commission (FRC) operates in the four CYWR communities to reinstate local Indigenous authority by employing Indigenous Elders and leaders as local commissioners who contribute to decision making. The FRC aims to establish positive social norms by attaching behavioural obligations to the receipt of welfare payments. CYWR also provides a number of self-help programs in the trial communities to contribute to the safety of children, including: </w:t>
      </w:r>
    </w:p>
    <w:p w:rsidR="00332EE1" w:rsidRPr="00332EE1" w:rsidRDefault="00332EE1" w:rsidP="002B1CF4">
      <w:pPr>
        <w:pStyle w:val="ListBullet"/>
      </w:pPr>
      <w:r w:rsidRPr="00332EE1">
        <w:t xml:space="preserve">It Takes a Village to Raise a Child (a component of the Social Responsibility Stream of the CYWR trial) has adapted the Triple P Parenting Programs for remote Cape York community conditions. </w:t>
      </w:r>
      <w:r w:rsidR="00B5019E">
        <w:t>This</w:t>
      </w:r>
      <w:r w:rsidRPr="00332EE1">
        <w:t xml:space="preserve"> has been managed by the not-for-profit organisation Cape York Partnerships (CYP) since September 2010. The program is delivered by local Aboriginal and Torres Strait Islander staff, who provide a diverse range of family engagement activities under various initiatives</w:t>
      </w:r>
      <w:r w:rsidR="002B1CF4">
        <w:t>,</w:t>
      </w:r>
      <w:r w:rsidRPr="00332EE1">
        <w:t xml:space="preserve"> such as Strong Families and Baby College</w:t>
      </w:r>
      <w:r w:rsidR="002B1CF4">
        <w:t>,</w:t>
      </w:r>
      <w:r w:rsidRPr="00332EE1">
        <w:t xml:space="preserve"> which promote the benefits of positive parenting to ensure that Indigenous children get the best possible start in life. </w:t>
      </w:r>
    </w:p>
    <w:p w:rsidR="00332EE1" w:rsidRPr="00332EE1" w:rsidRDefault="00332EE1" w:rsidP="002B1CF4">
      <w:pPr>
        <w:pStyle w:val="ListBullet"/>
      </w:pPr>
      <w:r w:rsidRPr="00332EE1">
        <w:t>Strong Families is a structured program initiative for children and families who are either referred, or at risk of being referred, to the FRC, or for those families who volunteer to participate in the initiative. The principal focus of the initiative is to improve the potential for children in protection to return to safe and functional homes where parents are fulfilling their responsibilities. Participants are actively case managed by program staff, and the initiative includes intensive one-on-one support in the home, education in positive parenting techniques and integrated behaviour management. This provides parents with the framework to enable them to fulfil their parental responsibilities, including maintaining the safety of their children.</w:t>
      </w:r>
    </w:p>
    <w:p w:rsidR="00332EE1" w:rsidRPr="00332EE1" w:rsidRDefault="00332EE1" w:rsidP="002B1CF4">
      <w:pPr>
        <w:pStyle w:val="ListBullet"/>
      </w:pPr>
      <w:r w:rsidRPr="00332EE1">
        <w:t xml:space="preserve">Baby College (inspired by a project of the same name run by the Harlem Children’s Zone) builds on the existing capabilities of parents. It provides a ‘college’ enabling impending parents to socialise and prepare for the birth of their child with an emphasis on antenatal and postnatal health. Parents are also given the skills to lay the foundations for the positive early development of their children. </w:t>
      </w:r>
    </w:p>
    <w:p w:rsidR="006632D2" w:rsidRDefault="00332EE1" w:rsidP="002B1CF4">
      <w:pPr>
        <w:pStyle w:val="ListBullet"/>
      </w:pPr>
      <w:r w:rsidRPr="00332EE1">
        <w:t>The Ending Family Violence Program (EFVP), delivered by the FRC, is a culturally specific program designed for Indigenous offenders. The EFVP consists of 10 sessions, usually facilitated twice a week in sessions lasting two hours. It focuses on several key areas, including: identifying the nature of violence in families; the links between alcohol use and violence in families; awareness of the consequences of violence; identifying how violence can be prevented; and developing a relapse prevention and management plan to establish positive lifestyle choices. Clients of the program have advised that it provides useful practical guidance to reduce violent behaviours and negotiate challenging situations.</w:t>
      </w:r>
    </w:p>
    <w:p w:rsidR="00BD5D4E" w:rsidRPr="00821556" w:rsidRDefault="00BD5D4E" w:rsidP="00B827C1">
      <w:pPr>
        <w:pStyle w:val="Heading3"/>
      </w:pPr>
      <w:bookmarkStart w:id="195" w:name="_Toc400007770"/>
      <w:r w:rsidRPr="00821556">
        <w:t>South Australia</w:t>
      </w:r>
      <w:bookmarkEnd w:id="195"/>
    </w:p>
    <w:p w:rsidR="002670BF" w:rsidRPr="007847B7" w:rsidRDefault="008B2956" w:rsidP="00F56F9B">
      <w:pPr>
        <w:pStyle w:val="Heading4"/>
      </w:pPr>
      <w:r w:rsidRPr="007847B7">
        <w:t>Closing the Gap</w:t>
      </w:r>
    </w:p>
    <w:p w:rsidR="002670BF" w:rsidRPr="002670BF" w:rsidRDefault="0048014D" w:rsidP="002670BF">
      <w:pPr>
        <w:rPr>
          <w:rFonts w:ascii="Calibri" w:hAnsi="Calibri" w:cs="Calibri"/>
          <w:sz w:val="24"/>
          <w:szCs w:val="24"/>
        </w:rPr>
      </w:pPr>
      <w:r w:rsidRPr="00D542E9">
        <w:rPr>
          <w:rFonts w:ascii="Calibri" w:hAnsi="Calibri" w:cs="Calibri"/>
          <w:sz w:val="24"/>
          <w:szCs w:val="24"/>
        </w:rPr>
        <w:t>CAMHS</w:t>
      </w:r>
      <w:r w:rsidR="002670BF" w:rsidRPr="002670BF">
        <w:rPr>
          <w:rFonts w:ascii="Calibri" w:hAnsi="Calibri" w:cs="Calibri"/>
          <w:sz w:val="24"/>
          <w:szCs w:val="24"/>
        </w:rPr>
        <w:t xml:space="preserve"> provides mental health support</w:t>
      </w:r>
      <w:r w:rsidR="007C1F83">
        <w:rPr>
          <w:rFonts w:ascii="Calibri" w:hAnsi="Calibri" w:cs="Calibri"/>
          <w:sz w:val="24"/>
          <w:szCs w:val="24"/>
        </w:rPr>
        <w:t xml:space="preserve"> services</w:t>
      </w:r>
      <w:r w:rsidR="002670BF" w:rsidRPr="002670BF">
        <w:rPr>
          <w:rFonts w:ascii="Calibri" w:hAnsi="Calibri" w:cs="Calibri"/>
          <w:sz w:val="24"/>
          <w:szCs w:val="24"/>
        </w:rPr>
        <w:t xml:space="preserve"> to the APY Lands Communities</w:t>
      </w:r>
      <w:r w:rsidR="007C1F83">
        <w:rPr>
          <w:rFonts w:ascii="Calibri" w:hAnsi="Calibri" w:cs="Calibri"/>
          <w:sz w:val="24"/>
          <w:szCs w:val="24"/>
        </w:rPr>
        <w:t xml:space="preserve">, some of which </w:t>
      </w:r>
      <w:r w:rsidR="00FC017D">
        <w:rPr>
          <w:rFonts w:ascii="Calibri" w:hAnsi="Calibri" w:cs="Calibri"/>
          <w:sz w:val="24"/>
          <w:szCs w:val="24"/>
        </w:rPr>
        <w:t>are</w:t>
      </w:r>
      <w:r w:rsidR="007C1F83">
        <w:rPr>
          <w:rFonts w:ascii="Calibri" w:hAnsi="Calibri" w:cs="Calibri"/>
          <w:sz w:val="24"/>
          <w:szCs w:val="24"/>
        </w:rPr>
        <w:t xml:space="preserve"> Lands-based</w:t>
      </w:r>
      <w:r w:rsidR="002670BF" w:rsidRPr="002670BF">
        <w:rPr>
          <w:rFonts w:ascii="Calibri" w:hAnsi="Calibri" w:cs="Calibri"/>
          <w:sz w:val="24"/>
          <w:szCs w:val="24"/>
        </w:rPr>
        <w:t>.</w:t>
      </w:r>
      <w:r w:rsidR="007764A2">
        <w:rPr>
          <w:rFonts w:ascii="Calibri" w:hAnsi="Calibri" w:cs="Calibri"/>
          <w:sz w:val="24"/>
          <w:szCs w:val="24"/>
        </w:rPr>
        <w:t xml:space="preserve"> </w:t>
      </w:r>
      <w:r w:rsidR="002670BF" w:rsidRPr="002670BF">
        <w:rPr>
          <w:rFonts w:ascii="Calibri" w:hAnsi="Calibri" w:cs="Calibri"/>
          <w:sz w:val="24"/>
          <w:szCs w:val="24"/>
        </w:rPr>
        <w:t xml:space="preserve">Workers meet with local communities, services and schools to develop partnerships and to build </w:t>
      </w:r>
      <w:r w:rsidR="00D916EC">
        <w:rPr>
          <w:rFonts w:ascii="Calibri" w:hAnsi="Calibri" w:cs="Calibri"/>
          <w:sz w:val="24"/>
          <w:szCs w:val="24"/>
        </w:rPr>
        <w:t xml:space="preserve">the capacity of </w:t>
      </w:r>
      <w:r w:rsidR="002670BF" w:rsidRPr="002670BF">
        <w:rPr>
          <w:rFonts w:ascii="Calibri" w:hAnsi="Calibri" w:cs="Calibri"/>
          <w:sz w:val="24"/>
          <w:szCs w:val="24"/>
        </w:rPr>
        <w:t>services and communities to support children</w:t>
      </w:r>
      <w:r w:rsidR="00006CA5">
        <w:rPr>
          <w:rFonts w:ascii="Calibri" w:hAnsi="Calibri" w:cs="Calibri"/>
          <w:sz w:val="24"/>
          <w:szCs w:val="24"/>
        </w:rPr>
        <w:t xml:space="preserve"> and young people</w:t>
      </w:r>
      <w:r w:rsidR="002670BF" w:rsidRPr="002670BF">
        <w:rPr>
          <w:rFonts w:ascii="Calibri" w:hAnsi="Calibri" w:cs="Calibri"/>
          <w:sz w:val="24"/>
          <w:szCs w:val="24"/>
        </w:rPr>
        <w:t>.</w:t>
      </w:r>
    </w:p>
    <w:p w:rsidR="002670BF" w:rsidRDefault="002670BF" w:rsidP="00BD5D4E">
      <w:pPr>
        <w:rPr>
          <w:rFonts w:ascii="Calibri" w:hAnsi="Calibri" w:cs="Calibri"/>
          <w:sz w:val="24"/>
          <w:szCs w:val="24"/>
        </w:rPr>
      </w:pPr>
    </w:p>
    <w:p w:rsidR="002670BF" w:rsidRDefault="002670BF" w:rsidP="002670BF">
      <w:pPr>
        <w:rPr>
          <w:rFonts w:ascii="Calibri" w:hAnsi="Calibri" w:cs="Calibri"/>
          <w:sz w:val="24"/>
          <w:szCs w:val="24"/>
        </w:rPr>
      </w:pPr>
      <w:r w:rsidRPr="002670BF">
        <w:rPr>
          <w:rFonts w:ascii="Calibri" w:hAnsi="Calibri" w:cs="Calibri"/>
          <w:sz w:val="24"/>
          <w:szCs w:val="24"/>
        </w:rPr>
        <w:t>Sexual Health Information, Networking and Education SA (</w:t>
      </w:r>
      <w:proofErr w:type="spellStart"/>
      <w:r w:rsidRPr="002670BF">
        <w:rPr>
          <w:rFonts w:ascii="Calibri" w:hAnsi="Calibri" w:cs="Calibri"/>
          <w:sz w:val="24"/>
          <w:szCs w:val="24"/>
        </w:rPr>
        <w:t>SHine</w:t>
      </w:r>
      <w:proofErr w:type="spellEnd"/>
      <w:r w:rsidRPr="002670BF">
        <w:rPr>
          <w:rFonts w:ascii="Calibri" w:hAnsi="Calibri" w:cs="Calibri"/>
          <w:sz w:val="24"/>
          <w:szCs w:val="24"/>
        </w:rPr>
        <w:t xml:space="preserve"> SA) is delivering two programs funded under </w:t>
      </w:r>
      <w:r w:rsidR="00D916EC">
        <w:rPr>
          <w:rFonts w:ascii="Calibri" w:hAnsi="Calibri" w:cs="Calibri"/>
          <w:sz w:val="24"/>
          <w:szCs w:val="24"/>
        </w:rPr>
        <w:t xml:space="preserve">the </w:t>
      </w:r>
      <w:r w:rsidR="009B2B97" w:rsidRPr="009906C1">
        <w:rPr>
          <w:rFonts w:ascii="Calibri" w:eastAsia="MS Mincho" w:hAnsi="Calibri" w:cs="Arial"/>
          <w:sz w:val="24"/>
          <w:szCs w:val="24"/>
          <w:lang w:eastAsia="ja-JP"/>
        </w:rPr>
        <w:t>IECDNP</w:t>
      </w:r>
      <w:r w:rsidRPr="002670BF">
        <w:rPr>
          <w:rFonts w:ascii="Calibri" w:hAnsi="Calibri" w:cs="Calibri"/>
          <w:sz w:val="24"/>
          <w:szCs w:val="24"/>
        </w:rPr>
        <w:t xml:space="preserve"> </w:t>
      </w:r>
      <w:r w:rsidR="007C1F83">
        <w:rPr>
          <w:rFonts w:ascii="Calibri" w:hAnsi="Calibri" w:cs="Calibri"/>
          <w:sz w:val="24"/>
          <w:szCs w:val="24"/>
        </w:rPr>
        <w:t>Agreement</w:t>
      </w:r>
      <w:r w:rsidRPr="002670BF">
        <w:rPr>
          <w:rFonts w:ascii="Calibri" w:hAnsi="Calibri" w:cs="Calibri"/>
          <w:sz w:val="24"/>
          <w:szCs w:val="24"/>
        </w:rPr>
        <w:t xml:space="preserve">. Both programs aim to improve health and wellbeing outcomes for Aboriginal young people and their communities by building the capacity of the community and workforce to develop culturally appropriate solutions and by promoting respectful relationships and improved sexual health literacy. </w:t>
      </w:r>
    </w:p>
    <w:p w:rsidR="002670BF" w:rsidRPr="00006CA5" w:rsidRDefault="002670BF" w:rsidP="00365BC7">
      <w:pPr>
        <w:pStyle w:val="ListBullet"/>
      </w:pPr>
      <w:r w:rsidRPr="00006CA5">
        <w:t xml:space="preserve">The Investing in Aboriginal Youth </w:t>
      </w:r>
      <w:r w:rsidR="003E2CBE">
        <w:t>p</w:t>
      </w:r>
      <w:r w:rsidR="003E2CBE" w:rsidRPr="00006CA5">
        <w:t xml:space="preserve">rogram </w:t>
      </w:r>
      <w:r w:rsidRPr="00006CA5">
        <w:t xml:space="preserve">works with young Aboriginal people, communities and workers within health, education and </w:t>
      </w:r>
      <w:r w:rsidR="00365BC7">
        <w:t xml:space="preserve">the </w:t>
      </w:r>
      <w:r w:rsidRPr="00006CA5">
        <w:t xml:space="preserve">community sector within identified rural, remote and metropolitan Aboriginal communities. </w:t>
      </w:r>
      <w:r w:rsidR="007C1F83">
        <w:t>T</w:t>
      </w:r>
      <w:r w:rsidR="00006CA5">
        <w:t>he program</w:t>
      </w:r>
      <w:r w:rsidRPr="00006CA5">
        <w:t xml:space="preserve"> coordinat</w:t>
      </w:r>
      <w:r w:rsidR="007C1F83">
        <w:t>es</w:t>
      </w:r>
      <w:r w:rsidRPr="00006CA5">
        <w:t xml:space="preserve"> and </w:t>
      </w:r>
      <w:r w:rsidR="007C1F83" w:rsidRPr="00006CA5">
        <w:t>provid</w:t>
      </w:r>
      <w:r w:rsidR="007C1F83">
        <w:t>es</w:t>
      </w:r>
      <w:r w:rsidR="007C1F83" w:rsidRPr="00006CA5">
        <w:t xml:space="preserve"> </w:t>
      </w:r>
      <w:r w:rsidRPr="00006CA5">
        <w:t xml:space="preserve">training programs and projects to </w:t>
      </w:r>
      <w:r w:rsidR="007C1F83">
        <w:t xml:space="preserve">improve </w:t>
      </w:r>
      <w:r w:rsidRPr="00006CA5">
        <w:t xml:space="preserve">relationships and sexual health </w:t>
      </w:r>
      <w:r w:rsidR="007C1F83">
        <w:t>literacy among Aboriginal young people</w:t>
      </w:r>
      <w:r w:rsidRPr="00006CA5">
        <w:t>.</w:t>
      </w:r>
    </w:p>
    <w:p w:rsidR="002670BF" w:rsidRPr="00006CA5" w:rsidRDefault="002670BF" w:rsidP="007C1F83">
      <w:pPr>
        <w:pStyle w:val="ListBullet"/>
      </w:pPr>
      <w:r w:rsidRPr="00006CA5">
        <w:t>The Aboriginal Focus Schools Program</w:t>
      </w:r>
      <w:r w:rsidR="00006CA5">
        <w:t xml:space="preserve"> </w:t>
      </w:r>
      <w:r w:rsidRPr="00006CA5">
        <w:t xml:space="preserve">aims to increase the capacity of </w:t>
      </w:r>
      <w:r w:rsidR="007C1F83">
        <w:t xml:space="preserve">school </w:t>
      </w:r>
      <w:r w:rsidRPr="00006CA5">
        <w:t>principals, teachers, Aboriginal Community Education Officers</w:t>
      </w:r>
      <w:r w:rsidR="007C1F83">
        <w:t xml:space="preserve"> and </w:t>
      </w:r>
      <w:r w:rsidRPr="00006CA5">
        <w:t xml:space="preserve">parents in Aboriginal </w:t>
      </w:r>
      <w:r w:rsidR="007C1F83">
        <w:t>communities</w:t>
      </w:r>
      <w:r w:rsidR="007C1F83" w:rsidRPr="007C1F83">
        <w:t xml:space="preserve"> to promote and improve </w:t>
      </w:r>
      <w:r w:rsidR="00FC017D">
        <w:t xml:space="preserve">the </w:t>
      </w:r>
      <w:r w:rsidR="007C1F83" w:rsidRPr="007C1F83">
        <w:t>sexual health literacy and wellbeing of Aboriginal students in rural and remote areas</w:t>
      </w:r>
      <w:r w:rsidRPr="00006CA5">
        <w:t xml:space="preserve">. This </w:t>
      </w:r>
      <w:r w:rsidR="007C1F83">
        <w:t>includes</w:t>
      </w:r>
      <w:r w:rsidRPr="00006CA5">
        <w:t xml:space="preserve"> the planning, implementation and evaluation of programs for teachers and Aboriginal Community E</w:t>
      </w:r>
      <w:r w:rsidR="00006CA5">
        <w:t>ducation Officers.</w:t>
      </w:r>
    </w:p>
    <w:p w:rsidR="00365BC7" w:rsidRDefault="00365BC7" w:rsidP="002670BF">
      <w:pPr>
        <w:rPr>
          <w:rFonts w:ascii="Calibri" w:hAnsi="Calibri" w:cs="Calibri"/>
          <w:sz w:val="24"/>
          <w:szCs w:val="24"/>
        </w:rPr>
      </w:pPr>
    </w:p>
    <w:p w:rsidR="002670BF" w:rsidRDefault="00006CA5" w:rsidP="002670BF">
      <w:pPr>
        <w:rPr>
          <w:rFonts w:ascii="Calibri" w:hAnsi="Calibri" w:cs="Calibri"/>
          <w:sz w:val="24"/>
          <w:szCs w:val="24"/>
        </w:rPr>
      </w:pPr>
      <w:r>
        <w:rPr>
          <w:rFonts w:ascii="Calibri" w:hAnsi="Calibri" w:cs="Calibri"/>
          <w:sz w:val="24"/>
          <w:szCs w:val="24"/>
        </w:rPr>
        <w:t>There are 17</w:t>
      </w:r>
      <w:r w:rsidR="002670BF" w:rsidRPr="002670BF">
        <w:rPr>
          <w:rFonts w:ascii="Calibri" w:hAnsi="Calibri" w:cs="Calibri"/>
          <w:sz w:val="24"/>
          <w:szCs w:val="24"/>
        </w:rPr>
        <w:t xml:space="preserve"> priority </w:t>
      </w:r>
      <w:r>
        <w:rPr>
          <w:rFonts w:ascii="Calibri" w:hAnsi="Calibri" w:cs="Calibri"/>
          <w:sz w:val="24"/>
          <w:szCs w:val="24"/>
        </w:rPr>
        <w:t>schools, plus seven</w:t>
      </w:r>
      <w:r w:rsidR="002670BF" w:rsidRPr="002670BF">
        <w:rPr>
          <w:rFonts w:ascii="Calibri" w:hAnsi="Calibri" w:cs="Calibri"/>
          <w:sz w:val="24"/>
          <w:szCs w:val="24"/>
        </w:rPr>
        <w:t xml:space="preserve"> additional schools</w:t>
      </w:r>
      <w:r>
        <w:rPr>
          <w:rFonts w:ascii="Calibri" w:hAnsi="Calibri" w:cs="Calibri"/>
          <w:sz w:val="24"/>
          <w:szCs w:val="24"/>
        </w:rPr>
        <w:t>,</w:t>
      </w:r>
      <w:r w:rsidR="002670BF" w:rsidRPr="002670BF">
        <w:rPr>
          <w:rFonts w:ascii="Calibri" w:hAnsi="Calibri" w:cs="Calibri"/>
          <w:sz w:val="24"/>
          <w:szCs w:val="24"/>
        </w:rPr>
        <w:t xml:space="preserve"> successfully engaged in the Aboriginal Focus School</w:t>
      </w:r>
      <w:r w:rsidR="008852AA">
        <w:rPr>
          <w:rFonts w:ascii="Calibri" w:hAnsi="Calibri" w:cs="Calibri"/>
          <w:sz w:val="24"/>
          <w:szCs w:val="24"/>
        </w:rPr>
        <w:t>s</w:t>
      </w:r>
      <w:r w:rsidR="002670BF" w:rsidRPr="002670BF">
        <w:rPr>
          <w:rFonts w:ascii="Calibri" w:hAnsi="Calibri" w:cs="Calibri"/>
          <w:sz w:val="24"/>
          <w:szCs w:val="24"/>
        </w:rPr>
        <w:t xml:space="preserve"> Program</w:t>
      </w:r>
      <w:r w:rsidR="00365BC7">
        <w:rPr>
          <w:rFonts w:ascii="Calibri" w:hAnsi="Calibri" w:cs="Calibri"/>
          <w:sz w:val="24"/>
          <w:szCs w:val="24"/>
        </w:rPr>
        <w:t>,</w:t>
      </w:r>
      <w:r w:rsidR="002670BF" w:rsidRPr="002670BF">
        <w:rPr>
          <w:rFonts w:ascii="Calibri" w:hAnsi="Calibri" w:cs="Calibri"/>
          <w:sz w:val="24"/>
          <w:szCs w:val="24"/>
        </w:rPr>
        <w:t xml:space="preserve"> and 20 community groups are </w:t>
      </w:r>
      <w:r>
        <w:rPr>
          <w:rFonts w:ascii="Calibri" w:hAnsi="Calibri" w:cs="Calibri"/>
          <w:sz w:val="24"/>
          <w:szCs w:val="24"/>
        </w:rPr>
        <w:t>actively</w:t>
      </w:r>
      <w:r w:rsidR="002670BF" w:rsidRPr="002670BF">
        <w:rPr>
          <w:rFonts w:ascii="Calibri" w:hAnsi="Calibri" w:cs="Calibri"/>
          <w:sz w:val="24"/>
          <w:szCs w:val="24"/>
        </w:rPr>
        <w:t xml:space="preserve"> engaged in the Investing in Aboriginal Youth program.</w:t>
      </w:r>
    </w:p>
    <w:p w:rsidR="002670BF" w:rsidRDefault="002670BF" w:rsidP="002670BF">
      <w:pPr>
        <w:rPr>
          <w:rFonts w:ascii="Calibri" w:hAnsi="Calibri" w:cs="Calibri"/>
          <w:sz w:val="24"/>
          <w:szCs w:val="24"/>
        </w:rPr>
      </w:pPr>
    </w:p>
    <w:p w:rsidR="002670BF" w:rsidRDefault="0058576F" w:rsidP="002670BF">
      <w:pPr>
        <w:rPr>
          <w:rFonts w:ascii="Calibri" w:hAnsi="Calibri" w:cs="Calibri"/>
          <w:sz w:val="24"/>
          <w:szCs w:val="24"/>
        </w:rPr>
      </w:pPr>
      <w:r>
        <w:rPr>
          <w:rFonts w:ascii="Calibri" w:hAnsi="Calibri" w:cs="Calibri"/>
          <w:sz w:val="24"/>
          <w:szCs w:val="24"/>
        </w:rPr>
        <w:t>DECD (</w:t>
      </w:r>
      <w:r w:rsidR="002670BF" w:rsidRPr="002670BF">
        <w:rPr>
          <w:rFonts w:ascii="Calibri" w:hAnsi="Calibri" w:cs="Calibri"/>
          <w:sz w:val="24"/>
          <w:szCs w:val="24"/>
        </w:rPr>
        <w:t>Families SA</w:t>
      </w:r>
      <w:r>
        <w:rPr>
          <w:rFonts w:ascii="Calibri" w:hAnsi="Calibri" w:cs="Calibri"/>
          <w:sz w:val="24"/>
          <w:szCs w:val="24"/>
        </w:rPr>
        <w:t>)</w:t>
      </w:r>
      <w:r w:rsidR="002670BF" w:rsidRPr="002670BF">
        <w:rPr>
          <w:rFonts w:ascii="Calibri" w:hAnsi="Calibri" w:cs="Calibri"/>
          <w:sz w:val="24"/>
          <w:szCs w:val="24"/>
        </w:rPr>
        <w:t xml:space="preserve"> holds regular information nights to enable community engagement with local Aboriginal populations. These informal meetings are used to provide information regarding Families SA services</w:t>
      </w:r>
      <w:r w:rsidR="00365BC7">
        <w:rPr>
          <w:rFonts w:ascii="Calibri" w:hAnsi="Calibri" w:cs="Calibri"/>
          <w:sz w:val="24"/>
          <w:szCs w:val="24"/>
        </w:rPr>
        <w:t xml:space="preserve"> and</w:t>
      </w:r>
      <w:r w:rsidR="002670BF" w:rsidRPr="002670BF">
        <w:rPr>
          <w:rFonts w:ascii="Calibri" w:hAnsi="Calibri" w:cs="Calibri"/>
          <w:sz w:val="24"/>
          <w:szCs w:val="24"/>
        </w:rPr>
        <w:t xml:space="preserve"> any upcoming employment opportunities and to encourage the local community to apply for positions. One region also has a more formalised community engagement group. In country areas across South Australia, informal networks are successfully utilised to encourage Indigenous people to work in child protection and family support.</w:t>
      </w:r>
    </w:p>
    <w:p w:rsidR="002670BF" w:rsidRDefault="002670BF" w:rsidP="002670BF">
      <w:pPr>
        <w:rPr>
          <w:rFonts w:ascii="Calibri" w:hAnsi="Calibri" w:cs="Calibri"/>
          <w:sz w:val="24"/>
          <w:szCs w:val="24"/>
        </w:rPr>
      </w:pPr>
    </w:p>
    <w:p w:rsidR="00EB3AC6" w:rsidRDefault="00EB3AC6">
      <w:pPr>
        <w:rPr>
          <w:rFonts w:ascii="Calibri" w:hAnsi="Calibri" w:cs="Calibri"/>
          <w:i/>
          <w:sz w:val="24"/>
          <w:szCs w:val="24"/>
        </w:rPr>
      </w:pPr>
      <w:r>
        <w:rPr>
          <w:rFonts w:ascii="Calibri" w:hAnsi="Calibri" w:cs="Calibri"/>
          <w:i/>
          <w:sz w:val="24"/>
          <w:szCs w:val="24"/>
        </w:rPr>
        <w:br w:type="page"/>
      </w:r>
    </w:p>
    <w:p w:rsidR="002670BF" w:rsidRPr="007847B7" w:rsidRDefault="008566C0" w:rsidP="00F56F9B">
      <w:pPr>
        <w:pStyle w:val="Heading4"/>
      </w:pPr>
      <w:r w:rsidRPr="007847B7">
        <w:t>Other Supporting Actions</w:t>
      </w:r>
    </w:p>
    <w:p w:rsidR="002670BF" w:rsidRDefault="0058576F" w:rsidP="002670BF">
      <w:pPr>
        <w:rPr>
          <w:rFonts w:ascii="Calibri" w:hAnsi="Calibri" w:cs="Calibri"/>
          <w:sz w:val="24"/>
          <w:szCs w:val="24"/>
        </w:rPr>
      </w:pPr>
      <w:r>
        <w:rPr>
          <w:rFonts w:ascii="Calibri" w:hAnsi="Calibri" w:cs="Calibri"/>
          <w:sz w:val="24"/>
          <w:szCs w:val="24"/>
        </w:rPr>
        <w:t>DECD (</w:t>
      </w:r>
      <w:r w:rsidR="002670BF" w:rsidRPr="002670BF">
        <w:rPr>
          <w:rFonts w:ascii="Calibri" w:hAnsi="Calibri" w:cs="Calibri"/>
          <w:sz w:val="24"/>
          <w:szCs w:val="24"/>
        </w:rPr>
        <w:t>Families SA</w:t>
      </w:r>
      <w:r>
        <w:rPr>
          <w:rFonts w:ascii="Calibri" w:hAnsi="Calibri" w:cs="Calibri"/>
          <w:sz w:val="24"/>
          <w:szCs w:val="24"/>
        </w:rPr>
        <w:t>)</w:t>
      </w:r>
      <w:r w:rsidR="002670BF" w:rsidRPr="002670BF">
        <w:rPr>
          <w:rFonts w:ascii="Calibri" w:hAnsi="Calibri" w:cs="Calibri"/>
          <w:sz w:val="24"/>
          <w:szCs w:val="24"/>
        </w:rPr>
        <w:t xml:space="preserve"> has developed </w:t>
      </w:r>
      <w:r w:rsidR="00006CA5">
        <w:rPr>
          <w:rFonts w:ascii="Calibri" w:hAnsi="Calibri" w:cs="Calibri"/>
          <w:sz w:val="24"/>
          <w:szCs w:val="24"/>
        </w:rPr>
        <w:t xml:space="preserve">a </w:t>
      </w:r>
      <w:r w:rsidR="004461FA">
        <w:rPr>
          <w:rFonts w:ascii="Calibri" w:hAnsi="Calibri" w:cs="Calibri"/>
          <w:sz w:val="24"/>
          <w:szCs w:val="24"/>
        </w:rPr>
        <w:t xml:space="preserve">Residential Care </w:t>
      </w:r>
      <w:r w:rsidR="00006CA5" w:rsidRPr="00006CA5">
        <w:rPr>
          <w:rFonts w:ascii="Calibri" w:hAnsi="Calibri" w:cs="Calibri"/>
          <w:sz w:val="24"/>
          <w:szCs w:val="24"/>
        </w:rPr>
        <w:t>Practice Guide</w:t>
      </w:r>
      <w:r w:rsidR="00365BC7">
        <w:rPr>
          <w:rFonts w:ascii="Calibri" w:hAnsi="Calibri" w:cs="Calibri"/>
          <w:sz w:val="24"/>
          <w:szCs w:val="24"/>
        </w:rPr>
        <w:t>—</w:t>
      </w:r>
      <w:r w:rsidR="00006CA5" w:rsidRPr="00006CA5">
        <w:rPr>
          <w:rFonts w:ascii="Calibri" w:hAnsi="Calibri" w:cs="Calibri"/>
          <w:sz w:val="24"/>
          <w:szCs w:val="24"/>
        </w:rPr>
        <w:t>Working with Aboriginal and Torres Strait Isl</w:t>
      </w:r>
      <w:r w:rsidR="00006CA5">
        <w:rPr>
          <w:rFonts w:ascii="Calibri" w:hAnsi="Calibri" w:cs="Calibri"/>
          <w:sz w:val="24"/>
          <w:szCs w:val="24"/>
        </w:rPr>
        <w:t>ander children and young people. The</w:t>
      </w:r>
      <w:r w:rsidR="007764A2">
        <w:rPr>
          <w:rFonts w:ascii="Calibri" w:hAnsi="Calibri" w:cs="Calibri"/>
          <w:sz w:val="24"/>
          <w:szCs w:val="24"/>
        </w:rPr>
        <w:t xml:space="preserve"> </w:t>
      </w:r>
      <w:r w:rsidR="00006CA5">
        <w:rPr>
          <w:rFonts w:ascii="Calibri" w:hAnsi="Calibri" w:cs="Calibri"/>
          <w:sz w:val="24"/>
          <w:szCs w:val="24"/>
        </w:rPr>
        <w:t xml:space="preserve">purpose of this guide is to </w:t>
      </w:r>
      <w:r w:rsidR="002670BF" w:rsidRPr="002670BF">
        <w:rPr>
          <w:rFonts w:ascii="Calibri" w:hAnsi="Calibri" w:cs="Calibri"/>
          <w:sz w:val="24"/>
          <w:szCs w:val="24"/>
        </w:rPr>
        <w:t xml:space="preserve">provide staff with comprehensive guidance in ways </w:t>
      </w:r>
      <w:r w:rsidR="00365BC7">
        <w:rPr>
          <w:rFonts w:ascii="Calibri" w:hAnsi="Calibri" w:cs="Calibri"/>
          <w:sz w:val="24"/>
          <w:szCs w:val="24"/>
        </w:rPr>
        <w:t>that will</w:t>
      </w:r>
      <w:r w:rsidR="00365BC7" w:rsidRPr="002670BF">
        <w:rPr>
          <w:rFonts w:ascii="Calibri" w:hAnsi="Calibri" w:cs="Calibri"/>
          <w:sz w:val="24"/>
          <w:szCs w:val="24"/>
        </w:rPr>
        <w:t xml:space="preserve"> </w:t>
      </w:r>
      <w:r w:rsidR="002670BF" w:rsidRPr="002670BF">
        <w:rPr>
          <w:rFonts w:ascii="Calibri" w:hAnsi="Calibri" w:cs="Calibri"/>
          <w:sz w:val="24"/>
          <w:szCs w:val="24"/>
        </w:rPr>
        <w:t xml:space="preserve">forge positive cultural connections and </w:t>
      </w:r>
      <w:r w:rsidR="00365BC7">
        <w:rPr>
          <w:rFonts w:ascii="Calibri" w:hAnsi="Calibri" w:cs="Calibri"/>
          <w:sz w:val="24"/>
          <w:szCs w:val="24"/>
        </w:rPr>
        <w:t xml:space="preserve">a </w:t>
      </w:r>
      <w:r w:rsidR="002670BF" w:rsidRPr="002670BF">
        <w:rPr>
          <w:rFonts w:ascii="Calibri" w:hAnsi="Calibri" w:cs="Calibri"/>
          <w:sz w:val="24"/>
          <w:szCs w:val="24"/>
        </w:rPr>
        <w:t xml:space="preserve">sense of identity for Aboriginal children and young people in their care. This practice guide is supported by </w:t>
      </w:r>
      <w:r w:rsidR="004461FA">
        <w:rPr>
          <w:rFonts w:ascii="Calibri" w:hAnsi="Calibri" w:cs="Calibri"/>
          <w:sz w:val="24"/>
          <w:szCs w:val="24"/>
        </w:rPr>
        <w:t>a</w:t>
      </w:r>
      <w:r w:rsidR="002670BF" w:rsidRPr="002670BF">
        <w:rPr>
          <w:rFonts w:ascii="Calibri" w:hAnsi="Calibri" w:cs="Calibri"/>
          <w:sz w:val="24"/>
          <w:szCs w:val="24"/>
        </w:rPr>
        <w:t xml:space="preserve"> Standard Operating Procedure </w:t>
      </w:r>
      <w:r w:rsidR="004461FA">
        <w:rPr>
          <w:rFonts w:ascii="Calibri" w:hAnsi="Calibri" w:cs="Calibri"/>
          <w:sz w:val="24"/>
          <w:szCs w:val="24"/>
        </w:rPr>
        <w:t>which extends</w:t>
      </w:r>
      <w:r w:rsidR="002670BF" w:rsidRPr="002670BF">
        <w:rPr>
          <w:rFonts w:ascii="Calibri" w:hAnsi="Calibri" w:cs="Calibri"/>
          <w:sz w:val="24"/>
          <w:szCs w:val="24"/>
        </w:rPr>
        <w:t xml:space="preserve"> the professional development </w:t>
      </w:r>
      <w:proofErr w:type="gramStart"/>
      <w:r w:rsidR="002670BF" w:rsidRPr="002670BF">
        <w:rPr>
          <w:rFonts w:ascii="Calibri" w:hAnsi="Calibri" w:cs="Calibri"/>
          <w:sz w:val="24"/>
          <w:szCs w:val="24"/>
        </w:rPr>
        <w:t xml:space="preserve">staff </w:t>
      </w:r>
      <w:r w:rsidR="004461FA">
        <w:rPr>
          <w:rFonts w:ascii="Calibri" w:hAnsi="Calibri" w:cs="Calibri"/>
          <w:sz w:val="24"/>
          <w:szCs w:val="24"/>
        </w:rPr>
        <w:t>receive</w:t>
      </w:r>
      <w:proofErr w:type="gramEnd"/>
      <w:r w:rsidR="004461FA">
        <w:rPr>
          <w:rFonts w:ascii="Calibri" w:hAnsi="Calibri" w:cs="Calibri"/>
          <w:sz w:val="24"/>
          <w:szCs w:val="24"/>
        </w:rPr>
        <w:t xml:space="preserve"> </w:t>
      </w:r>
      <w:r w:rsidR="002670BF" w:rsidRPr="002670BF">
        <w:rPr>
          <w:rFonts w:ascii="Calibri" w:hAnsi="Calibri" w:cs="Calibri"/>
          <w:sz w:val="24"/>
          <w:szCs w:val="24"/>
        </w:rPr>
        <w:t xml:space="preserve">from their foundation training in Aboriginal Cultural Sensitivity and Respect. </w:t>
      </w:r>
    </w:p>
    <w:p w:rsidR="00BD5D4E" w:rsidRPr="00821556" w:rsidRDefault="00BD5D4E" w:rsidP="00EB3AC6">
      <w:pPr>
        <w:pStyle w:val="Heading3"/>
      </w:pPr>
      <w:bookmarkStart w:id="196" w:name="_Toc400007771"/>
      <w:r w:rsidRPr="00821556">
        <w:t>Tasmania</w:t>
      </w:r>
      <w:bookmarkEnd w:id="196"/>
    </w:p>
    <w:p w:rsidR="00053415" w:rsidRPr="007847B7" w:rsidRDefault="008B2956" w:rsidP="00F56F9B">
      <w:pPr>
        <w:pStyle w:val="Heading4"/>
      </w:pPr>
      <w:r w:rsidRPr="007847B7">
        <w:t>Closing the Gap</w:t>
      </w:r>
    </w:p>
    <w:p w:rsidR="00C6523A" w:rsidRPr="00C6523A" w:rsidRDefault="00C6523A" w:rsidP="00C6523A">
      <w:pPr>
        <w:rPr>
          <w:rFonts w:ascii="Calibri" w:hAnsi="Calibri" w:cs="Calibri"/>
          <w:sz w:val="24"/>
          <w:szCs w:val="24"/>
        </w:rPr>
      </w:pPr>
      <w:proofErr w:type="spellStart"/>
      <w:proofErr w:type="gramStart"/>
      <w:r w:rsidRPr="00C6523A">
        <w:rPr>
          <w:rFonts w:ascii="Calibri" w:hAnsi="Calibri" w:cs="Calibri"/>
          <w:sz w:val="24"/>
          <w:szCs w:val="24"/>
        </w:rPr>
        <w:t>CHaPS</w:t>
      </w:r>
      <w:proofErr w:type="spellEnd"/>
      <w:r w:rsidRPr="00C6523A">
        <w:rPr>
          <w:rFonts w:ascii="Calibri" w:hAnsi="Calibri" w:cs="Calibri"/>
          <w:sz w:val="24"/>
          <w:szCs w:val="24"/>
        </w:rPr>
        <w:t xml:space="preserve"> provides</w:t>
      </w:r>
      <w:proofErr w:type="gramEnd"/>
      <w:r w:rsidRPr="00C6523A">
        <w:rPr>
          <w:rFonts w:ascii="Calibri" w:hAnsi="Calibri" w:cs="Calibri"/>
          <w:sz w:val="24"/>
          <w:szCs w:val="24"/>
        </w:rPr>
        <w:t xml:space="preserve"> outreach services to Aboriginal organisations through the placement of a child and family health nurse within the Tasmanian Aboriginal Service and the South East Tasmanian Aboriginal Corporation.</w:t>
      </w:r>
      <w:r w:rsidR="007764A2">
        <w:rPr>
          <w:rFonts w:ascii="Calibri" w:hAnsi="Calibri" w:cs="Calibri"/>
          <w:sz w:val="24"/>
          <w:szCs w:val="24"/>
        </w:rPr>
        <w:t xml:space="preserve"> </w:t>
      </w:r>
    </w:p>
    <w:p w:rsidR="00C6523A" w:rsidRDefault="00C6523A" w:rsidP="00C6523A">
      <w:pPr>
        <w:rPr>
          <w:rFonts w:ascii="Calibri" w:hAnsi="Calibri" w:cs="Calibri"/>
          <w:sz w:val="24"/>
          <w:szCs w:val="24"/>
        </w:rPr>
      </w:pPr>
    </w:p>
    <w:p w:rsidR="00C6523A" w:rsidRDefault="00C6523A" w:rsidP="00C6523A">
      <w:pPr>
        <w:rPr>
          <w:rFonts w:ascii="Calibri" w:hAnsi="Calibri" w:cs="Calibri"/>
          <w:sz w:val="24"/>
          <w:szCs w:val="24"/>
        </w:rPr>
      </w:pPr>
      <w:r w:rsidRPr="00C6523A">
        <w:rPr>
          <w:rFonts w:ascii="Calibri" w:hAnsi="Calibri" w:cs="Calibri"/>
          <w:sz w:val="24"/>
          <w:szCs w:val="24"/>
        </w:rPr>
        <w:t>Aboriginal families are also encouraged to access mainstream universal services and clinics.</w:t>
      </w:r>
      <w:r w:rsidR="007764A2">
        <w:rPr>
          <w:rFonts w:ascii="Calibri" w:hAnsi="Calibri" w:cs="Calibri"/>
          <w:sz w:val="24"/>
          <w:szCs w:val="24"/>
        </w:rPr>
        <w:t xml:space="preserve"> </w:t>
      </w:r>
      <w:r w:rsidRPr="00C6523A">
        <w:rPr>
          <w:rFonts w:ascii="Calibri" w:hAnsi="Calibri" w:cs="Calibri"/>
          <w:sz w:val="24"/>
          <w:szCs w:val="24"/>
        </w:rPr>
        <w:t>Wh</w:t>
      </w:r>
      <w:r w:rsidR="008566C0">
        <w:rPr>
          <w:rFonts w:ascii="Calibri" w:hAnsi="Calibri" w:cs="Calibri"/>
          <w:sz w:val="24"/>
          <w:szCs w:val="24"/>
        </w:rPr>
        <w:t>en appropriate</w:t>
      </w:r>
      <w:r w:rsidR="00006CA5">
        <w:rPr>
          <w:rFonts w:ascii="Calibri" w:hAnsi="Calibri" w:cs="Calibri"/>
          <w:sz w:val="24"/>
          <w:szCs w:val="24"/>
        </w:rPr>
        <w:t>,</w:t>
      </w:r>
      <w:r w:rsidRPr="00C6523A">
        <w:rPr>
          <w:rFonts w:ascii="Calibri" w:hAnsi="Calibri" w:cs="Calibri"/>
          <w:sz w:val="24"/>
          <w:szCs w:val="24"/>
        </w:rPr>
        <w:t xml:space="preserve"> Aboriginal families may also be referred into secondary and tertiary mainstream services.</w:t>
      </w:r>
      <w:r w:rsidR="007764A2">
        <w:rPr>
          <w:rFonts w:ascii="Calibri" w:hAnsi="Calibri" w:cs="Calibri"/>
          <w:sz w:val="24"/>
          <w:szCs w:val="24"/>
        </w:rPr>
        <w:t xml:space="preserve"> </w:t>
      </w:r>
      <w:r w:rsidRPr="00C6523A">
        <w:rPr>
          <w:rFonts w:ascii="Calibri" w:hAnsi="Calibri" w:cs="Calibri"/>
          <w:sz w:val="24"/>
          <w:szCs w:val="24"/>
        </w:rPr>
        <w:t xml:space="preserve">This option is often utilised by those families identifying as Aboriginal but preferring to remain outside the </w:t>
      </w:r>
      <w:r w:rsidR="00663A0A" w:rsidRPr="00663A0A">
        <w:rPr>
          <w:rFonts w:ascii="Calibri" w:hAnsi="Calibri" w:cs="Calibri"/>
          <w:sz w:val="24"/>
          <w:szCs w:val="24"/>
        </w:rPr>
        <w:t>Aboriginal-</w:t>
      </w:r>
      <w:r w:rsidRPr="00C6523A">
        <w:rPr>
          <w:rFonts w:ascii="Calibri" w:hAnsi="Calibri" w:cs="Calibri"/>
          <w:sz w:val="24"/>
          <w:szCs w:val="24"/>
        </w:rPr>
        <w:t>specific service system.</w:t>
      </w:r>
    </w:p>
    <w:p w:rsidR="00C6523A" w:rsidRDefault="00C6523A" w:rsidP="00C6523A">
      <w:pPr>
        <w:rPr>
          <w:rFonts w:ascii="Calibri" w:hAnsi="Calibri" w:cs="Calibri"/>
          <w:sz w:val="24"/>
          <w:szCs w:val="24"/>
        </w:rPr>
      </w:pPr>
    </w:p>
    <w:p w:rsidR="00C6523A" w:rsidRDefault="00C6523A" w:rsidP="00C6523A">
      <w:pPr>
        <w:rPr>
          <w:rFonts w:ascii="Calibri" w:hAnsi="Calibri" w:cs="Calibri"/>
          <w:sz w:val="24"/>
          <w:szCs w:val="24"/>
        </w:rPr>
      </w:pPr>
      <w:r w:rsidRPr="00C6523A">
        <w:rPr>
          <w:rFonts w:ascii="Calibri" w:hAnsi="Calibri" w:cs="Calibri"/>
          <w:sz w:val="24"/>
          <w:szCs w:val="24"/>
        </w:rPr>
        <w:t xml:space="preserve">There are no specific strategic directions to encourage Aboriginal and Torres Strait </w:t>
      </w:r>
      <w:r w:rsidR="00663A0A" w:rsidRPr="00C6523A">
        <w:rPr>
          <w:rFonts w:ascii="Calibri" w:hAnsi="Calibri" w:cs="Calibri"/>
          <w:sz w:val="24"/>
          <w:szCs w:val="24"/>
        </w:rPr>
        <w:t>Islander</w:t>
      </w:r>
      <w:r w:rsidR="00663A0A">
        <w:rPr>
          <w:rFonts w:ascii="Calibri" w:hAnsi="Calibri" w:cs="Calibri"/>
          <w:sz w:val="24"/>
          <w:szCs w:val="24"/>
        </w:rPr>
        <w:t xml:space="preserve"> people</w:t>
      </w:r>
      <w:r w:rsidR="00663A0A" w:rsidRPr="00C6523A">
        <w:rPr>
          <w:rFonts w:ascii="Calibri" w:hAnsi="Calibri" w:cs="Calibri"/>
          <w:sz w:val="24"/>
          <w:szCs w:val="24"/>
        </w:rPr>
        <w:t xml:space="preserve"> </w:t>
      </w:r>
      <w:r w:rsidRPr="00C6523A">
        <w:rPr>
          <w:rFonts w:ascii="Calibri" w:hAnsi="Calibri" w:cs="Calibri"/>
          <w:sz w:val="24"/>
          <w:szCs w:val="24"/>
        </w:rPr>
        <w:t>to work in the Tasmanian child protection system.</w:t>
      </w:r>
      <w:r w:rsidR="007764A2">
        <w:rPr>
          <w:rFonts w:ascii="Calibri" w:hAnsi="Calibri" w:cs="Calibri"/>
          <w:sz w:val="24"/>
          <w:szCs w:val="24"/>
        </w:rPr>
        <w:t xml:space="preserve"> </w:t>
      </w:r>
      <w:r w:rsidRPr="00C6523A">
        <w:rPr>
          <w:rFonts w:ascii="Calibri" w:hAnsi="Calibri" w:cs="Calibri"/>
          <w:sz w:val="24"/>
          <w:szCs w:val="24"/>
        </w:rPr>
        <w:t xml:space="preserve">However, DHHS has some broader strategies, including scholarships for </w:t>
      </w:r>
      <w:r w:rsidR="00BC2617">
        <w:rPr>
          <w:rFonts w:ascii="Calibri" w:hAnsi="Calibri" w:cs="Calibri"/>
          <w:sz w:val="24"/>
          <w:szCs w:val="24"/>
        </w:rPr>
        <w:t>Aboriginal students,</w:t>
      </w:r>
      <w:r w:rsidRPr="00C6523A">
        <w:rPr>
          <w:rFonts w:ascii="Calibri" w:hAnsi="Calibri" w:cs="Calibri"/>
          <w:sz w:val="24"/>
          <w:szCs w:val="24"/>
        </w:rPr>
        <w:t xml:space="preserve"> to encourage participation in a health or human </w:t>
      </w:r>
      <w:r w:rsidR="00BC2617" w:rsidRPr="00C6523A">
        <w:rPr>
          <w:rFonts w:ascii="Calibri" w:hAnsi="Calibri" w:cs="Calibri"/>
          <w:sz w:val="24"/>
          <w:szCs w:val="24"/>
        </w:rPr>
        <w:t>services</w:t>
      </w:r>
      <w:r w:rsidR="00BC2617">
        <w:rPr>
          <w:rFonts w:ascii="Calibri" w:hAnsi="Calibri" w:cs="Calibri"/>
          <w:sz w:val="24"/>
          <w:szCs w:val="24"/>
        </w:rPr>
        <w:t>-</w:t>
      </w:r>
      <w:r w:rsidRPr="00C6523A">
        <w:rPr>
          <w:rFonts w:ascii="Calibri" w:hAnsi="Calibri" w:cs="Calibri"/>
          <w:sz w:val="24"/>
          <w:szCs w:val="24"/>
        </w:rPr>
        <w:t>related field.</w:t>
      </w:r>
      <w:r w:rsidR="00BC2617">
        <w:rPr>
          <w:rFonts w:ascii="Calibri" w:hAnsi="Calibri" w:cs="Calibri"/>
          <w:sz w:val="24"/>
          <w:szCs w:val="24"/>
        </w:rPr>
        <w:t xml:space="preserve"> </w:t>
      </w:r>
      <w:r w:rsidRPr="00C6523A">
        <w:rPr>
          <w:rFonts w:ascii="Calibri" w:hAnsi="Calibri" w:cs="Calibri"/>
          <w:sz w:val="24"/>
          <w:szCs w:val="24"/>
        </w:rPr>
        <w:t>The scholarship aims to address the under</w:t>
      </w:r>
      <w:r w:rsidR="00663A0A">
        <w:rPr>
          <w:rFonts w:ascii="Calibri" w:hAnsi="Calibri" w:cs="Calibri"/>
          <w:sz w:val="24"/>
          <w:szCs w:val="24"/>
        </w:rPr>
        <w:t>-</w:t>
      </w:r>
      <w:r w:rsidRPr="00C6523A">
        <w:rPr>
          <w:rFonts w:ascii="Calibri" w:hAnsi="Calibri" w:cs="Calibri"/>
          <w:sz w:val="24"/>
          <w:szCs w:val="24"/>
        </w:rPr>
        <w:t>representation of Aboriginal people in health profess</w:t>
      </w:r>
      <w:r w:rsidR="00C32CC8">
        <w:rPr>
          <w:rFonts w:ascii="Calibri" w:hAnsi="Calibri" w:cs="Calibri"/>
          <w:sz w:val="24"/>
          <w:szCs w:val="24"/>
        </w:rPr>
        <w:t>ions</w:t>
      </w:r>
      <w:r w:rsidRPr="00C6523A">
        <w:rPr>
          <w:rFonts w:ascii="Calibri" w:hAnsi="Calibri" w:cs="Calibri"/>
          <w:sz w:val="24"/>
          <w:szCs w:val="24"/>
        </w:rPr>
        <w:t xml:space="preserve"> and other health and human services</w:t>
      </w:r>
      <w:r w:rsidR="00663A0A">
        <w:rPr>
          <w:rFonts w:ascii="Calibri" w:hAnsi="Calibri" w:cs="Calibri"/>
          <w:sz w:val="24"/>
          <w:szCs w:val="24"/>
        </w:rPr>
        <w:t>-</w:t>
      </w:r>
      <w:r w:rsidRPr="00C6523A">
        <w:rPr>
          <w:rFonts w:ascii="Calibri" w:hAnsi="Calibri" w:cs="Calibri"/>
          <w:sz w:val="24"/>
          <w:szCs w:val="24"/>
        </w:rPr>
        <w:t>related occupations.</w:t>
      </w:r>
      <w:r w:rsidR="007764A2">
        <w:rPr>
          <w:rFonts w:ascii="Calibri" w:hAnsi="Calibri" w:cs="Calibri"/>
          <w:sz w:val="24"/>
          <w:szCs w:val="24"/>
        </w:rPr>
        <w:t xml:space="preserve"> </w:t>
      </w:r>
      <w:r w:rsidRPr="00C6523A">
        <w:rPr>
          <w:rFonts w:ascii="Calibri" w:hAnsi="Calibri" w:cs="Calibri"/>
          <w:sz w:val="24"/>
          <w:szCs w:val="24"/>
        </w:rPr>
        <w:t>There are three scholarships awarded each year</w:t>
      </w:r>
      <w:r w:rsidR="00C32CC8">
        <w:rPr>
          <w:rFonts w:ascii="Calibri" w:hAnsi="Calibri" w:cs="Calibri"/>
          <w:sz w:val="24"/>
          <w:szCs w:val="24"/>
        </w:rPr>
        <w:t>,</w:t>
      </w:r>
      <w:r w:rsidRPr="00C6523A">
        <w:rPr>
          <w:rFonts w:ascii="Calibri" w:hAnsi="Calibri" w:cs="Calibri"/>
          <w:sz w:val="24"/>
          <w:szCs w:val="24"/>
        </w:rPr>
        <w:t xml:space="preserve"> with a total maximum value of $5000 per year of study</w:t>
      </w:r>
      <w:r w:rsidR="00663A0A">
        <w:rPr>
          <w:rFonts w:ascii="Calibri" w:hAnsi="Calibri" w:cs="Calibri"/>
          <w:sz w:val="24"/>
          <w:szCs w:val="24"/>
        </w:rPr>
        <w:t>,</w:t>
      </w:r>
      <w:r w:rsidRPr="00C6523A">
        <w:rPr>
          <w:rFonts w:ascii="Calibri" w:hAnsi="Calibri" w:cs="Calibri"/>
          <w:sz w:val="24"/>
          <w:szCs w:val="24"/>
        </w:rPr>
        <w:t xml:space="preserve"> up to a maximum value of $15</w:t>
      </w:r>
      <w:r w:rsidR="00663A0A">
        <w:rPr>
          <w:rFonts w:ascii="Calibri" w:hAnsi="Calibri" w:cs="Calibri"/>
          <w:sz w:val="24"/>
          <w:szCs w:val="24"/>
        </w:rPr>
        <w:t> </w:t>
      </w:r>
      <w:r w:rsidRPr="00C6523A">
        <w:rPr>
          <w:rFonts w:ascii="Calibri" w:hAnsi="Calibri" w:cs="Calibri"/>
          <w:sz w:val="24"/>
          <w:szCs w:val="24"/>
        </w:rPr>
        <w:t>000 for each scholarship.</w:t>
      </w:r>
    </w:p>
    <w:p w:rsidR="00C6523A" w:rsidRDefault="00C6523A" w:rsidP="00C6523A">
      <w:pPr>
        <w:rPr>
          <w:rFonts w:ascii="Calibri" w:hAnsi="Calibri" w:cs="Calibri"/>
          <w:sz w:val="24"/>
          <w:szCs w:val="24"/>
        </w:rPr>
      </w:pPr>
    </w:p>
    <w:p w:rsidR="00CE266C" w:rsidRDefault="00CE266C" w:rsidP="00C6523A">
      <w:pPr>
        <w:rPr>
          <w:rFonts w:ascii="Calibri" w:hAnsi="Calibri" w:cs="Calibri"/>
          <w:sz w:val="24"/>
          <w:szCs w:val="24"/>
        </w:rPr>
      </w:pPr>
      <w:r w:rsidRPr="00CE266C">
        <w:rPr>
          <w:rFonts w:ascii="Calibri" w:hAnsi="Calibri" w:cs="Calibri"/>
          <w:sz w:val="24"/>
          <w:szCs w:val="24"/>
        </w:rPr>
        <w:t xml:space="preserve">Tasmania’s Family Support Operational Framework recognises that further development of culturally specific services may contribute to a reduction </w:t>
      </w:r>
      <w:r w:rsidR="00742D6F">
        <w:rPr>
          <w:rFonts w:ascii="Calibri" w:hAnsi="Calibri" w:cs="Calibri"/>
          <w:sz w:val="24"/>
          <w:szCs w:val="24"/>
        </w:rPr>
        <w:t>in</w:t>
      </w:r>
      <w:r w:rsidR="00742D6F" w:rsidRPr="00CE266C">
        <w:rPr>
          <w:rFonts w:ascii="Calibri" w:hAnsi="Calibri" w:cs="Calibri"/>
          <w:sz w:val="24"/>
          <w:szCs w:val="24"/>
        </w:rPr>
        <w:t xml:space="preserve"> </w:t>
      </w:r>
      <w:r w:rsidRPr="00CE266C">
        <w:rPr>
          <w:rFonts w:ascii="Calibri" w:hAnsi="Calibri" w:cs="Calibri"/>
          <w:sz w:val="24"/>
          <w:szCs w:val="24"/>
        </w:rPr>
        <w:t>the over-representation of Aboriginal people in</w:t>
      </w:r>
      <w:r w:rsidR="00663A0A">
        <w:rPr>
          <w:rFonts w:ascii="Calibri" w:hAnsi="Calibri" w:cs="Calibri"/>
          <w:sz w:val="24"/>
          <w:szCs w:val="24"/>
        </w:rPr>
        <w:t xml:space="preserve"> the</w:t>
      </w:r>
      <w:r w:rsidRPr="00CE266C">
        <w:rPr>
          <w:rFonts w:ascii="Calibri" w:hAnsi="Calibri" w:cs="Calibri"/>
          <w:sz w:val="24"/>
          <w:szCs w:val="24"/>
        </w:rPr>
        <w:t xml:space="preserve"> </w:t>
      </w:r>
      <w:r w:rsidR="006268D6" w:rsidRPr="00CE266C">
        <w:rPr>
          <w:rFonts w:ascii="Calibri" w:hAnsi="Calibri" w:cs="Calibri"/>
          <w:sz w:val="24"/>
          <w:szCs w:val="24"/>
        </w:rPr>
        <w:t>child protection</w:t>
      </w:r>
      <w:r w:rsidRPr="00CE266C">
        <w:rPr>
          <w:rFonts w:ascii="Calibri" w:hAnsi="Calibri" w:cs="Calibri"/>
          <w:sz w:val="24"/>
          <w:szCs w:val="24"/>
        </w:rPr>
        <w:t xml:space="preserve"> and </w:t>
      </w:r>
      <w:r w:rsidR="00663A0A">
        <w:rPr>
          <w:rFonts w:ascii="Calibri" w:hAnsi="Calibri" w:cs="Calibri"/>
          <w:sz w:val="24"/>
          <w:szCs w:val="24"/>
        </w:rPr>
        <w:t>out-of-home care</w:t>
      </w:r>
      <w:r w:rsidRPr="00CE266C">
        <w:rPr>
          <w:rFonts w:ascii="Calibri" w:hAnsi="Calibri" w:cs="Calibri"/>
          <w:sz w:val="24"/>
          <w:szCs w:val="24"/>
        </w:rPr>
        <w:t xml:space="preserve"> service systems. The framework installs a require</w:t>
      </w:r>
      <w:r w:rsidR="00C32CC8">
        <w:rPr>
          <w:rFonts w:ascii="Calibri" w:hAnsi="Calibri" w:cs="Calibri"/>
          <w:sz w:val="24"/>
          <w:szCs w:val="24"/>
        </w:rPr>
        <w:t xml:space="preserve">ment </w:t>
      </w:r>
      <w:r w:rsidRPr="00CE266C">
        <w:rPr>
          <w:rFonts w:ascii="Calibri" w:hAnsi="Calibri" w:cs="Calibri"/>
          <w:sz w:val="24"/>
          <w:szCs w:val="24"/>
        </w:rPr>
        <w:t xml:space="preserve">that services will seek to identify and refer </w:t>
      </w:r>
      <w:r w:rsidR="00663A0A">
        <w:rPr>
          <w:rFonts w:ascii="Calibri" w:hAnsi="Calibri" w:cs="Calibri"/>
          <w:sz w:val="24"/>
          <w:szCs w:val="24"/>
        </w:rPr>
        <w:t>clients</w:t>
      </w:r>
      <w:r w:rsidR="00663A0A" w:rsidRPr="00CE266C">
        <w:rPr>
          <w:rFonts w:ascii="Calibri" w:hAnsi="Calibri" w:cs="Calibri"/>
          <w:sz w:val="24"/>
          <w:szCs w:val="24"/>
        </w:rPr>
        <w:t xml:space="preserve"> </w:t>
      </w:r>
      <w:r w:rsidRPr="00CE266C">
        <w:rPr>
          <w:rFonts w:ascii="Calibri" w:hAnsi="Calibri" w:cs="Calibri"/>
          <w:sz w:val="24"/>
          <w:szCs w:val="24"/>
        </w:rPr>
        <w:t>id</w:t>
      </w:r>
      <w:r w:rsidR="00C32CC8">
        <w:rPr>
          <w:rFonts w:ascii="Calibri" w:hAnsi="Calibri" w:cs="Calibri"/>
          <w:sz w:val="24"/>
          <w:szCs w:val="24"/>
        </w:rPr>
        <w:t xml:space="preserve">entifying </w:t>
      </w:r>
      <w:r w:rsidR="00663A0A">
        <w:rPr>
          <w:rFonts w:ascii="Calibri" w:hAnsi="Calibri" w:cs="Calibri"/>
          <w:sz w:val="24"/>
          <w:szCs w:val="24"/>
        </w:rPr>
        <w:t xml:space="preserve">as Aboriginal or Torres Strait Islander </w:t>
      </w:r>
      <w:r w:rsidR="00C32CC8">
        <w:rPr>
          <w:rFonts w:ascii="Calibri" w:hAnsi="Calibri" w:cs="Calibri"/>
          <w:sz w:val="24"/>
          <w:szCs w:val="24"/>
        </w:rPr>
        <w:t>to dedicated I</w:t>
      </w:r>
      <w:r w:rsidRPr="00CE266C">
        <w:rPr>
          <w:rFonts w:ascii="Calibri" w:hAnsi="Calibri" w:cs="Calibri"/>
          <w:sz w:val="24"/>
          <w:szCs w:val="24"/>
        </w:rPr>
        <w:t xml:space="preserve">ndigenous support service providers for culturally sensitive service provision, or liaise with </w:t>
      </w:r>
      <w:r w:rsidR="00316329">
        <w:rPr>
          <w:rFonts w:ascii="Calibri" w:hAnsi="Calibri" w:cs="Calibri"/>
          <w:sz w:val="24"/>
          <w:szCs w:val="24"/>
        </w:rPr>
        <w:t>I</w:t>
      </w:r>
      <w:r w:rsidRPr="00CE266C">
        <w:rPr>
          <w:rFonts w:ascii="Calibri" w:hAnsi="Calibri" w:cs="Calibri"/>
          <w:sz w:val="24"/>
          <w:szCs w:val="24"/>
        </w:rPr>
        <w:t>ndigenous organisations around appropriate care plans if</w:t>
      </w:r>
      <w:r w:rsidR="00C32CC8">
        <w:rPr>
          <w:rFonts w:ascii="Calibri" w:hAnsi="Calibri" w:cs="Calibri"/>
          <w:sz w:val="24"/>
          <w:szCs w:val="24"/>
        </w:rPr>
        <w:t xml:space="preserve"> no funded service is available or </w:t>
      </w:r>
      <w:r w:rsidRPr="00CE266C">
        <w:rPr>
          <w:rFonts w:ascii="Calibri" w:hAnsi="Calibri" w:cs="Calibri"/>
          <w:sz w:val="24"/>
          <w:szCs w:val="24"/>
        </w:rPr>
        <w:t>delivers service to the region.</w:t>
      </w:r>
      <w:r w:rsidR="00C32CC8" w:rsidRPr="00C32CC8">
        <w:t xml:space="preserve"> </w:t>
      </w:r>
      <w:r w:rsidR="00C32CC8" w:rsidRPr="00DC1B19">
        <w:rPr>
          <w:rStyle w:val="StyleBodyCalibri12pt"/>
        </w:rPr>
        <w:t>This requirement</w:t>
      </w:r>
      <w:r w:rsidR="00C32CC8" w:rsidRPr="00C32CC8">
        <w:rPr>
          <w:rFonts w:ascii="Calibri" w:hAnsi="Calibri" w:cs="Calibri"/>
          <w:sz w:val="24"/>
          <w:szCs w:val="24"/>
        </w:rPr>
        <w:t xml:space="preserve"> is </w:t>
      </w:r>
      <w:proofErr w:type="spellStart"/>
      <w:r w:rsidR="00C32CC8" w:rsidRPr="00C32CC8">
        <w:rPr>
          <w:rFonts w:ascii="Calibri" w:hAnsi="Calibri" w:cs="Calibri"/>
          <w:sz w:val="24"/>
          <w:szCs w:val="24"/>
        </w:rPr>
        <w:t>operationalised</w:t>
      </w:r>
      <w:proofErr w:type="spellEnd"/>
      <w:r w:rsidR="00C32CC8">
        <w:rPr>
          <w:rFonts w:ascii="Calibri" w:hAnsi="Calibri" w:cs="Calibri"/>
          <w:sz w:val="24"/>
          <w:szCs w:val="24"/>
        </w:rPr>
        <w:t xml:space="preserve"> via service Funding Agreements.</w:t>
      </w:r>
    </w:p>
    <w:p w:rsidR="00CA3D3C" w:rsidRDefault="00CA3D3C" w:rsidP="00C6523A">
      <w:pPr>
        <w:rPr>
          <w:rFonts w:ascii="Calibri" w:hAnsi="Calibri" w:cs="Calibri"/>
          <w:sz w:val="24"/>
          <w:szCs w:val="24"/>
        </w:rPr>
      </w:pPr>
    </w:p>
    <w:p w:rsidR="00CA3D3C" w:rsidRPr="00CA3D3C" w:rsidRDefault="00CA3D3C" w:rsidP="00CA3D3C">
      <w:pPr>
        <w:rPr>
          <w:rFonts w:ascii="Calibri" w:hAnsi="Calibri" w:cs="Calibri"/>
          <w:sz w:val="24"/>
          <w:szCs w:val="24"/>
        </w:rPr>
      </w:pPr>
      <w:r w:rsidRPr="00CA3D3C">
        <w:rPr>
          <w:rFonts w:ascii="Calibri" w:hAnsi="Calibri" w:cs="Calibri"/>
          <w:sz w:val="24"/>
          <w:szCs w:val="24"/>
        </w:rPr>
        <w:t>The employment of Aboriginal staff and strong Indigenous community engagement are key features of the implementation and ongoing operations at the Indigenous-focus CFCs at Bridgewater and Geeveston. The Bridgewater centre (</w:t>
      </w:r>
      <w:proofErr w:type="spellStart"/>
      <w:r w:rsidRPr="00CA3D3C">
        <w:rPr>
          <w:rFonts w:ascii="Calibri" w:hAnsi="Calibri" w:cs="Calibri"/>
          <w:sz w:val="24"/>
          <w:szCs w:val="24"/>
        </w:rPr>
        <w:t>Tagaria</w:t>
      </w:r>
      <w:proofErr w:type="spellEnd"/>
      <w:r w:rsidRPr="00CA3D3C">
        <w:rPr>
          <w:rFonts w:ascii="Calibri" w:hAnsi="Calibri" w:cs="Calibri"/>
          <w:sz w:val="24"/>
          <w:szCs w:val="24"/>
        </w:rPr>
        <w:t xml:space="preserve"> </w:t>
      </w:r>
      <w:proofErr w:type="spellStart"/>
      <w:r w:rsidRPr="00CA3D3C">
        <w:rPr>
          <w:rFonts w:ascii="Calibri" w:hAnsi="Calibri" w:cs="Calibri"/>
          <w:sz w:val="24"/>
          <w:szCs w:val="24"/>
        </w:rPr>
        <w:t>Lia</w:t>
      </w:r>
      <w:proofErr w:type="spellEnd"/>
      <w:r w:rsidRPr="00CA3D3C">
        <w:rPr>
          <w:rFonts w:ascii="Calibri" w:hAnsi="Calibri" w:cs="Calibri"/>
          <w:sz w:val="24"/>
          <w:szCs w:val="24"/>
        </w:rPr>
        <w:t>) was officially opened in July 2012, and the Geeveston centre (</w:t>
      </w:r>
      <w:proofErr w:type="spellStart"/>
      <w:r w:rsidRPr="00CA3D3C">
        <w:rPr>
          <w:rFonts w:ascii="Calibri" w:hAnsi="Calibri" w:cs="Calibri"/>
          <w:sz w:val="24"/>
          <w:szCs w:val="24"/>
        </w:rPr>
        <w:t>Wayraparattee</w:t>
      </w:r>
      <w:proofErr w:type="spellEnd"/>
      <w:r w:rsidRPr="00CA3D3C">
        <w:rPr>
          <w:rFonts w:ascii="Calibri" w:hAnsi="Calibri" w:cs="Calibri"/>
          <w:sz w:val="24"/>
          <w:szCs w:val="24"/>
        </w:rPr>
        <w:t xml:space="preserve">) </w:t>
      </w:r>
      <w:r w:rsidR="00A31D22">
        <w:rPr>
          <w:rFonts w:ascii="Calibri" w:hAnsi="Calibri" w:cs="Calibri"/>
          <w:sz w:val="24"/>
          <w:szCs w:val="24"/>
        </w:rPr>
        <w:t>was</w:t>
      </w:r>
      <w:r w:rsidRPr="00CA3D3C">
        <w:rPr>
          <w:rFonts w:ascii="Calibri" w:hAnsi="Calibri" w:cs="Calibri"/>
          <w:sz w:val="24"/>
          <w:szCs w:val="24"/>
        </w:rPr>
        <w:t xml:space="preserve"> officially opened in August 2013, although services </w:t>
      </w:r>
      <w:r w:rsidR="00A31D22">
        <w:rPr>
          <w:rFonts w:ascii="Calibri" w:hAnsi="Calibri" w:cs="Calibri"/>
          <w:sz w:val="24"/>
          <w:szCs w:val="24"/>
        </w:rPr>
        <w:t>were</w:t>
      </w:r>
      <w:r w:rsidRPr="00CA3D3C">
        <w:rPr>
          <w:rFonts w:ascii="Calibri" w:hAnsi="Calibri" w:cs="Calibri"/>
          <w:sz w:val="24"/>
          <w:szCs w:val="24"/>
        </w:rPr>
        <w:t xml:space="preserve"> offered to the community in temporary settings prior to the official building opening. </w:t>
      </w:r>
    </w:p>
    <w:p w:rsidR="00CA3D3C" w:rsidRPr="00CA3D3C" w:rsidRDefault="00CA3D3C" w:rsidP="00CA3D3C">
      <w:pPr>
        <w:rPr>
          <w:rFonts w:ascii="Calibri" w:hAnsi="Calibri" w:cs="Calibri"/>
          <w:sz w:val="24"/>
          <w:szCs w:val="24"/>
        </w:rPr>
      </w:pPr>
    </w:p>
    <w:p w:rsidR="00CA3D3C" w:rsidRPr="00CE266C" w:rsidRDefault="00CA3D3C" w:rsidP="00CA3D3C">
      <w:pPr>
        <w:rPr>
          <w:rFonts w:ascii="Calibri" w:hAnsi="Calibri" w:cs="Calibri"/>
          <w:sz w:val="24"/>
          <w:szCs w:val="24"/>
        </w:rPr>
      </w:pPr>
      <w:r w:rsidRPr="00CA3D3C">
        <w:rPr>
          <w:rFonts w:ascii="Calibri" w:hAnsi="Calibri" w:cs="Calibri"/>
          <w:sz w:val="24"/>
          <w:szCs w:val="24"/>
        </w:rPr>
        <w:t>A new Model of Care for the Child Protection Service has identified key strategic directions for working with Aboriginal organisations and clients. This includes recommendations to build strong relationships with Aboriginal organisations and communities, culturally sensitive intervention by CPS, appropriate placement of Aboriginal children in out-of-home care and appropriate support for Aboriginal young people transitioning from the child protection system into adult life.</w:t>
      </w:r>
      <w:r w:rsidR="00A973E8">
        <w:rPr>
          <w:rFonts w:ascii="Calibri" w:hAnsi="Calibri" w:cs="Calibri"/>
          <w:sz w:val="24"/>
          <w:szCs w:val="24"/>
        </w:rPr>
        <w:t xml:space="preserve"> </w:t>
      </w:r>
    </w:p>
    <w:p w:rsidR="00F56F9B" w:rsidRDefault="00F56F9B">
      <w:pPr>
        <w:rPr>
          <w:rFonts w:ascii="Arial" w:hAnsi="Arial"/>
          <w:bCs/>
          <w:color w:val="00755E"/>
          <w:sz w:val="24"/>
          <w:szCs w:val="26"/>
        </w:rPr>
      </w:pPr>
      <w:bookmarkStart w:id="197" w:name="_Toc400007772"/>
      <w:r>
        <w:br w:type="page"/>
      </w:r>
    </w:p>
    <w:p w:rsidR="00BD5D4E" w:rsidRPr="00C32CC8" w:rsidRDefault="00BD5D4E" w:rsidP="00EB3AC6">
      <w:pPr>
        <w:pStyle w:val="Heading3"/>
      </w:pPr>
      <w:r w:rsidRPr="00C32CC8">
        <w:t>Victoria</w:t>
      </w:r>
      <w:bookmarkEnd w:id="197"/>
    </w:p>
    <w:p w:rsidR="00BD5D4E" w:rsidRPr="007847B7" w:rsidRDefault="009755B3" w:rsidP="00F56F9B">
      <w:pPr>
        <w:pStyle w:val="Heading4"/>
      </w:pPr>
      <w:r w:rsidRPr="007847B7">
        <w:t>Closing the Gap</w:t>
      </w:r>
    </w:p>
    <w:p w:rsidR="009755B3" w:rsidRPr="009755B3" w:rsidRDefault="009755B3" w:rsidP="00BD5D4E">
      <w:pPr>
        <w:rPr>
          <w:rFonts w:ascii="Calibri" w:hAnsi="Calibri" w:cs="Calibri"/>
          <w:sz w:val="24"/>
          <w:szCs w:val="24"/>
        </w:rPr>
      </w:pPr>
      <w:r w:rsidRPr="00AE7DB5">
        <w:rPr>
          <w:rFonts w:ascii="Calibri" w:hAnsi="Calibri" w:cs="Calibri"/>
          <w:sz w:val="24"/>
          <w:szCs w:val="24"/>
        </w:rPr>
        <w:t>DHS</w:t>
      </w:r>
      <w:r w:rsidRPr="009755B3">
        <w:rPr>
          <w:rFonts w:ascii="Calibri" w:hAnsi="Calibri" w:cs="Calibri"/>
          <w:sz w:val="24"/>
          <w:szCs w:val="24"/>
        </w:rPr>
        <w:t xml:space="preserve"> is working closely with the Victorian Aboriginal Child Care Agency (V</w:t>
      </w:r>
      <w:r w:rsidR="00506143">
        <w:rPr>
          <w:rFonts w:ascii="Calibri" w:hAnsi="Calibri" w:cs="Calibri"/>
          <w:sz w:val="24"/>
          <w:szCs w:val="24"/>
        </w:rPr>
        <w:t>A</w:t>
      </w:r>
      <w:r w:rsidRPr="009755B3">
        <w:rPr>
          <w:rFonts w:ascii="Calibri" w:hAnsi="Calibri" w:cs="Calibri"/>
          <w:sz w:val="24"/>
          <w:szCs w:val="24"/>
        </w:rPr>
        <w:t>CCA) on a project to explore the detailed operational and broader organisational capacity development requirements for implementing provisions in the Victorian legislation for authorising Aboriginal agencies to assume responsibility for Aboriginal children subject to protection orders.</w:t>
      </w:r>
    </w:p>
    <w:p w:rsidR="00BD5D4E" w:rsidRPr="00821556" w:rsidRDefault="00BD5D4E" w:rsidP="00657B1A">
      <w:pPr>
        <w:pStyle w:val="Heading3"/>
      </w:pPr>
      <w:bookmarkStart w:id="198" w:name="_Toc400007773"/>
      <w:r w:rsidRPr="00821556">
        <w:t>Western Australia</w:t>
      </w:r>
      <w:bookmarkEnd w:id="198"/>
    </w:p>
    <w:p w:rsidR="00F56A4C" w:rsidRPr="007847B7" w:rsidRDefault="008B2956" w:rsidP="00F56F9B">
      <w:pPr>
        <w:pStyle w:val="Heading4"/>
      </w:pPr>
      <w:r w:rsidRPr="007847B7">
        <w:t>Closing the Gap</w:t>
      </w:r>
    </w:p>
    <w:p w:rsidR="00CD553B" w:rsidRPr="00CD553B" w:rsidRDefault="00345C45" w:rsidP="00CD553B">
      <w:pPr>
        <w:rPr>
          <w:rFonts w:ascii="Calibri" w:hAnsi="Calibri" w:cs="Calibri"/>
          <w:sz w:val="24"/>
          <w:szCs w:val="24"/>
        </w:rPr>
      </w:pPr>
      <w:r>
        <w:rPr>
          <w:rFonts w:ascii="Calibri" w:hAnsi="Calibri" w:cs="Calibri"/>
          <w:sz w:val="24"/>
          <w:szCs w:val="24"/>
        </w:rPr>
        <w:t>DSS</w:t>
      </w:r>
      <w:r w:rsidR="00CD553B" w:rsidRPr="00CD553B">
        <w:rPr>
          <w:rFonts w:ascii="Calibri" w:hAnsi="Calibri" w:cs="Calibri"/>
          <w:sz w:val="24"/>
          <w:szCs w:val="24"/>
        </w:rPr>
        <w:t xml:space="preserve"> undertook a tri-border project with child protection agencies from Western Australia, South Australia and the Northern Territory</w:t>
      </w:r>
      <w:r w:rsidR="00C32CC8">
        <w:rPr>
          <w:rFonts w:ascii="Calibri" w:hAnsi="Calibri" w:cs="Calibri"/>
          <w:sz w:val="24"/>
          <w:szCs w:val="24"/>
        </w:rPr>
        <w:t>,</w:t>
      </w:r>
      <w:r w:rsidR="00CD553B" w:rsidRPr="00CD553B">
        <w:rPr>
          <w:rFonts w:ascii="Calibri" w:hAnsi="Calibri" w:cs="Calibri"/>
          <w:sz w:val="24"/>
          <w:szCs w:val="24"/>
        </w:rPr>
        <w:t xml:space="preserve"> aimed at improving coordination and practice arrangements </w:t>
      </w:r>
      <w:r w:rsidR="00A31D22">
        <w:rPr>
          <w:rFonts w:ascii="Calibri" w:hAnsi="Calibri" w:cs="Calibri"/>
          <w:sz w:val="24"/>
          <w:szCs w:val="24"/>
        </w:rPr>
        <w:t>among</w:t>
      </w:r>
      <w:r w:rsidR="00A31D22" w:rsidRPr="00CD553B">
        <w:rPr>
          <w:rFonts w:ascii="Calibri" w:hAnsi="Calibri" w:cs="Calibri"/>
          <w:sz w:val="24"/>
          <w:szCs w:val="24"/>
        </w:rPr>
        <w:t xml:space="preserve"> </w:t>
      </w:r>
      <w:r w:rsidR="00CD553B" w:rsidRPr="00CD553B">
        <w:rPr>
          <w:rFonts w:ascii="Calibri" w:hAnsi="Calibri" w:cs="Calibri"/>
          <w:sz w:val="24"/>
          <w:szCs w:val="24"/>
        </w:rPr>
        <w:t>the three states.</w:t>
      </w:r>
      <w:r w:rsidR="007764A2">
        <w:rPr>
          <w:rFonts w:ascii="Calibri" w:hAnsi="Calibri" w:cs="Calibri"/>
          <w:sz w:val="24"/>
          <w:szCs w:val="24"/>
        </w:rPr>
        <w:t xml:space="preserve"> </w:t>
      </w:r>
      <w:r w:rsidR="00CD553B" w:rsidRPr="00CD553B">
        <w:rPr>
          <w:rFonts w:ascii="Calibri" w:hAnsi="Calibri" w:cs="Calibri"/>
          <w:sz w:val="24"/>
          <w:szCs w:val="24"/>
        </w:rPr>
        <w:t>A report outlining the outcomes of the project and proposed future actions is being finalised. A regional managers</w:t>
      </w:r>
      <w:r w:rsidR="00742D6F">
        <w:rPr>
          <w:rFonts w:ascii="Calibri" w:hAnsi="Calibri" w:cs="Calibri"/>
          <w:sz w:val="24"/>
          <w:szCs w:val="24"/>
        </w:rPr>
        <w:t>’</w:t>
      </w:r>
      <w:r w:rsidR="00CD553B" w:rsidRPr="00CD553B">
        <w:rPr>
          <w:rFonts w:ascii="Calibri" w:hAnsi="Calibri" w:cs="Calibri"/>
          <w:sz w:val="24"/>
          <w:szCs w:val="24"/>
        </w:rPr>
        <w:t xml:space="preserve"> group will continue to meet on a monthly basis to discuss and resolve </w:t>
      </w:r>
      <w:r w:rsidR="00742D6F" w:rsidRPr="00CD553B">
        <w:rPr>
          <w:rFonts w:ascii="Calibri" w:hAnsi="Calibri" w:cs="Calibri"/>
          <w:sz w:val="24"/>
          <w:szCs w:val="24"/>
        </w:rPr>
        <w:t>cross</w:t>
      </w:r>
      <w:r w:rsidR="00742D6F">
        <w:rPr>
          <w:rFonts w:ascii="Calibri" w:hAnsi="Calibri" w:cs="Calibri"/>
          <w:sz w:val="24"/>
          <w:szCs w:val="24"/>
        </w:rPr>
        <w:t>-</w:t>
      </w:r>
      <w:r w:rsidR="00CD553B" w:rsidRPr="00CD553B">
        <w:rPr>
          <w:rFonts w:ascii="Calibri" w:hAnsi="Calibri" w:cs="Calibri"/>
          <w:sz w:val="24"/>
          <w:szCs w:val="24"/>
        </w:rPr>
        <w:t>borders practice issues.</w:t>
      </w:r>
    </w:p>
    <w:p w:rsidR="00CD553B" w:rsidRPr="00CD553B" w:rsidRDefault="00CD553B" w:rsidP="00CD553B">
      <w:pPr>
        <w:rPr>
          <w:rFonts w:ascii="Calibri" w:hAnsi="Calibri" w:cs="Calibri"/>
          <w:sz w:val="24"/>
          <w:szCs w:val="24"/>
        </w:rPr>
      </w:pPr>
    </w:p>
    <w:p w:rsidR="00CD553B" w:rsidRDefault="00CD553B" w:rsidP="00CD553B">
      <w:pPr>
        <w:rPr>
          <w:rFonts w:ascii="Calibri" w:hAnsi="Calibri" w:cs="Calibri"/>
          <w:sz w:val="24"/>
          <w:szCs w:val="24"/>
        </w:rPr>
      </w:pPr>
      <w:r w:rsidRPr="00CD553B">
        <w:rPr>
          <w:rFonts w:ascii="Calibri" w:hAnsi="Calibri" w:cs="Calibri"/>
          <w:sz w:val="24"/>
          <w:szCs w:val="24"/>
        </w:rPr>
        <w:t xml:space="preserve">WA Police, </w:t>
      </w:r>
      <w:r w:rsidR="00602A6F">
        <w:rPr>
          <w:rFonts w:ascii="Calibri" w:hAnsi="Calibri" w:cs="Calibri"/>
          <w:sz w:val="24"/>
          <w:szCs w:val="24"/>
        </w:rPr>
        <w:t>CPFS</w:t>
      </w:r>
      <w:r w:rsidRPr="00CD553B">
        <w:rPr>
          <w:rFonts w:ascii="Calibri" w:hAnsi="Calibri" w:cs="Calibri"/>
          <w:sz w:val="24"/>
          <w:szCs w:val="24"/>
        </w:rPr>
        <w:t xml:space="preserve"> and the</w:t>
      </w:r>
      <w:r w:rsidR="008514A0">
        <w:rPr>
          <w:rFonts w:ascii="Calibri" w:hAnsi="Calibri" w:cs="Calibri"/>
          <w:sz w:val="24"/>
          <w:szCs w:val="24"/>
        </w:rPr>
        <w:t xml:space="preserve"> </w:t>
      </w:r>
      <w:r w:rsidRPr="00CD553B">
        <w:rPr>
          <w:rFonts w:ascii="Calibri" w:hAnsi="Calibri" w:cs="Calibri"/>
          <w:sz w:val="24"/>
          <w:szCs w:val="24"/>
        </w:rPr>
        <w:t>NPY Women's Council share reported incidents of family and domestic violence (with and without children) that occur in remote areas.</w:t>
      </w:r>
      <w:r w:rsidR="004973A1">
        <w:rPr>
          <w:rFonts w:ascii="Calibri" w:hAnsi="Calibri" w:cs="Calibri"/>
          <w:sz w:val="24"/>
          <w:szCs w:val="24"/>
        </w:rPr>
        <w:t xml:space="preserve"> </w:t>
      </w:r>
    </w:p>
    <w:p w:rsidR="00602A6F" w:rsidRDefault="00602A6F" w:rsidP="00CD553B">
      <w:pPr>
        <w:rPr>
          <w:rFonts w:ascii="Calibri" w:hAnsi="Calibri" w:cs="Calibri"/>
          <w:sz w:val="24"/>
          <w:szCs w:val="24"/>
        </w:rPr>
      </w:pPr>
    </w:p>
    <w:p w:rsidR="00CD553B" w:rsidRDefault="00602A6F" w:rsidP="00CD553B">
      <w:pPr>
        <w:rPr>
          <w:rFonts w:ascii="Calibri" w:hAnsi="Calibri" w:cs="Calibri"/>
          <w:sz w:val="24"/>
          <w:szCs w:val="24"/>
        </w:rPr>
      </w:pPr>
      <w:r w:rsidRPr="00602A6F">
        <w:rPr>
          <w:rFonts w:ascii="Calibri" w:hAnsi="Calibri" w:cs="Calibri"/>
          <w:sz w:val="24"/>
          <w:szCs w:val="24"/>
        </w:rPr>
        <w:t xml:space="preserve">The WA Police and CPFS worked collaboratively on Operation Deagon in the Goldfields and Operation Reset in the </w:t>
      </w:r>
      <w:proofErr w:type="spellStart"/>
      <w:r w:rsidRPr="00602A6F">
        <w:rPr>
          <w:rFonts w:ascii="Calibri" w:hAnsi="Calibri" w:cs="Calibri"/>
          <w:sz w:val="24"/>
          <w:szCs w:val="24"/>
        </w:rPr>
        <w:t>Kalumburu</w:t>
      </w:r>
      <w:proofErr w:type="spellEnd"/>
      <w:r w:rsidRPr="00602A6F">
        <w:rPr>
          <w:rFonts w:ascii="Calibri" w:hAnsi="Calibri" w:cs="Calibri"/>
          <w:sz w:val="24"/>
          <w:szCs w:val="24"/>
        </w:rPr>
        <w:t xml:space="preserve"> community, responding jointly to child protection concerns where criminal offences involving children may have occurred, as well as providing community education on a range of child protection issues. As these operations will conclude in late 2013, both agencies are involved in identifying and planning for the next region subject to a regional child protection operational response, to commence in 2014</w:t>
      </w:r>
      <w:r>
        <w:rPr>
          <w:rFonts w:ascii="Calibri" w:hAnsi="Calibri" w:cs="Calibri"/>
          <w:sz w:val="24"/>
          <w:szCs w:val="24"/>
        </w:rPr>
        <w:t>.</w:t>
      </w:r>
    </w:p>
    <w:p w:rsidR="00602A6F" w:rsidRDefault="00602A6F" w:rsidP="00CD553B">
      <w:pPr>
        <w:rPr>
          <w:rFonts w:ascii="Calibri" w:hAnsi="Calibri" w:cs="Calibri"/>
          <w:sz w:val="24"/>
          <w:szCs w:val="24"/>
        </w:rPr>
      </w:pPr>
    </w:p>
    <w:p w:rsidR="00CD553B" w:rsidRDefault="00CD553B" w:rsidP="00CD553B">
      <w:pPr>
        <w:rPr>
          <w:rFonts w:ascii="Calibri" w:hAnsi="Calibri" w:cs="Calibri"/>
          <w:sz w:val="24"/>
          <w:szCs w:val="24"/>
        </w:rPr>
      </w:pPr>
      <w:r w:rsidRPr="00CD553B">
        <w:rPr>
          <w:rFonts w:ascii="Calibri" w:hAnsi="Calibri" w:cs="Calibri"/>
          <w:sz w:val="24"/>
          <w:szCs w:val="24"/>
        </w:rPr>
        <w:t xml:space="preserve">In many of the </w:t>
      </w:r>
      <w:r w:rsidR="003E2CBE">
        <w:rPr>
          <w:rFonts w:ascii="Calibri" w:hAnsi="Calibri" w:cs="Calibri"/>
          <w:sz w:val="24"/>
          <w:szCs w:val="24"/>
        </w:rPr>
        <w:t>d</w:t>
      </w:r>
      <w:r w:rsidR="003E2CBE" w:rsidRPr="00CD553B">
        <w:rPr>
          <w:rFonts w:ascii="Calibri" w:hAnsi="Calibri" w:cs="Calibri"/>
          <w:sz w:val="24"/>
          <w:szCs w:val="24"/>
        </w:rPr>
        <w:t xml:space="preserve">epartment’s </w:t>
      </w:r>
      <w:r w:rsidRPr="00CD553B">
        <w:rPr>
          <w:rFonts w:ascii="Calibri" w:hAnsi="Calibri" w:cs="Calibri"/>
          <w:sz w:val="24"/>
          <w:szCs w:val="24"/>
        </w:rPr>
        <w:t>contracting arrangements made with Aboriginal organisations for the provision of local services</w:t>
      </w:r>
      <w:r w:rsidR="00C32CC8">
        <w:rPr>
          <w:rFonts w:ascii="Calibri" w:hAnsi="Calibri" w:cs="Calibri"/>
          <w:sz w:val="24"/>
          <w:szCs w:val="24"/>
        </w:rPr>
        <w:t>,</w:t>
      </w:r>
      <w:r w:rsidRPr="00CD553B">
        <w:rPr>
          <w:rFonts w:ascii="Calibri" w:hAnsi="Calibri" w:cs="Calibri"/>
          <w:sz w:val="24"/>
          <w:szCs w:val="24"/>
        </w:rPr>
        <w:t xml:space="preserve"> there is a clear expectation that strong links will be forged </w:t>
      </w:r>
      <w:r w:rsidR="00C32CC8">
        <w:rPr>
          <w:rFonts w:ascii="Calibri" w:hAnsi="Calibri" w:cs="Calibri"/>
          <w:sz w:val="24"/>
          <w:szCs w:val="24"/>
        </w:rPr>
        <w:t xml:space="preserve">through partnerships </w:t>
      </w:r>
      <w:r w:rsidRPr="00CD553B">
        <w:rPr>
          <w:rFonts w:ascii="Calibri" w:hAnsi="Calibri" w:cs="Calibri"/>
          <w:sz w:val="24"/>
          <w:szCs w:val="24"/>
        </w:rPr>
        <w:t>with mainstream agencies.</w:t>
      </w:r>
    </w:p>
    <w:p w:rsidR="00CD553B" w:rsidRDefault="00CD553B" w:rsidP="00CD553B">
      <w:pPr>
        <w:rPr>
          <w:rFonts w:ascii="Calibri" w:hAnsi="Calibri" w:cs="Calibri"/>
          <w:sz w:val="24"/>
          <w:szCs w:val="24"/>
        </w:rPr>
      </w:pPr>
    </w:p>
    <w:p w:rsidR="00CD553B" w:rsidRDefault="00CD553B" w:rsidP="00CD553B">
      <w:pPr>
        <w:rPr>
          <w:rFonts w:ascii="Calibri" w:hAnsi="Calibri" w:cs="Calibri"/>
          <w:sz w:val="24"/>
          <w:szCs w:val="24"/>
        </w:rPr>
      </w:pPr>
      <w:r w:rsidRPr="00CD553B">
        <w:rPr>
          <w:rFonts w:ascii="Calibri" w:hAnsi="Calibri" w:cs="Calibri"/>
          <w:sz w:val="24"/>
          <w:szCs w:val="24"/>
        </w:rPr>
        <w:t>CPFS developed and launched two key strategies aimed at encouraging Aboriginal people to work in child protection and family support.</w:t>
      </w:r>
      <w:r w:rsidR="007764A2">
        <w:rPr>
          <w:rFonts w:ascii="Calibri" w:hAnsi="Calibri" w:cs="Calibri"/>
          <w:sz w:val="24"/>
          <w:szCs w:val="24"/>
        </w:rPr>
        <w:t xml:space="preserve"> </w:t>
      </w:r>
      <w:r w:rsidRPr="00CD553B">
        <w:rPr>
          <w:rFonts w:ascii="Calibri" w:hAnsi="Calibri" w:cs="Calibri"/>
          <w:sz w:val="24"/>
          <w:szCs w:val="24"/>
        </w:rPr>
        <w:t>The Aboriginal Recruitment and Retention Strategy involves a holistic approach from recr</w:t>
      </w:r>
      <w:r w:rsidR="00C32CC8">
        <w:rPr>
          <w:rFonts w:ascii="Calibri" w:hAnsi="Calibri" w:cs="Calibri"/>
          <w:sz w:val="24"/>
          <w:szCs w:val="24"/>
        </w:rPr>
        <w:t xml:space="preserve">uitment through to employment, </w:t>
      </w:r>
      <w:r w:rsidRPr="00CD553B">
        <w:rPr>
          <w:rFonts w:ascii="Calibri" w:hAnsi="Calibri" w:cs="Calibri"/>
          <w:sz w:val="24"/>
          <w:szCs w:val="24"/>
        </w:rPr>
        <w:t xml:space="preserve">focusing not only on encouraging new people to join the </w:t>
      </w:r>
      <w:r w:rsidR="003E2CBE">
        <w:rPr>
          <w:rFonts w:ascii="Calibri" w:hAnsi="Calibri" w:cs="Calibri"/>
          <w:sz w:val="24"/>
          <w:szCs w:val="24"/>
        </w:rPr>
        <w:t>d</w:t>
      </w:r>
      <w:r w:rsidR="003E2CBE" w:rsidRPr="00CD553B">
        <w:rPr>
          <w:rFonts w:ascii="Calibri" w:hAnsi="Calibri" w:cs="Calibri"/>
          <w:sz w:val="24"/>
          <w:szCs w:val="24"/>
        </w:rPr>
        <w:t>epartment</w:t>
      </w:r>
      <w:r w:rsidRPr="00CD553B">
        <w:rPr>
          <w:rFonts w:ascii="Calibri" w:hAnsi="Calibri" w:cs="Calibri"/>
          <w:sz w:val="24"/>
          <w:szCs w:val="24"/>
        </w:rPr>
        <w:t xml:space="preserve">, but </w:t>
      </w:r>
      <w:r w:rsidR="00924173">
        <w:rPr>
          <w:rFonts w:ascii="Calibri" w:hAnsi="Calibri" w:cs="Calibri"/>
          <w:sz w:val="24"/>
          <w:szCs w:val="24"/>
        </w:rPr>
        <w:t xml:space="preserve">also </w:t>
      </w:r>
      <w:r w:rsidRPr="00CD553B">
        <w:rPr>
          <w:rFonts w:ascii="Calibri" w:hAnsi="Calibri" w:cs="Calibri"/>
          <w:sz w:val="24"/>
          <w:szCs w:val="24"/>
        </w:rPr>
        <w:t>on retaining and supporting current Aboriginal staff.</w:t>
      </w:r>
      <w:r w:rsidR="007764A2">
        <w:rPr>
          <w:rFonts w:ascii="Calibri" w:hAnsi="Calibri" w:cs="Calibri"/>
          <w:sz w:val="24"/>
          <w:szCs w:val="24"/>
        </w:rPr>
        <w:t xml:space="preserve"> </w:t>
      </w:r>
      <w:r w:rsidRPr="00CD553B">
        <w:rPr>
          <w:rFonts w:ascii="Calibri" w:hAnsi="Calibri" w:cs="Calibri"/>
          <w:sz w:val="24"/>
          <w:szCs w:val="24"/>
        </w:rPr>
        <w:t xml:space="preserve">In addition, CPFS’s Aboriginal Learning and Development Strategy focuses on providing a supportive environment </w:t>
      </w:r>
      <w:r w:rsidR="00924173">
        <w:rPr>
          <w:rFonts w:ascii="Calibri" w:hAnsi="Calibri" w:cs="Calibri"/>
          <w:sz w:val="24"/>
          <w:szCs w:val="24"/>
        </w:rPr>
        <w:t>for</w:t>
      </w:r>
      <w:r w:rsidRPr="00CD553B">
        <w:rPr>
          <w:rFonts w:ascii="Calibri" w:hAnsi="Calibri" w:cs="Calibri"/>
          <w:sz w:val="24"/>
          <w:szCs w:val="24"/>
        </w:rPr>
        <w:t xml:space="preserve"> build</w:t>
      </w:r>
      <w:r w:rsidR="00924173">
        <w:rPr>
          <w:rFonts w:ascii="Calibri" w:hAnsi="Calibri" w:cs="Calibri"/>
          <w:sz w:val="24"/>
          <w:szCs w:val="24"/>
        </w:rPr>
        <w:t>ing</w:t>
      </w:r>
      <w:r w:rsidRPr="00CD553B">
        <w:rPr>
          <w:rFonts w:ascii="Calibri" w:hAnsi="Calibri" w:cs="Calibri"/>
          <w:sz w:val="24"/>
          <w:szCs w:val="24"/>
        </w:rPr>
        <w:t xml:space="preserve"> skills, capacity and career opportunities for Aboriginal staff within the department.</w:t>
      </w:r>
      <w:r w:rsidR="007764A2">
        <w:rPr>
          <w:rFonts w:ascii="Calibri" w:hAnsi="Calibri" w:cs="Calibri"/>
          <w:sz w:val="24"/>
          <w:szCs w:val="24"/>
        </w:rPr>
        <w:t xml:space="preserve"> </w:t>
      </w:r>
    </w:p>
    <w:p w:rsidR="00641A7B" w:rsidRPr="00641A7B" w:rsidRDefault="00641A7B" w:rsidP="00641A7B">
      <w:pPr>
        <w:rPr>
          <w:rFonts w:ascii="Calibri" w:hAnsi="Calibri" w:cs="Calibri"/>
          <w:sz w:val="24"/>
          <w:szCs w:val="24"/>
        </w:rPr>
      </w:pPr>
    </w:p>
    <w:p w:rsidR="00641A7B" w:rsidRDefault="00641A7B" w:rsidP="00CD553B">
      <w:pPr>
        <w:rPr>
          <w:rFonts w:ascii="Calibri" w:hAnsi="Calibri" w:cs="Calibri"/>
          <w:sz w:val="24"/>
          <w:szCs w:val="24"/>
        </w:rPr>
      </w:pPr>
      <w:r w:rsidRPr="00641A7B">
        <w:rPr>
          <w:rFonts w:ascii="Calibri" w:hAnsi="Calibri" w:cs="Calibri"/>
          <w:sz w:val="24"/>
          <w:szCs w:val="24"/>
        </w:rPr>
        <w:t>In June 2013</w:t>
      </w:r>
      <w:r w:rsidR="00C32CC8">
        <w:rPr>
          <w:rFonts w:ascii="Calibri" w:hAnsi="Calibri" w:cs="Calibri"/>
          <w:sz w:val="24"/>
          <w:szCs w:val="24"/>
        </w:rPr>
        <w:t>,</w:t>
      </w:r>
      <w:r w:rsidRPr="00641A7B">
        <w:rPr>
          <w:rFonts w:ascii="Calibri" w:hAnsi="Calibri" w:cs="Calibri"/>
          <w:sz w:val="24"/>
          <w:szCs w:val="24"/>
        </w:rPr>
        <w:t xml:space="preserve"> the </w:t>
      </w:r>
      <w:r w:rsidR="003E2CBE">
        <w:rPr>
          <w:rFonts w:ascii="Calibri" w:hAnsi="Calibri" w:cs="Calibri"/>
          <w:sz w:val="24"/>
          <w:szCs w:val="24"/>
        </w:rPr>
        <w:t>s</w:t>
      </w:r>
      <w:r w:rsidR="003E2CBE" w:rsidRPr="00641A7B">
        <w:rPr>
          <w:rFonts w:ascii="Calibri" w:hAnsi="Calibri" w:cs="Calibri"/>
          <w:sz w:val="24"/>
          <w:szCs w:val="24"/>
        </w:rPr>
        <w:t xml:space="preserve">tate </w:t>
      </w:r>
      <w:r w:rsidR="003E2CBE">
        <w:rPr>
          <w:rFonts w:ascii="Calibri" w:hAnsi="Calibri" w:cs="Calibri"/>
          <w:sz w:val="24"/>
          <w:szCs w:val="24"/>
        </w:rPr>
        <w:t>g</w:t>
      </w:r>
      <w:r w:rsidR="003E2CBE" w:rsidRPr="00641A7B">
        <w:rPr>
          <w:rFonts w:ascii="Calibri" w:hAnsi="Calibri" w:cs="Calibri"/>
          <w:sz w:val="24"/>
          <w:szCs w:val="24"/>
        </w:rPr>
        <w:t xml:space="preserve">overnment </w:t>
      </w:r>
      <w:r w:rsidRPr="00641A7B">
        <w:rPr>
          <w:rFonts w:ascii="Calibri" w:hAnsi="Calibri" w:cs="Calibri"/>
          <w:sz w:val="24"/>
          <w:szCs w:val="24"/>
        </w:rPr>
        <w:t>provided new funding of more than $31 million to continue critical services to improve the health and wellbeing of Aboriginal West Australians under the Closing the Gap program.</w:t>
      </w:r>
    </w:p>
    <w:p w:rsidR="00742D6F" w:rsidRPr="007847B7" w:rsidRDefault="008566C0" w:rsidP="00F56F9B">
      <w:pPr>
        <w:pStyle w:val="Heading4"/>
      </w:pPr>
      <w:r w:rsidRPr="007847B7">
        <w:t>Other Supporting Actions</w:t>
      </w:r>
    </w:p>
    <w:p w:rsidR="00CD553B" w:rsidRPr="00CD553B" w:rsidRDefault="00CD553B" w:rsidP="00CD553B">
      <w:pPr>
        <w:rPr>
          <w:rFonts w:ascii="Calibri" w:hAnsi="Calibri" w:cs="Calibri"/>
          <w:sz w:val="24"/>
          <w:szCs w:val="24"/>
        </w:rPr>
      </w:pPr>
      <w:r w:rsidRPr="00CD553B">
        <w:rPr>
          <w:rFonts w:ascii="Calibri" w:hAnsi="Calibri" w:cs="Calibri"/>
          <w:sz w:val="24"/>
          <w:szCs w:val="24"/>
        </w:rPr>
        <w:t>The Department of Health is implementing the WA Health Aboriginal Cultural Learning Framework 2012</w:t>
      </w:r>
      <w:r w:rsidR="00D006FF">
        <w:rPr>
          <w:rFonts w:ascii="Calibri" w:hAnsi="Calibri" w:cs="Calibri"/>
          <w:sz w:val="24"/>
          <w:szCs w:val="24"/>
        </w:rPr>
        <w:t>–</w:t>
      </w:r>
      <w:r w:rsidRPr="00CD553B">
        <w:rPr>
          <w:rFonts w:ascii="Calibri" w:hAnsi="Calibri" w:cs="Calibri"/>
          <w:sz w:val="24"/>
          <w:szCs w:val="24"/>
        </w:rPr>
        <w:t xml:space="preserve">2016. This Framework draws together three focus areas in which to prioritise activity: Aboriginal Workforce, Cultural Learning and Aboriginal Leadership. </w:t>
      </w:r>
    </w:p>
    <w:p w:rsidR="00CD553B" w:rsidRPr="00CD553B" w:rsidRDefault="00CD553B" w:rsidP="00CD553B">
      <w:pPr>
        <w:rPr>
          <w:rFonts w:ascii="Calibri" w:hAnsi="Calibri" w:cs="Calibri"/>
          <w:sz w:val="24"/>
          <w:szCs w:val="24"/>
        </w:rPr>
      </w:pPr>
    </w:p>
    <w:p w:rsidR="00CD553B" w:rsidRPr="00CD553B" w:rsidRDefault="00CD553B" w:rsidP="00CD553B">
      <w:pPr>
        <w:rPr>
          <w:rFonts w:ascii="Calibri" w:hAnsi="Calibri" w:cs="Calibri"/>
          <w:sz w:val="24"/>
          <w:szCs w:val="24"/>
        </w:rPr>
      </w:pPr>
      <w:r w:rsidRPr="00CD553B">
        <w:rPr>
          <w:rFonts w:ascii="Calibri" w:hAnsi="Calibri" w:cs="Calibri"/>
          <w:sz w:val="24"/>
          <w:szCs w:val="24"/>
        </w:rPr>
        <w:t>Through the development of the Aboriginal Men’s Health Strategy, the need for primary health assessments for young Aboriginal men was identified. To address this gap, Aboriginal Health</w:t>
      </w:r>
      <w:r w:rsidR="00C32CC8">
        <w:rPr>
          <w:rFonts w:ascii="Calibri" w:hAnsi="Calibri" w:cs="Calibri"/>
          <w:sz w:val="24"/>
          <w:szCs w:val="24"/>
        </w:rPr>
        <w:t>,</w:t>
      </w:r>
      <w:r w:rsidRPr="00CD553B">
        <w:rPr>
          <w:rFonts w:ascii="Calibri" w:hAnsi="Calibri" w:cs="Calibri"/>
          <w:sz w:val="24"/>
          <w:szCs w:val="24"/>
        </w:rPr>
        <w:t xml:space="preserve"> in partnership with the WA Football Commission (WAFC)</w:t>
      </w:r>
      <w:r w:rsidR="00C32CC8">
        <w:rPr>
          <w:rFonts w:ascii="Calibri" w:hAnsi="Calibri" w:cs="Calibri"/>
          <w:sz w:val="24"/>
          <w:szCs w:val="24"/>
        </w:rPr>
        <w:t>,</w:t>
      </w:r>
      <w:r w:rsidRPr="00CD553B">
        <w:rPr>
          <w:rFonts w:ascii="Calibri" w:hAnsi="Calibri" w:cs="Calibri"/>
          <w:sz w:val="24"/>
          <w:szCs w:val="24"/>
        </w:rPr>
        <w:t xml:space="preserve"> trialled the delivery of health assessments for young men at the 2013 Nicky </w:t>
      </w:r>
      <w:proofErr w:type="spellStart"/>
      <w:r w:rsidRPr="00CD553B">
        <w:rPr>
          <w:rFonts w:ascii="Calibri" w:hAnsi="Calibri" w:cs="Calibri"/>
          <w:sz w:val="24"/>
          <w:szCs w:val="24"/>
        </w:rPr>
        <w:t>Winmar</w:t>
      </w:r>
      <w:proofErr w:type="spellEnd"/>
      <w:r w:rsidRPr="00CD553B">
        <w:rPr>
          <w:rFonts w:ascii="Calibri" w:hAnsi="Calibri" w:cs="Calibri"/>
          <w:sz w:val="24"/>
          <w:szCs w:val="24"/>
        </w:rPr>
        <w:t xml:space="preserve"> Cup Football Carnival.</w:t>
      </w:r>
    </w:p>
    <w:p w:rsidR="00742D6F" w:rsidRPr="00831A39" w:rsidRDefault="00742D6F" w:rsidP="00831A39">
      <w:pPr>
        <w:rPr>
          <w:rFonts w:ascii="Calibri" w:hAnsi="Calibri"/>
          <w:sz w:val="24"/>
        </w:rPr>
      </w:pPr>
    </w:p>
    <w:p w:rsidR="005E2F96" w:rsidRPr="005E2F96" w:rsidRDefault="005E2F96" w:rsidP="00AE7DB5">
      <w:pPr>
        <w:pBdr>
          <w:top w:val="single" w:sz="12" w:space="1" w:color="006600"/>
          <w:left w:val="single" w:sz="12" w:space="4" w:color="006600"/>
          <w:bottom w:val="single" w:sz="12" w:space="1" w:color="006600"/>
          <w:right w:val="single" w:sz="12" w:space="4" w:color="006600"/>
        </w:pBdr>
        <w:shd w:val="clear" w:color="auto" w:fill="D1FFD1"/>
        <w:spacing w:after="120"/>
        <w:rPr>
          <w:rFonts w:asciiTheme="minorHAnsi" w:hAnsiTheme="minorHAnsi"/>
          <w:b/>
          <w:sz w:val="24"/>
          <w:szCs w:val="24"/>
        </w:rPr>
      </w:pPr>
      <w:r w:rsidRPr="00AE7DB5">
        <w:rPr>
          <w:rFonts w:asciiTheme="minorHAnsi" w:hAnsiTheme="minorHAnsi"/>
          <w:b/>
          <w:color w:val="006600"/>
          <w:sz w:val="24"/>
          <w:szCs w:val="24"/>
        </w:rPr>
        <w:t xml:space="preserve">A Brighter Future for </w:t>
      </w:r>
      <w:proofErr w:type="spellStart"/>
      <w:r w:rsidRPr="00AE7DB5">
        <w:rPr>
          <w:rFonts w:asciiTheme="minorHAnsi" w:hAnsiTheme="minorHAnsi"/>
          <w:b/>
          <w:color w:val="006600"/>
          <w:sz w:val="24"/>
          <w:szCs w:val="24"/>
        </w:rPr>
        <w:t>Jez</w:t>
      </w:r>
      <w:proofErr w:type="spellEnd"/>
    </w:p>
    <w:p w:rsidR="001C5ADB" w:rsidRDefault="005E2F96" w:rsidP="005E2F96">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proofErr w:type="spellStart"/>
      <w:r w:rsidRPr="005E2F96">
        <w:rPr>
          <w:rFonts w:asciiTheme="minorHAnsi" w:hAnsiTheme="minorHAnsi"/>
          <w:sz w:val="24"/>
          <w:szCs w:val="24"/>
        </w:rPr>
        <w:t>Jez</w:t>
      </w:r>
      <w:proofErr w:type="spellEnd"/>
      <w:r>
        <w:rPr>
          <w:rFonts w:asciiTheme="minorHAnsi" w:hAnsiTheme="minorHAnsi"/>
          <w:sz w:val="24"/>
          <w:szCs w:val="24"/>
        </w:rPr>
        <w:t xml:space="preserve"> (not her real name) is</w:t>
      </w:r>
      <w:r w:rsidRPr="005E2F96">
        <w:rPr>
          <w:rFonts w:asciiTheme="minorHAnsi" w:hAnsiTheme="minorHAnsi"/>
          <w:sz w:val="24"/>
          <w:szCs w:val="24"/>
        </w:rPr>
        <w:t xml:space="preserve"> a 37</w:t>
      </w:r>
      <w:r>
        <w:rPr>
          <w:rFonts w:asciiTheme="minorHAnsi" w:hAnsiTheme="minorHAnsi"/>
          <w:sz w:val="24"/>
          <w:szCs w:val="24"/>
        </w:rPr>
        <w:t>-</w:t>
      </w:r>
      <w:r w:rsidRPr="005E2F96">
        <w:rPr>
          <w:rFonts w:asciiTheme="minorHAnsi" w:hAnsiTheme="minorHAnsi"/>
          <w:sz w:val="24"/>
          <w:szCs w:val="24"/>
        </w:rPr>
        <w:t>year</w:t>
      </w:r>
      <w:r>
        <w:rPr>
          <w:rFonts w:asciiTheme="minorHAnsi" w:hAnsiTheme="minorHAnsi"/>
          <w:sz w:val="24"/>
          <w:szCs w:val="24"/>
        </w:rPr>
        <w:t>-</w:t>
      </w:r>
      <w:r w:rsidRPr="005E2F96">
        <w:rPr>
          <w:rFonts w:asciiTheme="minorHAnsi" w:hAnsiTheme="minorHAnsi"/>
          <w:sz w:val="24"/>
          <w:szCs w:val="24"/>
        </w:rPr>
        <w:t>old Aboriginal woman with a history of an abusive birth family</w:t>
      </w:r>
      <w:r w:rsidR="001C5ADB">
        <w:rPr>
          <w:rFonts w:asciiTheme="minorHAnsi" w:hAnsiTheme="minorHAnsi"/>
          <w:sz w:val="24"/>
          <w:szCs w:val="24"/>
        </w:rPr>
        <w:t xml:space="preserve"> and</w:t>
      </w:r>
      <w:r w:rsidRPr="005E2F96">
        <w:rPr>
          <w:rFonts w:asciiTheme="minorHAnsi" w:hAnsiTheme="minorHAnsi"/>
          <w:sz w:val="24"/>
          <w:szCs w:val="24"/>
        </w:rPr>
        <w:t xml:space="preserve"> who was in a relationship </w:t>
      </w:r>
      <w:r w:rsidR="001C5ADB">
        <w:rPr>
          <w:rFonts w:asciiTheme="minorHAnsi" w:hAnsiTheme="minorHAnsi"/>
          <w:sz w:val="24"/>
          <w:szCs w:val="24"/>
        </w:rPr>
        <w:t>where she suffered</w:t>
      </w:r>
      <w:r w:rsidRPr="005E2F96">
        <w:rPr>
          <w:rFonts w:asciiTheme="minorHAnsi" w:hAnsiTheme="minorHAnsi"/>
          <w:sz w:val="24"/>
          <w:szCs w:val="24"/>
        </w:rPr>
        <w:t xml:space="preserve"> domestic violence</w:t>
      </w:r>
      <w:r w:rsidR="001C5ADB">
        <w:rPr>
          <w:rFonts w:asciiTheme="minorHAnsi" w:hAnsiTheme="minorHAnsi"/>
          <w:sz w:val="24"/>
          <w:szCs w:val="24"/>
        </w:rPr>
        <w:t xml:space="preserve">. Understandably, </w:t>
      </w:r>
      <w:proofErr w:type="spellStart"/>
      <w:r w:rsidR="001C5ADB">
        <w:rPr>
          <w:rFonts w:asciiTheme="minorHAnsi" w:hAnsiTheme="minorHAnsi"/>
          <w:sz w:val="24"/>
          <w:szCs w:val="24"/>
        </w:rPr>
        <w:t>Jez</w:t>
      </w:r>
      <w:proofErr w:type="spellEnd"/>
      <w:r w:rsidR="001C5ADB">
        <w:rPr>
          <w:rFonts w:asciiTheme="minorHAnsi" w:hAnsiTheme="minorHAnsi"/>
          <w:sz w:val="24"/>
          <w:szCs w:val="24"/>
        </w:rPr>
        <w:t xml:space="preserve"> </w:t>
      </w:r>
      <w:r w:rsidRPr="005E2F96">
        <w:rPr>
          <w:rFonts w:asciiTheme="minorHAnsi" w:hAnsiTheme="minorHAnsi"/>
          <w:sz w:val="24"/>
          <w:szCs w:val="24"/>
        </w:rPr>
        <w:t>had depression and anxiety, was not attached to her new baby</w:t>
      </w:r>
      <w:r w:rsidR="00540F30">
        <w:rPr>
          <w:rFonts w:asciiTheme="minorHAnsi" w:hAnsiTheme="minorHAnsi"/>
          <w:sz w:val="24"/>
          <w:szCs w:val="24"/>
        </w:rPr>
        <w:t xml:space="preserve"> and</w:t>
      </w:r>
      <w:r w:rsidRPr="005E2F96">
        <w:rPr>
          <w:rFonts w:asciiTheme="minorHAnsi" w:hAnsiTheme="minorHAnsi"/>
          <w:sz w:val="24"/>
          <w:szCs w:val="24"/>
        </w:rPr>
        <w:t xml:space="preserve"> had </w:t>
      </w:r>
      <w:r w:rsidR="001C5ADB">
        <w:rPr>
          <w:rFonts w:asciiTheme="minorHAnsi" w:hAnsiTheme="minorHAnsi"/>
          <w:sz w:val="24"/>
          <w:szCs w:val="24"/>
        </w:rPr>
        <w:t>poor</w:t>
      </w:r>
      <w:r w:rsidRPr="005E2F96">
        <w:rPr>
          <w:rFonts w:asciiTheme="minorHAnsi" w:hAnsiTheme="minorHAnsi"/>
          <w:sz w:val="24"/>
          <w:szCs w:val="24"/>
        </w:rPr>
        <w:t xml:space="preserve"> parenting skills, serious trust issues with authority and no positive support in the Aboriginal community. </w:t>
      </w:r>
      <w:r w:rsidR="001C5ADB">
        <w:rPr>
          <w:rFonts w:asciiTheme="minorHAnsi" w:hAnsiTheme="minorHAnsi"/>
          <w:sz w:val="24"/>
          <w:szCs w:val="24"/>
        </w:rPr>
        <w:t>She was also using alcohol to excess.</w:t>
      </w:r>
    </w:p>
    <w:p w:rsidR="001C5ADB" w:rsidRDefault="001C5ADB" w:rsidP="005E2F96">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p>
    <w:p w:rsidR="00B72C32" w:rsidRDefault="001C5ADB" w:rsidP="005E2F96">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proofErr w:type="spellStart"/>
      <w:r>
        <w:rPr>
          <w:rFonts w:asciiTheme="minorHAnsi" w:hAnsiTheme="minorHAnsi"/>
          <w:sz w:val="24"/>
          <w:szCs w:val="24"/>
        </w:rPr>
        <w:t>Jez</w:t>
      </w:r>
      <w:proofErr w:type="spellEnd"/>
      <w:r w:rsidR="005E2F96" w:rsidRPr="005E2F96">
        <w:rPr>
          <w:rFonts w:asciiTheme="minorHAnsi" w:hAnsiTheme="minorHAnsi"/>
          <w:sz w:val="24"/>
          <w:szCs w:val="24"/>
        </w:rPr>
        <w:t xml:space="preserve"> was referred to Brighter Futures by the Aboriginal Maternal Infant Strategy</w:t>
      </w:r>
      <w:r w:rsidR="00540F30">
        <w:rPr>
          <w:rFonts w:asciiTheme="minorHAnsi" w:hAnsiTheme="minorHAnsi"/>
          <w:sz w:val="24"/>
          <w:szCs w:val="24"/>
        </w:rPr>
        <w:t xml:space="preserve"> (AMIS</w:t>
      </w:r>
      <w:r w:rsidR="005E2F96" w:rsidRPr="005E2F96">
        <w:rPr>
          <w:rFonts w:asciiTheme="minorHAnsi" w:hAnsiTheme="minorHAnsi"/>
          <w:sz w:val="24"/>
          <w:szCs w:val="24"/>
        </w:rPr>
        <w:t xml:space="preserve">) </w:t>
      </w:r>
      <w:r w:rsidRPr="005E2F96">
        <w:rPr>
          <w:rFonts w:asciiTheme="minorHAnsi" w:hAnsiTheme="minorHAnsi"/>
          <w:sz w:val="24"/>
          <w:szCs w:val="24"/>
        </w:rPr>
        <w:t>Mid</w:t>
      </w:r>
      <w:r>
        <w:rPr>
          <w:rFonts w:asciiTheme="minorHAnsi" w:hAnsiTheme="minorHAnsi"/>
          <w:sz w:val="24"/>
          <w:szCs w:val="24"/>
        </w:rPr>
        <w:t>w</w:t>
      </w:r>
      <w:r w:rsidRPr="005E2F96">
        <w:rPr>
          <w:rFonts w:asciiTheme="minorHAnsi" w:hAnsiTheme="minorHAnsi"/>
          <w:sz w:val="24"/>
          <w:szCs w:val="24"/>
        </w:rPr>
        <w:t xml:space="preserve">ife </w:t>
      </w:r>
      <w:r w:rsidR="005E2F96" w:rsidRPr="005E2F96">
        <w:rPr>
          <w:rFonts w:asciiTheme="minorHAnsi" w:hAnsiTheme="minorHAnsi"/>
          <w:sz w:val="24"/>
          <w:szCs w:val="24"/>
        </w:rPr>
        <w:t xml:space="preserve">when her youngest child, the only one of </w:t>
      </w:r>
      <w:r>
        <w:rPr>
          <w:rFonts w:asciiTheme="minorHAnsi" w:hAnsiTheme="minorHAnsi"/>
          <w:sz w:val="24"/>
          <w:szCs w:val="24"/>
        </w:rPr>
        <w:t>four</w:t>
      </w:r>
      <w:r w:rsidR="005E2F96" w:rsidRPr="005E2F96">
        <w:rPr>
          <w:rFonts w:asciiTheme="minorHAnsi" w:hAnsiTheme="minorHAnsi"/>
          <w:sz w:val="24"/>
          <w:szCs w:val="24"/>
        </w:rPr>
        <w:t xml:space="preserve"> children still in her care, was 4 week</w:t>
      </w:r>
      <w:r>
        <w:rPr>
          <w:rFonts w:asciiTheme="minorHAnsi" w:hAnsiTheme="minorHAnsi"/>
          <w:sz w:val="24"/>
          <w:szCs w:val="24"/>
        </w:rPr>
        <w:t>s</w:t>
      </w:r>
      <w:r w:rsidR="005E2F96" w:rsidRPr="005E2F96">
        <w:rPr>
          <w:rFonts w:asciiTheme="minorHAnsi" w:hAnsiTheme="minorHAnsi"/>
          <w:sz w:val="24"/>
          <w:szCs w:val="24"/>
        </w:rPr>
        <w:t xml:space="preserve"> old.</w:t>
      </w:r>
      <w:r w:rsidR="00FF09F5">
        <w:rPr>
          <w:rFonts w:asciiTheme="minorHAnsi" w:hAnsiTheme="minorHAnsi"/>
          <w:sz w:val="24"/>
          <w:szCs w:val="24"/>
        </w:rPr>
        <w:t xml:space="preserve"> </w:t>
      </w:r>
      <w:proofErr w:type="spellStart"/>
      <w:r>
        <w:rPr>
          <w:rFonts w:asciiTheme="minorHAnsi" w:hAnsiTheme="minorHAnsi"/>
          <w:sz w:val="24"/>
          <w:szCs w:val="24"/>
        </w:rPr>
        <w:t>Jez</w:t>
      </w:r>
      <w:proofErr w:type="spellEnd"/>
      <w:r>
        <w:rPr>
          <w:rFonts w:asciiTheme="minorHAnsi" w:hAnsiTheme="minorHAnsi"/>
          <w:sz w:val="24"/>
          <w:szCs w:val="24"/>
        </w:rPr>
        <w:t xml:space="preserve"> was given</w:t>
      </w:r>
      <w:r w:rsidR="005E2F96" w:rsidRPr="005E2F96">
        <w:rPr>
          <w:rFonts w:asciiTheme="minorHAnsi" w:hAnsiTheme="minorHAnsi"/>
          <w:sz w:val="24"/>
          <w:szCs w:val="24"/>
        </w:rPr>
        <w:t xml:space="preserve"> an Aboriginal case worker</w:t>
      </w:r>
      <w:r>
        <w:rPr>
          <w:rFonts w:asciiTheme="minorHAnsi" w:hAnsiTheme="minorHAnsi"/>
          <w:sz w:val="24"/>
          <w:szCs w:val="24"/>
        </w:rPr>
        <w:t>,</w:t>
      </w:r>
      <w:r w:rsidR="005E2F96" w:rsidRPr="005E2F96">
        <w:rPr>
          <w:rFonts w:asciiTheme="minorHAnsi" w:hAnsiTheme="minorHAnsi"/>
          <w:sz w:val="24"/>
          <w:szCs w:val="24"/>
        </w:rPr>
        <w:t xml:space="preserve"> and a supported referral was made with the AMIS midwife, who had </w:t>
      </w:r>
      <w:proofErr w:type="spellStart"/>
      <w:r w:rsidR="005E2F96" w:rsidRPr="005E2F96">
        <w:rPr>
          <w:rFonts w:asciiTheme="minorHAnsi" w:hAnsiTheme="minorHAnsi"/>
          <w:sz w:val="24"/>
          <w:szCs w:val="24"/>
        </w:rPr>
        <w:t>Jez’s</w:t>
      </w:r>
      <w:proofErr w:type="spellEnd"/>
      <w:r w:rsidR="005E2F96" w:rsidRPr="005E2F96">
        <w:rPr>
          <w:rFonts w:asciiTheme="minorHAnsi" w:hAnsiTheme="minorHAnsi"/>
          <w:sz w:val="24"/>
          <w:szCs w:val="24"/>
        </w:rPr>
        <w:t xml:space="preserve"> trust. </w:t>
      </w:r>
      <w:r w:rsidR="00C31AA0" w:rsidRPr="00C31AA0">
        <w:rPr>
          <w:rFonts w:asciiTheme="minorHAnsi" w:hAnsiTheme="minorHAnsi"/>
          <w:sz w:val="24"/>
          <w:szCs w:val="24"/>
        </w:rPr>
        <w:t xml:space="preserve">The case worker used her </w:t>
      </w:r>
      <w:r w:rsidR="005D290A">
        <w:rPr>
          <w:rFonts w:asciiTheme="minorHAnsi" w:hAnsiTheme="minorHAnsi"/>
          <w:sz w:val="24"/>
          <w:szCs w:val="24"/>
        </w:rPr>
        <w:t xml:space="preserve">knowledge and </w:t>
      </w:r>
      <w:r w:rsidR="00C31AA0" w:rsidRPr="00C31AA0">
        <w:rPr>
          <w:rFonts w:asciiTheme="minorHAnsi" w:hAnsiTheme="minorHAnsi"/>
          <w:sz w:val="24"/>
          <w:szCs w:val="24"/>
        </w:rPr>
        <w:t xml:space="preserve">understanding </w:t>
      </w:r>
      <w:r w:rsidR="00C31AA0">
        <w:rPr>
          <w:rFonts w:asciiTheme="minorHAnsi" w:hAnsiTheme="minorHAnsi"/>
          <w:sz w:val="24"/>
          <w:szCs w:val="24"/>
        </w:rPr>
        <w:t>of</w:t>
      </w:r>
      <w:r w:rsidR="00C31AA0" w:rsidRPr="00C31AA0">
        <w:rPr>
          <w:rFonts w:asciiTheme="minorHAnsi" w:hAnsiTheme="minorHAnsi"/>
          <w:sz w:val="24"/>
          <w:szCs w:val="24"/>
        </w:rPr>
        <w:t xml:space="preserve"> the </w:t>
      </w:r>
      <w:r w:rsidR="005D290A">
        <w:rPr>
          <w:rFonts w:asciiTheme="minorHAnsi" w:hAnsiTheme="minorHAnsi"/>
          <w:sz w:val="24"/>
          <w:szCs w:val="24"/>
        </w:rPr>
        <w:t xml:space="preserve">cultural </w:t>
      </w:r>
      <w:r w:rsidR="00C31AA0" w:rsidRPr="00C31AA0">
        <w:rPr>
          <w:rFonts w:asciiTheme="minorHAnsi" w:hAnsiTheme="minorHAnsi"/>
          <w:sz w:val="24"/>
          <w:szCs w:val="24"/>
        </w:rPr>
        <w:t>issues around Aboriginal history and trauma to establish rapport in a respectful manner, ensur</w:t>
      </w:r>
      <w:r w:rsidR="00EE7AA3">
        <w:rPr>
          <w:rFonts w:asciiTheme="minorHAnsi" w:hAnsiTheme="minorHAnsi"/>
          <w:sz w:val="24"/>
          <w:szCs w:val="24"/>
        </w:rPr>
        <w:t>ing</w:t>
      </w:r>
      <w:r w:rsidR="00C31AA0" w:rsidRPr="00C31AA0">
        <w:rPr>
          <w:rFonts w:asciiTheme="minorHAnsi" w:hAnsiTheme="minorHAnsi"/>
          <w:sz w:val="24"/>
          <w:szCs w:val="24"/>
        </w:rPr>
        <w:t xml:space="preserve"> </w:t>
      </w:r>
      <w:r w:rsidR="00FC7E61">
        <w:rPr>
          <w:rFonts w:asciiTheme="minorHAnsi" w:hAnsiTheme="minorHAnsi"/>
          <w:sz w:val="24"/>
          <w:szCs w:val="24"/>
        </w:rPr>
        <w:t xml:space="preserve">that </w:t>
      </w:r>
      <w:r w:rsidR="00C31AA0" w:rsidRPr="00C31AA0">
        <w:rPr>
          <w:rFonts w:asciiTheme="minorHAnsi" w:hAnsiTheme="minorHAnsi"/>
          <w:sz w:val="24"/>
          <w:szCs w:val="24"/>
        </w:rPr>
        <w:t>the client was comfortable in her own surroundings and ready to engage collaboratively in working for change.</w:t>
      </w:r>
      <w:r w:rsidR="00C31AA0" w:rsidRPr="005E2F96" w:rsidDel="00C31AA0">
        <w:rPr>
          <w:rFonts w:asciiTheme="minorHAnsi" w:hAnsiTheme="minorHAnsi"/>
          <w:sz w:val="24"/>
          <w:szCs w:val="24"/>
        </w:rPr>
        <w:t xml:space="preserve"> </w:t>
      </w:r>
    </w:p>
    <w:p w:rsidR="00EE7AA3" w:rsidRDefault="00EE7AA3" w:rsidP="005E2F96">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p>
    <w:p w:rsidR="005E2F96" w:rsidRDefault="005E2F96" w:rsidP="005E2F96">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r w:rsidRPr="005E2F96">
        <w:rPr>
          <w:rFonts w:asciiTheme="minorHAnsi" w:hAnsiTheme="minorHAnsi"/>
          <w:sz w:val="24"/>
          <w:szCs w:val="24"/>
        </w:rPr>
        <w:t>T</w:t>
      </w:r>
      <w:r w:rsidR="001C5ADB">
        <w:rPr>
          <w:rFonts w:asciiTheme="minorHAnsi" w:hAnsiTheme="minorHAnsi"/>
          <w:sz w:val="24"/>
          <w:szCs w:val="24"/>
        </w:rPr>
        <w:t>he t</w:t>
      </w:r>
      <w:r w:rsidRPr="005E2F96">
        <w:rPr>
          <w:rFonts w:asciiTheme="minorHAnsi" w:hAnsiTheme="minorHAnsi"/>
          <w:sz w:val="24"/>
          <w:szCs w:val="24"/>
        </w:rPr>
        <w:t xml:space="preserve">ools used for the Assessment </w:t>
      </w:r>
      <w:r w:rsidR="001C5ADB">
        <w:rPr>
          <w:rFonts w:asciiTheme="minorHAnsi" w:hAnsiTheme="minorHAnsi"/>
          <w:sz w:val="24"/>
          <w:szCs w:val="24"/>
        </w:rPr>
        <w:t>were</w:t>
      </w:r>
      <w:r w:rsidRPr="005E2F96">
        <w:rPr>
          <w:rFonts w:asciiTheme="minorHAnsi" w:hAnsiTheme="minorHAnsi"/>
          <w:sz w:val="24"/>
          <w:szCs w:val="24"/>
        </w:rPr>
        <w:t xml:space="preserve"> the North Carolina Family Assessment Scale (NCFAS) and the Family Self-Assessment (FSA)</w:t>
      </w:r>
      <w:r w:rsidR="00E9266D">
        <w:rPr>
          <w:rFonts w:asciiTheme="minorHAnsi" w:hAnsiTheme="minorHAnsi"/>
          <w:sz w:val="24"/>
          <w:szCs w:val="24"/>
        </w:rPr>
        <w:t>.</w:t>
      </w:r>
      <w:r w:rsidRPr="005E2F96">
        <w:rPr>
          <w:rFonts w:asciiTheme="minorHAnsi" w:hAnsiTheme="minorHAnsi"/>
          <w:sz w:val="24"/>
          <w:szCs w:val="24"/>
        </w:rPr>
        <w:t xml:space="preserve"> The FSA allowed </w:t>
      </w:r>
      <w:proofErr w:type="spellStart"/>
      <w:r w:rsidRPr="005E2F96">
        <w:rPr>
          <w:rFonts w:asciiTheme="minorHAnsi" w:hAnsiTheme="minorHAnsi"/>
          <w:sz w:val="24"/>
          <w:szCs w:val="24"/>
        </w:rPr>
        <w:t>Jez</w:t>
      </w:r>
      <w:proofErr w:type="spellEnd"/>
      <w:r w:rsidRPr="005E2F96">
        <w:rPr>
          <w:rFonts w:asciiTheme="minorHAnsi" w:hAnsiTheme="minorHAnsi"/>
          <w:sz w:val="24"/>
          <w:szCs w:val="24"/>
        </w:rPr>
        <w:t xml:space="preserve"> to identify what support she </w:t>
      </w:r>
      <w:r w:rsidR="00540F30">
        <w:rPr>
          <w:rFonts w:asciiTheme="minorHAnsi" w:hAnsiTheme="minorHAnsi"/>
          <w:sz w:val="24"/>
          <w:szCs w:val="24"/>
        </w:rPr>
        <w:t>needed</w:t>
      </w:r>
      <w:r w:rsidRPr="005E2F96">
        <w:rPr>
          <w:rFonts w:asciiTheme="minorHAnsi" w:hAnsiTheme="minorHAnsi"/>
          <w:sz w:val="24"/>
          <w:szCs w:val="24"/>
        </w:rPr>
        <w:t xml:space="preserve"> and to be actively involved in the processes of case planning.</w:t>
      </w:r>
    </w:p>
    <w:p w:rsidR="001C5ADB" w:rsidRPr="005E2F96" w:rsidRDefault="001C5ADB" w:rsidP="005E2F96">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p>
    <w:p w:rsidR="005E2F96" w:rsidRDefault="005E2F96" w:rsidP="005E2F96">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r w:rsidRPr="005E2F96">
        <w:rPr>
          <w:rFonts w:asciiTheme="minorHAnsi" w:hAnsiTheme="minorHAnsi"/>
          <w:sz w:val="24"/>
          <w:szCs w:val="24"/>
        </w:rPr>
        <w:t xml:space="preserve">The case worker identified </w:t>
      </w:r>
      <w:proofErr w:type="spellStart"/>
      <w:r w:rsidRPr="005E2F96">
        <w:rPr>
          <w:rFonts w:asciiTheme="minorHAnsi" w:hAnsiTheme="minorHAnsi"/>
          <w:sz w:val="24"/>
          <w:szCs w:val="24"/>
        </w:rPr>
        <w:t>Jez’s</w:t>
      </w:r>
      <w:proofErr w:type="spellEnd"/>
      <w:r w:rsidRPr="005E2F96">
        <w:rPr>
          <w:rFonts w:asciiTheme="minorHAnsi" w:hAnsiTheme="minorHAnsi"/>
          <w:sz w:val="24"/>
          <w:szCs w:val="24"/>
        </w:rPr>
        <w:t xml:space="preserve"> strengths</w:t>
      </w:r>
      <w:r w:rsidR="001C5ADB">
        <w:rPr>
          <w:rFonts w:asciiTheme="minorHAnsi" w:hAnsiTheme="minorHAnsi"/>
          <w:sz w:val="24"/>
          <w:szCs w:val="24"/>
        </w:rPr>
        <w:t>—</w:t>
      </w:r>
      <w:r w:rsidRPr="005E2F96">
        <w:rPr>
          <w:rFonts w:asciiTheme="minorHAnsi" w:hAnsiTheme="minorHAnsi"/>
          <w:sz w:val="24"/>
          <w:szCs w:val="24"/>
        </w:rPr>
        <w:t xml:space="preserve">how honest </w:t>
      </w:r>
      <w:r w:rsidR="001C5ADB">
        <w:rPr>
          <w:rFonts w:asciiTheme="minorHAnsi" w:hAnsiTheme="minorHAnsi"/>
          <w:sz w:val="24"/>
          <w:szCs w:val="24"/>
        </w:rPr>
        <w:t xml:space="preserve">she is </w:t>
      </w:r>
      <w:r w:rsidRPr="005E2F96">
        <w:rPr>
          <w:rFonts w:asciiTheme="minorHAnsi" w:hAnsiTheme="minorHAnsi"/>
          <w:sz w:val="24"/>
          <w:szCs w:val="24"/>
        </w:rPr>
        <w:t xml:space="preserve">about her issues with trust, how well she is looking after the baby, how clean the home was for the baby, how beautiful the baby was, how she asked for and accepted support from the </w:t>
      </w:r>
      <w:r w:rsidR="001C5ADB">
        <w:rPr>
          <w:rFonts w:asciiTheme="minorHAnsi" w:hAnsiTheme="minorHAnsi"/>
          <w:sz w:val="24"/>
          <w:szCs w:val="24"/>
        </w:rPr>
        <w:t>casew</w:t>
      </w:r>
      <w:r w:rsidRPr="005E2F96">
        <w:rPr>
          <w:rFonts w:asciiTheme="minorHAnsi" w:hAnsiTheme="minorHAnsi"/>
          <w:sz w:val="24"/>
          <w:szCs w:val="24"/>
        </w:rPr>
        <w:t>orker. The caseworker believed</w:t>
      </w:r>
      <w:r w:rsidR="001C5ADB">
        <w:rPr>
          <w:rFonts w:asciiTheme="minorHAnsi" w:hAnsiTheme="minorHAnsi"/>
          <w:sz w:val="24"/>
          <w:szCs w:val="24"/>
        </w:rPr>
        <w:t xml:space="preserve"> that</w:t>
      </w:r>
      <w:r w:rsidRPr="005E2F96">
        <w:rPr>
          <w:rFonts w:asciiTheme="minorHAnsi" w:hAnsiTheme="minorHAnsi"/>
          <w:sz w:val="24"/>
          <w:szCs w:val="24"/>
        </w:rPr>
        <w:t xml:space="preserve"> </w:t>
      </w:r>
      <w:proofErr w:type="spellStart"/>
      <w:r w:rsidRPr="005E2F96">
        <w:rPr>
          <w:rFonts w:asciiTheme="minorHAnsi" w:hAnsiTheme="minorHAnsi"/>
          <w:sz w:val="24"/>
          <w:szCs w:val="24"/>
        </w:rPr>
        <w:t>Jez</w:t>
      </w:r>
      <w:proofErr w:type="spellEnd"/>
      <w:r w:rsidRPr="005E2F96">
        <w:rPr>
          <w:rFonts w:asciiTheme="minorHAnsi" w:hAnsiTheme="minorHAnsi"/>
          <w:sz w:val="24"/>
          <w:szCs w:val="24"/>
        </w:rPr>
        <w:t xml:space="preserve"> could not attach to her children </w:t>
      </w:r>
      <w:r w:rsidR="001C5ADB">
        <w:rPr>
          <w:rFonts w:asciiTheme="minorHAnsi" w:hAnsiTheme="minorHAnsi"/>
          <w:sz w:val="24"/>
          <w:szCs w:val="24"/>
        </w:rPr>
        <w:t xml:space="preserve">because </w:t>
      </w:r>
      <w:r w:rsidRPr="005E2F96">
        <w:rPr>
          <w:rFonts w:asciiTheme="minorHAnsi" w:hAnsiTheme="minorHAnsi"/>
          <w:sz w:val="24"/>
          <w:szCs w:val="24"/>
        </w:rPr>
        <w:t>she had never been shown how. No</w:t>
      </w:r>
      <w:r w:rsidR="001C5ADB">
        <w:rPr>
          <w:rFonts w:asciiTheme="minorHAnsi" w:hAnsiTheme="minorHAnsi"/>
          <w:sz w:val="24"/>
          <w:szCs w:val="24"/>
        </w:rPr>
        <w:t>-</w:t>
      </w:r>
      <w:r w:rsidRPr="005E2F96">
        <w:rPr>
          <w:rFonts w:asciiTheme="minorHAnsi" w:hAnsiTheme="minorHAnsi"/>
          <w:sz w:val="24"/>
          <w:szCs w:val="24"/>
        </w:rPr>
        <w:t xml:space="preserve">one had supported or guided </w:t>
      </w:r>
      <w:proofErr w:type="spellStart"/>
      <w:r w:rsidRPr="005E2F96">
        <w:rPr>
          <w:rFonts w:asciiTheme="minorHAnsi" w:hAnsiTheme="minorHAnsi"/>
          <w:sz w:val="24"/>
          <w:szCs w:val="24"/>
        </w:rPr>
        <w:t>Jez</w:t>
      </w:r>
      <w:proofErr w:type="spellEnd"/>
      <w:r w:rsidRPr="005E2F96">
        <w:rPr>
          <w:rFonts w:asciiTheme="minorHAnsi" w:hAnsiTheme="minorHAnsi"/>
          <w:sz w:val="24"/>
          <w:szCs w:val="24"/>
        </w:rPr>
        <w:t xml:space="preserve"> in </w:t>
      </w:r>
      <w:r w:rsidR="001C5ADB">
        <w:rPr>
          <w:rFonts w:asciiTheme="minorHAnsi" w:hAnsiTheme="minorHAnsi"/>
          <w:sz w:val="24"/>
          <w:szCs w:val="24"/>
        </w:rPr>
        <w:t>ways</w:t>
      </w:r>
      <w:r w:rsidRPr="005E2F96">
        <w:rPr>
          <w:rFonts w:asciiTheme="minorHAnsi" w:hAnsiTheme="minorHAnsi"/>
          <w:sz w:val="24"/>
          <w:szCs w:val="24"/>
        </w:rPr>
        <w:t xml:space="preserve"> to parent her children. The interventions were paced, as </w:t>
      </w:r>
      <w:proofErr w:type="spellStart"/>
      <w:r w:rsidRPr="005E2F96">
        <w:rPr>
          <w:rFonts w:asciiTheme="minorHAnsi" w:hAnsiTheme="minorHAnsi"/>
          <w:sz w:val="24"/>
          <w:szCs w:val="24"/>
        </w:rPr>
        <w:t>Jez</w:t>
      </w:r>
      <w:proofErr w:type="spellEnd"/>
      <w:r w:rsidRPr="005E2F96">
        <w:rPr>
          <w:rFonts w:asciiTheme="minorHAnsi" w:hAnsiTheme="minorHAnsi"/>
          <w:sz w:val="24"/>
          <w:szCs w:val="24"/>
        </w:rPr>
        <w:t xml:space="preserve"> had not come to terms with any grief, loss, historical trauma and experiences</w:t>
      </w:r>
      <w:r w:rsidR="001C5ADB">
        <w:rPr>
          <w:rFonts w:asciiTheme="minorHAnsi" w:hAnsiTheme="minorHAnsi"/>
          <w:sz w:val="24"/>
          <w:szCs w:val="24"/>
        </w:rPr>
        <w:t xml:space="preserve">, and she was not </w:t>
      </w:r>
      <w:r w:rsidRPr="005E2F96">
        <w:rPr>
          <w:rFonts w:asciiTheme="minorHAnsi" w:hAnsiTheme="minorHAnsi"/>
          <w:sz w:val="24"/>
          <w:szCs w:val="24"/>
        </w:rPr>
        <w:t>able to process a lot of decisions relating to change.</w:t>
      </w:r>
    </w:p>
    <w:p w:rsidR="001C5ADB" w:rsidRPr="005E2F96" w:rsidRDefault="001C5ADB" w:rsidP="005E2F96">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p>
    <w:p w:rsidR="005E2F96" w:rsidRPr="005E2F96" w:rsidRDefault="001C5ADB" w:rsidP="005E2F96">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r>
        <w:rPr>
          <w:rFonts w:asciiTheme="minorHAnsi" w:hAnsiTheme="minorHAnsi"/>
          <w:sz w:val="24"/>
          <w:szCs w:val="24"/>
        </w:rPr>
        <w:t>C</w:t>
      </w:r>
      <w:r w:rsidR="005E2F96" w:rsidRPr="005E2F96">
        <w:rPr>
          <w:rFonts w:asciiTheme="minorHAnsi" w:hAnsiTheme="minorHAnsi"/>
          <w:sz w:val="24"/>
          <w:szCs w:val="24"/>
        </w:rPr>
        <w:t xml:space="preserve">onflict with her local community could not be resolved, and </w:t>
      </w:r>
      <w:proofErr w:type="spellStart"/>
      <w:r w:rsidR="005E2F96" w:rsidRPr="005E2F96">
        <w:rPr>
          <w:rFonts w:asciiTheme="minorHAnsi" w:hAnsiTheme="minorHAnsi"/>
          <w:sz w:val="24"/>
          <w:szCs w:val="24"/>
        </w:rPr>
        <w:t>Jez</w:t>
      </w:r>
      <w:proofErr w:type="spellEnd"/>
      <w:r w:rsidR="005E2F96" w:rsidRPr="005E2F96">
        <w:rPr>
          <w:rFonts w:asciiTheme="minorHAnsi" w:hAnsiTheme="minorHAnsi"/>
          <w:sz w:val="24"/>
          <w:szCs w:val="24"/>
        </w:rPr>
        <w:t xml:space="preserve"> made the decision to move out of the area. The </w:t>
      </w:r>
      <w:r>
        <w:rPr>
          <w:rFonts w:asciiTheme="minorHAnsi" w:hAnsiTheme="minorHAnsi"/>
          <w:sz w:val="24"/>
          <w:szCs w:val="24"/>
        </w:rPr>
        <w:t>caseworker</w:t>
      </w:r>
      <w:r w:rsidR="005E2F96" w:rsidRPr="005E2F96">
        <w:rPr>
          <w:rFonts w:asciiTheme="minorHAnsi" w:hAnsiTheme="minorHAnsi"/>
          <w:sz w:val="24"/>
          <w:szCs w:val="24"/>
        </w:rPr>
        <w:t xml:space="preserve"> worked with </w:t>
      </w:r>
      <w:r>
        <w:rPr>
          <w:rFonts w:asciiTheme="minorHAnsi" w:hAnsiTheme="minorHAnsi"/>
          <w:sz w:val="24"/>
          <w:szCs w:val="24"/>
        </w:rPr>
        <w:t xml:space="preserve">the state </w:t>
      </w:r>
      <w:r w:rsidR="005E2F96" w:rsidRPr="005E2F96">
        <w:rPr>
          <w:rFonts w:asciiTheme="minorHAnsi" w:hAnsiTheme="minorHAnsi"/>
          <w:sz w:val="24"/>
          <w:szCs w:val="24"/>
        </w:rPr>
        <w:t xml:space="preserve">Department of Housing to get priority housing </w:t>
      </w:r>
      <w:r>
        <w:rPr>
          <w:rFonts w:asciiTheme="minorHAnsi" w:hAnsiTheme="minorHAnsi"/>
          <w:sz w:val="24"/>
          <w:szCs w:val="24"/>
        </w:rPr>
        <w:t xml:space="preserve">for </w:t>
      </w:r>
      <w:proofErr w:type="spellStart"/>
      <w:r>
        <w:rPr>
          <w:rFonts w:asciiTheme="minorHAnsi" w:hAnsiTheme="minorHAnsi"/>
          <w:sz w:val="24"/>
          <w:szCs w:val="24"/>
        </w:rPr>
        <w:t>Jez</w:t>
      </w:r>
      <w:proofErr w:type="spellEnd"/>
      <w:r>
        <w:rPr>
          <w:rFonts w:asciiTheme="minorHAnsi" w:hAnsiTheme="minorHAnsi"/>
          <w:sz w:val="24"/>
          <w:szCs w:val="24"/>
        </w:rPr>
        <w:t xml:space="preserve"> and </w:t>
      </w:r>
      <w:r w:rsidR="005E2F96" w:rsidRPr="005E2F96">
        <w:rPr>
          <w:rFonts w:asciiTheme="minorHAnsi" w:hAnsiTheme="minorHAnsi"/>
          <w:sz w:val="24"/>
          <w:szCs w:val="24"/>
        </w:rPr>
        <w:t>supported her practically in the move and through ongoing counselling with a psychologist to address her issues of grief, loss and trauma healing.</w:t>
      </w:r>
      <w:r>
        <w:rPr>
          <w:rFonts w:asciiTheme="minorHAnsi" w:hAnsiTheme="minorHAnsi"/>
          <w:sz w:val="24"/>
          <w:szCs w:val="24"/>
        </w:rPr>
        <w:t xml:space="preserve"> </w:t>
      </w:r>
      <w:proofErr w:type="spellStart"/>
      <w:r w:rsidR="005E2F96" w:rsidRPr="005E2F96">
        <w:rPr>
          <w:rFonts w:asciiTheme="minorHAnsi" w:hAnsiTheme="minorHAnsi"/>
          <w:sz w:val="24"/>
          <w:szCs w:val="24"/>
        </w:rPr>
        <w:t>Jez</w:t>
      </w:r>
      <w:proofErr w:type="spellEnd"/>
      <w:r w:rsidR="005E2F96" w:rsidRPr="005E2F96">
        <w:rPr>
          <w:rFonts w:asciiTheme="minorHAnsi" w:hAnsiTheme="minorHAnsi"/>
          <w:sz w:val="24"/>
          <w:szCs w:val="24"/>
        </w:rPr>
        <w:t xml:space="preserve"> met other Aboriginal mothers in the new area and has started up her own playgroup in her back yard; she has undertaken a child care course at TAFE and has already completed 50 hours of work placement at an Aboriginal preschool. Her child now attends child care</w:t>
      </w:r>
      <w:r>
        <w:rPr>
          <w:rFonts w:asciiTheme="minorHAnsi" w:hAnsiTheme="minorHAnsi"/>
          <w:sz w:val="24"/>
          <w:szCs w:val="24"/>
        </w:rPr>
        <w:t>,</w:t>
      </w:r>
      <w:r w:rsidR="005E2F96" w:rsidRPr="005E2F96">
        <w:rPr>
          <w:rFonts w:asciiTheme="minorHAnsi" w:hAnsiTheme="minorHAnsi"/>
          <w:sz w:val="24"/>
          <w:szCs w:val="24"/>
        </w:rPr>
        <w:t xml:space="preserve"> and the caseworker reports significant growth in attachment between </w:t>
      </w:r>
      <w:proofErr w:type="spellStart"/>
      <w:r w:rsidR="005E2F96" w:rsidRPr="005E2F96">
        <w:rPr>
          <w:rFonts w:asciiTheme="minorHAnsi" w:hAnsiTheme="minorHAnsi"/>
          <w:sz w:val="24"/>
          <w:szCs w:val="24"/>
        </w:rPr>
        <w:t>Jez</w:t>
      </w:r>
      <w:proofErr w:type="spellEnd"/>
      <w:r w:rsidR="005E2F96" w:rsidRPr="005E2F96">
        <w:rPr>
          <w:rFonts w:asciiTheme="minorHAnsi" w:hAnsiTheme="minorHAnsi"/>
          <w:sz w:val="24"/>
          <w:szCs w:val="24"/>
        </w:rPr>
        <w:t xml:space="preserve"> and her child and </w:t>
      </w:r>
      <w:r>
        <w:rPr>
          <w:rFonts w:asciiTheme="minorHAnsi" w:hAnsiTheme="minorHAnsi"/>
          <w:sz w:val="24"/>
          <w:szCs w:val="24"/>
        </w:rPr>
        <w:t xml:space="preserve">improvement </w:t>
      </w:r>
      <w:r w:rsidR="005E2F96" w:rsidRPr="005E2F96">
        <w:rPr>
          <w:rFonts w:asciiTheme="minorHAnsi" w:hAnsiTheme="minorHAnsi"/>
          <w:sz w:val="24"/>
          <w:szCs w:val="24"/>
        </w:rPr>
        <w:t xml:space="preserve">in the physical care of her child. </w:t>
      </w:r>
      <w:proofErr w:type="spellStart"/>
      <w:r w:rsidR="005E2F96" w:rsidRPr="005E2F96">
        <w:rPr>
          <w:rFonts w:asciiTheme="minorHAnsi" w:hAnsiTheme="minorHAnsi"/>
          <w:sz w:val="24"/>
          <w:szCs w:val="24"/>
        </w:rPr>
        <w:t>Jez’s</w:t>
      </w:r>
      <w:proofErr w:type="spellEnd"/>
      <w:r w:rsidR="005E2F96" w:rsidRPr="005E2F96">
        <w:rPr>
          <w:rFonts w:asciiTheme="minorHAnsi" w:hAnsiTheme="minorHAnsi"/>
          <w:sz w:val="24"/>
          <w:szCs w:val="24"/>
        </w:rPr>
        <w:t xml:space="preserve"> oldest son now lives with her, and </w:t>
      </w:r>
      <w:proofErr w:type="spellStart"/>
      <w:r w:rsidR="005E2F96" w:rsidRPr="005E2F96">
        <w:rPr>
          <w:rFonts w:asciiTheme="minorHAnsi" w:hAnsiTheme="minorHAnsi"/>
          <w:sz w:val="24"/>
          <w:szCs w:val="24"/>
        </w:rPr>
        <w:t>Jez</w:t>
      </w:r>
      <w:proofErr w:type="spellEnd"/>
      <w:r w:rsidR="005E2F96" w:rsidRPr="005E2F96">
        <w:rPr>
          <w:rFonts w:asciiTheme="minorHAnsi" w:hAnsiTheme="minorHAnsi"/>
          <w:sz w:val="24"/>
          <w:szCs w:val="24"/>
        </w:rPr>
        <w:t xml:space="preserve"> remains alcohol free.</w:t>
      </w:r>
    </w:p>
    <w:p w:rsidR="001C5ADB" w:rsidRDefault="001C5ADB" w:rsidP="005E2F96">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p>
    <w:p w:rsidR="005E2F96" w:rsidRPr="005E2F96" w:rsidRDefault="005E2F96" w:rsidP="005E2F96">
      <w:pPr>
        <w:pBdr>
          <w:top w:val="single" w:sz="12" w:space="1" w:color="006600"/>
          <w:left w:val="single" w:sz="12" w:space="4" w:color="006600"/>
          <w:bottom w:val="single" w:sz="12" w:space="1" w:color="006600"/>
          <w:right w:val="single" w:sz="12" w:space="4" w:color="006600"/>
        </w:pBdr>
        <w:shd w:val="clear" w:color="auto" w:fill="D1FFD1"/>
        <w:rPr>
          <w:rFonts w:asciiTheme="minorHAnsi" w:hAnsiTheme="minorHAnsi"/>
          <w:sz w:val="24"/>
          <w:szCs w:val="24"/>
        </w:rPr>
      </w:pPr>
      <w:r w:rsidRPr="005E2F96">
        <w:rPr>
          <w:rFonts w:asciiTheme="minorHAnsi" w:hAnsiTheme="minorHAnsi"/>
          <w:sz w:val="24"/>
          <w:szCs w:val="24"/>
        </w:rPr>
        <w:t xml:space="preserve">This practice story highlights the way </w:t>
      </w:r>
      <w:r w:rsidR="001C5ADB">
        <w:rPr>
          <w:rFonts w:asciiTheme="minorHAnsi" w:hAnsiTheme="minorHAnsi"/>
          <w:sz w:val="24"/>
          <w:szCs w:val="24"/>
        </w:rPr>
        <w:t>Brighter Futures</w:t>
      </w:r>
      <w:r w:rsidRPr="005E2F96">
        <w:rPr>
          <w:rFonts w:asciiTheme="minorHAnsi" w:hAnsiTheme="minorHAnsi"/>
          <w:sz w:val="24"/>
          <w:szCs w:val="24"/>
        </w:rPr>
        <w:t xml:space="preserve">, along with Government partners, </w:t>
      </w:r>
      <w:r w:rsidR="001C5ADB">
        <w:rPr>
          <w:rFonts w:asciiTheme="minorHAnsi" w:hAnsiTheme="minorHAnsi"/>
          <w:sz w:val="24"/>
          <w:szCs w:val="24"/>
        </w:rPr>
        <w:t xml:space="preserve">is </w:t>
      </w:r>
      <w:r w:rsidRPr="005E2F96">
        <w:rPr>
          <w:rFonts w:asciiTheme="minorHAnsi" w:hAnsiTheme="minorHAnsi"/>
          <w:sz w:val="24"/>
          <w:szCs w:val="24"/>
        </w:rPr>
        <w:t>committed to building and sustaining relationships that lead to positive changes for children, young people, families and communities, whil</w:t>
      </w:r>
      <w:r w:rsidR="001C5ADB">
        <w:rPr>
          <w:rFonts w:asciiTheme="minorHAnsi" w:hAnsiTheme="minorHAnsi"/>
          <w:sz w:val="24"/>
          <w:szCs w:val="24"/>
        </w:rPr>
        <w:t>e</w:t>
      </w:r>
      <w:r w:rsidRPr="005E2F96">
        <w:rPr>
          <w:rFonts w:asciiTheme="minorHAnsi" w:hAnsiTheme="minorHAnsi"/>
          <w:sz w:val="24"/>
          <w:szCs w:val="24"/>
        </w:rPr>
        <w:t xml:space="preserve"> ensuring</w:t>
      </w:r>
      <w:r w:rsidR="001C5ADB">
        <w:rPr>
          <w:rFonts w:asciiTheme="minorHAnsi" w:hAnsiTheme="minorHAnsi"/>
          <w:sz w:val="24"/>
          <w:szCs w:val="24"/>
        </w:rPr>
        <w:t xml:space="preserve"> that</w:t>
      </w:r>
      <w:r w:rsidRPr="005E2F96">
        <w:rPr>
          <w:rFonts w:asciiTheme="minorHAnsi" w:hAnsiTheme="minorHAnsi"/>
          <w:sz w:val="24"/>
          <w:szCs w:val="24"/>
        </w:rPr>
        <w:t xml:space="preserve"> the child and young person is at the centre of </w:t>
      </w:r>
      <w:r w:rsidR="001C5ADB">
        <w:rPr>
          <w:rFonts w:asciiTheme="minorHAnsi" w:hAnsiTheme="minorHAnsi"/>
          <w:sz w:val="24"/>
          <w:szCs w:val="24"/>
        </w:rPr>
        <w:t>service</w:t>
      </w:r>
      <w:r w:rsidRPr="005E2F96">
        <w:rPr>
          <w:rFonts w:asciiTheme="minorHAnsi" w:hAnsiTheme="minorHAnsi"/>
          <w:sz w:val="24"/>
          <w:szCs w:val="24"/>
        </w:rPr>
        <w:t xml:space="preserve"> practice.</w:t>
      </w:r>
      <w:r w:rsidR="00A43557">
        <w:rPr>
          <w:rFonts w:asciiTheme="minorHAnsi" w:hAnsiTheme="minorHAnsi"/>
          <w:sz w:val="24"/>
          <w:szCs w:val="24"/>
        </w:rPr>
        <w:t xml:space="preserve"> </w:t>
      </w:r>
      <w:r w:rsidRPr="005E2F96">
        <w:rPr>
          <w:rFonts w:asciiTheme="minorHAnsi" w:hAnsiTheme="minorHAnsi"/>
          <w:sz w:val="24"/>
          <w:szCs w:val="24"/>
        </w:rPr>
        <w:t>It highlights the need to work respectfully, acknowledging the strengths of the family members</w:t>
      </w:r>
      <w:r w:rsidR="00924173">
        <w:rPr>
          <w:rFonts w:asciiTheme="minorHAnsi" w:hAnsiTheme="minorHAnsi"/>
          <w:sz w:val="24"/>
          <w:szCs w:val="24"/>
        </w:rPr>
        <w:t xml:space="preserve"> and</w:t>
      </w:r>
      <w:r w:rsidRPr="005E2F96">
        <w:rPr>
          <w:rFonts w:asciiTheme="minorHAnsi" w:hAnsiTheme="minorHAnsi"/>
          <w:sz w:val="24"/>
          <w:szCs w:val="24"/>
        </w:rPr>
        <w:t xml:space="preserve"> working with them to make their decisions work for them. </w:t>
      </w:r>
    </w:p>
    <w:p w:rsidR="005E2F96" w:rsidRDefault="005E2F96" w:rsidP="005E2F96"/>
    <w:p w:rsidR="008B2956" w:rsidRDefault="008B2956">
      <w:pPr>
        <w:rPr>
          <w:rFonts w:ascii="Arial" w:hAnsi="Arial"/>
          <w:bCs/>
          <w:color w:val="00B050"/>
          <w:sz w:val="26"/>
          <w:szCs w:val="26"/>
        </w:rPr>
      </w:pPr>
      <w:r>
        <w:br w:type="page"/>
      </w:r>
    </w:p>
    <w:p w:rsidR="00E0358F" w:rsidRPr="00CA0ED3" w:rsidRDefault="00E0358F" w:rsidP="003C36AD">
      <w:pPr>
        <w:pStyle w:val="Heading2"/>
      </w:pPr>
      <w:bookmarkStart w:id="199" w:name="_Toc400007774"/>
      <w:bookmarkStart w:id="200" w:name="_Toc400711492"/>
      <w:r w:rsidRPr="003840F0">
        <w:t>M</w:t>
      </w:r>
      <w:r w:rsidR="00CA0ED3" w:rsidRPr="003840F0">
        <w:t>easuring</w:t>
      </w:r>
      <w:r w:rsidR="00CA0ED3">
        <w:t xml:space="preserve"> progress</w:t>
      </w:r>
      <w:bookmarkEnd w:id="199"/>
      <w:bookmarkEnd w:id="200"/>
    </w:p>
    <w:p w:rsidR="00D0122C" w:rsidRPr="007847B7" w:rsidRDefault="00D0122C" w:rsidP="003C36AD">
      <w:pPr>
        <w:pStyle w:val="Heading3"/>
      </w:pPr>
      <w:bookmarkStart w:id="201" w:name="_Toc400007775"/>
      <w:r w:rsidRPr="007847B7">
        <w:t>Placement of Indigenous children</w:t>
      </w:r>
      <w:bookmarkEnd w:id="201"/>
    </w:p>
    <w:p w:rsidR="00D0122C" w:rsidRDefault="00D0122C" w:rsidP="004B3342">
      <w:pPr>
        <w:pStyle w:val="Heading4a"/>
      </w:pPr>
      <w:r>
        <w:t xml:space="preserve">Indicator </w:t>
      </w:r>
      <w:r w:rsidRPr="0060478E">
        <w:t>5.2</w:t>
      </w:r>
      <w:r>
        <w:t xml:space="preserve">: </w:t>
      </w:r>
      <w:r w:rsidRPr="0060478E">
        <w:t>Proportion of Indigenous children aged 0–17 years in out-of-home care placed with extended family or other Indigenous caregivers</w:t>
      </w:r>
    </w:p>
    <w:p w:rsidR="00D0122C" w:rsidRPr="00842266" w:rsidRDefault="00D0122C" w:rsidP="00D0122C">
      <w:pPr>
        <w:rPr>
          <w:lang w:eastAsia="en-AU"/>
        </w:rPr>
      </w:pPr>
    </w:p>
    <w:p w:rsidR="00D0122C" w:rsidRPr="00821556" w:rsidRDefault="00D0122C" w:rsidP="00D0122C">
      <w:pPr>
        <w:rPr>
          <w:rFonts w:ascii="Calibri" w:hAnsi="Calibri" w:cs="Calibri"/>
          <w:sz w:val="24"/>
          <w:szCs w:val="24"/>
        </w:rPr>
      </w:pPr>
      <w:r w:rsidRPr="00821556">
        <w:rPr>
          <w:rFonts w:ascii="Calibri" w:hAnsi="Calibri" w:cs="Calibri"/>
          <w:sz w:val="24"/>
          <w:szCs w:val="24"/>
        </w:rPr>
        <w:t xml:space="preserve">The </w:t>
      </w:r>
      <w:r w:rsidR="00297A0B">
        <w:rPr>
          <w:rFonts w:ascii="Calibri" w:hAnsi="Calibri" w:cs="Calibri"/>
          <w:sz w:val="24"/>
          <w:szCs w:val="24"/>
        </w:rPr>
        <w:t>A</w:t>
      </w:r>
      <w:r w:rsidR="00314725">
        <w:rPr>
          <w:rFonts w:ascii="Calibri" w:hAnsi="Calibri" w:cs="Calibri"/>
          <w:sz w:val="24"/>
          <w:szCs w:val="24"/>
        </w:rPr>
        <w:t>TSI</w:t>
      </w:r>
      <w:r w:rsidR="00297A0B">
        <w:rPr>
          <w:rFonts w:ascii="Calibri" w:hAnsi="Calibri" w:cs="Calibri"/>
          <w:sz w:val="24"/>
          <w:szCs w:val="24"/>
        </w:rPr>
        <w:t>CPP</w:t>
      </w:r>
      <w:r w:rsidRPr="00821556">
        <w:rPr>
          <w:rFonts w:ascii="Calibri" w:hAnsi="Calibri" w:cs="Calibri"/>
          <w:sz w:val="24"/>
          <w:szCs w:val="24"/>
        </w:rPr>
        <w:t xml:space="preserve"> states that the preferred order of placement for an Aboriginal and</w:t>
      </w:r>
      <w:r>
        <w:rPr>
          <w:rFonts w:ascii="Calibri" w:hAnsi="Calibri" w:cs="Calibri"/>
          <w:sz w:val="24"/>
          <w:szCs w:val="24"/>
        </w:rPr>
        <w:t>/or</w:t>
      </w:r>
      <w:r w:rsidRPr="00821556">
        <w:rPr>
          <w:rFonts w:ascii="Calibri" w:hAnsi="Calibri" w:cs="Calibri"/>
          <w:sz w:val="24"/>
          <w:szCs w:val="24"/>
        </w:rPr>
        <w:t xml:space="preserve"> Torres Strait Islander child who has been removed from </w:t>
      </w:r>
      <w:r>
        <w:rPr>
          <w:rFonts w:ascii="Calibri" w:hAnsi="Calibri" w:cs="Calibri"/>
          <w:sz w:val="24"/>
          <w:szCs w:val="24"/>
        </w:rPr>
        <w:t>his or her</w:t>
      </w:r>
      <w:r w:rsidRPr="00821556">
        <w:rPr>
          <w:rFonts w:ascii="Calibri" w:hAnsi="Calibri" w:cs="Calibri"/>
          <w:sz w:val="24"/>
          <w:szCs w:val="24"/>
        </w:rPr>
        <w:t xml:space="preserve"> birth family is with: </w:t>
      </w:r>
    </w:p>
    <w:p w:rsidR="00D0122C" w:rsidRPr="00821556" w:rsidRDefault="00D0122C" w:rsidP="00D0122C">
      <w:pPr>
        <w:pStyle w:val="ListBullet"/>
      </w:pPr>
      <w:r w:rsidRPr="00821556">
        <w:t>the child's extended family</w:t>
      </w:r>
    </w:p>
    <w:p w:rsidR="00D0122C" w:rsidRPr="00821556" w:rsidRDefault="00D0122C" w:rsidP="00D0122C">
      <w:pPr>
        <w:pStyle w:val="ListBullet"/>
      </w:pPr>
      <w:r w:rsidRPr="00821556">
        <w:t>the child's Indigenous community</w:t>
      </w:r>
    </w:p>
    <w:p w:rsidR="00D0122C" w:rsidRPr="00821556" w:rsidRDefault="00D0122C" w:rsidP="00D0122C">
      <w:pPr>
        <w:pStyle w:val="ListBullet"/>
      </w:pPr>
      <w:proofErr w:type="gramStart"/>
      <w:r w:rsidRPr="00821556">
        <w:t>other</w:t>
      </w:r>
      <w:proofErr w:type="gramEnd"/>
      <w:r w:rsidRPr="00821556">
        <w:t xml:space="preserve"> Indigenous people.</w:t>
      </w:r>
    </w:p>
    <w:p w:rsidR="00D0122C" w:rsidRDefault="00D0122C" w:rsidP="00D0122C">
      <w:pPr>
        <w:rPr>
          <w:rFonts w:ascii="Calibri" w:hAnsi="Calibri" w:cs="Calibri"/>
          <w:sz w:val="24"/>
          <w:szCs w:val="24"/>
        </w:rPr>
      </w:pPr>
    </w:p>
    <w:p w:rsidR="00D0122C" w:rsidRPr="00821556" w:rsidRDefault="00D0122C" w:rsidP="00D0122C">
      <w:pPr>
        <w:rPr>
          <w:rFonts w:ascii="Calibri" w:hAnsi="Calibri" w:cs="Calibri"/>
          <w:sz w:val="24"/>
          <w:szCs w:val="24"/>
        </w:rPr>
      </w:pPr>
      <w:r w:rsidRPr="00821556">
        <w:rPr>
          <w:rFonts w:ascii="Calibri" w:hAnsi="Calibri" w:cs="Calibri"/>
          <w:sz w:val="24"/>
          <w:szCs w:val="24"/>
        </w:rPr>
        <w:t xml:space="preserve">Only if an appropriate placement cannot be found from the three groups can an Indigenous child be placed with a non-Indigenous carer. This principle has been endorsed by all states and territories in Australia. The </w:t>
      </w:r>
      <w:r w:rsidR="00631492">
        <w:rPr>
          <w:rFonts w:ascii="Calibri" w:hAnsi="Calibri" w:cs="Calibri"/>
          <w:sz w:val="24"/>
          <w:szCs w:val="24"/>
        </w:rPr>
        <w:t>A</w:t>
      </w:r>
      <w:r w:rsidR="00A8762A">
        <w:rPr>
          <w:rFonts w:ascii="Calibri" w:hAnsi="Calibri" w:cs="Calibri"/>
          <w:sz w:val="24"/>
          <w:szCs w:val="24"/>
        </w:rPr>
        <w:t>TSI</w:t>
      </w:r>
      <w:r w:rsidR="00631492">
        <w:rPr>
          <w:rFonts w:ascii="Calibri" w:hAnsi="Calibri" w:cs="Calibri"/>
          <w:sz w:val="24"/>
          <w:szCs w:val="24"/>
        </w:rPr>
        <w:t>C</w:t>
      </w:r>
      <w:r w:rsidR="00A8762A">
        <w:rPr>
          <w:rFonts w:ascii="Calibri" w:hAnsi="Calibri" w:cs="Calibri"/>
          <w:sz w:val="24"/>
          <w:szCs w:val="24"/>
        </w:rPr>
        <w:t>P</w:t>
      </w:r>
      <w:r w:rsidR="00631492">
        <w:rPr>
          <w:rFonts w:ascii="Calibri" w:hAnsi="Calibri" w:cs="Calibri"/>
          <w:sz w:val="24"/>
          <w:szCs w:val="24"/>
        </w:rPr>
        <w:t>P</w:t>
      </w:r>
      <w:r w:rsidRPr="00821556">
        <w:rPr>
          <w:rFonts w:ascii="Calibri" w:hAnsi="Calibri" w:cs="Calibri"/>
          <w:sz w:val="24"/>
          <w:szCs w:val="24"/>
        </w:rPr>
        <w:t xml:space="preserve"> is an acknowledgement of the </w:t>
      </w:r>
      <w:r w:rsidRPr="007525A8">
        <w:rPr>
          <w:rFonts w:ascii="Calibri" w:hAnsi="Calibri" w:cs="Calibri"/>
          <w:sz w:val="24"/>
          <w:szCs w:val="24"/>
        </w:rPr>
        <w:t>damaging impact of past practices of cultural assimilation and forced removal of Aboriginal and Torres Strait Islander children from their families, resulting in mutual grief and trauma and the loss of important cultural links and cultural knowledge (HREOC 1997).</w:t>
      </w:r>
    </w:p>
    <w:p w:rsidR="00D0122C" w:rsidRPr="00821556" w:rsidRDefault="00D0122C" w:rsidP="00D0122C">
      <w:pPr>
        <w:rPr>
          <w:rFonts w:ascii="Calibri" w:eastAsia="Calibri" w:hAnsi="Calibri" w:cs="Calibri"/>
          <w:sz w:val="24"/>
          <w:szCs w:val="24"/>
          <w:lang w:eastAsia="en-US"/>
        </w:rPr>
      </w:pPr>
    </w:p>
    <w:p w:rsidR="00D0122C" w:rsidRDefault="00D0122C" w:rsidP="00D0122C">
      <w:pPr>
        <w:rPr>
          <w:rFonts w:ascii="Calibri" w:eastAsia="Calibri" w:hAnsi="Calibri" w:cs="Calibri"/>
          <w:sz w:val="24"/>
          <w:szCs w:val="24"/>
          <w:lang w:eastAsia="en-US"/>
        </w:rPr>
      </w:pPr>
      <w:r w:rsidRPr="00821556">
        <w:rPr>
          <w:rFonts w:ascii="Calibri" w:eastAsia="Calibri" w:hAnsi="Calibri" w:cs="Calibri"/>
          <w:sz w:val="24"/>
          <w:szCs w:val="24"/>
          <w:lang w:eastAsia="en-US"/>
        </w:rPr>
        <w:t>At 30 June 2012, just over two-thirds (69</w:t>
      </w:r>
      <w:r>
        <w:rPr>
          <w:rFonts w:ascii="Calibri" w:eastAsia="Calibri" w:hAnsi="Calibri" w:cs="Calibri"/>
          <w:sz w:val="24"/>
          <w:szCs w:val="24"/>
          <w:lang w:eastAsia="en-US"/>
        </w:rPr>
        <w:t xml:space="preserve"> per cent</w:t>
      </w:r>
      <w:r w:rsidRPr="00821556">
        <w:rPr>
          <w:rFonts w:ascii="Calibri" w:eastAsia="Calibri" w:hAnsi="Calibri" w:cs="Calibri"/>
          <w:sz w:val="24"/>
          <w:szCs w:val="24"/>
          <w:lang w:eastAsia="en-US"/>
        </w:rPr>
        <w:t xml:space="preserve">) of Indigenous children </w:t>
      </w:r>
      <w:r>
        <w:rPr>
          <w:rFonts w:ascii="Calibri" w:eastAsia="Calibri" w:hAnsi="Calibri" w:cs="Calibri"/>
          <w:sz w:val="24"/>
          <w:szCs w:val="24"/>
          <w:lang w:eastAsia="en-US"/>
        </w:rPr>
        <w:t xml:space="preserve">in out-of-home care </w:t>
      </w:r>
      <w:r w:rsidRPr="00821556">
        <w:rPr>
          <w:rFonts w:ascii="Calibri" w:eastAsia="Calibri" w:hAnsi="Calibri" w:cs="Calibri"/>
          <w:sz w:val="24"/>
          <w:szCs w:val="24"/>
          <w:lang w:eastAsia="en-US"/>
        </w:rPr>
        <w:t>were placed with relatives/kin or other Indigenous caregivers. Placement with Indigenous relatives/kin was most common (38</w:t>
      </w:r>
      <w:r>
        <w:rPr>
          <w:rFonts w:ascii="Calibri" w:eastAsia="Calibri" w:hAnsi="Calibri" w:cs="Calibri"/>
          <w:sz w:val="24"/>
          <w:szCs w:val="24"/>
          <w:lang w:eastAsia="en-US"/>
        </w:rPr>
        <w:t xml:space="preserve"> per cent</w:t>
      </w:r>
      <w:r w:rsidRPr="00821556">
        <w:rPr>
          <w:rFonts w:ascii="Calibri" w:eastAsia="Calibri" w:hAnsi="Calibri" w:cs="Calibri"/>
          <w:sz w:val="24"/>
          <w:szCs w:val="24"/>
          <w:lang w:eastAsia="en-US"/>
        </w:rPr>
        <w:t>). Similar patterns were seen between 2010 and 2012.</w:t>
      </w:r>
    </w:p>
    <w:p w:rsidR="00D0122C" w:rsidRPr="00821556" w:rsidRDefault="00D0122C" w:rsidP="00D0122C">
      <w:pPr>
        <w:rPr>
          <w:rFonts w:ascii="Calibri" w:eastAsia="Calibri" w:hAnsi="Calibri" w:cs="Calibri"/>
          <w:sz w:val="24"/>
          <w:szCs w:val="24"/>
          <w:lang w:eastAsia="en-US"/>
        </w:rPr>
      </w:pPr>
    </w:p>
    <w:p w:rsidR="00D0122C" w:rsidRPr="00821556" w:rsidRDefault="00E0613F" w:rsidP="00520DEC">
      <w:pPr>
        <w:pStyle w:val="Figure"/>
        <w:ind w:right="2527"/>
      </w:pPr>
      <w:bookmarkStart w:id="202" w:name="_Toc400010308"/>
      <w:r>
        <w:t xml:space="preserve">Table </w:t>
      </w:r>
      <w:fldSimple w:instr=" SEQ Table \* ARABIC ">
        <w:r w:rsidR="00BF1EC9">
          <w:rPr>
            <w:noProof/>
          </w:rPr>
          <w:t>22</w:t>
        </w:r>
      </w:fldSimple>
      <w:r>
        <w:t xml:space="preserve">: </w:t>
      </w:r>
      <w:r w:rsidRPr="00821556">
        <w:t>Indigenous children in out-of-home care at 30 June, by Indigenous status and relationship of carer, 2010</w:t>
      </w:r>
      <w:r>
        <w:t xml:space="preserve"> to </w:t>
      </w:r>
      <w:r w:rsidRPr="00821556">
        <w:t>2012</w:t>
      </w:r>
      <w:bookmarkEnd w:id="202"/>
    </w:p>
    <w:tbl>
      <w:tblPr>
        <w:tblW w:w="4564" w:type="pct"/>
        <w:tblLayout w:type="fixed"/>
        <w:tblLook w:val="04A0" w:firstRow="1" w:lastRow="0" w:firstColumn="1" w:lastColumn="0" w:noHBand="0" w:noVBand="1"/>
        <w:tblDescription w:val="Table 22: Indigenous children in out-of-home care at 30 June, by Indigenous status and relationship of carer, 2010 to 2012"/>
      </w:tblPr>
      <w:tblGrid>
        <w:gridCol w:w="2948"/>
        <w:gridCol w:w="1133"/>
        <w:gridCol w:w="1137"/>
        <w:gridCol w:w="1137"/>
        <w:gridCol w:w="1137"/>
        <w:gridCol w:w="1131"/>
        <w:gridCol w:w="1127"/>
      </w:tblGrid>
      <w:tr w:rsidR="00AF60C8" w:rsidRPr="00AF60C8" w:rsidTr="00AF60C8">
        <w:trPr>
          <w:trHeight w:val="288"/>
        </w:trPr>
        <w:tc>
          <w:tcPr>
            <w:tcW w:w="1512" w:type="pct"/>
            <w:tcBorders>
              <w:top w:val="single" w:sz="4" w:space="0" w:color="auto"/>
              <w:bottom w:val="single" w:sz="4" w:space="0" w:color="auto"/>
            </w:tcBorders>
            <w:shd w:val="clear" w:color="000000" w:fill="FFFFFF"/>
            <w:noWrap/>
            <w:vAlign w:val="bottom"/>
            <w:hideMark/>
          </w:tcPr>
          <w:p w:rsidR="00AF60C8" w:rsidRPr="00AF60C8" w:rsidRDefault="00AF60C8" w:rsidP="00135409">
            <w:pPr>
              <w:pStyle w:val="TableFigHeadingtotal"/>
              <w:rPr>
                <w:rFonts w:eastAsia="Calibri" w:cs="Arial"/>
              </w:rPr>
            </w:pPr>
            <w:r w:rsidRPr="00AF60C8">
              <w:rPr>
                <w:rFonts w:eastAsia="Calibri" w:cs="Arial"/>
              </w:rPr>
              <w:t>Carer type</w:t>
            </w:r>
          </w:p>
        </w:tc>
        <w:tc>
          <w:tcPr>
            <w:tcW w:w="581" w:type="pct"/>
            <w:tcBorders>
              <w:top w:val="single" w:sz="4" w:space="0" w:color="auto"/>
              <w:bottom w:val="single" w:sz="4" w:space="0" w:color="auto"/>
            </w:tcBorders>
            <w:shd w:val="clear" w:color="000000" w:fill="FFFFFF"/>
            <w:vAlign w:val="bottom"/>
          </w:tcPr>
          <w:p w:rsidR="00AF60C8" w:rsidRPr="00AF60C8" w:rsidRDefault="00AF60C8" w:rsidP="00135409">
            <w:pPr>
              <w:pStyle w:val="TableFigHeadingtotal"/>
              <w:jc w:val="right"/>
              <w:rPr>
                <w:rFonts w:eastAsia="Calibri" w:cs="Arial"/>
              </w:rPr>
            </w:pPr>
            <w:r w:rsidRPr="00AF60C8">
              <w:rPr>
                <w:rFonts w:eastAsia="Calibri" w:cs="Arial"/>
              </w:rPr>
              <w:t>2010</w:t>
            </w:r>
            <w:r w:rsidRPr="00AF60C8">
              <w:rPr>
                <w:rFonts w:eastAsia="Calibri" w:cs="Arial"/>
              </w:rPr>
              <w:br/>
              <w:t>Number</w:t>
            </w:r>
          </w:p>
        </w:tc>
        <w:tc>
          <w:tcPr>
            <w:tcW w:w="583" w:type="pct"/>
            <w:tcBorders>
              <w:top w:val="single" w:sz="4" w:space="0" w:color="auto"/>
              <w:bottom w:val="single" w:sz="4" w:space="0" w:color="auto"/>
            </w:tcBorders>
            <w:shd w:val="clear" w:color="auto" w:fill="auto"/>
            <w:noWrap/>
            <w:vAlign w:val="bottom"/>
          </w:tcPr>
          <w:p w:rsidR="00AF60C8" w:rsidRPr="00AF60C8" w:rsidRDefault="00AF60C8" w:rsidP="00135409">
            <w:pPr>
              <w:pStyle w:val="TableFigHeadingtotal"/>
              <w:jc w:val="right"/>
              <w:rPr>
                <w:rFonts w:eastAsia="Calibri" w:cs="Arial"/>
              </w:rPr>
            </w:pPr>
            <w:r w:rsidRPr="00AF60C8">
              <w:rPr>
                <w:rFonts w:eastAsia="Calibri" w:cs="Arial"/>
              </w:rPr>
              <w:t>2010</w:t>
            </w:r>
            <w:r w:rsidRPr="00AF60C8">
              <w:rPr>
                <w:rFonts w:eastAsia="Calibri" w:cs="Arial"/>
              </w:rPr>
              <w:br/>
              <w:t>Per cent</w:t>
            </w:r>
          </w:p>
        </w:tc>
        <w:tc>
          <w:tcPr>
            <w:tcW w:w="583" w:type="pct"/>
            <w:tcBorders>
              <w:top w:val="single" w:sz="4" w:space="0" w:color="auto"/>
              <w:bottom w:val="single" w:sz="4" w:space="0" w:color="auto"/>
            </w:tcBorders>
            <w:vAlign w:val="bottom"/>
          </w:tcPr>
          <w:p w:rsidR="00AF60C8" w:rsidRPr="00AF60C8" w:rsidRDefault="00AF60C8" w:rsidP="00135409">
            <w:pPr>
              <w:pStyle w:val="TableFigHeadingtotal"/>
              <w:jc w:val="right"/>
              <w:rPr>
                <w:rFonts w:eastAsia="Calibri" w:cs="Arial"/>
              </w:rPr>
            </w:pPr>
            <w:r w:rsidRPr="00AF60C8">
              <w:rPr>
                <w:rFonts w:eastAsia="Calibri" w:cs="Arial"/>
              </w:rPr>
              <w:t>2011</w:t>
            </w:r>
            <w:r w:rsidRPr="00AF60C8">
              <w:rPr>
                <w:rFonts w:eastAsia="Calibri" w:cs="Arial"/>
              </w:rPr>
              <w:br/>
              <w:t>Number</w:t>
            </w:r>
          </w:p>
        </w:tc>
        <w:tc>
          <w:tcPr>
            <w:tcW w:w="583" w:type="pct"/>
            <w:tcBorders>
              <w:top w:val="single" w:sz="4" w:space="0" w:color="auto"/>
              <w:bottom w:val="single" w:sz="4" w:space="0" w:color="auto"/>
            </w:tcBorders>
            <w:vAlign w:val="bottom"/>
          </w:tcPr>
          <w:p w:rsidR="00AF60C8" w:rsidRPr="00AF60C8" w:rsidRDefault="00AF60C8" w:rsidP="00135409">
            <w:pPr>
              <w:pStyle w:val="TableFigHeadingtotal"/>
              <w:jc w:val="right"/>
              <w:rPr>
                <w:rFonts w:eastAsia="Calibri" w:cs="Arial"/>
              </w:rPr>
            </w:pPr>
            <w:r w:rsidRPr="00AF60C8">
              <w:rPr>
                <w:rFonts w:eastAsia="Calibri" w:cs="Arial"/>
              </w:rPr>
              <w:t>2011</w:t>
            </w:r>
            <w:r w:rsidRPr="00AF60C8">
              <w:rPr>
                <w:rFonts w:eastAsia="Calibri" w:cs="Arial"/>
              </w:rPr>
              <w:br/>
              <w:t>Per cent</w:t>
            </w:r>
          </w:p>
        </w:tc>
        <w:tc>
          <w:tcPr>
            <w:tcW w:w="580" w:type="pct"/>
            <w:tcBorders>
              <w:top w:val="single" w:sz="4" w:space="0" w:color="auto"/>
              <w:bottom w:val="single" w:sz="4" w:space="0" w:color="auto"/>
            </w:tcBorders>
          </w:tcPr>
          <w:p w:rsidR="00AF60C8" w:rsidRPr="00AF60C8" w:rsidRDefault="00AF60C8" w:rsidP="00135409">
            <w:pPr>
              <w:pStyle w:val="TableFigHeadingtotal"/>
              <w:jc w:val="right"/>
              <w:rPr>
                <w:rFonts w:eastAsia="Calibri" w:cs="Arial"/>
              </w:rPr>
            </w:pPr>
            <w:r w:rsidRPr="00AF60C8">
              <w:rPr>
                <w:rFonts w:eastAsia="Calibri" w:cs="Arial"/>
              </w:rPr>
              <w:t>2012</w:t>
            </w:r>
            <w:r w:rsidRPr="00AF60C8">
              <w:rPr>
                <w:rFonts w:eastAsia="Calibri" w:cs="Arial"/>
              </w:rPr>
              <w:br/>
              <w:t>Number</w:t>
            </w:r>
          </w:p>
        </w:tc>
        <w:tc>
          <w:tcPr>
            <w:tcW w:w="580" w:type="pct"/>
            <w:tcBorders>
              <w:top w:val="single" w:sz="4" w:space="0" w:color="auto"/>
              <w:bottom w:val="single" w:sz="4" w:space="0" w:color="auto"/>
            </w:tcBorders>
          </w:tcPr>
          <w:p w:rsidR="00AF60C8" w:rsidRPr="00AF60C8" w:rsidRDefault="00AF60C8" w:rsidP="00135409">
            <w:pPr>
              <w:pStyle w:val="TableFigHeadingtotal"/>
              <w:jc w:val="right"/>
              <w:rPr>
                <w:rFonts w:eastAsia="Calibri" w:cs="Arial"/>
              </w:rPr>
            </w:pPr>
            <w:r w:rsidRPr="00AF60C8">
              <w:rPr>
                <w:rFonts w:eastAsia="Calibri" w:cs="Arial"/>
              </w:rPr>
              <w:t>2012</w:t>
            </w:r>
            <w:r w:rsidRPr="00AF60C8">
              <w:rPr>
                <w:rFonts w:eastAsia="Calibri" w:cs="Arial"/>
              </w:rPr>
              <w:br/>
              <w:t>Per cent</w:t>
            </w:r>
          </w:p>
        </w:tc>
      </w:tr>
      <w:tr w:rsidR="00AF60C8" w:rsidRPr="00AF60C8" w:rsidTr="00AF60C8">
        <w:trPr>
          <w:trHeight w:val="288"/>
        </w:trPr>
        <w:tc>
          <w:tcPr>
            <w:tcW w:w="1512" w:type="pct"/>
            <w:tcBorders>
              <w:top w:val="single" w:sz="4" w:space="0" w:color="auto"/>
            </w:tcBorders>
            <w:shd w:val="clear" w:color="000000" w:fill="FFFFFF"/>
            <w:noWrap/>
            <w:hideMark/>
          </w:tcPr>
          <w:p w:rsidR="00AF60C8" w:rsidRPr="00AF60C8" w:rsidRDefault="00AF60C8" w:rsidP="00135409">
            <w:pPr>
              <w:pStyle w:val="TableFigText"/>
              <w:rPr>
                <w:rFonts w:eastAsia="Calibri" w:cs="Arial"/>
              </w:rPr>
            </w:pPr>
            <w:r w:rsidRPr="00AF60C8">
              <w:rPr>
                <w:rFonts w:eastAsia="Calibri" w:cs="Arial"/>
              </w:rPr>
              <w:t xml:space="preserve">Indigenous relative/kin </w:t>
            </w:r>
          </w:p>
        </w:tc>
        <w:tc>
          <w:tcPr>
            <w:tcW w:w="581" w:type="pct"/>
            <w:tcBorders>
              <w:top w:val="single" w:sz="4" w:space="0" w:color="auto"/>
            </w:tcBorders>
            <w:shd w:val="clear" w:color="000000" w:fill="FFFFFF"/>
            <w:vAlign w:val="bottom"/>
          </w:tcPr>
          <w:p w:rsidR="00AF60C8" w:rsidRPr="00AF60C8" w:rsidRDefault="00AF60C8" w:rsidP="003D5879">
            <w:pPr>
              <w:pStyle w:val="TableFigText"/>
              <w:jc w:val="right"/>
              <w:rPr>
                <w:rFonts w:eastAsia="Calibri" w:cs="Arial"/>
              </w:rPr>
            </w:pPr>
            <w:r w:rsidRPr="00AF60C8">
              <w:rPr>
                <w:rFonts w:eastAsia="Calibri" w:cs="Arial"/>
              </w:rPr>
              <w:t>4633</w:t>
            </w:r>
          </w:p>
        </w:tc>
        <w:tc>
          <w:tcPr>
            <w:tcW w:w="583" w:type="pct"/>
            <w:tcBorders>
              <w:top w:val="single" w:sz="4" w:space="0" w:color="auto"/>
            </w:tcBorders>
            <w:shd w:val="clear" w:color="000000" w:fill="FFFFFF"/>
            <w:vAlign w:val="bottom"/>
          </w:tcPr>
          <w:p w:rsidR="00AF60C8" w:rsidRPr="00AF60C8" w:rsidRDefault="00AF60C8" w:rsidP="00291895">
            <w:pPr>
              <w:pStyle w:val="TableFigText"/>
              <w:tabs>
                <w:tab w:val="clear" w:pos="198"/>
              </w:tabs>
              <w:jc w:val="right"/>
              <w:rPr>
                <w:rFonts w:eastAsia="Calibri" w:cs="Arial"/>
              </w:rPr>
            </w:pPr>
            <w:r w:rsidRPr="00AF60C8">
              <w:rPr>
                <w:rFonts w:eastAsia="Calibri" w:cs="Arial"/>
              </w:rPr>
              <w:t>40.6</w:t>
            </w:r>
          </w:p>
        </w:tc>
        <w:tc>
          <w:tcPr>
            <w:tcW w:w="583" w:type="pct"/>
            <w:tcBorders>
              <w:top w:val="single" w:sz="4" w:space="0" w:color="auto"/>
            </w:tcBorders>
            <w:shd w:val="clear" w:color="000000" w:fill="FFFFFF"/>
            <w:vAlign w:val="bottom"/>
          </w:tcPr>
          <w:p w:rsidR="00AF60C8" w:rsidRPr="00AF60C8" w:rsidRDefault="00AF60C8" w:rsidP="003D5879">
            <w:pPr>
              <w:pStyle w:val="TableFigText"/>
              <w:jc w:val="right"/>
              <w:rPr>
                <w:rFonts w:eastAsia="Calibri" w:cs="Arial"/>
              </w:rPr>
            </w:pPr>
            <w:r w:rsidRPr="00AF60C8">
              <w:rPr>
                <w:rFonts w:eastAsia="Calibri" w:cs="Arial"/>
              </w:rPr>
              <w:t>4803</w:t>
            </w:r>
          </w:p>
        </w:tc>
        <w:tc>
          <w:tcPr>
            <w:tcW w:w="583" w:type="pct"/>
            <w:tcBorders>
              <w:top w:val="single" w:sz="4" w:space="0" w:color="auto"/>
            </w:tcBorders>
            <w:shd w:val="clear" w:color="000000" w:fill="FFFFFF"/>
            <w:vAlign w:val="bottom"/>
          </w:tcPr>
          <w:p w:rsidR="00AF60C8" w:rsidRPr="00AF60C8" w:rsidRDefault="00AF60C8" w:rsidP="00135409">
            <w:pPr>
              <w:pStyle w:val="TableFigText"/>
              <w:jc w:val="right"/>
              <w:rPr>
                <w:rFonts w:eastAsia="Calibri" w:cs="Arial"/>
              </w:rPr>
            </w:pPr>
            <w:r w:rsidRPr="00AF60C8">
              <w:rPr>
                <w:rFonts w:eastAsia="Calibri" w:cs="Arial"/>
              </w:rPr>
              <w:t>39.0</w:t>
            </w:r>
          </w:p>
        </w:tc>
        <w:tc>
          <w:tcPr>
            <w:tcW w:w="580" w:type="pct"/>
            <w:tcBorders>
              <w:top w:val="single" w:sz="4" w:space="0" w:color="auto"/>
            </w:tcBorders>
            <w:shd w:val="clear" w:color="000000" w:fill="FFFFFF"/>
            <w:vAlign w:val="bottom"/>
          </w:tcPr>
          <w:p w:rsidR="00AF60C8" w:rsidRPr="00AF60C8" w:rsidRDefault="00AF60C8" w:rsidP="003D5879">
            <w:pPr>
              <w:pStyle w:val="TableFigText"/>
              <w:jc w:val="right"/>
              <w:rPr>
                <w:rFonts w:eastAsia="Calibri" w:cs="Arial"/>
              </w:rPr>
            </w:pPr>
            <w:r w:rsidRPr="00AF60C8">
              <w:rPr>
                <w:rFonts w:eastAsia="Calibri" w:cs="Arial"/>
              </w:rPr>
              <w:t>5047</w:t>
            </w:r>
          </w:p>
        </w:tc>
        <w:tc>
          <w:tcPr>
            <w:tcW w:w="580" w:type="pct"/>
            <w:tcBorders>
              <w:top w:val="single" w:sz="4" w:space="0" w:color="auto"/>
            </w:tcBorders>
            <w:shd w:val="clear" w:color="000000" w:fill="FFFFFF"/>
            <w:vAlign w:val="bottom"/>
          </w:tcPr>
          <w:p w:rsidR="00AF60C8" w:rsidRPr="00AF60C8" w:rsidRDefault="00AF60C8" w:rsidP="00135409">
            <w:pPr>
              <w:pStyle w:val="TableFigText"/>
              <w:jc w:val="right"/>
              <w:rPr>
                <w:rFonts w:eastAsia="Calibri" w:cs="Arial"/>
              </w:rPr>
            </w:pPr>
            <w:r w:rsidRPr="00AF60C8">
              <w:rPr>
                <w:rFonts w:eastAsia="Calibri" w:cs="Arial"/>
              </w:rPr>
              <w:t>38.2</w:t>
            </w:r>
          </w:p>
        </w:tc>
      </w:tr>
      <w:tr w:rsidR="00AF60C8" w:rsidRPr="00AF60C8" w:rsidTr="00AF60C8">
        <w:trPr>
          <w:trHeight w:val="288"/>
        </w:trPr>
        <w:tc>
          <w:tcPr>
            <w:tcW w:w="1512" w:type="pct"/>
            <w:shd w:val="clear" w:color="000000" w:fill="FFFFFF"/>
            <w:noWrap/>
            <w:hideMark/>
          </w:tcPr>
          <w:p w:rsidR="00AF60C8" w:rsidRPr="00AF60C8" w:rsidRDefault="00AF60C8" w:rsidP="00135409">
            <w:pPr>
              <w:pStyle w:val="TableFigText"/>
              <w:rPr>
                <w:rFonts w:eastAsia="Calibri" w:cs="Arial"/>
              </w:rPr>
            </w:pPr>
            <w:r w:rsidRPr="00AF60C8">
              <w:rPr>
                <w:rFonts w:eastAsia="Calibri" w:cs="Arial"/>
              </w:rPr>
              <w:t xml:space="preserve">Other Indigenous caregiver </w:t>
            </w:r>
          </w:p>
        </w:tc>
        <w:tc>
          <w:tcPr>
            <w:tcW w:w="581" w:type="pct"/>
            <w:shd w:val="clear" w:color="000000" w:fill="FFFFFF"/>
            <w:vAlign w:val="bottom"/>
          </w:tcPr>
          <w:p w:rsidR="00AF60C8" w:rsidRPr="00AF60C8" w:rsidRDefault="00AF60C8" w:rsidP="003D5879">
            <w:pPr>
              <w:pStyle w:val="TableFigText"/>
              <w:jc w:val="right"/>
              <w:rPr>
                <w:rFonts w:eastAsia="Calibri" w:cs="Arial"/>
              </w:rPr>
            </w:pPr>
            <w:r w:rsidRPr="00AF60C8">
              <w:rPr>
                <w:rFonts w:eastAsia="Calibri" w:cs="Arial"/>
              </w:rPr>
              <w:t>2001</w:t>
            </w:r>
          </w:p>
        </w:tc>
        <w:tc>
          <w:tcPr>
            <w:tcW w:w="583" w:type="pct"/>
            <w:shd w:val="clear" w:color="000000" w:fill="FFFFFF"/>
            <w:vAlign w:val="bottom"/>
          </w:tcPr>
          <w:p w:rsidR="00AF60C8" w:rsidRPr="00AF60C8" w:rsidRDefault="00AF60C8" w:rsidP="00135409">
            <w:pPr>
              <w:pStyle w:val="TableFigText"/>
              <w:jc w:val="right"/>
              <w:rPr>
                <w:rFonts w:eastAsia="Calibri" w:cs="Arial"/>
              </w:rPr>
            </w:pPr>
            <w:r w:rsidRPr="00AF60C8">
              <w:rPr>
                <w:rFonts w:eastAsia="Calibri" w:cs="Arial"/>
              </w:rPr>
              <w:t>17.5</w:t>
            </w:r>
          </w:p>
        </w:tc>
        <w:tc>
          <w:tcPr>
            <w:tcW w:w="583" w:type="pct"/>
            <w:shd w:val="clear" w:color="000000" w:fill="FFFFFF"/>
            <w:vAlign w:val="bottom"/>
          </w:tcPr>
          <w:p w:rsidR="00AF60C8" w:rsidRPr="00AF60C8" w:rsidRDefault="00AF60C8" w:rsidP="003D5879">
            <w:pPr>
              <w:pStyle w:val="TableFigText"/>
              <w:jc w:val="right"/>
              <w:rPr>
                <w:rFonts w:eastAsia="Calibri" w:cs="Arial"/>
              </w:rPr>
            </w:pPr>
            <w:r w:rsidRPr="00AF60C8">
              <w:rPr>
                <w:rFonts w:eastAsia="Calibri" w:cs="Arial"/>
              </w:rPr>
              <w:t>2055</w:t>
            </w:r>
          </w:p>
        </w:tc>
        <w:tc>
          <w:tcPr>
            <w:tcW w:w="583" w:type="pct"/>
            <w:shd w:val="clear" w:color="000000" w:fill="FFFFFF"/>
            <w:vAlign w:val="bottom"/>
          </w:tcPr>
          <w:p w:rsidR="00AF60C8" w:rsidRPr="00AF60C8" w:rsidRDefault="00AF60C8" w:rsidP="00135409">
            <w:pPr>
              <w:pStyle w:val="TableFigText"/>
              <w:jc w:val="right"/>
              <w:rPr>
                <w:rFonts w:eastAsia="Calibri" w:cs="Arial"/>
              </w:rPr>
            </w:pPr>
            <w:r w:rsidRPr="00AF60C8">
              <w:rPr>
                <w:rFonts w:eastAsia="Calibri" w:cs="Arial"/>
              </w:rPr>
              <w:t>16.7</w:t>
            </w:r>
          </w:p>
        </w:tc>
        <w:tc>
          <w:tcPr>
            <w:tcW w:w="580" w:type="pct"/>
            <w:shd w:val="clear" w:color="000000" w:fill="FFFFFF"/>
            <w:vAlign w:val="bottom"/>
          </w:tcPr>
          <w:p w:rsidR="00AF60C8" w:rsidRPr="00AF60C8" w:rsidRDefault="00AF60C8" w:rsidP="003D5879">
            <w:pPr>
              <w:pStyle w:val="TableFigText"/>
              <w:jc w:val="right"/>
              <w:rPr>
                <w:rFonts w:eastAsia="Calibri" w:cs="Arial"/>
              </w:rPr>
            </w:pPr>
            <w:r w:rsidRPr="00AF60C8">
              <w:rPr>
                <w:rFonts w:eastAsia="Calibri" w:cs="Arial"/>
              </w:rPr>
              <w:t>2169</w:t>
            </w:r>
          </w:p>
        </w:tc>
        <w:tc>
          <w:tcPr>
            <w:tcW w:w="580" w:type="pct"/>
            <w:shd w:val="clear" w:color="000000" w:fill="FFFFFF"/>
            <w:vAlign w:val="bottom"/>
          </w:tcPr>
          <w:p w:rsidR="00AF60C8" w:rsidRPr="00AF60C8" w:rsidRDefault="00AF60C8" w:rsidP="00135409">
            <w:pPr>
              <w:pStyle w:val="TableFigText"/>
              <w:jc w:val="right"/>
              <w:rPr>
                <w:rFonts w:eastAsia="Calibri" w:cs="Arial"/>
              </w:rPr>
            </w:pPr>
            <w:r w:rsidRPr="00AF60C8">
              <w:rPr>
                <w:rFonts w:eastAsia="Calibri" w:cs="Arial"/>
              </w:rPr>
              <w:t>16.4</w:t>
            </w:r>
          </w:p>
        </w:tc>
      </w:tr>
      <w:tr w:rsidR="00AF60C8" w:rsidRPr="00AF60C8" w:rsidTr="00AF60C8">
        <w:trPr>
          <w:trHeight w:val="288"/>
        </w:trPr>
        <w:tc>
          <w:tcPr>
            <w:tcW w:w="1512" w:type="pct"/>
            <w:shd w:val="clear" w:color="000000" w:fill="FFFFFF"/>
            <w:noWrap/>
            <w:hideMark/>
          </w:tcPr>
          <w:p w:rsidR="00AF60C8" w:rsidRPr="00AF60C8" w:rsidRDefault="00AF60C8" w:rsidP="00135409">
            <w:pPr>
              <w:pStyle w:val="TableFigText"/>
              <w:rPr>
                <w:rFonts w:eastAsia="Calibri" w:cs="Arial"/>
              </w:rPr>
            </w:pPr>
            <w:r w:rsidRPr="00AF60C8">
              <w:rPr>
                <w:rFonts w:eastAsia="Calibri" w:cs="Arial"/>
              </w:rPr>
              <w:t xml:space="preserve">Other relative/kin </w:t>
            </w:r>
          </w:p>
        </w:tc>
        <w:tc>
          <w:tcPr>
            <w:tcW w:w="581" w:type="pct"/>
            <w:shd w:val="clear" w:color="000000" w:fill="FFFFFF"/>
            <w:vAlign w:val="bottom"/>
          </w:tcPr>
          <w:p w:rsidR="00AF60C8" w:rsidRPr="00AF60C8" w:rsidRDefault="00AF60C8" w:rsidP="003D5879">
            <w:pPr>
              <w:pStyle w:val="TableFigText"/>
              <w:jc w:val="right"/>
              <w:rPr>
                <w:rFonts w:eastAsia="Calibri" w:cs="Arial"/>
              </w:rPr>
            </w:pPr>
            <w:r w:rsidRPr="00AF60C8">
              <w:rPr>
                <w:rFonts w:eastAsia="Calibri" w:cs="Arial"/>
              </w:rPr>
              <w:t>1412</w:t>
            </w:r>
          </w:p>
        </w:tc>
        <w:tc>
          <w:tcPr>
            <w:tcW w:w="583" w:type="pct"/>
            <w:shd w:val="clear" w:color="000000" w:fill="FFFFFF"/>
            <w:vAlign w:val="bottom"/>
          </w:tcPr>
          <w:p w:rsidR="00AF60C8" w:rsidRPr="00AF60C8" w:rsidRDefault="00AF60C8" w:rsidP="00135409">
            <w:pPr>
              <w:pStyle w:val="TableFigText"/>
              <w:jc w:val="right"/>
              <w:rPr>
                <w:rFonts w:eastAsia="Calibri" w:cs="Arial"/>
              </w:rPr>
            </w:pPr>
            <w:r w:rsidRPr="00AF60C8">
              <w:rPr>
                <w:rFonts w:eastAsia="Calibri" w:cs="Arial"/>
              </w:rPr>
              <w:t>12.4</w:t>
            </w:r>
          </w:p>
        </w:tc>
        <w:tc>
          <w:tcPr>
            <w:tcW w:w="583" w:type="pct"/>
            <w:shd w:val="clear" w:color="000000" w:fill="FFFFFF"/>
            <w:vAlign w:val="bottom"/>
          </w:tcPr>
          <w:p w:rsidR="00AF60C8" w:rsidRPr="00AF60C8" w:rsidRDefault="00AF60C8" w:rsidP="003D5879">
            <w:pPr>
              <w:pStyle w:val="TableFigText"/>
              <w:jc w:val="right"/>
              <w:rPr>
                <w:rFonts w:eastAsia="Calibri" w:cs="Arial"/>
              </w:rPr>
            </w:pPr>
            <w:r w:rsidRPr="00AF60C8">
              <w:rPr>
                <w:rFonts w:eastAsia="Calibri" w:cs="Arial"/>
              </w:rPr>
              <w:t>1657</w:t>
            </w:r>
          </w:p>
        </w:tc>
        <w:tc>
          <w:tcPr>
            <w:tcW w:w="583" w:type="pct"/>
            <w:shd w:val="clear" w:color="000000" w:fill="FFFFFF"/>
            <w:vAlign w:val="bottom"/>
          </w:tcPr>
          <w:p w:rsidR="00AF60C8" w:rsidRPr="00AF60C8" w:rsidRDefault="00AF60C8" w:rsidP="00135409">
            <w:pPr>
              <w:pStyle w:val="TableFigText"/>
              <w:jc w:val="right"/>
              <w:rPr>
                <w:rFonts w:eastAsia="Calibri" w:cs="Arial"/>
              </w:rPr>
            </w:pPr>
            <w:r w:rsidRPr="00AF60C8">
              <w:rPr>
                <w:rFonts w:eastAsia="Calibri" w:cs="Arial"/>
              </w:rPr>
              <w:t>13.5</w:t>
            </w:r>
          </w:p>
        </w:tc>
        <w:tc>
          <w:tcPr>
            <w:tcW w:w="580" w:type="pct"/>
            <w:shd w:val="clear" w:color="000000" w:fill="FFFFFF"/>
            <w:vAlign w:val="bottom"/>
          </w:tcPr>
          <w:p w:rsidR="00AF60C8" w:rsidRPr="00AF60C8" w:rsidRDefault="00AF60C8" w:rsidP="003D5879">
            <w:pPr>
              <w:pStyle w:val="TableFigText"/>
              <w:jc w:val="right"/>
              <w:rPr>
                <w:rFonts w:eastAsia="Calibri" w:cs="Arial"/>
              </w:rPr>
            </w:pPr>
            <w:r w:rsidRPr="00AF60C8">
              <w:rPr>
                <w:rFonts w:eastAsia="Calibri" w:cs="Arial"/>
              </w:rPr>
              <w:t>1866</w:t>
            </w:r>
          </w:p>
        </w:tc>
        <w:tc>
          <w:tcPr>
            <w:tcW w:w="580" w:type="pct"/>
            <w:shd w:val="clear" w:color="000000" w:fill="FFFFFF"/>
            <w:vAlign w:val="bottom"/>
          </w:tcPr>
          <w:p w:rsidR="00AF60C8" w:rsidRPr="00AF60C8" w:rsidRDefault="00AF60C8" w:rsidP="00135409">
            <w:pPr>
              <w:pStyle w:val="TableFigText"/>
              <w:jc w:val="right"/>
              <w:rPr>
                <w:rFonts w:eastAsia="Calibri" w:cs="Arial"/>
              </w:rPr>
            </w:pPr>
            <w:r w:rsidRPr="00AF60C8">
              <w:rPr>
                <w:rFonts w:eastAsia="Calibri" w:cs="Arial"/>
              </w:rPr>
              <w:t>14.1</w:t>
            </w:r>
          </w:p>
        </w:tc>
      </w:tr>
      <w:tr w:rsidR="00AF60C8" w:rsidRPr="00AF60C8" w:rsidTr="00AF60C8">
        <w:trPr>
          <w:trHeight w:val="288"/>
        </w:trPr>
        <w:tc>
          <w:tcPr>
            <w:tcW w:w="1512" w:type="pct"/>
            <w:shd w:val="clear" w:color="000000" w:fill="FFFFFF"/>
            <w:noWrap/>
            <w:hideMark/>
          </w:tcPr>
          <w:p w:rsidR="00AF60C8" w:rsidRPr="00AF60C8" w:rsidRDefault="00AF60C8" w:rsidP="00135409">
            <w:pPr>
              <w:pStyle w:val="TableFigText"/>
              <w:rPr>
                <w:rFonts w:eastAsia="Calibri" w:cs="Arial"/>
                <w:iCs/>
              </w:rPr>
            </w:pPr>
            <w:r w:rsidRPr="00AF60C8">
              <w:rPr>
                <w:rFonts w:eastAsia="Calibri" w:cs="Arial"/>
                <w:iCs/>
              </w:rPr>
              <w:t xml:space="preserve">Total placed with extended family or other Indigenous caregiver </w:t>
            </w:r>
          </w:p>
        </w:tc>
        <w:tc>
          <w:tcPr>
            <w:tcW w:w="581" w:type="pct"/>
            <w:shd w:val="clear" w:color="000000" w:fill="FFFFFF"/>
            <w:vAlign w:val="bottom"/>
          </w:tcPr>
          <w:p w:rsidR="00AF60C8" w:rsidRPr="00AF60C8" w:rsidRDefault="00AF60C8" w:rsidP="003D5879">
            <w:pPr>
              <w:pStyle w:val="TableFigText"/>
              <w:jc w:val="right"/>
              <w:rPr>
                <w:rFonts w:eastAsia="Calibri" w:cs="Arial"/>
                <w:iCs/>
              </w:rPr>
            </w:pPr>
            <w:r w:rsidRPr="00AF60C8">
              <w:rPr>
                <w:rFonts w:eastAsia="Calibri" w:cs="Arial"/>
                <w:iCs/>
              </w:rPr>
              <w:t>8046</w:t>
            </w:r>
          </w:p>
        </w:tc>
        <w:tc>
          <w:tcPr>
            <w:tcW w:w="583" w:type="pct"/>
            <w:shd w:val="clear" w:color="000000" w:fill="FFFFFF"/>
            <w:vAlign w:val="bottom"/>
          </w:tcPr>
          <w:p w:rsidR="00AF60C8" w:rsidRPr="00AF60C8" w:rsidRDefault="00AF60C8" w:rsidP="00135409">
            <w:pPr>
              <w:pStyle w:val="TableFigText"/>
              <w:jc w:val="right"/>
              <w:rPr>
                <w:rFonts w:eastAsia="Calibri" w:cs="Arial"/>
                <w:iCs/>
              </w:rPr>
            </w:pPr>
            <w:r w:rsidRPr="00AF60C8">
              <w:rPr>
                <w:rFonts w:eastAsia="Calibri" w:cs="Arial"/>
                <w:iCs/>
              </w:rPr>
              <w:t>70.5</w:t>
            </w:r>
          </w:p>
        </w:tc>
        <w:tc>
          <w:tcPr>
            <w:tcW w:w="583" w:type="pct"/>
            <w:shd w:val="clear" w:color="000000" w:fill="FFFFFF"/>
            <w:vAlign w:val="bottom"/>
          </w:tcPr>
          <w:p w:rsidR="00AF60C8" w:rsidRPr="00AF60C8" w:rsidRDefault="00AF60C8" w:rsidP="003D5879">
            <w:pPr>
              <w:pStyle w:val="TableFigText"/>
              <w:jc w:val="right"/>
              <w:rPr>
                <w:rFonts w:eastAsia="Calibri" w:cs="Arial"/>
                <w:iCs/>
              </w:rPr>
            </w:pPr>
            <w:r w:rsidRPr="00AF60C8">
              <w:rPr>
                <w:rFonts w:eastAsia="Calibri" w:cs="Arial"/>
                <w:iCs/>
              </w:rPr>
              <w:t>8515</w:t>
            </w:r>
          </w:p>
        </w:tc>
        <w:tc>
          <w:tcPr>
            <w:tcW w:w="583" w:type="pct"/>
            <w:shd w:val="clear" w:color="000000" w:fill="FFFFFF"/>
            <w:vAlign w:val="bottom"/>
          </w:tcPr>
          <w:p w:rsidR="00AF60C8" w:rsidRPr="00AF60C8" w:rsidRDefault="00AF60C8" w:rsidP="00135409">
            <w:pPr>
              <w:pStyle w:val="TableFigText"/>
              <w:jc w:val="right"/>
              <w:rPr>
                <w:rFonts w:eastAsia="Calibri" w:cs="Arial"/>
                <w:iCs/>
              </w:rPr>
            </w:pPr>
            <w:r w:rsidRPr="00AF60C8">
              <w:rPr>
                <w:rFonts w:eastAsia="Calibri" w:cs="Arial"/>
                <w:iCs/>
              </w:rPr>
              <w:t>69.2</w:t>
            </w:r>
          </w:p>
        </w:tc>
        <w:tc>
          <w:tcPr>
            <w:tcW w:w="580" w:type="pct"/>
            <w:shd w:val="clear" w:color="000000" w:fill="FFFFFF"/>
            <w:vAlign w:val="bottom"/>
          </w:tcPr>
          <w:p w:rsidR="00AF60C8" w:rsidRPr="00AF60C8" w:rsidRDefault="00AF60C8" w:rsidP="003D5879">
            <w:pPr>
              <w:pStyle w:val="TableFigText"/>
              <w:jc w:val="right"/>
              <w:rPr>
                <w:rFonts w:eastAsia="Calibri" w:cs="Arial"/>
                <w:iCs/>
              </w:rPr>
            </w:pPr>
            <w:r w:rsidRPr="00AF60C8">
              <w:rPr>
                <w:rFonts w:eastAsia="Calibri" w:cs="Arial"/>
                <w:iCs/>
              </w:rPr>
              <w:t>9082</w:t>
            </w:r>
          </w:p>
        </w:tc>
        <w:tc>
          <w:tcPr>
            <w:tcW w:w="580" w:type="pct"/>
            <w:shd w:val="clear" w:color="000000" w:fill="FFFFFF"/>
            <w:vAlign w:val="bottom"/>
          </w:tcPr>
          <w:p w:rsidR="00AF60C8" w:rsidRPr="00AF60C8" w:rsidRDefault="00AF60C8" w:rsidP="00135409">
            <w:pPr>
              <w:pStyle w:val="TableFigText"/>
              <w:jc w:val="right"/>
              <w:rPr>
                <w:rFonts w:eastAsia="Calibri" w:cs="Arial"/>
                <w:iCs/>
              </w:rPr>
            </w:pPr>
            <w:r w:rsidRPr="00AF60C8">
              <w:rPr>
                <w:rFonts w:eastAsia="Calibri" w:cs="Arial"/>
                <w:iCs/>
              </w:rPr>
              <w:t>68.8</w:t>
            </w:r>
          </w:p>
        </w:tc>
      </w:tr>
      <w:tr w:rsidR="00AF60C8" w:rsidRPr="00AF60C8" w:rsidTr="00AF60C8">
        <w:trPr>
          <w:trHeight w:val="288"/>
        </w:trPr>
        <w:tc>
          <w:tcPr>
            <w:tcW w:w="1512" w:type="pct"/>
            <w:shd w:val="clear" w:color="000000" w:fill="FFFFFF"/>
            <w:noWrap/>
            <w:hideMark/>
          </w:tcPr>
          <w:p w:rsidR="00AF60C8" w:rsidRPr="00AF60C8" w:rsidRDefault="00AF60C8" w:rsidP="00135409">
            <w:pPr>
              <w:pStyle w:val="TableFigText"/>
              <w:rPr>
                <w:rFonts w:eastAsia="Calibri" w:cs="Arial"/>
                <w:iCs/>
              </w:rPr>
            </w:pPr>
            <w:r w:rsidRPr="00AF60C8">
              <w:rPr>
                <w:rFonts w:eastAsia="Calibri" w:cs="Arial"/>
                <w:iCs/>
              </w:rPr>
              <w:t xml:space="preserve">Other caregiver </w:t>
            </w:r>
          </w:p>
        </w:tc>
        <w:tc>
          <w:tcPr>
            <w:tcW w:w="581" w:type="pct"/>
            <w:shd w:val="clear" w:color="000000" w:fill="FFFFFF"/>
            <w:vAlign w:val="bottom"/>
          </w:tcPr>
          <w:p w:rsidR="00AF60C8" w:rsidRPr="00AF60C8" w:rsidRDefault="00AF60C8" w:rsidP="003D5879">
            <w:pPr>
              <w:pStyle w:val="TableFigText"/>
              <w:jc w:val="right"/>
              <w:rPr>
                <w:rFonts w:eastAsia="Calibri" w:cs="Arial"/>
                <w:iCs/>
              </w:rPr>
            </w:pPr>
            <w:r w:rsidRPr="00AF60C8">
              <w:rPr>
                <w:rFonts w:eastAsia="Calibri" w:cs="Arial"/>
                <w:iCs/>
              </w:rPr>
              <w:t>3370</w:t>
            </w:r>
          </w:p>
        </w:tc>
        <w:tc>
          <w:tcPr>
            <w:tcW w:w="583" w:type="pct"/>
            <w:shd w:val="clear" w:color="000000" w:fill="FFFFFF"/>
            <w:vAlign w:val="bottom"/>
          </w:tcPr>
          <w:p w:rsidR="00AF60C8" w:rsidRPr="00AF60C8" w:rsidRDefault="00AF60C8" w:rsidP="00135409">
            <w:pPr>
              <w:pStyle w:val="TableFigText"/>
              <w:jc w:val="right"/>
              <w:rPr>
                <w:rFonts w:eastAsia="Calibri" w:cs="Arial"/>
                <w:iCs/>
              </w:rPr>
            </w:pPr>
            <w:r w:rsidRPr="00AF60C8">
              <w:rPr>
                <w:rFonts w:eastAsia="Calibri" w:cs="Arial"/>
                <w:iCs/>
              </w:rPr>
              <w:t>29.5</w:t>
            </w:r>
          </w:p>
        </w:tc>
        <w:tc>
          <w:tcPr>
            <w:tcW w:w="583" w:type="pct"/>
            <w:shd w:val="clear" w:color="000000" w:fill="FFFFFF"/>
            <w:vAlign w:val="bottom"/>
          </w:tcPr>
          <w:p w:rsidR="00AF60C8" w:rsidRPr="00AF60C8" w:rsidRDefault="00AF60C8" w:rsidP="003D5879">
            <w:pPr>
              <w:pStyle w:val="TableFigText"/>
              <w:jc w:val="right"/>
              <w:rPr>
                <w:rFonts w:eastAsia="Calibri" w:cs="Arial"/>
                <w:iCs/>
              </w:rPr>
            </w:pPr>
            <w:r w:rsidRPr="00AF60C8">
              <w:rPr>
                <w:rFonts w:eastAsia="Calibri" w:cs="Arial"/>
                <w:iCs/>
              </w:rPr>
              <w:t>3788</w:t>
            </w:r>
          </w:p>
        </w:tc>
        <w:tc>
          <w:tcPr>
            <w:tcW w:w="583" w:type="pct"/>
            <w:shd w:val="clear" w:color="000000" w:fill="FFFFFF"/>
            <w:vAlign w:val="bottom"/>
          </w:tcPr>
          <w:p w:rsidR="00AF60C8" w:rsidRPr="00AF60C8" w:rsidRDefault="00AF60C8" w:rsidP="00135409">
            <w:pPr>
              <w:pStyle w:val="TableFigText"/>
              <w:jc w:val="right"/>
              <w:rPr>
                <w:rFonts w:eastAsia="Calibri" w:cs="Arial"/>
                <w:iCs/>
              </w:rPr>
            </w:pPr>
            <w:r w:rsidRPr="00AF60C8">
              <w:rPr>
                <w:rFonts w:eastAsia="Calibri" w:cs="Arial"/>
                <w:iCs/>
              </w:rPr>
              <w:t>30.8</w:t>
            </w:r>
          </w:p>
        </w:tc>
        <w:tc>
          <w:tcPr>
            <w:tcW w:w="580" w:type="pct"/>
            <w:shd w:val="clear" w:color="000000" w:fill="FFFFFF"/>
            <w:vAlign w:val="bottom"/>
          </w:tcPr>
          <w:p w:rsidR="00AF60C8" w:rsidRPr="00AF60C8" w:rsidRDefault="00AF60C8" w:rsidP="003D5879">
            <w:pPr>
              <w:pStyle w:val="TableFigText"/>
              <w:jc w:val="right"/>
              <w:rPr>
                <w:rFonts w:eastAsia="Calibri" w:cs="Arial"/>
                <w:iCs/>
              </w:rPr>
            </w:pPr>
            <w:r w:rsidRPr="00AF60C8">
              <w:rPr>
                <w:rFonts w:eastAsia="Calibri" w:cs="Arial"/>
                <w:iCs/>
              </w:rPr>
              <w:t>4122</w:t>
            </w:r>
          </w:p>
        </w:tc>
        <w:tc>
          <w:tcPr>
            <w:tcW w:w="580" w:type="pct"/>
            <w:shd w:val="clear" w:color="000000" w:fill="FFFFFF"/>
            <w:vAlign w:val="bottom"/>
          </w:tcPr>
          <w:p w:rsidR="00AF60C8" w:rsidRPr="00AF60C8" w:rsidRDefault="00AF60C8" w:rsidP="00135409">
            <w:pPr>
              <w:pStyle w:val="TableFigText"/>
              <w:jc w:val="right"/>
              <w:rPr>
                <w:rFonts w:eastAsia="Calibri" w:cs="Arial"/>
                <w:iCs/>
              </w:rPr>
            </w:pPr>
            <w:r w:rsidRPr="00AF60C8">
              <w:rPr>
                <w:rFonts w:eastAsia="Calibri" w:cs="Arial"/>
                <w:iCs/>
              </w:rPr>
              <w:t>31.2</w:t>
            </w:r>
          </w:p>
        </w:tc>
      </w:tr>
      <w:tr w:rsidR="00AF60C8" w:rsidRPr="00AF60C8" w:rsidTr="00AF60C8">
        <w:trPr>
          <w:trHeight w:val="300"/>
        </w:trPr>
        <w:tc>
          <w:tcPr>
            <w:tcW w:w="1512" w:type="pct"/>
            <w:tcBorders>
              <w:bottom w:val="single" w:sz="4" w:space="0" w:color="auto"/>
            </w:tcBorders>
            <w:shd w:val="clear" w:color="000000" w:fill="FFFFFF"/>
            <w:noWrap/>
            <w:hideMark/>
          </w:tcPr>
          <w:p w:rsidR="00AF60C8" w:rsidRPr="00AF60C8" w:rsidRDefault="00AF60C8" w:rsidP="00135409">
            <w:pPr>
              <w:pStyle w:val="TableFigHeadingtotal"/>
              <w:rPr>
                <w:rFonts w:eastAsia="Calibri" w:cs="Arial"/>
              </w:rPr>
            </w:pPr>
            <w:r w:rsidRPr="00AF60C8">
              <w:rPr>
                <w:rFonts w:eastAsia="Calibri" w:cs="Arial"/>
              </w:rPr>
              <w:t xml:space="preserve">Total </w:t>
            </w:r>
          </w:p>
        </w:tc>
        <w:tc>
          <w:tcPr>
            <w:tcW w:w="581" w:type="pct"/>
            <w:tcBorders>
              <w:bottom w:val="single" w:sz="4" w:space="0" w:color="auto"/>
            </w:tcBorders>
            <w:shd w:val="clear" w:color="000000" w:fill="FFFFFF"/>
            <w:vAlign w:val="bottom"/>
          </w:tcPr>
          <w:p w:rsidR="00AF60C8" w:rsidRPr="00AF60C8" w:rsidRDefault="00AF60C8" w:rsidP="00135409">
            <w:pPr>
              <w:pStyle w:val="TableFigHeadingtotal"/>
              <w:jc w:val="right"/>
              <w:rPr>
                <w:rFonts w:eastAsia="Calibri" w:cs="Arial"/>
              </w:rPr>
            </w:pPr>
            <w:r w:rsidRPr="00AF60C8">
              <w:rPr>
                <w:rFonts w:eastAsia="Calibri" w:cs="Arial"/>
              </w:rPr>
              <w:t>11 416</w:t>
            </w:r>
          </w:p>
        </w:tc>
        <w:tc>
          <w:tcPr>
            <w:tcW w:w="583" w:type="pct"/>
            <w:tcBorders>
              <w:bottom w:val="single" w:sz="4" w:space="0" w:color="auto"/>
            </w:tcBorders>
            <w:shd w:val="clear" w:color="000000" w:fill="FFFFFF"/>
            <w:vAlign w:val="bottom"/>
          </w:tcPr>
          <w:p w:rsidR="00AF60C8" w:rsidRPr="00AF60C8" w:rsidRDefault="00AF60C8" w:rsidP="00135409">
            <w:pPr>
              <w:pStyle w:val="TableFigHeadingtotal"/>
              <w:jc w:val="right"/>
              <w:rPr>
                <w:rFonts w:eastAsia="Calibri" w:cs="Arial"/>
              </w:rPr>
            </w:pPr>
            <w:r w:rsidRPr="00AF60C8">
              <w:rPr>
                <w:rFonts w:eastAsia="Calibri" w:cs="Arial"/>
              </w:rPr>
              <w:t>100.0</w:t>
            </w:r>
          </w:p>
        </w:tc>
        <w:tc>
          <w:tcPr>
            <w:tcW w:w="583" w:type="pct"/>
            <w:tcBorders>
              <w:bottom w:val="single" w:sz="4" w:space="0" w:color="auto"/>
            </w:tcBorders>
            <w:shd w:val="clear" w:color="000000" w:fill="FFFFFF"/>
            <w:vAlign w:val="bottom"/>
          </w:tcPr>
          <w:p w:rsidR="00AF60C8" w:rsidRPr="00AF60C8" w:rsidRDefault="00AF60C8" w:rsidP="00135409">
            <w:pPr>
              <w:pStyle w:val="TableFigHeadingtotal"/>
              <w:jc w:val="right"/>
              <w:rPr>
                <w:rFonts w:eastAsia="Calibri" w:cs="Arial"/>
              </w:rPr>
            </w:pPr>
            <w:r w:rsidRPr="00AF60C8">
              <w:rPr>
                <w:rFonts w:eastAsia="Calibri" w:cs="Arial"/>
              </w:rPr>
              <w:t>12 303</w:t>
            </w:r>
          </w:p>
        </w:tc>
        <w:tc>
          <w:tcPr>
            <w:tcW w:w="583" w:type="pct"/>
            <w:tcBorders>
              <w:bottom w:val="single" w:sz="4" w:space="0" w:color="auto"/>
            </w:tcBorders>
            <w:shd w:val="clear" w:color="000000" w:fill="FFFFFF"/>
            <w:vAlign w:val="bottom"/>
          </w:tcPr>
          <w:p w:rsidR="00AF60C8" w:rsidRPr="00AF60C8" w:rsidRDefault="00AF60C8" w:rsidP="00135409">
            <w:pPr>
              <w:pStyle w:val="TableFigHeadingtotal"/>
              <w:jc w:val="right"/>
              <w:rPr>
                <w:rFonts w:eastAsia="Calibri" w:cs="Arial"/>
              </w:rPr>
            </w:pPr>
            <w:r w:rsidRPr="00AF60C8">
              <w:rPr>
                <w:rFonts w:eastAsia="Calibri" w:cs="Arial"/>
              </w:rPr>
              <w:t>100.0</w:t>
            </w:r>
          </w:p>
        </w:tc>
        <w:tc>
          <w:tcPr>
            <w:tcW w:w="580" w:type="pct"/>
            <w:tcBorders>
              <w:bottom w:val="single" w:sz="4" w:space="0" w:color="auto"/>
            </w:tcBorders>
            <w:shd w:val="clear" w:color="000000" w:fill="FFFFFF"/>
          </w:tcPr>
          <w:p w:rsidR="00AF60C8" w:rsidRPr="00AF60C8" w:rsidRDefault="00AF60C8" w:rsidP="00135409">
            <w:pPr>
              <w:pStyle w:val="TableFigHeadingtotal"/>
              <w:jc w:val="right"/>
              <w:rPr>
                <w:rFonts w:eastAsia="Calibri" w:cs="Arial"/>
              </w:rPr>
            </w:pPr>
            <w:r w:rsidRPr="00AF60C8">
              <w:rPr>
                <w:rFonts w:eastAsia="Calibri" w:cs="Arial"/>
              </w:rPr>
              <w:t>13 204</w:t>
            </w:r>
          </w:p>
        </w:tc>
        <w:tc>
          <w:tcPr>
            <w:tcW w:w="580" w:type="pct"/>
            <w:tcBorders>
              <w:bottom w:val="single" w:sz="4" w:space="0" w:color="auto"/>
            </w:tcBorders>
            <w:shd w:val="clear" w:color="000000" w:fill="FFFFFF"/>
          </w:tcPr>
          <w:p w:rsidR="00AF60C8" w:rsidRPr="00AF60C8" w:rsidRDefault="00AF60C8" w:rsidP="003D5879">
            <w:pPr>
              <w:pStyle w:val="TableFigHeadingtotal"/>
              <w:ind w:right="-108"/>
              <w:jc w:val="right"/>
              <w:rPr>
                <w:rFonts w:eastAsia="Calibri" w:cs="Arial"/>
              </w:rPr>
            </w:pPr>
            <w:r w:rsidRPr="00AF60C8">
              <w:rPr>
                <w:rFonts w:eastAsia="Calibri" w:cs="Arial"/>
              </w:rPr>
              <w:t>100.0 </w:t>
            </w:r>
          </w:p>
        </w:tc>
      </w:tr>
    </w:tbl>
    <w:p w:rsidR="00D0122C" w:rsidRPr="00831A39" w:rsidRDefault="00D0122C" w:rsidP="00D66FAA">
      <w:pPr>
        <w:pStyle w:val="StyleArial7ptLeft0cmHanging05cmBefore6pt"/>
      </w:pPr>
      <w:r w:rsidRPr="00831A39">
        <w:t>Notes</w:t>
      </w:r>
    </w:p>
    <w:p w:rsidR="00D0122C" w:rsidRPr="00831A39" w:rsidRDefault="00D0122C" w:rsidP="00291895">
      <w:pPr>
        <w:pStyle w:val="StyleArial7ptLeft0cmHanging05cmBefore6pt"/>
        <w:ind w:left="284" w:hanging="284"/>
      </w:pPr>
      <w:r w:rsidRPr="00831A39">
        <w:t xml:space="preserve">1. </w:t>
      </w:r>
      <w:r w:rsidRPr="00831A39">
        <w:tab/>
        <w:t>This table does not include Indigenous children who were living independently or whose living arrangements were unknown.</w:t>
      </w:r>
    </w:p>
    <w:p w:rsidR="0098493A" w:rsidRPr="00831A39" w:rsidRDefault="00D0122C" w:rsidP="00291895">
      <w:pPr>
        <w:pStyle w:val="StyleArial7ptLeft0cmHanging05cmBefore6pt"/>
        <w:ind w:left="284" w:hanging="284"/>
      </w:pPr>
      <w:r w:rsidRPr="00831A39">
        <w:t xml:space="preserve">2. </w:t>
      </w:r>
      <w:r w:rsidRPr="00831A39">
        <w:tab/>
        <w:t>Percentages in tables may not add to 100 due to rounding.</w:t>
      </w:r>
    </w:p>
    <w:p w:rsidR="003747C5" w:rsidRPr="00831A39" w:rsidRDefault="0085314D" w:rsidP="00291895">
      <w:pPr>
        <w:pStyle w:val="StyleArial7ptLeft0cmHanging05cmBefore6pt"/>
        <w:ind w:left="284" w:hanging="284"/>
      </w:pPr>
      <w:r w:rsidRPr="00831A39">
        <w:t xml:space="preserve">3. </w:t>
      </w:r>
      <w:r w:rsidRPr="00831A39">
        <w:tab/>
      </w:r>
      <w:r w:rsidR="003747C5" w:rsidRPr="00831A39">
        <w:t>Family group homes and residential care are reported under ‘other caregiver’.</w:t>
      </w:r>
    </w:p>
    <w:p w:rsidR="003747C5" w:rsidRPr="00831A39" w:rsidRDefault="003747C5" w:rsidP="00D66FAA">
      <w:pPr>
        <w:pStyle w:val="StyleArial7ptLeft0cmHanging05cmBefore6pt"/>
      </w:pPr>
      <w:r w:rsidRPr="00831A39">
        <w:t>Sources: AIHW Child Protection Data Collections; AIHW 2013a.</w:t>
      </w:r>
    </w:p>
    <w:p w:rsidR="003747C5" w:rsidRPr="00831A39" w:rsidRDefault="003747C5" w:rsidP="00D66FAA">
      <w:pPr>
        <w:pStyle w:val="StyleArial7ptLeft0cmHanging05cmBefore6pt"/>
      </w:pPr>
    </w:p>
    <w:p w:rsidR="0098493A" w:rsidRDefault="0098493A">
      <w:pPr>
        <w:rPr>
          <w:rFonts w:ascii="Arial" w:hAnsi="Arial" w:cs="Arial"/>
          <w:sz w:val="14"/>
          <w:lang w:eastAsia="en-US"/>
        </w:rPr>
      </w:pPr>
      <w:r>
        <w:br w:type="page"/>
      </w:r>
    </w:p>
    <w:p w:rsidR="005A2ACF" w:rsidRPr="00356B6E" w:rsidRDefault="005A2ACF" w:rsidP="00B940CF">
      <w:pPr>
        <w:pStyle w:val="Heading1"/>
      </w:pPr>
      <w:bookmarkStart w:id="203" w:name="_Toc400007776"/>
      <w:bookmarkStart w:id="204" w:name="_Toc400711493"/>
      <w:r>
        <w:t>Chapter eight: Outcome 6</w:t>
      </w:r>
      <w:r>
        <w:noBreakHyphen/>
        <w:t>Child sexual abuse and exploitation is prevented and survivors receive adequate support</w:t>
      </w:r>
      <w:bookmarkEnd w:id="203"/>
      <w:bookmarkEnd w:id="204"/>
    </w:p>
    <w:p w:rsidR="00754A9B" w:rsidRPr="003826D0" w:rsidRDefault="00754A9B" w:rsidP="003C36AD">
      <w:pPr>
        <w:pBdr>
          <w:top w:val="single" w:sz="4" w:space="1" w:color="auto"/>
          <w:left w:val="single" w:sz="4" w:space="4" w:color="auto"/>
          <w:bottom w:val="single" w:sz="4" w:space="1" w:color="auto"/>
          <w:right w:val="single" w:sz="4" w:space="4" w:color="auto"/>
        </w:pBdr>
        <w:tabs>
          <w:tab w:val="left" w:pos="851"/>
        </w:tabs>
        <w:ind w:left="567" w:right="1109"/>
        <w:jc w:val="center"/>
        <w:rPr>
          <w:rFonts w:ascii="Arial" w:hAnsi="Arial" w:cs="Arial"/>
          <w:sz w:val="28"/>
          <w:szCs w:val="28"/>
        </w:rPr>
      </w:pPr>
      <w:r w:rsidRPr="003826D0">
        <w:rPr>
          <w:rFonts w:ascii="Arial" w:hAnsi="Arial" w:cs="Arial"/>
          <w:sz w:val="28"/>
          <w:szCs w:val="28"/>
        </w:rPr>
        <w:t xml:space="preserve">Children are protected from all forms of sexual exploitation and abuse through targeted prevention </w:t>
      </w:r>
      <w:r w:rsidR="009A3541" w:rsidRPr="003826D0">
        <w:rPr>
          <w:rFonts w:ascii="Arial" w:hAnsi="Arial" w:cs="Arial"/>
          <w:sz w:val="28"/>
          <w:szCs w:val="28"/>
        </w:rPr>
        <w:t>strategies</w:t>
      </w:r>
      <w:r w:rsidRPr="003826D0">
        <w:rPr>
          <w:rFonts w:ascii="Arial" w:hAnsi="Arial" w:cs="Arial"/>
          <w:sz w:val="28"/>
          <w:szCs w:val="28"/>
        </w:rPr>
        <w:t>, and survivors are supported by the community</w:t>
      </w:r>
      <w:r w:rsidR="00A07914" w:rsidRPr="003826D0">
        <w:rPr>
          <w:rFonts w:ascii="Arial" w:hAnsi="Arial" w:cs="Arial"/>
          <w:sz w:val="28"/>
          <w:szCs w:val="28"/>
        </w:rPr>
        <w:t>,</w:t>
      </w:r>
      <w:r w:rsidRPr="003826D0">
        <w:rPr>
          <w:rFonts w:ascii="Arial" w:hAnsi="Arial" w:cs="Arial"/>
          <w:sz w:val="28"/>
          <w:szCs w:val="28"/>
        </w:rPr>
        <w:t xml:space="preserve"> and through specific therapeutic and legal responses.</w:t>
      </w:r>
    </w:p>
    <w:p w:rsidR="00EC4B77" w:rsidRDefault="00EC4B77" w:rsidP="008B0CF5">
      <w:pPr>
        <w:pStyle w:val="Heading2"/>
      </w:pPr>
      <w:bookmarkStart w:id="205" w:name="_Toc400007777"/>
      <w:bookmarkStart w:id="206" w:name="_Toc400711494"/>
      <w:r w:rsidRPr="003826D0">
        <w:t>Overview</w:t>
      </w:r>
      <w:bookmarkEnd w:id="205"/>
      <w:bookmarkEnd w:id="206"/>
    </w:p>
    <w:p w:rsidR="003826D0" w:rsidRPr="00DE6E5D" w:rsidRDefault="00A538AF" w:rsidP="00EC4B77">
      <w:pPr>
        <w:rPr>
          <w:rFonts w:ascii="Calibri" w:hAnsi="Calibri" w:cs="Calibri"/>
          <w:sz w:val="24"/>
          <w:szCs w:val="24"/>
        </w:rPr>
      </w:pPr>
      <w:r w:rsidRPr="00DE6E5D">
        <w:rPr>
          <w:rFonts w:ascii="Calibri" w:hAnsi="Calibri" w:cs="Calibri"/>
          <w:sz w:val="24"/>
          <w:szCs w:val="24"/>
        </w:rPr>
        <w:t xml:space="preserve">The </w:t>
      </w:r>
      <w:r w:rsidR="00EC5572">
        <w:rPr>
          <w:rFonts w:ascii="Calibri" w:hAnsi="Calibri" w:cs="Calibri"/>
          <w:sz w:val="24"/>
          <w:szCs w:val="24"/>
        </w:rPr>
        <w:t>National Priorities</w:t>
      </w:r>
      <w:r w:rsidRPr="00DE6E5D">
        <w:rPr>
          <w:rFonts w:ascii="Calibri" w:hAnsi="Calibri" w:cs="Calibri"/>
          <w:sz w:val="24"/>
          <w:szCs w:val="24"/>
        </w:rPr>
        <w:t xml:space="preserve"> under the Second Action Plan against Outcome 6 are designed to increase awareness and prevention of child sexual abuse. </w:t>
      </w:r>
      <w:r w:rsidR="003826D0" w:rsidRPr="00DE6E5D">
        <w:rPr>
          <w:rFonts w:ascii="Calibri" w:hAnsi="Calibri" w:cs="Calibri"/>
          <w:sz w:val="24"/>
          <w:szCs w:val="24"/>
        </w:rPr>
        <w:t xml:space="preserve">These </w:t>
      </w:r>
      <w:r w:rsidR="00EC5572">
        <w:rPr>
          <w:rFonts w:ascii="Calibri" w:hAnsi="Calibri" w:cs="Calibri"/>
          <w:sz w:val="24"/>
          <w:szCs w:val="24"/>
        </w:rPr>
        <w:t>National Priorities</w:t>
      </w:r>
      <w:r w:rsidR="003826D0" w:rsidRPr="00DE6E5D">
        <w:rPr>
          <w:rFonts w:ascii="Calibri" w:hAnsi="Calibri" w:cs="Calibri"/>
          <w:sz w:val="24"/>
          <w:szCs w:val="24"/>
        </w:rPr>
        <w:t xml:space="preserve"> are:</w:t>
      </w:r>
    </w:p>
    <w:p w:rsidR="00DE6E5D" w:rsidRDefault="00DE6E5D" w:rsidP="00BE634C">
      <w:pPr>
        <w:pStyle w:val="ListBullet"/>
      </w:pPr>
      <w:r w:rsidRPr="00DE6E5D">
        <w:t>Working with Children C</w:t>
      </w:r>
      <w:r w:rsidR="003826D0" w:rsidRPr="00DE6E5D">
        <w:t xml:space="preserve">hecks </w:t>
      </w:r>
    </w:p>
    <w:p w:rsidR="003826D0" w:rsidRPr="00DE6E5D" w:rsidRDefault="00804098" w:rsidP="00BE634C">
      <w:pPr>
        <w:pStyle w:val="ListBullet3"/>
      </w:pPr>
      <w:r>
        <w:t xml:space="preserve">This </w:t>
      </w:r>
      <w:r w:rsidR="00BE634C">
        <w:t xml:space="preserve">aims </w:t>
      </w:r>
      <w:r w:rsidR="003826D0" w:rsidRPr="00DE6E5D">
        <w:t xml:space="preserve">to continue improving </w:t>
      </w:r>
      <w:r w:rsidR="00561911">
        <w:t>WWCCs</w:t>
      </w:r>
      <w:r w:rsidR="00DE6E5D">
        <w:t xml:space="preserve"> across jurisdictions</w:t>
      </w:r>
      <w:r>
        <w:t>.</w:t>
      </w:r>
    </w:p>
    <w:p w:rsidR="00DE6E5D" w:rsidRDefault="00DE6E5D" w:rsidP="00BE634C">
      <w:pPr>
        <w:pStyle w:val="ListBullet"/>
      </w:pPr>
      <w:r>
        <w:t>Responding to Sexual A</w:t>
      </w:r>
      <w:r w:rsidR="003826D0" w:rsidRPr="00DE6E5D">
        <w:t>buse</w:t>
      </w:r>
      <w:r w:rsidR="00A538AF" w:rsidRPr="00DE6E5D">
        <w:t xml:space="preserve"> </w:t>
      </w:r>
    </w:p>
    <w:p w:rsidR="003826D0" w:rsidRPr="00DE6E5D" w:rsidRDefault="00804098" w:rsidP="00BE634C">
      <w:pPr>
        <w:pStyle w:val="ListBullet3"/>
      </w:pPr>
      <w:r>
        <w:t xml:space="preserve">This </w:t>
      </w:r>
      <w:r w:rsidR="00BE634C">
        <w:t xml:space="preserve">explores </w:t>
      </w:r>
      <w:r w:rsidR="00DE6E5D">
        <w:t>o</w:t>
      </w:r>
      <w:r w:rsidR="003E6CD1">
        <w:t>p</w:t>
      </w:r>
      <w:r w:rsidR="00DE6E5D">
        <w:t>tions to prevent childhood sexual abuse and provide trauma-informed support to assist children, young people and adults who are survivors of child abuse and neglect.</w:t>
      </w:r>
    </w:p>
    <w:p w:rsidR="00B72C32" w:rsidRDefault="00B72C32" w:rsidP="00B72C32">
      <w:pPr>
        <w:rPr>
          <w:rFonts w:ascii="Calibri" w:hAnsi="Calibri" w:cs="Calibri"/>
          <w:b/>
          <w:sz w:val="24"/>
          <w:szCs w:val="24"/>
        </w:rPr>
      </w:pPr>
    </w:p>
    <w:p w:rsidR="00B72C32" w:rsidRDefault="00037B1A" w:rsidP="00B72C32">
      <w:pPr>
        <w:rPr>
          <w:rFonts w:ascii="Calibri" w:hAnsi="Calibri" w:cs="Calibri"/>
          <w:sz w:val="24"/>
          <w:szCs w:val="24"/>
        </w:rPr>
      </w:pPr>
      <w:r>
        <w:rPr>
          <w:rFonts w:ascii="Calibri" w:hAnsi="Calibri" w:cs="Calibri"/>
          <w:sz w:val="24"/>
          <w:szCs w:val="24"/>
        </w:rPr>
        <w:t xml:space="preserve">The actions taken by each jurisdiction under these National Priorities, including other associated supporting actions, are described in detail below. At the end of this </w:t>
      </w:r>
      <w:r w:rsidR="008D421A">
        <w:rPr>
          <w:rFonts w:ascii="Calibri" w:hAnsi="Calibri" w:cs="Calibri"/>
          <w:sz w:val="24"/>
          <w:szCs w:val="24"/>
        </w:rPr>
        <w:t>c</w:t>
      </w:r>
      <w:r>
        <w:rPr>
          <w:rFonts w:ascii="Calibri" w:hAnsi="Calibri" w:cs="Calibri"/>
          <w:sz w:val="24"/>
          <w:szCs w:val="24"/>
        </w:rPr>
        <w:t xml:space="preserve">hapter is a discussion of the </w:t>
      </w:r>
      <w:r w:rsidR="00B72C32">
        <w:rPr>
          <w:rFonts w:ascii="Calibri" w:hAnsi="Calibri" w:cs="Calibri"/>
          <w:sz w:val="24"/>
          <w:szCs w:val="24"/>
        </w:rPr>
        <w:t xml:space="preserve">two indicators </w:t>
      </w:r>
      <w:r>
        <w:rPr>
          <w:rFonts w:ascii="Calibri" w:hAnsi="Calibri" w:cs="Calibri"/>
          <w:sz w:val="24"/>
          <w:szCs w:val="24"/>
        </w:rPr>
        <w:t>which</w:t>
      </w:r>
      <w:r w:rsidR="00B72C32">
        <w:rPr>
          <w:rFonts w:ascii="Calibri" w:hAnsi="Calibri" w:cs="Calibri"/>
          <w:sz w:val="24"/>
          <w:szCs w:val="24"/>
        </w:rPr>
        <w:t xml:space="preserve"> measure progress to Outcome 6</w:t>
      </w:r>
      <w:r>
        <w:rPr>
          <w:rFonts w:ascii="Calibri" w:hAnsi="Calibri" w:cs="Calibri"/>
          <w:sz w:val="24"/>
          <w:szCs w:val="24"/>
        </w:rPr>
        <w:t>, namely</w:t>
      </w:r>
      <w:r w:rsidR="00B72C32">
        <w:rPr>
          <w:rFonts w:ascii="Calibri" w:hAnsi="Calibri" w:cs="Calibri"/>
          <w:sz w:val="24"/>
          <w:szCs w:val="24"/>
        </w:rPr>
        <w:t>:</w:t>
      </w:r>
    </w:p>
    <w:p w:rsidR="00B72C32" w:rsidRDefault="00B72C32" w:rsidP="00037B1A">
      <w:pPr>
        <w:pStyle w:val="ListBullet"/>
      </w:pPr>
      <w:r>
        <w:t>Sexual abuse substantiations</w:t>
      </w:r>
    </w:p>
    <w:p w:rsidR="00B72C32" w:rsidRPr="00037B1A" w:rsidRDefault="00B72C32" w:rsidP="00037B1A">
      <w:pPr>
        <w:pStyle w:val="ListBullet"/>
      </w:pPr>
      <w:r>
        <w:t>Child sexual assault</w:t>
      </w:r>
      <w:r w:rsidR="00037B1A">
        <w:t>.</w:t>
      </w:r>
    </w:p>
    <w:p w:rsidR="00037B1A" w:rsidRDefault="00037B1A" w:rsidP="00130346">
      <w:pPr>
        <w:rPr>
          <w:rFonts w:ascii="Calibri" w:hAnsi="Calibri"/>
          <w:sz w:val="24"/>
          <w:szCs w:val="24"/>
        </w:rPr>
      </w:pPr>
    </w:p>
    <w:p w:rsidR="006F098B" w:rsidRDefault="006F098B" w:rsidP="00130346">
      <w:pPr>
        <w:rPr>
          <w:rFonts w:ascii="Calibri" w:hAnsi="Calibri"/>
          <w:sz w:val="24"/>
          <w:szCs w:val="24"/>
        </w:rPr>
      </w:pPr>
      <w:r w:rsidRPr="006F098B">
        <w:rPr>
          <w:rFonts w:ascii="Calibri" w:hAnsi="Calibri"/>
          <w:sz w:val="24"/>
          <w:szCs w:val="24"/>
        </w:rPr>
        <w:t xml:space="preserve">The last </w:t>
      </w:r>
      <w:r>
        <w:rPr>
          <w:rFonts w:ascii="Calibri" w:hAnsi="Calibri"/>
          <w:sz w:val="24"/>
          <w:szCs w:val="24"/>
        </w:rPr>
        <w:t>year has</w:t>
      </w:r>
      <w:r w:rsidRPr="006F098B">
        <w:rPr>
          <w:rFonts w:ascii="Calibri" w:hAnsi="Calibri"/>
          <w:sz w:val="24"/>
          <w:szCs w:val="24"/>
        </w:rPr>
        <w:t xml:space="preserve"> seen a growing focus on the impact of sexual abuse of children, through </w:t>
      </w:r>
      <w:r>
        <w:rPr>
          <w:rFonts w:ascii="Calibri" w:hAnsi="Calibri"/>
          <w:sz w:val="24"/>
          <w:szCs w:val="24"/>
        </w:rPr>
        <w:t xml:space="preserve">ongoing </w:t>
      </w:r>
      <w:r w:rsidRPr="006F098B">
        <w:rPr>
          <w:rFonts w:ascii="Calibri" w:hAnsi="Calibri"/>
          <w:sz w:val="24"/>
          <w:szCs w:val="24"/>
        </w:rPr>
        <w:t xml:space="preserve">investigations in several jurisdictions and through </w:t>
      </w:r>
      <w:r>
        <w:rPr>
          <w:rFonts w:ascii="Calibri" w:hAnsi="Calibri"/>
          <w:sz w:val="24"/>
          <w:szCs w:val="24"/>
        </w:rPr>
        <w:t xml:space="preserve">the continuing work </w:t>
      </w:r>
      <w:r w:rsidRPr="006F098B">
        <w:rPr>
          <w:rFonts w:ascii="Calibri" w:hAnsi="Calibri"/>
          <w:sz w:val="24"/>
          <w:szCs w:val="24"/>
        </w:rPr>
        <w:t>of the Royal Commission into Institutional Responses to Child Sexual Abuse</w:t>
      </w:r>
      <w:r>
        <w:rPr>
          <w:rFonts w:ascii="Calibri" w:hAnsi="Calibri"/>
          <w:sz w:val="24"/>
          <w:szCs w:val="24"/>
        </w:rPr>
        <w:t xml:space="preserve">, </w:t>
      </w:r>
      <w:r w:rsidRPr="00A35A2D">
        <w:rPr>
          <w:rFonts w:ascii="Calibri" w:hAnsi="Calibri"/>
          <w:sz w:val="24"/>
          <w:szCs w:val="24"/>
        </w:rPr>
        <w:t>inquir</w:t>
      </w:r>
      <w:r>
        <w:rPr>
          <w:rFonts w:ascii="Calibri" w:hAnsi="Calibri"/>
          <w:sz w:val="24"/>
          <w:szCs w:val="24"/>
        </w:rPr>
        <w:t>ing</w:t>
      </w:r>
      <w:r w:rsidRPr="00A35A2D">
        <w:rPr>
          <w:rFonts w:ascii="Calibri" w:hAnsi="Calibri"/>
          <w:sz w:val="24"/>
          <w:szCs w:val="24"/>
        </w:rPr>
        <w:t xml:space="preserve"> into how institutions with a responsibility for children have managed and responded to allegations and instances of child sexual abuse and related matters.</w:t>
      </w:r>
    </w:p>
    <w:p w:rsidR="00D176F0" w:rsidRPr="006F793D" w:rsidRDefault="00D176F0" w:rsidP="008B0CF5">
      <w:pPr>
        <w:pStyle w:val="Heading2"/>
      </w:pPr>
      <w:bookmarkStart w:id="207" w:name="_Toc400007778"/>
      <w:bookmarkStart w:id="208" w:name="_Toc400711495"/>
      <w:r>
        <w:t>Australian, state and territory government activities</w:t>
      </w:r>
      <w:bookmarkEnd w:id="207"/>
      <w:bookmarkEnd w:id="208"/>
    </w:p>
    <w:p w:rsidR="00913A67" w:rsidRPr="00ED097C" w:rsidRDefault="00913A67" w:rsidP="00ED097C">
      <w:pPr>
        <w:pStyle w:val="Heading3"/>
      </w:pPr>
      <w:bookmarkStart w:id="209" w:name="_Toc400007779"/>
      <w:r w:rsidRPr="00ED097C">
        <w:t>Australian Government</w:t>
      </w:r>
      <w:bookmarkEnd w:id="209"/>
    </w:p>
    <w:p w:rsidR="00F257A1" w:rsidRPr="00B71ABA" w:rsidRDefault="00F257A1" w:rsidP="00F56F9B">
      <w:pPr>
        <w:pStyle w:val="Heading4"/>
        <w:rPr>
          <w:i/>
        </w:rPr>
      </w:pPr>
      <w:r w:rsidRPr="007847B7">
        <w:t>Responding to Sexual Abuse</w:t>
      </w:r>
    </w:p>
    <w:p w:rsidR="00164694" w:rsidRPr="00164694" w:rsidRDefault="00164694" w:rsidP="00164694">
      <w:pPr>
        <w:rPr>
          <w:rFonts w:ascii="Calibri" w:hAnsi="Calibri" w:cs="Calibri"/>
          <w:sz w:val="24"/>
          <w:szCs w:val="24"/>
        </w:rPr>
      </w:pPr>
      <w:r w:rsidRPr="00164694">
        <w:rPr>
          <w:rFonts w:ascii="Calibri" w:hAnsi="Calibri" w:cs="Calibri"/>
          <w:sz w:val="24"/>
          <w:szCs w:val="24"/>
        </w:rPr>
        <w:t xml:space="preserve">Childhood sexual abuse is associated with a range of negative outcomes, including mental health problems. The </w:t>
      </w:r>
      <w:r w:rsidR="00D31C59">
        <w:rPr>
          <w:rFonts w:ascii="Calibri" w:hAnsi="Calibri" w:cs="Calibri"/>
          <w:sz w:val="24"/>
          <w:szCs w:val="24"/>
        </w:rPr>
        <w:t>Australian</w:t>
      </w:r>
      <w:r w:rsidR="00D31C59" w:rsidRPr="00164694">
        <w:rPr>
          <w:rFonts w:ascii="Calibri" w:hAnsi="Calibri" w:cs="Calibri"/>
          <w:sz w:val="24"/>
          <w:szCs w:val="24"/>
        </w:rPr>
        <w:t xml:space="preserve"> </w:t>
      </w:r>
      <w:r w:rsidRPr="00164694">
        <w:rPr>
          <w:rFonts w:ascii="Calibri" w:hAnsi="Calibri" w:cs="Calibri"/>
          <w:sz w:val="24"/>
          <w:szCs w:val="24"/>
        </w:rPr>
        <w:t>Government funded Adult Survivors of Child Abuse (ASCA) to develop practice guidelines to better support the mental health needs of adult survivors of childhood trauma.</w:t>
      </w:r>
      <w:r w:rsidR="007764A2">
        <w:rPr>
          <w:rFonts w:ascii="Calibri" w:hAnsi="Calibri" w:cs="Calibri"/>
          <w:sz w:val="24"/>
          <w:szCs w:val="24"/>
        </w:rPr>
        <w:t xml:space="preserve"> </w:t>
      </w:r>
      <w:r w:rsidRPr="00164694">
        <w:rPr>
          <w:rFonts w:ascii="Calibri" w:hAnsi="Calibri" w:cs="Calibri"/>
          <w:sz w:val="24"/>
          <w:szCs w:val="24"/>
        </w:rPr>
        <w:t xml:space="preserve">The guidelines have been completed and are available online at the </w:t>
      </w:r>
      <w:hyperlink r:id="rId29" w:history="1">
        <w:r w:rsidR="0067647B">
          <w:rPr>
            <w:rStyle w:val="Hyperlink"/>
            <w:rFonts w:ascii="Calibri" w:hAnsi="Calibri" w:cs="Calibri"/>
            <w:sz w:val="24"/>
            <w:szCs w:val="24"/>
          </w:rPr>
          <w:t>ASCA</w:t>
        </w:r>
      </w:hyperlink>
      <w:r w:rsidR="0067647B">
        <w:rPr>
          <w:rFonts w:ascii="Calibri" w:hAnsi="Calibri" w:cs="Calibri"/>
          <w:sz w:val="24"/>
          <w:szCs w:val="24"/>
        </w:rPr>
        <w:t xml:space="preserve"> website</w:t>
      </w:r>
      <w:r w:rsidRPr="00164694">
        <w:rPr>
          <w:rFonts w:ascii="Calibri" w:hAnsi="Calibri" w:cs="Calibri"/>
          <w:sz w:val="24"/>
          <w:szCs w:val="24"/>
        </w:rPr>
        <w:t>.</w:t>
      </w:r>
    </w:p>
    <w:p w:rsidR="0080366E" w:rsidRDefault="0080366E" w:rsidP="0080366E">
      <w:pPr>
        <w:rPr>
          <w:rFonts w:ascii="Calibri" w:hAnsi="Calibri" w:cs="Calibri"/>
          <w:sz w:val="24"/>
          <w:szCs w:val="24"/>
        </w:rPr>
      </w:pPr>
    </w:p>
    <w:p w:rsidR="0080366E" w:rsidRDefault="0080366E" w:rsidP="0080366E">
      <w:pPr>
        <w:rPr>
          <w:rFonts w:ascii="Calibri" w:hAnsi="Calibri" w:cs="Calibri"/>
          <w:sz w:val="24"/>
          <w:szCs w:val="24"/>
        </w:rPr>
      </w:pPr>
      <w:r w:rsidRPr="0080366E">
        <w:rPr>
          <w:rFonts w:ascii="Calibri" w:hAnsi="Calibri" w:cs="Calibri"/>
          <w:sz w:val="24"/>
          <w:szCs w:val="24"/>
        </w:rPr>
        <w:t>The Australian Government is also funding a number of community organisations to help increase society’s awareness of the impacts of childhood sexual abuse and find ways of preventing it. These include:</w:t>
      </w:r>
    </w:p>
    <w:p w:rsidR="0080366E" w:rsidRPr="0080366E" w:rsidRDefault="0080366E" w:rsidP="0085314D">
      <w:pPr>
        <w:pStyle w:val="ListBullet"/>
      </w:pPr>
      <w:proofErr w:type="spellStart"/>
      <w:r w:rsidRPr="0080366E">
        <w:t>Bravehearts</w:t>
      </w:r>
      <w:proofErr w:type="spellEnd"/>
      <w:r w:rsidR="0085314D">
        <w:t>, for</w:t>
      </w:r>
      <w:r w:rsidRPr="0080366E">
        <w:t xml:space="preserve"> </w:t>
      </w:r>
      <w:r w:rsidRPr="0080366E">
        <w:rPr>
          <w:i/>
        </w:rPr>
        <w:t>Ditto’s Keep Safe Adventure Sho</w:t>
      </w:r>
      <w:r w:rsidR="0085314D">
        <w:rPr>
          <w:i/>
        </w:rPr>
        <w:t>w</w:t>
      </w:r>
      <w:r w:rsidR="0085314D">
        <w:t>,</w:t>
      </w:r>
      <w:r w:rsidRPr="0080366E">
        <w:t xml:space="preserve"> a live 30</w:t>
      </w:r>
      <w:r w:rsidR="00804098">
        <w:t>-</w:t>
      </w:r>
      <w:r w:rsidRPr="0080366E">
        <w:t>minute production</w:t>
      </w:r>
      <w:r w:rsidR="00FC017D">
        <w:t>,</w:t>
      </w:r>
      <w:r w:rsidRPr="0080366E">
        <w:t xml:space="preserve"> aimed at children from preschool to Grade 3</w:t>
      </w:r>
      <w:r w:rsidR="00804098">
        <w:t>,</w:t>
      </w:r>
      <w:r w:rsidRPr="0080366E">
        <w:t xml:space="preserve"> that teaches children strategies and skills to stay safe in a range of situations from sexual assault to bullying</w:t>
      </w:r>
    </w:p>
    <w:p w:rsidR="0080366E" w:rsidRPr="0080366E" w:rsidRDefault="0080366E" w:rsidP="0085314D">
      <w:pPr>
        <w:pStyle w:val="ListBullet"/>
      </w:pPr>
      <w:r w:rsidRPr="0080366E">
        <w:t>NAPCAN</w:t>
      </w:r>
      <w:r w:rsidR="0085314D">
        <w:t>, for</w:t>
      </w:r>
      <w:r w:rsidRPr="0080366E">
        <w:t xml:space="preserve"> National Child Protection Week</w:t>
      </w:r>
      <w:r w:rsidR="0085314D">
        <w:t>,</w:t>
      </w:r>
      <w:r w:rsidRPr="0080366E">
        <w:t xml:space="preserve"> an</w:t>
      </w:r>
      <w:r w:rsidRPr="0080366E">
        <w:rPr>
          <w:bCs/>
          <w:lang w:val="en"/>
        </w:rPr>
        <w:t xml:space="preserve"> annual campaign developing multimedia, visual and text resources to increase awareness and understanding of the importance of primary prevention in dealing with the challenges of child abuse and neglect in Australia.</w:t>
      </w:r>
    </w:p>
    <w:p w:rsidR="0080366E" w:rsidRPr="0080366E" w:rsidRDefault="0080366E" w:rsidP="0080366E">
      <w:pPr>
        <w:rPr>
          <w:rFonts w:ascii="Calibri" w:hAnsi="Calibri" w:cs="Calibri"/>
          <w:sz w:val="24"/>
          <w:szCs w:val="24"/>
        </w:rPr>
      </w:pPr>
    </w:p>
    <w:p w:rsidR="000E2804" w:rsidRPr="00B8568C" w:rsidRDefault="0080366E" w:rsidP="00B8568C">
      <w:pPr>
        <w:rPr>
          <w:rFonts w:ascii="Calibri" w:hAnsi="Calibri" w:cs="Calibri"/>
          <w:sz w:val="24"/>
          <w:szCs w:val="24"/>
        </w:rPr>
      </w:pPr>
      <w:r w:rsidRPr="0080366E">
        <w:rPr>
          <w:rFonts w:ascii="Calibri" w:hAnsi="Calibri" w:cs="Calibri"/>
          <w:sz w:val="24"/>
          <w:szCs w:val="24"/>
        </w:rPr>
        <w:t xml:space="preserve">The Australian Government, through </w:t>
      </w:r>
      <w:r w:rsidR="0085314D">
        <w:rPr>
          <w:rFonts w:ascii="Calibri" w:hAnsi="Calibri" w:cs="Calibri"/>
          <w:sz w:val="24"/>
          <w:szCs w:val="24"/>
        </w:rPr>
        <w:t>DSS,</w:t>
      </w:r>
      <w:r w:rsidRPr="0080366E">
        <w:rPr>
          <w:rFonts w:ascii="Calibri" w:hAnsi="Calibri" w:cs="Calibri"/>
          <w:sz w:val="24"/>
          <w:szCs w:val="24"/>
        </w:rPr>
        <w:t xml:space="preserve"> is undertaking research into the scope of current services available in Australia to support survivors of child sexual abuse, following the announcement of the Royal Commission into Institutional Responses to Child Sexual Abuse. This research will provide an important evidence base to ensure that support systems meet the needs of survivors, including those participating in, or impacted by, the Royal Commission process. The research is </w:t>
      </w:r>
      <w:r w:rsidR="00B8568C">
        <w:rPr>
          <w:rFonts w:ascii="Calibri" w:hAnsi="Calibri" w:cs="Calibri"/>
          <w:sz w:val="24"/>
          <w:szCs w:val="24"/>
        </w:rPr>
        <w:t>examining</w:t>
      </w:r>
      <w:r w:rsidRPr="0080366E">
        <w:rPr>
          <w:rFonts w:ascii="Calibri" w:hAnsi="Calibri" w:cs="Calibri"/>
          <w:sz w:val="24"/>
          <w:szCs w:val="24"/>
        </w:rPr>
        <w:t xml:space="preserve">: </w:t>
      </w:r>
    </w:p>
    <w:p w:rsidR="0080366E" w:rsidRPr="0080366E" w:rsidRDefault="0080366E" w:rsidP="00B8568C">
      <w:pPr>
        <w:pStyle w:val="ListBullet"/>
      </w:pPr>
      <w:r w:rsidRPr="0080366E">
        <w:t>current evidence on the therapeutic and support needs of survivors</w:t>
      </w:r>
    </w:p>
    <w:p w:rsidR="0080366E" w:rsidRPr="0080366E" w:rsidRDefault="0080366E" w:rsidP="00B8568C">
      <w:pPr>
        <w:pStyle w:val="ListBullet"/>
      </w:pPr>
      <w:r w:rsidRPr="0080366E">
        <w:t xml:space="preserve">how support needs differ for groups such as Indigenous survivors, men, care leavers and </w:t>
      </w:r>
      <w:r w:rsidR="00CC16F4">
        <w:t>CALD</w:t>
      </w:r>
      <w:r w:rsidRPr="0080366E">
        <w:t xml:space="preserve"> groups</w:t>
      </w:r>
    </w:p>
    <w:p w:rsidR="0080366E" w:rsidRPr="0080366E" w:rsidRDefault="0080366E" w:rsidP="00B8568C">
      <w:pPr>
        <w:pStyle w:val="ListBullet"/>
      </w:pPr>
      <w:proofErr w:type="gramStart"/>
      <w:r w:rsidRPr="0080366E">
        <w:t>best-practice</w:t>
      </w:r>
      <w:proofErr w:type="gramEnd"/>
      <w:r w:rsidRPr="0080366E">
        <w:t xml:space="preserve"> interventions and systems </w:t>
      </w:r>
      <w:r w:rsidR="00804098">
        <w:t>which</w:t>
      </w:r>
      <w:r w:rsidRPr="0080366E">
        <w:t xml:space="preserve"> ensure </w:t>
      </w:r>
      <w:r w:rsidR="00804098">
        <w:t xml:space="preserve">that </w:t>
      </w:r>
      <w:r w:rsidRPr="0080366E">
        <w:t>survivors’ needs are met</w:t>
      </w:r>
      <w:r w:rsidR="00B8568C">
        <w:t xml:space="preserve"> most effectively</w:t>
      </w:r>
      <w:r w:rsidRPr="0080366E">
        <w:t>.</w:t>
      </w:r>
    </w:p>
    <w:p w:rsidR="00164694" w:rsidRPr="00164694" w:rsidRDefault="00164694" w:rsidP="00164694">
      <w:pPr>
        <w:rPr>
          <w:rFonts w:ascii="Calibri" w:hAnsi="Calibri" w:cs="Calibri"/>
          <w:sz w:val="24"/>
          <w:szCs w:val="24"/>
        </w:rPr>
      </w:pPr>
    </w:p>
    <w:p w:rsidR="000E2804" w:rsidRPr="000E2804" w:rsidRDefault="000E2804" w:rsidP="00B8568C">
      <w:pPr>
        <w:tabs>
          <w:tab w:val="left" w:pos="0"/>
        </w:tabs>
        <w:rPr>
          <w:rFonts w:ascii="Calibri" w:hAnsi="Calibri" w:cs="Calibri"/>
          <w:iCs/>
          <w:sz w:val="24"/>
          <w:szCs w:val="24"/>
        </w:rPr>
      </w:pPr>
      <w:r w:rsidRPr="000E2804">
        <w:rPr>
          <w:rFonts w:ascii="Calibri" w:hAnsi="Calibri" w:cs="Calibri"/>
          <w:iCs/>
          <w:sz w:val="24"/>
          <w:szCs w:val="24"/>
        </w:rPr>
        <w:t xml:space="preserve">The Australian Institute of Family Studies </w:t>
      </w:r>
      <w:r w:rsidR="00D34D0B">
        <w:rPr>
          <w:rFonts w:ascii="Calibri" w:hAnsi="Calibri" w:cs="Calibri"/>
          <w:iCs/>
          <w:sz w:val="24"/>
          <w:szCs w:val="24"/>
        </w:rPr>
        <w:t>has</w:t>
      </w:r>
      <w:r w:rsidRPr="000E2804">
        <w:rPr>
          <w:rFonts w:ascii="Calibri" w:hAnsi="Calibri" w:cs="Calibri"/>
          <w:iCs/>
          <w:sz w:val="24"/>
          <w:szCs w:val="24"/>
        </w:rPr>
        <w:t xml:space="preserve"> been funded by the Australian Government to undertake a research project </w:t>
      </w:r>
      <w:r w:rsidR="00D34D0B">
        <w:rPr>
          <w:rFonts w:ascii="Calibri" w:hAnsi="Calibri" w:cs="Calibri"/>
          <w:iCs/>
          <w:sz w:val="24"/>
          <w:szCs w:val="24"/>
        </w:rPr>
        <w:t xml:space="preserve">on </w:t>
      </w:r>
      <w:r w:rsidR="00D34D0B" w:rsidRPr="00B8568C">
        <w:rPr>
          <w:rFonts w:ascii="Calibri" w:hAnsi="Calibri" w:cs="Calibri"/>
          <w:i/>
          <w:iCs/>
          <w:sz w:val="24"/>
          <w:szCs w:val="24"/>
        </w:rPr>
        <w:t>Prevention and Early Intervention in Child Sexual</w:t>
      </w:r>
      <w:r w:rsidR="00D34D0B">
        <w:rPr>
          <w:rFonts w:ascii="Calibri" w:hAnsi="Calibri" w:cs="Calibri"/>
          <w:iCs/>
          <w:sz w:val="24"/>
          <w:szCs w:val="24"/>
        </w:rPr>
        <w:t xml:space="preserve"> </w:t>
      </w:r>
      <w:r w:rsidR="00D34D0B" w:rsidRPr="00B8568C">
        <w:rPr>
          <w:rFonts w:ascii="Calibri" w:hAnsi="Calibri" w:cs="Calibri"/>
          <w:i/>
          <w:iCs/>
          <w:sz w:val="24"/>
          <w:szCs w:val="24"/>
        </w:rPr>
        <w:t>Abuse</w:t>
      </w:r>
      <w:r w:rsidR="00B8568C">
        <w:rPr>
          <w:rFonts w:ascii="Calibri" w:hAnsi="Calibri" w:cs="Calibri"/>
          <w:iCs/>
          <w:sz w:val="24"/>
          <w:szCs w:val="24"/>
        </w:rPr>
        <w:t>,</w:t>
      </w:r>
      <w:r w:rsidR="00D34D0B">
        <w:rPr>
          <w:rFonts w:ascii="Calibri" w:hAnsi="Calibri" w:cs="Calibri"/>
          <w:iCs/>
          <w:sz w:val="24"/>
          <w:szCs w:val="24"/>
        </w:rPr>
        <w:t xml:space="preserve"> to inform future preventative approaches to child sexual abuse. </w:t>
      </w:r>
      <w:r w:rsidR="00D34D0B" w:rsidRPr="00D34D0B">
        <w:rPr>
          <w:rFonts w:ascii="Calibri" w:hAnsi="Calibri" w:cs="Calibri"/>
          <w:iCs/>
          <w:sz w:val="24"/>
          <w:szCs w:val="24"/>
        </w:rPr>
        <w:t>An expert panel including academics, community service organisations, practitioners and Australian and state and territory government representatives has been established to inform the research. The final research paper will be completed in early 2014.</w:t>
      </w:r>
    </w:p>
    <w:p w:rsidR="000E2804" w:rsidRPr="000E2804" w:rsidRDefault="000E2804" w:rsidP="000E2804">
      <w:pPr>
        <w:rPr>
          <w:rFonts w:ascii="Calibri" w:hAnsi="Calibri" w:cs="Calibri"/>
          <w:iCs/>
          <w:sz w:val="24"/>
          <w:szCs w:val="24"/>
          <w:lang w:val="en-US"/>
        </w:rPr>
      </w:pPr>
    </w:p>
    <w:p w:rsidR="00F257A1" w:rsidRPr="00C32CC8" w:rsidRDefault="00F257A1" w:rsidP="00F257A1">
      <w:pPr>
        <w:rPr>
          <w:rFonts w:ascii="Calibri" w:hAnsi="Calibri" w:cs="Calibri"/>
          <w:b/>
          <w:sz w:val="24"/>
          <w:szCs w:val="24"/>
        </w:rPr>
      </w:pPr>
      <w:r w:rsidRPr="00F257A1">
        <w:rPr>
          <w:rFonts w:ascii="Calibri" w:hAnsi="Calibri" w:cs="Calibri"/>
          <w:sz w:val="24"/>
          <w:szCs w:val="24"/>
        </w:rPr>
        <w:t xml:space="preserve">Responding to reports of the serious misuse of online social media in </w:t>
      </w:r>
      <w:r w:rsidR="00316329">
        <w:rPr>
          <w:rFonts w:ascii="Calibri" w:hAnsi="Calibri" w:cs="Calibri"/>
          <w:sz w:val="24"/>
          <w:szCs w:val="24"/>
        </w:rPr>
        <w:t>I</w:t>
      </w:r>
      <w:r w:rsidRPr="00F257A1">
        <w:rPr>
          <w:rFonts w:ascii="Calibri" w:hAnsi="Calibri" w:cs="Calibri"/>
          <w:sz w:val="24"/>
          <w:szCs w:val="24"/>
        </w:rPr>
        <w:t xml:space="preserve">ndigenous communities, the Australian Communications and Media </w:t>
      </w:r>
      <w:r w:rsidR="000A487D" w:rsidRPr="00F257A1">
        <w:rPr>
          <w:rFonts w:ascii="Calibri" w:hAnsi="Calibri" w:cs="Calibri"/>
          <w:sz w:val="24"/>
          <w:szCs w:val="24"/>
        </w:rPr>
        <w:t>Authority</w:t>
      </w:r>
      <w:r w:rsidR="00B8568C">
        <w:rPr>
          <w:rFonts w:ascii="Calibri" w:hAnsi="Calibri" w:cs="Calibri"/>
          <w:sz w:val="24"/>
          <w:szCs w:val="24"/>
        </w:rPr>
        <w:t>’s</w:t>
      </w:r>
      <w:r w:rsidR="000A487D">
        <w:rPr>
          <w:rFonts w:ascii="Calibri" w:hAnsi="Calibri" w:cs="Calibri"/>
          <w:sz w:val="24"/>
          <w:szCs w:val="24"/>
        </w:rPr>
        <w:t xml:space="preserve"> </w:t>
      </w:r>
      <w:r w:rsidRPr="00F257A1">
        <w:rPr>
          <w:rFonts w:ascii="Calibri" w:hAnsi="Calibri" w:cs="Calibri"/>
          <w:sz w:val="24"/>
          <w:szCs w:val="24"/>
        </w:rPr>
        <w:t xml:space="preserve">(ACMA) </w:t>
      </w:r>
      <w:proofErr w:type="spellStart"/>
      <w:r w:rsidRPr="00F257A1">
        <w:rPr>
          <w:rFonts w:ascii="Calibri" w:hAnsi="Calibri" w:cs="Calibri"/>
          <w:sz w:val="24"/>
          <w:szCs w:val="24"/>
        </w:rPr>
        <w:t>Cybersmart</w:t>
      </w:r>
      <w:proofErr w:type="spellEnd"/>
      <w:r w:rsidRPr="00F257A1">
        <w:rPr>
          <w:rFonts w:ascii="Calibri" w:hAnsi="Calibri" w:cs="Calibri"/>
          <w:sz w:val="24"/>
          <w:szCs w:val="24"/>
        </w:rPr>
        <w:t xml:space="preserve"> Program has developed and piloted a </w:t>
      </w:r>
      <w:proofErr w:type="spellStart"/>
      <w:r w:rsidRPr="00F257A1">
        <w:rPr>
          <w:rFonts w:ascii="Calibri" w:hAnsi="Calibri" w:cs="Calibri"/>
          <w:sz w:val="24"/>
          <w:szCs w:val="24"/>
        </w:rPr>
        <w:t>cybersafety</w:t>
      </w:r>
      <w:proofErr w:type="spellEnd"/>
      <w:r w:rsidRPr="00F257A1">
        <w:rPr>
          <w:rFonts w:ascii="Calibri" w:hAnsi="Calibri" w:cs="Calibri"/>
          <w:sz w:val="24"/>
          <w:szCs w:val="24"/>
        </w:rPr>
        <w:t xml:space="preserve"> education package for Indigenous Australians</w:t>
      </w:r>
      <w:r w:rsidR="000E2804" w:rsidRPr="000E2804">
        <w:t xml:space="preserve"> </w:t>
      </w:r>
      <w:r w:rsidR="000E2804" w:rsidRPr="000E2804">
        <w:rPr>
          <w:rFonts w:ascii="Calibri" w:hAnsi="Calibri" w:cs="Calibri"/>
          <w:sz w:val="24"/>
          <w:szCs w:val="24"/>
        </w:rPr>
        <w:t>through a series of community workshops in Western Australia</w:t>
      </w:r>
      <w:r w:rsidRPr="00F257A1">
        <w:rPr>
          <w:rFonts w:ascii="Calibri" w:hAnsi="Calibri" w:cs="Calibri"/>
          <w:sz w:val="24"/>
          <w:szCs w:val="24"/>
        </w:rPr>
        <w:t xml:space="preserve">. </w:t>
      </w:r>
    </w:p>
    <w:p w:rsidR="00F257A1" w:rsidRPr="00F257A1" w:rsidRDefault="00F257A1" w:rsidP="00F257A1">
      <w:pPr>
        <w:rPr>
          <w:rFonts w:ascii="Calibri" w:hAnsi="Calibri" w:cs="Calibri"/>
          <w:sz w:val="24"/>
          <w:szCs w:val="24"/>
        </w:rPr>
      </w:pPr>
    </w:p>
    <w:p w:rsidR="00F257A1" w:rsidRPr="00F257A1" w:rsidRDefault="00F257A1" w:rsidP="00F257A1">
      <w:pPr>
        <w:rPr>
          <w:rFonts w:ascii="Calibri" w:hAnsi="Calibri" w:cs="Calibri"/>
          <w:sz w:val="24"/>
          <w:szCs w:val="24"/>
          <w:lang w:val="en-US"/>
        </w:rPr>
      </w:pPr>
      <w:r w:rsidRPr="00F257A1">
        <w:rPr>
          <w:rFonts w:ascii="Calibri" w:hAnsi="Calibri" w:cs="Calibri"/>
          <w:sz w:val="24"/>
          <w:szCs w:val="24"/>
        </w:rPr>
        <w:t xml:space="preserve">A key </w:t>
      </w:r>
      <w:r w:rsidR="00804098">
        <w:rPr>
          <w:rFonts w:ascii="Calibri" w:hAnsi="Calibri" w:cs="Calibri"/>
          <w:sz w:val="24"/>
          <w:szCs w:val="24"/>
        </w:rPr>
        <w:t>objective</w:t>
      </w:r>
      <w:r w:rsidR="00B8568C" w:rsidRPr="00F257A1">
        <w:rPr>
          <w:rFonts w:ascii="Calibri" w:hAnsi="Calibri" w:cs="Calibri"/>
          <w:sz w:val="24"/>
          <w:szCs w:val="24"/>
        </w:rPr>
        <w:t xml:space="preserve"> </w:t>
      </w:r>
      <w:r w:rsidRPr="00F257A1">
        <w:rPr>
          <w:rFonts w:ascii="Calibri" w:hAnsi="Calibri" w:cs="Calibri"/>
          <w:sz w:val="24"/>
          <w:szCs w:val="24"/>
        </w:rPr>
        <w:t xml:space="preserve">of the pilot has been </w:t>
      </w:r>
      <w:r w:rsidRPr="00F257A1">
        <w:rPr>
          <w:rFonts w:ascii="Calibri" w:hAnsi="Calibri" w:cs="Calibri"/>
          <w:sz w:val="24"/>
          <w:szCs w:val="24"/>
          <w:lang w:val="en-US"/>
        </w:rPr>
        <w:t xml:space="preserve">to </w:t>
      </w:r>
      <w:proofErr w:type="spellStart"/>
      <w:r w:rsidR="00DE3484">
        <w:rPr>
          <w:rFonts w:ascii="Calibri" w:hAnsi="Calibri" w:cs="Calibri"/>
          <w:sz w:val="24"/>
          <w:szCs w:val="24"/>
          <w:lang w:val="en-US"/>
        </w:rPr>
        <w:t>up</w:t>
      </w:r>
      <w:r w:rsidRPr="00F257A1">
        <w:rPr>
          <w:rFonts w:ascii="Calibri" w:hAnsi="Calibri" w:cs="Calibri"/>
          <w:sz w:val="24"/>
          <w:szCs w:val="24"/>
          <w:lang w:val="en-US"/>
        </w:rPr>
        <w:t>skill</w:t>
      </w:r>
      <w:proofErr w:type="spellEnd"/>
      <w:r w:rsidRPr="00F257A1">
        <w:rPr>
          <w:rFonts w:ascii="Calibri" w:hAnsi="Calibri" w:cs="Calibri"/>
          <w:sz w:val="24"/>
          <w:szCs w:val="24"/>
          <w:lang w:val="en-US"/>
        </w:rPr>
        <w:t xml:space="preserve"> community members, agency workers, students, teachers and police</w:t>
      </w:r>
      <w:r w:rsidR="000E2804">
        <w:rPr>
          <w:rFonts w:ascii="Calibri" w:hAnsi="Calibri" w:cs="Calibri"/>
          <w:sz w:val="24"/>
          <w:szCs w:val="24"/>
          <w:lang w:val="en-US"/>
        </w:rPr>
        <w:t>,</w:t>
      </w:r>
      <w:r w:rsidRPr="00F257A1">
        <w:rPr>
          <w:rFonts w:ascii="Calibri" w:hAnsi="Calibri" w:cs="Calibri"/>
          <w:sz w:val="24"/>
          <w:szCs w:val="24"/>
          <w:lang w:val="en-US"/>
        </w:rPr>
        <w:t xml:space="preserve"> using a train-the-trainer model.</w:t>
      </w:r>
      <w:r w:rsidR="007764A2">
        <w:rPr>
          <w:rFonts w:ascii="Calibri" w:hAnsi="Calibri" w:cs="Calibri"/>
          <w:sz w:val="24"/>
          <w:szCs w:val="24"/>
          <w:lang w:val="en-US"/>
        </w:rPr>
        <w:t xml:space="preserve"> </w:t>
      </w:r>
      <w:r w:rsidRPr="00F257A1">
        <w:rPr>
          <w:rFonts w:ascii="Calibri" w:hAnsi="Calibri" w:cs="Calibri"/>
          <w:sz w:val="24"/>
          <w:szCs w:val="24"/>
          <w:lang w:val="en-US"/>
        </w:rPr>
        <w:t>The training involved increasing participants’ knowledge and capacity relating to online safety issues, reporting opti</w:t>
      </w:r>
      <w:r w:rsidR="00C32CC8">
        <w:rPr>
          <w:rFonts w:ascii="Calibri" w:hAnsi="Calibri" w:cs="Calibri"/>
          <w:sz w:val="24"/>
          <w:szCs w:val="24"/>
          <w:lang w:val="en-US"/>
        </w:rPr>
        <w:t>ons for social networking sites</w:t>
      </w:r>
      <w:r w:rsidRPr="00F257A1">
        <w:rPr>
          <w:rFonts w:ascii="Calibri" w:hAnsi="Calibri" w:cs="Calibri"/>
          <w:sz w:val="24"/>
          <w:szCs w:val="24"/>
          <w:lang w:val="en-US"/>
        </w:rPr>
        <w:t xml:space="preserve"> and possible legal implications of online </w:t>
      </w:r>
      <w:r w:rsidRPr="007712A8">
        <w:rPr>
          <w:rFonts w:ascii="Calibri" w:hAnsi="Calibri" w:cs="Calibri"/>
          <w:sz w:val="24"/>
          <w:szCs w:val="24"/>
        </w:rPr>
        <w:t>behavio</w:t>
      </w:r>
      <w:r w:rsidR="003E2CBE" w:rsidRPr="007712A8">
        <w:rPr>
          <w:rFonts w:ascii="Calibri" w:hAnsi="Calibri" w:cs="Calibri"/>
          <w:sz w:val="24"/>
          <w:szCs w:val="24"/>
        </w:rPr>
        <w:t>u</w:t>
      </w:r>
      <w:r w:rsidRPr="007712A8">
        <w:rPr>
          <w:rFonts w:ascii="Calibri" w:hAnsi="Calibri" w:cs="Calibri"/>
          <w:sz w:val="24"/>
          <w:szCs w:val="24"/>
        </w:rPr>
        <w:t>r</w:t>
      </w:r>
      <w:r w:rsidRPr="00F257A1">
        <w:rPr>
          <w:rFonts w:ascii="Calibri" w:hAnsi="Calibri" w:cs="Calibri"/>
          <w:sz w:val="24"/>
          <w:szCs w:val="24"/>
          <w:lang w:val="en-US"/>
        </w:rPr>
        <w:t xml:space="preserve">. </w:t>
      </w:r>
      <w:r w:rsidR="000E2804" w:rsidRPr="000E2804">
        <w:rPr>
          <w:rFonts w:ascii="Calibri" w:hAnsi="Calibri" w:cs="Calibri"/>
          <w:sz w:val="24"/>
          <w:szCs w:val="24"/>
          <w:lang w:val="en-US"/>
        </w:rPr>
        <w:t>Two further pilot workshops are planned for 2013</w:t>
      </w:r>
      <w:r w:rsidR="004071A8">
        <w:rPr>
          <w:rFonts w:ascii="Calibri" w:hAnsi="Calibri" w:cs="Calibri"/>
          <w:sz w:val="24"/>
          <w:szCs w:val="24"/>
          <w:lang w:val="en-US"/>
        </w:rPr>
        <w:t>–</w:t>
      </w:r>
      <w:r w:rsidR="000E2804" w:rsidRPr="000E2804">
        <w:rPr>
          <w:rFonts w:ascii="Calibri" w:hAnsi="Calibri" w:cs="Calibri"/>
          <w:sz w:val="24"/>
          <w:szCs w:val="24"/>
          <w:lang w:val="en-US"/>
        </w:rPr>
        <w:t>14</w:t>
      </w:r>
      <w:r w:rsidR="000E2804">
        <w:rPr>
          <w:rFonts w:ascii="Calibri" w:hAnsi="Calibri" w:cs="Calibri"/>
          <w:sz w:val="24"/>
          <w:szCs w:val="24"/>
          <w:lang w:val="en-US"/>
        </w:rPr>
        <w:t>.</w:t>
      </w:r>
    </w:p>
    <w:p w:rsidR="00F257A1" w:rsidRPr="00F257A1" w:rsidRDefault="00F257A1" w:rsidP="00F257A1">
      <w:pPr>
        <w:rPr>
          <w:rFonts w:ascii="Calibri" w:hAnsi="Calibri" w:cs="Calibri"/>
          <w:sz w:val="24"/>
          <w:szCs w:val="24"/>
        </w:rPr>
      </w:pPr>
    </w:p>
    <w:p w:rsidR="00F257A1" w:rsidRPr="00F257A1" w:rsidRDefault="00F257A1" w:rsidP="00F257A1">
      <w:pPr>
        <w:rPr>
          <w:rFonts w:ascii="Calibri" w:hAnsi="Calibri" w:cs="Calibri"/>
          <w:sz w:val="24"/>
          <w:szCs w:val="24"/>
        </w:rPr>
      </w:pPr>
      <w:r w:rsidRPr="00F257A1">
        <w:rPr>
          <w:rFonts w:ascii="Calibri" w:hAnsi="Calibri" w:cs="Calibri"/>
          <w:sz w:val="24"/>
          <w:szCs w:val="24"/>
        </w:rPr>
        <w:t xml:space="preserve">Work is also currently underway to develop an Indigenous portal for ACMA’s </w:t>
      </w:r>
      <w:proofErr w:type="spellStart"/>
      <w:r w:rsidRPr="00F257A1">
        <w:rPr>
          <w:rFonts w:ascii="Calibri" w:hAnsi="Calibri" w:cs="Calibri"/>
          <w:sz w:val="24"/>
          <w:szCs w:val="24"/>
        </w:rPr>
        <w:t>Cybersmart</w:t>
      </w:r>
      <w:proofErr w:type="spellEnd"/>
      <w:r w:rsidRPr="00F257A1">
        <w:rPr>
          <w:rFonts w:ascii="Calibri" w:hAnsi="Calibri" w:cs="Calibri"/>
          <w:sz w:val="24"/>
          <w:szCs w:val="24"/>
        </w:rPr>
        <w:t xml:space="preserve"> website, with a range of </w:t>
      </w:r>
      <w:proofErr w:type="spellStart"/>
      <w:r w:rsidRPr="00F257A1">
        <w:rPr>
          <w:rFonts w:ascii="Calibri" w:hAnsi="Calibri" w:cs="Calibri"/>
          <w:sz w:val="24"/>
          <w:szCs w:val="24"/>
        </w:rPr>
        <w:t>cybersafety</w:t>
      </w:r>
      <w:proofErr w:type="spellEnd"/>
      <w:r w:rsidRPr="00F257A1">
        <w:rPr>
          <w:rFonts w:ascii="Calibri" w:hAnsi="Calibri" w:cs="Calibri"/>
          <w:sz w:val="24"/>
          <w:szCs w:val="24"/>
        </w:rPr>
        <w:t xml:space="preserve"> content for Indigenous audiences.</w:t>
      </w:r>
      <w:r w:rsidR="007764A2">
        <w:rPr>
          <w:rFonts w:ascii="Calibri" w:hAnsi="Calibri" w:cs="Calibri"/>
          <w:sz w:val="24"/>
          <w:szCs w:val="24"/>
        </w:rPr>
        <w:t xml:space="preserve"> </w:t>
      </w:r>
      <w:proofErr w:type="spellStart"/>
      <w:r w:rsidRPr="00F257A1">
        <w:rPr>
          <w:rFonts w:ascii="Calibri" w:hAnsi="Calibri" w:cs="Calibri"/>
          <w:sz w:val="24"/>
          <w:szCs w:val="24"/>
        </w:rPr>
        <w:t>Cybersmart</w:t>
      </w:r>
      <w:proofErr w:type="spellEnd"/>
      <w:r w:rsidRPr="00F257A1">
        <w:rPr>
          <w:rFonts w:ascii="Calibri" w:hAnsi="Calibri" w:cs="Calibri"/>
          <w:sz w:val="24"/>
          <w:szCs w:val="24"/>
        </w:rPr>
        <w:t xml:space="preserve"> Networking, an online interactive program teaching safe social networking to school students, has also been customised for Indigenous audiences and will be piloted in WA and NSW schools through the remainder of 2013. </w:t>
      </w:r>
    </w:p>
    <w:p w:rsidR="00F257A1" w:rsidRPr="00F257A1" w:rsidRDefault="00F257A1" w:rsidP="00F257A1">
      <w:pPr>
        <w:rPr>
          <w:rFonts w:ascii="Calibri" w:hAnsi="Calibri" w:cs="Calibri"/>
          <w:sz w:val="24"/>
          <w:szCs w:val="24"/>
        </w:rPr>
      </w:pPr>
    </w:p>
    <w:p w:rsidR="00F33330" w:rsidRPr="00F257A1" w:rsidRDefault="00F33330" w:rsidP="00F257A1">
      <w:pPr>
        <w:rPr>
          <w:rFonts w:ascii="Calibri" w:hAnsi="Calibri" w:cs="Calibri"/>
          <w:sz w:val="24"/>
          <w:szCs w:val="24"/>
        </w:rPr>
      </w:pPr>
      <w:r w:rsidRPr="00F33330">
        <w:rPr>
          <w:rFonts w:ascii="Calibri" w:hAnsi="Calibri" w:cs="Calibri"/>
          <w:sz w:val="24"/>
          <w:szCs w:val="24"/>
        </w:rPr>
        <w:t xml:space="preserve">The Australian Government </w:t>
      </w:r>
      <w:r>
        <w:rPr>
          <w:rFonts w:ascii="Calibri" w:hAnsi="Calibri" w:cs="Calibri"/>
          <w:sz w:val="24"/>
          <w:szCs w:val="24"/>
        </w:rPr>
        <w:t>is developing an issues paper on</w:t>
      </w:r>
      <w:r w:rsidRPr="00F33330">
        <w:rPr>
          <w:rFonts w:ascii="Calibri" w:hAnsi="Calibri" w:cs="Calibri"/>
          <w:sz w:val="24"/>
          <w:szCs w:val="24"/>
        </w:rPr>
        <w:t xml:space="preserve"> the sexualisation of children. </w:t>
      </w:r>
      <w:r>
        <w:rPr>
          <w:rFonts w:ascii="Calibri" w:hAnsi="Calibri" w:cs="Calibri"/>
          <w:sz w:val="24"/>
          <w:szCs w:val="24"/>
        </w:rPr>
        <w:t>This</w:t>
      </w:r>
      <w:r w:rsidRPr="00F33330">
        <w:rPr>
          <w:rFonts w:ascii="Calibri" w:hAnsi="Calibri" w:cs="Calibri"/>
          <w:sz w:val="24"/>
          <w:szCs w:val="24"/>
        </w:rPr>
        <w:t xml:space="preserve"> paper will provide an overview of the origins of the sexualisation of children in the Australian context, discuss the range of views on this issue</w:t>
      </w:r>
      <w:r>
        <w:rPr>
          <w:rFonts w:ascii="Calibri" w:hAnsi="Calibri" w:cs="Calibri"/>
          <w:sz w:val="24"/>
          <w:szCs w:val="24"/>
        </w:rPr>
        <w:t xml:space="preserve"> and </w:t>
      </w:r>
      <w:r w:rsidRPr="00F33330">
        <w:rPr>
          <w:rFonts w:ascii="Calibri" w:hAnsi="Calibri" w:cs="Calibri"/>
          <w:sz w:val="24"/>
          <w:szCs w:val="24"/>
        </w:rPr>
        <w:t>look at domestic and international policy re</w:t>
      </w:r>
      <w:r>
        <w:rPr>
          <w:rFonts w:ascii="Calibri" w:hAnsi="Calibri" w:cs="Calibri"/>
          <w:sz w:val="24"/>
          <w:szCs w:val="24"/>
        </w:rPr>
        <w:t>sponses developed to address it</w:t>
      </w:r>
      <w:r w:rsidRPr="00F33330">
        <w:rPr>
          <w:rFonts w:ascii="Calibri" w:hAnsi="Calibri" w:cs="Calibri"/>
          <w:sz w:val="24"/>
          <w:szCs w:val="24"/>
        </w:rPr>
        <w:t>. The paper aims to enhance understanding o</w:t>
      </w:r>
      <w:r>
        <w:rPr>
          <w:rFonts w:ascii="Calibri" w:hAnsi="Calibri" w:cs="Calibri"/>
          <w:sz w:val="24"/>
          <w:szCs w:val="24"/>
        </w:rPr>
        <w:t>f community concerns about the sexualisation of children</w:t>
      </w:r>
      <w:r w:rsidRPr="00F33330">
        <w:rPr>
          <w:rFonts w:ascii="Calibri" w:hAnsi="Calibri" w:cs="Calibri"/>
          <w:sz w:val="24"/>
          <w:szCs w:val="24"/>
        </w:rPr>
        <w:t xml:space="preserve"> and how it is impacting on Australia’s children and young people. A working group comprising academics and members of the Coalition has been established to assist </w:t>
      </w:r>
      <w:r w:rsidR="004071A8">
        <w:rPr>
          <w:rFonts w:ascii="Calibri" w:hAnsi="Calibri" w:cs="Calibri"/>
          <w:sz w:val="24"/>
          <w:szCs w:val="24"/>
        </w:rPr>
        <w:t xml:space="preserve">with </w:t>
      </w:r>
      <w:r w:rsidRPr="00F33330">
        <w:rPr>
          <w:rFonts w:ascii="Calibri" w:hAnsi="Calibri" w:cs="Calibri"/>
          <w:sz w:val="24"/>
          <w:szCs w:val="24"/>
        </w:rPr>
        <w:t>the development of the paper.</w:t>
      </w:r>
    </w:p>
    <w:p w:rsidR="00B6630B" w:rsidRDefault="00B6630B">
      <w:pPr>
        <w:rPr>
          <w:rFonts w:ascii="Calibri" w:hAnsi="Calibri" w:cs="Calibri"/>
          <w:sz w:val="24"/>
          <w:szCs w:val="24"/>
        </w:rPr>
      </w:pPr>
      <w:r>
        <w:rPr>
          <w:rFonts w:ascii="Calibri" w:hAnsi="Calibri" w:cs="Calibri"/>
          <w:sz w:val="24"/>
          <w:szCs w:val="24"/>
        </w:rPr>
        <w:br w:type="page"/>
      </w:r>
    </w:p>
    <w:p w:rsidR="00E164A7" w:rsidRPr="00F257A1" w:rsidRDefault="00E164A7" w:rsidP="00EC4B77">
      <w:pPr>
        <w:rPr>
          <w:rFonts w:ascii="Calibri" w:hAnsi="Calibri" w:cs="Calibri"/>
          <w:sz w:val="24"/>
          <w:szCs w:val="24"/>
        </w:rPr>
      </w:pPr>
    </w:p>
    <w:p w:rsidR="00BE634C" w:rsidRPr="00AE7DB5" w:rsidRDefault="00BE634C" w:rsidP="007A48DC">
      <w:pPr>
        <w:pBdr>
          <w:top w:val="single" w:sz="12" w:space="1" w:color="006600"/>
          <w:left w:val="single" w:sz="12" w:space="4" w:color="006600"/>
          <w:bottom w:val="single" w:sz="12" w:space="1" w:color="006600"/>
          <w:right w:val="single" w:sz="12" w:space="4" w:color="006600"/>
        </w:pBdr>
        <w:shd w:val="clear" w:color="auto" w:fill="D1FFD1"/>
        <w:spacing w:after="120"/>
        <w:rPr>
          <w:rFonts w:ascii="Calibri" w:hAnsi="Calibri" w:cs="Calibri"/>
          <w:b/>
          <w:color w:val="006600"/>
          <w:sz w:val="24"/>
          <w:szCs w:val="24"/>
        </w:rPr>
      </w:pPr>
      <w:r w:rsidRPr="00AE7DB5">
        <w:rPr>
          <w:rFonts w:ascii="Calibri" w:hAnsi="Calibri" w:cs="Calibri"/>
          <w:b/>
          <w:color w:val="006600"/>
          <w:sz w:val="24"/>
          <w:szCs w:val="24"/>
        </w:rPr>
        <w:t>Understanding Trauma</w:t>
      </w:r>
    </w:p>
    <w:p w:rsidR="00BE634C" w:rsidRDefault="00852C21" w:rsidP="00852C21">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r>
        <w:rPr>
          <w:rFonts w:ascii="Calibri" w:hAnsi="Calibri" w:cs="Calibri"/>
          <w:sz w:val="24"/>
          <w:szCs w:val="24"/>
        </w:rPr>
        <w:t>ASCA</w:t>
      </w:r>
      <w:r w:rsidR="00582AF1">
        <w:rPr>
          <w:rFonts w:ascii="Calibri" w:hAnsi="Calibri" w:cs="Calibri"/>
          <w:sz w:val="24"/>
          <w:szCs w:val="24"/>
        </w:rPr>
        <w:t>,</w:t>
      </w:r>
      <w:r>
        <w:rPr>
          <w:rFonts w:ascii="Calibri" w:hAnsi="Calibri" w:cs="Calibri"/>
          <w:sz w:val="24"/>
          <w:szCs w:val="24"/>
        </w:rPr>
        <w:t xml:space="preserve"> </w:t>
      </w:r>
      <w:proofErr w:type="gramStart"/>
      <w:r>
        <w:rPr>
          <w:rFonts w:ascii="Calibri" w:hAnsi="Calibri" w:cs="Calibri"/>
          <w:sz w:val="24"/>
          <w:szCs w:val="24"/>
        </w:rPr>
        <w:t>an organisation supporting traumatised abuse survivors</w:t>
      </w:r>
      <w:proofErr w:type="gramEnd"/>
      <w:r>
        <w:rPr>
          <w:rFonts w:ascii="Calibri" w:hAnsi="Calibri" w:cs="Calibri"/>
          <w:sz w:val="24"/>
          <w:szCs w:val="24"/>
        </w:rPr>
        <w:t>, has developed and piloted a flexible, two-day</w:t>
      </w:r>
      <w:r w:rsidR="00BE634C" w:rsidRPr="00BE634C">
        <w:rPr>
          <w:rFonts w:ascii="Calibri" w:hAnsi="Calibri" w:cs="Calibri"/>
          <w:sz w:val="24"/>
          <w:szCs w:val="24"/>
        </w:rPr>
        <w:t xml:space="preserve"> training package </w:t>
      </w:r>
      <w:r>
        <w:rPr>
          <w:rFonts w:ascii="Calibri" w:hAnsi="Calibri" w:cs="Calibri"/>
          <w:sz w:val="24"/>
          <w:szCs w:val="24"/>
        </w:rPr>
        <w:t xml:space="preserve">for </w:t>
      </w:r>
      <w:r w:rsidR="00BE634C" w:rsidRPr="00BE634C">
        <w:rPr>
          <w:rFonts w:ascii="Calibri" w:hAnsi="Calibri" w:cs="Calibri"/>
          <w:sz w:val="24"/>
          <w:szCs w:val="24"/>
        </w:rPr>
        <w:t>workers (1 day)</w:t>
      </w:r>
      <w:r>
        <w:rPr>
          <w:rFonts w:ascii="Calibri" w:hAnsi="Calibri" w:cs="Calibri"/>
          <w:sz w:val="24"/>
          <w:szCs w:val="24"/>
        </w:rPr>
        <w:t>,</w:t>
      </w:r>
      <w:r w:rsidR="00BE634C" w:rsidRPr="00BE634C">
        <w:rPr>
          <w:rFonts w:ascii="Calibri" w:hAnsi="Calibri" w:cs="Calibri"/>
          <w:sz w:val="24"/>
          <w:szCs w:val="24"/>
        </w:rPr>
        <w:t xml:space="preserve"> volunteers (</w:t>
      </w:r>
      <w:r>
        <w:rPr>
          <w:rFonts w:ascii="Calibri" w:hAnsi="Calibri" w:cs="Calibri"/>
          <w:sz w:val="24"/>
          <w:szCs w:val="24"/>
        </w:rPr>
        <w:t>½</w:t>
      </w:r>
      <w:r w:rsidR="00D97971">
        <w:rPr>
          <w:rFonts w:ascii="Calibri" w:hAnsi="Calibri" w:cs="Calibri"/>
          <w:sz w:val="24"/>
          <w:szCs w:val="24"/>
        </w:rPr>
        <w:t> </w:t>
      </w:r>
      <w:r w:rsidR="00BE634C" w:rsidRPr="00BE634C">
        <w:rPr>
          <w:rFonts w:ascii="Calibri" w:hAnsi="Calibri" w:cs="Calibri"/>
          <w:sz w:val="24"/>
          <w:szCs w:val="24"/>
        </w:rPr>
        <w:t xml:space="preserve">day) </w:t>
      </w:r>
      <w:r>
        <w:rPr>
          <w:rFonts w:ascii="Calibri" w:hAnsi="Calibri" w:cs="Calibri"/>
          <w:sz w:val="24"/>
          <w:szCs w:val="24"/>
        </w:rPr>
        <w:t>and</w:t>
      </w:r>
      <w:r w:rsidR="00BE634C" w:rsidRPr="00BE634C">
        <w:rPr>
          <w:rFonts w:ascii="Calibri" w:hAnsi="Calibri" w:cs="Calibri"/>
          <w:sz w:val="24"/>
          <w:szCs w:val="24"/>
        </w:rPr>
        <w:t xml:space="preserve"> managers (</w:t>
      </w:r>
      <w:r>
        <w:rPr>
          <w:rFonts w:ascii="Calibri" w:hAnsi="Calibri" w:cs="Calibri"/>
          <w:sz w:val="24"/>
          <w:szCs w:val="24"/>
        </w:rPr>
        <w:t>½</w:t>
      </w:r>
      <w:r w:rsidR="00BE634C" w:rsidRPr="00BE634C">
        <w:rPr>
          <w:rFonts w:ascii="Calibri" w:hAnsi="Calibri" w:cs="Calibri"/>
          <w:sz w:val="24"/>
          <w:szCs w:val="24"/>
        </w:rPr>
        <w:t xml:space="preserve"> day) within community services. T</w:t>
      </w:r>
      <w:r w:rsidR="00BD1677">
        <w:rPr>
          <w:rFonts w:ascii="Calibri" w:hAnsi="Calibri" w:cs="Calibri"/>
          <w:sz w:val="24"/>
          <w:szCs w:val="24"/>
        </w:rPr>
        <w:t>he t</w:t>
      </w:r>
      <w:r w:rsidR="00BE634C" w:rsidRPr="00BE634C">
        <w:rPr>
          <w:rFonts w:ascii="Calibri" w:hAnsi="Calibri" w:cs="Calibri"/>
          <w:sz w:val="24"/>
          <w:szCs w:val="24"/>
        </w:rPr>
        <w:t xml:space="preserve">raining had elements common </w:t>
      </w:r>
      <w:r w:rsidR="00582AF1">
        <w:rPr>
          <w:rFonts w:ascii="Calibri" w:hAnsi="Calibri" w:cs="Calibri"/>
          <w:sz w:val="24"/>
          <w:szCs w:val="24"/>
        </w:rPr>
        <w:t xml:space="preserve">to all </w:t>
      </w:r>
      <w:r w:rsidR="00BE634C" w:rsidRPr="00BE634C">
        <w:rPr>
          <w:rFonts w:ascii="Calibri" w:hAnsi="Calibri" w:cs="Calibri"/>
          <w:sz w:val="24"/>
          <w:szCs w:val="24"/>
        </w:rPr>
        <w:t>and particular to each group. Four pilots were completed</w:t>
      </w:r>
      <w:r>
        <w:rPr>
          <w:rFonts w:ascii="Calibri" w:hAnsi="Calibri" w:cs="Calibri"/>
          <w:sz w:val="24"/>
          <w:szCs w:val="24"/>
        </w:rPr>
        <w:t xml:space="preserve">, in </w:t>
      </w:r>
      <w:r w:rsidR="00BE634C" w:rsidRPr="00BE634C">
        <w:rPr>
          <w:rFonts w:ascii="Calibri" w:hAnsi="Calibri" w:cs="Calibri"/>
          <w:sz w:val="24"/>
          <w:szCs w:val="24"/>
        </w:rPr>
        <w:t>Sydney</w:t>
      </w:r>
      <w:r>
        <w:rPr>
          <w:rFonts w:ascii="Calibri" w:hAnsi="Calibri" w:cs="Calibri"/>
          <w:sz w:val="24"/>
          <w:szCs w:val="24"/>
        </w:rPr>
        <w:t>,</w:t>
      </w:r>
      <w:r w:rsidR="00BE634C" w:rsidRPr="00BE634C">
        <w:rPr>
          <w:rFonts w:ascii="Calibri" w:hAnsi="Calibri" w:cs="Calibri"/>
          <w:sz w:val="24"/>
          <w:szCs w:val="24"/>
        </w:rPr>
        <w:t xml:space="preserve"> Perth</w:t>
      </w:r>
      <w:r>
        <w:rPr>
          <w:rFonts w:ascii="Calibri" w:hAnsi="Calibri" w:cs="Calibri"/>
          <w:sz w:val="24"/>
          <w:szCs w:val="24"/>
        </w:rPr>
        <w:t>,</w:t>
      </w:r>
      <w:r w:rsidR="00BE634C" w:rsidRPr="00BE634C">
        <w:rPr>
          <w:rFonts w:ascii="Calibri" w:hAnsi="Calibri" w:cs="Calibri"/>
          <w:sz w:val="24"/>
          <w:szCs w:val="24"/>
        </w:rPr>
        <w:t xml:space="preserve"> Hobart</w:t>
      </w:r>
      <w:r>
        <w:rPr>
          <w:rFonts w:ascii="Calibri" w:hAnsi="Calibri" w:cs="Calibri"/>
          <w:sz w:val="24"/>
          <w:szCs w:val="24"/>
        </w:rPr>
        <w:t xml:space="preserve"> and</w:t>
      </w:r>
      <w:r w:rsidR="00BE634C" w:rsidRPr="00BE634C">
        <w:rPr>
          <w:rFonts w:ascii="Calibri" w:hAnsi="Calibri" w:cs="Calibri"/>
          <w:sz w:val="24"/>
          <w:szCs w:val="24"/>
        </w:rPr>
        <w:t xml:space="preserve"> Launceston</w:t>
      </w:r>
      <w:r>
        <w:rPr>
          <w:rFonts w:ascii="Calibri" w:hAnsi="Calibri" w:cs="Calibri"/>
          <w:sz w:val="24"/>
          <w:szCs w:val="24"/>
        </w:rPr>
        <w:t>,</w:t>
      </w:r>
      <w:r w:rsidR="00BE634C" w:rsidRPr="00BE634C">
        <w:rPr>
          <w:rFonts w:ascii="Calibri" w:hAnsi="Calibri" w:cs="Calibri"/>
          <w:sz w:val="24"/>
          <w:szCs w:val="24"/>
        </w:rPr>
        <w:t xml:space="preserve"> during </w:t>
      </w:r>
      <w:r w:rsidRPr="00BE634C">
        <w:rPr>
          <w:rFonts w:ascii="Calibri" w:hAnsi="Calibri" w:cs="Calibri"/>
          <w:sz w:val="24"/>
          <w:szCs w:val="24"/>
        </w:rPr>
        <w:t>Feb</w:t>
      </w:r>
      <w:r>
        <w:rPr>
          <w:rFonts w:ascii="Calibri" w:hAnsi="Calibri" w:cs="Calibri"/>
          <w:sz w:val="24"/>
          <w:szCs w:val="24"/>
        </w:rPr>
        <w:t xml:space="preserve">ruary and </w:t>
      </w:r>
      <w:r w:rsidR="00BE634C" w:rsidRPr="00BE634C">
        <w:rPr>
          <w:rFonts w:ascii="Calibri" w:hAnsi="Calibri" w:cs="Calibri"/>
          <w:sz w:val="24"/>
          <w:szCs w:val="24"/>
        </w:rPr>
        <w:t>March 2013</w:t>
      </w:r>
      <w:r>
        <w:rPr>
          <w:rFonts w:ascii="Calibri" w:hAnsi="Calibri" w:cs="Calibri"/>
          <w:sz w:val="24"/>
          <w:szCs w:val="24"/>
        </w:rPr>
        <w:t>.</w:t>
      </w:r>
      <w:r w:rsidR="00BE634C" w:rsidRPr="00BE634C">
        <w:rPr>
          <w:rFonts w:ascii="Calibri" w:hAnsi="Calibri" w:cs="Calibri"/>
          <w:sz w:val="24"/>
          <w:szCs w:val="24"/>
        </w:rPr>
        <w:t xml:space="preserve"> </w:t>
      </w:r>
      <w:r>
        <w:rPr>
          <w:rFonts w:ascii="Calibri" w:hAnsi="Calibri" w:cs="Calibri"/>
          <w:sz w:val="24"/>
          <w:szCs w:val="24"/>
        </w:rPr>
        <w:t>One hundred</w:t>
      </w:r>
      <w:r w:rsidR="00BE634C" w:rsidRPr="00BE634C">
        <w:rPr>
          <w:rFonts w:ascii="Calibri" w:hAnsi="Calibri" w:cs="Calibri"/>
          <w:sz w:val="24"/>
          <w:szCs w:val="24"/>
        </w:rPr>
        <w:t xml:space="preserve"> workers, 28 volunteers and 27 managers attended</w:t>
      </w:r>
      <w:r>
        <w:rPr>
          <w:rFonts w:ascii="Calibri" w:hAnsi="Calibri" w:cs="Calibri"/>
          <w:sz w:val="24"/>
          <w:szCs w:val="24"/>
        </w:rPr>
        <w:t xml:space="preserve"> the training</w:t>
      </w:r>
      <w:r w:rsidR="00BE634C" w:rsidRPr="00BE634C">
        <w:rPr>
          <w:rFonts w:ascii="Calibri" w:hAnsi="Calibri" w:cs="Calibri"/>
          <w:sz w:val="24"/>
          <w:szCs w:val="24"/>
        </w:rPr>
        <w:t>.</w:t>
      </w:r>
    </w:p>
    <w:p w:rsidR="00852C21" w:rsidRPr="00BE634C" w:rsidRDefault="00852C21" w:rsidP="00852C21">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p>
    <w:p w:rsidR="00BE634C" w:rsidRDefault="00BE634C" w:rsidP="00D97971">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r w:rsidRPr="00BE634C">
        <w:rPr>
          <w:rFonts w:ascii="Calibri" w:hAnsi="Calibri" w:cs="Calibri"/>
          <w:sz w:val="24"/>
          <w:szCs w:val="24"/>
        </w:rPr>
        <w:t>Unresolved complex trauma (repeated intentional extreme interpersonal trauma</w:t>
      </w:r>
      <w:r w:rsidR="00852C21">
        <w:rPr>
          <w:rFonts w:ascii="Calibri" w:hAnsi="Calibri" w:cs="Calibri"/>
          <w:sz w:val="24"/>
          <w:szCs w:val="24"/>
        </w:rPr>
        <w:t>—</w:t>
      </w:r>
      <w:r w:rsidRPr="00BE634C">
        <w:rPr>
          <w:rFonts w:ascii="Calibri" w:hAnsi="Calibri" w:cs="Calibri"/>
          <w:sz w:val="24"/>
          <w:szCs w:val="24"/>
        </w:rPr>
        <w:t>abuse in all forms, neglect, domestic violence, parental mental illness</w:t>
      </w:r>
      <w:r w:rsidR="00582AF1">
        <w:rPr>
          <w:rFonts w:ascii="Calibri" w:hAnsi="Calibri" w:cs="Calibri"/>
          <w:sz w:val="24"/>
          <w:szCs w:val="24"/>
        </w:rPr>
        <w:t xml:space="preserve">, </w:t>
      </w:r>
      <w:r w:rsidRPr="00BE634C">
        <w:rPr>
          <w:rFonts w:ascii="Calibri" w:hAnsi="Calibri" w:cs="Calibri"/>
          <w:sz w:val="24"/>
          <w:szCs w:val="24"/>
        </w:rPr>
        <w:t xml:space="preserve">substance abuse) is very common in children, young people and families. Many staff </w:t>
      </w:r>
      <w:proofErr w:type="gramStart"/>
      <w:r w:rsidRPr="00BE634C">
        <w:rPr>
          <w:rFonts w:ascii="Calibri" w:hAnsi="Calibri" w:cs="Calibri"/>
          <w:sz w:val="24"/>
          <w:szCs w:val="24"/>
        </w:rPr>
        <w:t>are</w:t>
      </w:r>
      <w:proofErr w:type="gramEnd"/>
      <w:r w:rsidRPr="00BE634C">
        <w:rPr>
          <w:rFonts w:ascii="Calibri" w:hAnsi="Calibri" w:cs="Calibri"/>
          <w:sz w:val="24"/>
          <w:szCs w:val="24"/>
        </w:rPr>
        <w:t xml:space="preserve"> also affected. Yet most community services staff are not trauma informed</w:t>
      </w:r>
      <w:r w:rsidR="00852C21">
        <w:rPr>
          <w:rFonts w:ascii="Calibri" w:hAnsi="Calibri" w:cs="Calibri"/>
          <w:sz w:val="24"/>
          <w:szCs w:val="24"/>
        </w:rPr>
        <w:t>. They receive no information or training on</w:t>
      </w:r>
      <w:r w:rsidRPr="00BE634C">
        <w:rPr>
          <w:rFonts w:ascii="Calibri" w:hAnsi="Calibri" w:cs="Calibri"/>
          <w:sz w:val="24"/>
          <w:szCs w:val="24"/>
        </w:rPr>
        <w:t xml:space="preserve"> traumatic stress, its impacts and</w:t>
      </w:r>
      <w:r w:rsidR="00852C21">
        <w:rPr>
          <w:rFonts w:ascii="Calibri" w:hAnsi="Calibri" w:cs="Calibri"/>
          <w:sz w:val="24"/>
          <w:szCs w:val="24"/>
        </w:rPr>
        <w:t xml:space="preserve"> effective</w:t>
      </w:r>
      <w:r w:rsidRPr="00BE634C">
        <w:rPr>
          <w:rFonts w:ascii="Calibri" w:hAnsi="Calibri" w:cs="Calibri"/>
          <w:sz w:val="24"/>
          <w:szCs w:val="24"/>
        </w:rPr>
        <w:t xml:space="preserve"> strategies for working with trauma survivors and families.</w:t>
      </w:r>
    </w:p>
    <w:p w:rsidR="00852C21" w:rsidRPr="00BE634C" w:rsidRDefault="00852C21" w:rsidP="00852C21">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p>
    <w:p w:rsidR="00BE634C" w:rsidRPr="00BE634C" w:rsidRDefault="00BE634C" w:rsidP="00D97971">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r w:rsidRPr="00BE634C">
        <w:rPr>
          <w:rFonts w:ascii="Calibri" w:hAnsi="Calibri" w:cs="Calibri"/>
          <w:sz w:val="24"/>
          <w:szCs w:val="24"/>
        </w:rPr>
        <w:t>Trauma</w:t>
      </w:r>
      <w:r w:rsidR="00582AF1">
        <w:rPr>
          <w:rFonts w:ascii="Calibri" w:hAnsi="Calibri" w:cs="Calibri"/>
          <w:sz w:val="24"/>
          <w:szCs w:val="24"/>
        </w:rPr>
        <w:t>-</w:t>
      </w:r>
      <w:r w:rsidRPr="00BE634C">
        <w:rPr>
          <w:rFonts w:ascii="Calibri" w:hAnsi="Calibri" w:cs="Calibri"/>
          <w:sz w:val="24"/>
          <w:szCs w:val="24"/>
        </w:rPr>
        <w:t>informed services</w:t>
      </w:r>
      <w:r w:rsidR="00582AF1">
        <w:rPr>
          <w:rFonts w:ascii="Calibri" w:hAnsi="Calibri" w:cs="Calibri"/>
          <w:sz w:val="24"/>
          <w:szCs w:val="24"/>
        </w:rPr>
        <w:t xml:space="preserve"> and</w:t>
      </w:r>
      <w:r w:rsidRPr="00BE634C">
        <w:rPr>
          <w:rFonts w:ascii="Calibri" w:hAnsi="Calibri" w:cs="Calibri"/>
          <w:sz w:val="24"/>
          <w:szCs w:val="24"/>
        </w:rPr>
        <w:t xml:space="preserve"> organisations understand the vulnerabilities and/or triggers of trauma survivors</w:t>
      </w:r>
      <w:r w:rsidR="00582AF1">
        <w:rPr>
          <w:rFonts w:ascii="Calibri" w:hAnsi="Calibri" w:cs="Calibri"/>
          <w:sz w:val="24"/>
          <w:szCs w:val="24"/>
        </w:rPr>
        <w:t xml:space="preserve"> and can make services and programs </w:t>
      </w:r>
      <w:r w:rsidRPr="00BE634C">
        <w:rPr>
          <w:rFonts w:ascii="Calibri" w:hAnsi="Calibri" w:cs="Calibri"/>
          <w:sz w:val="24"/>
          <w:szCs w:val="24"/>
        </w:rPr>
        <w:t>more supportive and effective. This minimises re-traumatisation for clients and vicarious traumatisation</w:t>
      </w:r>
      <w:r w:rsidR="00582AF1">
        <w:rPr>
          <w:rFonts w:ascii="Calibri" w:hAnsi="Calibri" w:cs="Calibri"/>
          <w:sz w:val="24"/>
          <w:szCs w:val="24"/>
        </w:rPr>
        <w:t xml:space="preserve"> of staff, along with </w:t>
      </w:r>
      <w:r w:rsidRPr="00BE634C">
        <w:rPr>
          <w:rFonts w:ascii="Calibri" w:hAnsi="Calibri" w:cs="Calibri"/>
          <w:sz w:val="24"/>
          <w:szCs w:val="24"/>
        </w:rPr>
        <w:t>staff burnout. Trauma</w:t>
      </w:r>
      <w:r w:rsidR="00582AF1">
        <w:rPr>
          <w:rFonts w:ascii="Calibri" w:hAnsi="Calibri" w:cs="Calibri"/>
          <w:sz w:val="24"/>
          <w:szCs w:val="24"/>
        </w:rPr>
        <w:t>-</w:t>
      </w:r>
      <w:r w:rsidRPr="00BE634C">
        <w:rPr>
          <w:rFonts w:ascii="Calibri" w:hAnsi="Calibri" w:cs="Calibri"/>
          <w:sz w:val="24"/>
          <w:szCs w:val="24"/>
        </w:rPr>
        <w:t>informed practice promotes collaboration, partnership, cooperation and linkages between services.</w:t>
      </w:r>
    </w:p>
    <w:p w:rsidR="00582AF1" w:rsidRDefault="00582AF1" w:rsidP="00582AF1">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p>
    <w:p w:rsidR="00BE634C" w:rsidRDefault="00BE634C" w:rsidP="00937032">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r w:rsidRPr="00BE634C">
        <w:rPr>
          <w:rFonts w:ascii="Calibri" w:hAnsi="Calibri" w:cs="Calibri"/>
          <w:sz w:val="24"/>
          <w:szCs w:val="24"/>
        </w:rPr>
        <w:t xml:space="preserve">Trauma-informed practice, a new paradigm, affects all aspects of service delivery and applies to all staff, paid and unpaid, from </w:t>
      </w:r>
      <w:r w:rsidR="00582AF1">
        <w:rPr>
          <w:rFonts w:ascii="Calibri" w:hAnsi="Calibri" w:cs="Calibri"/>
          <w:sz w:val="24"/>
          <w:szCs w:val="24"/>
        </w:rPr>
        <w:t>front</w:t>
      </w:r>
      <w:r w:rsidRPr="00BE634C">
        <w:rPr>
          <w:rFonts w:ascii="Calibri" w:hAnsi="Calibri" w:cs="Calibri"/>
          <w:sz w:val="24"/>
          <w:szCs w:val="24"/>
        </w:rPr>
        <w:t>line, reception and administrative to senior management. ASCA’s training apprised each attendee and service/organisation of five key principles of trauma</w:t>
      </w:r>
      <w:r w:rsidR="00582AF1">
        <w:rPr>
          <w:rFonts w:ascii="Calibri" w:hAnsi="Calibri" w:cs="Calibri"/>
          <w:sz w:val="24"/>
          <w:szCs w:val="24"/>
        </w:rPr>
        <w:t>-</w:t>
      </w:r>
      <w:r w:rsidRPr="00BE634C">
        <w:rPr>
          <w:rFonts w:ascii="Calibri" w:hAnsi="Calibri" w:cs="Calibri"/>
          <w:sz w:val="24"/>
          <w:szCs w:val="24"/>
        </w:rPr>
        <w:t>informed practice</w:t>
      </w:r>
      <w:r w:rsidR="00582AF1">
        <w:rPr>
          <w:rFonts w:ascii="Calibri" w:hAnsi="Calibri" w:cs="Calibri"/>
          <w:sz w:val="24"/>
          <w:szCs w:val="24"/>
        </w:rPr>
        <w:t>:</w:t>
      </w:r>
      <w:r w:rsidRPr="00BE634C">
        <w:rPr>
          <w:rFonts w:ascii="Calibri" w:hAnsi="Calibri" w:cs="Calibri"/>
          <w:sz w:val="24"/>
          <w:szCs w:val="24"/>
        </w:rPr>
        <w:t xml:space="preserve"> safety</w:t>
      </w:r>
      <w:r w:rsidR="00582AF1">
        <w:rPr>
          <w:rFonts w:ascii="Calibri" w:hAnsi="Calibri" w:cs="Calibri"/>
          <w:sz w:val="24"/>
          <w:szCs w:val="24"/>
        </w:rPr>
        <w:t>,</w:t>
      </w:r>
      <w:r w:rsidRPr="00BE634C">
        <w:rPr>
          <w:rFonts w:ascii="Calibri" w:hAnsi="Calibri" w:cs="Calibri"/>
          <w:sz w:val="24"/>
          <w:szCs w:val="24"/>
        </w:rPr>
        <w:t xml:space="preserve"> trustworthiness</w:t>
      </w:r>
      <w:r w:rsidR="00582AF1">
        <w:rPr>
          <w:rFonts w:ascii="Calibri" w:hAnsi="Calibri" w:cs="Calibri"/>
          <w:sz w:val="24"/>
          <w:szCs w:val="24"/>
        </w:rPr>
        <w:t>,</w:t>
      </w:r>
      <w:r w:rsidRPr="00BE634C">
        <w:rPr>
          <w:rFonts w:ascii="Calibri" w:hAnsi="Calibri" w:cs="Calibri"/>
          <w:sz w:val="24"/>
          <w:szCs w:val="24"/>
        </w:rPr>
        <w:t xml:space="preserve"> choice</w:t>
      </w:r>
      <w:r w:rsidR="00582AF1">
        <w:rPr>
          <w:rFonts w:ascii="Calibri" w:hAnsi="Calibri" w:cs="Calibri"/>
          <w:sz w:val="24"/>
          <w:szCs w:val="24"/>
        </w:rPr>
        <w:t>,</w:t>
      </w:r>
      <w:r w:rsidRPr="00BE634C">
        <w:rPr>
          <w:rFonts w:ascii="Calibri" w:hAnsi="Calibri" w:cs="Calibri"/>
          <w:sz w:val="24"/>
          <w:szCs w:val="24"/>
        </w:rPr>
        <w:t xml:space="preserve"> collaboration and empowerment. Their implementation into each service, practice and role was workshopped to optimise the process. The training also workshopped sensitivity to diversity: gender, ethnicity, age, </w:t>
      </w:r>
      <w:proofErr w:type="spellStart"/>
      <w:r w:rsidRPr="00BE634C">
        <w:rPr>
          <w:rFonts w:ascii="Calibri" w:hAnsi="Calibri" w:cs="Calibri"/>
          <w:sz w:val="24"/>
          <w:szCs w:val="24"/>
        </w:rPr>
        <w:t>indigeneity</w:t>
      </w:r>
      <w:proofErr w:type="spellEnd"/>
      <w:r w:rsidRPr="00BE634C">
        <w:rPr>
          <w:rFonts w:ascii="Calibri" w:hAnsi="Calibri" w:cs="Calibri"/>
          <w:sz w:val="24"/>
          <w:szCs w:val="24"/>
        </w:rPr>
        <w:t>, socioeconomic status, sexual orientation.</w:t>
      </w:r>
    </w:p>
    <w:p w:rsidR="00582AF1" w:rsidRPr="00BE634C" w:rsidRDefault="00582AF1" w:rsidP="00582AF1">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p>
    <w:p w:rsidR="00BE634C" w:rsidRDefault="00BE634C" w:rsidP="00937032">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r w:rsidRPr="00BE634C">
        <w:rPr>
          <w:rFonts w:ascii="Calibri" w:hAnsi="Calibri" w:cs="Calibri"/>
          <w:sz w:val="24"/>
          <w:szCs w:val="24"/>
        </w:rPr>
        <w:t xml:space="preserve">Overseas studies </w:t>
      </w:r>
      <w:r w:rsidR="00582AF1">
        <w:rPr>
          <w:rFonts w:ascii="Calibri" w:hAnsi="Calibri" w:cs="Calibri"/>
          <w:sz w:val="24"/>
          <w:szCs w:val="24"/>
        </w:rPr>
        <w:t xml:space="preserve">have </w:t>
      </w:r>
      <w:r w:rsidRPr="00BE634C">
        <w:rPr>
          <w:rFonts w:ascii="Calibri" w:hAnsi="Calibri" w:cs="Calibri"/>
          <w:sz w:val="24"/>
          <w:szCs w:val="24"/>
        </w:rPr>
        <w:t>establish</w:t>
      </w:r>
      <w:r w:rsidR="00582AF1">
        <w:rPr>
          <w:rFonts w:ascii="Calibri" w:hAnsi="Calibri" w:cs="Calibri"/>
          <w:sz w:val="24"/>
          <w:szCs w:val="24"/>
        </w:rPr>
        <w:t>ed</w:t>
      </w:r>
      <w:r w:rsidRPr="00BE634C">
        <w:rPr>
          <w:rFonts w:ascii="Calibri" w:hAnsi="Calibri" w:cs="Calibri"/>
          <w:sz w:val="24"/>
          <w:szCs w:val="24"/>
        </w:rPr>
        <w:t xml:space="preserve"> that implementation of trauma-informed practice increases staff trauma awareness and sensitivity, changing service cultures to enhance safety and confidentiality. Trauma-informed</w:t>
      </w:r>
      <w:r w:rsidR="00223D97">
        <w:rPr>
          <w:rFonts w:ascii="Calibri" w:hAnsi="Calibri" w:cs="Calibri"/>
          <w:sz w:val="24"/>
          <w:szCs w:val="24"/>
        </w:rPr>
        <w:t>,</w:t>
      </w:r>
      <w:r w:rsidRPr="00BE634C">
        <w:rPr>
          <w:rFonts w:ascii="Calibri" w:hAnsi="Calibri" w:cs="Calibri"/>
          <w:sz w:val="24"/>
          <w:szCs w:val="24"/>
        </w:rPr>
        <w:t xml:space="preserve"> integrated services are cost-effective, with improved outcomes</w:t>
      </w:r>
      <w:r w:rsidR="00582AF1">
        <w:rPr>
          <w:rFonts w:ascii="Calibri" w:hAnsi="Calibri" w:cs="Calibri"/>
          <w:sz w:val="24"/>
          <w:szCs w:val="24"/>
        </w:rPr>
        <w:t>,</w:t>
      </w:r>
      <w:r w:rsidRPr="00BE634C">
        <w:rPr>
          <w:rFonts w:ascii="Calibri" w:hAnsi="Calibri" w:cs="Calibri"/>
          <w:sz w:val="24"/>
          <w:szCs w:val="24"/>
        </w:rPr>
        <w:t xml:space="preserve"> including, for workers</w:t>
      </w:r>
      <w:r w:rsidR="00582AF1">
        <w:rPr>
          <w:rFonts w:ascii="Calibri" w:hAnsi="Calibri" w:cs="Calibri"/>
          <w:sz w:val="24"/>
          <w:szCs w:val="24"/>
        </w:rPr>
        <w:t xml:space="preserve">, enhanced skills, </w:t>
      </w:r>
      <w:r w:rsidRPr="00BE634C">
        <w:rPr>
          <w:rFonts w:ascii="Calibri" w:hAnsi="Calibri" w:cs="Calibri"/>
          <w:sz w:val="24"/>
          <w:szCs w:val="24"/>
        </w:rPr>
        <w:t>greater collaboration with consumers and greater client self-efficacy. Supervisors report more collaboration within and outside agencies, improved staff morale, fewer negative events and more effective services.</w:t>
      </w:r>
    </w:p>
    <w:p w:rsidR="00582AF1" w:rsidRPr="00BE634C" w:rsidRDefault="00582AF1" w:rsidP="00582AF1">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p>
    <w:p w:rsidR="00BE634C" w:rsidRDefault="00582AF1" w:rsidP="00937032">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r>
        <w:rPr>
          <w:rFonts w:ascii="Calibri" w:hAnsi="Calibri" w:cs="Calibri"/>
          <w:sz w:val="24"/>
          <w:szCs w:val="24"/>
        </w:rPr>
        <w:t>Before the workshops, only</w:t>
      </w:r>
      <w:r w:rsidR="00BE634C" w:rsidRPr="00BE634C">
        <w:rPr>
          <w:rFonts w:ascii="Calibri" w:hAnsi="Calibri" w:cs="Calibri"/>
          <w:sz w:val="24"/>
          <w:szCs w:val="24"/>
        </w:rPr>
        <w:t xml:space="preserve"> 50</w:t>
      </w:r>
      <w:r>
        <w:rPr>
          <w:rFonts w:ascii="Calibri" w:hAnsi="Calibri" w:cs="Calibri"/>
          <w:sz w:val="24"/>
          <w:szCs w:val="24"/>
        </w:rPr>
        <w:t xml:space="preserve"> per cent</w:t>
      </w:r>
      <w:r w:rsidR="00BE634C" w:rsidRPr="00BE634C">
        <w:rPr>
          <w:rFonts w:ascii="Calibri" w:hAnsi="Calibri" w:cs="Calibri"/>
          <w:sz w:val="24"/>
          <w:szCs w:val="24"/>
        </w:rPr>
        <w:t xml:space="preserve"> of workers had heard of trauma</w:t>
      </w:r>
      <w:r>
        <w:rPr>
          <w:rFonts w:ascii="Calibri" w:hAnsi="Calibri" w:cs="Calibri"/>
          <w:sz w:val="24"/>
          <w:szCs w:val="24"/>
        </w:rPr>
        <w:t>-</w:t>
      </w:r>
      <w:r w:rsidR="00BE634C" w:rsidRPr="00BE634C">
        <w:rPr>
          <w:rFonts w:ascii="Calibri" w:hAnsi="Calibri" w:cs="Calibri"/>
          <w:sz w:val="24"/>
          <w:szCs w:val="24"/>
        </w:rPr>
        <w:t xml:space="preserve">informed practice; </w:t>
      </w:r>
      <w:r>
        <w:rPr>
          <w:rFonts w:ascii="Calibri" w:hAnsi="Calibri" w:cs="Calibri"/>
          <w:sz w:val="24"/>
          <w:szCs w:val="24"/>
        </w:rPr>
        <w:t>one-third had</w:t>
      </w:r>
      <w:r w:rsidR="00BE634C" w:rsidRPr="00BE634C">
        <w:rPr>
          <w:rFonts w:ascii="Calibri" w:hAnsi="Calibri" w:cs="Calibri"/>
          <w:sz w:val="24"/>
          <w:szCs w:val="24"/>
        </w:rPr>
        <w:t xml:space="preserve"> some prior knowledge; the rest were</w:t>
      </w:r>
      <w:r w:rsidR="00C77E18">
        <w:rPr>
          <w:rFonts w:ascii="Calibri" w:hAnsi="Calibri" w:cs="Calibri"/>
          <w:sz w:val="24"/>
          <w:szCs w:val="24"/>
        </w:rPr>
        <w:t xml:space="preserve"> not</w:t>
      </w:r>
      <w:r w:rsidR="00BE634C" w:rsidRPr="00BE634C">
        <w:rPr>
          <w:rFonts w:ascii="Calibri" w:hAnsi="Calibri" w:cs="Calibri"/>
          <w:sz w:val="24"/>
          <w:szCs w:val="24"/>
        </w:rPr>
        <w:t xml:space="preserve"> sure. After training, almost 99</w:t>
      </w:r>
      <w:r>
        <w:rPr>
          <w:rFonts w:ascii="Calibri" w:hAnsi="Calibri" w:cs="Calibri"/>
          <w:sz w:val="24"/>
          <w:szCs w:val="24"/>
        </w:rPr>
        <w:t xml:space="preserve"> per cent</w:t>
      </w:r>
      <w:r w:rsidR="00BE634C" w:rsidRPr="00BE634C">
        <w:rPr>
          <w:rFonts w:ascii="Calibri" w:hAnsi="Calibri" w:cs="Calibri"/>
          <w:sz w:val="24"/>
          <w:szCs w:val="24"/>
        </w:rPr>
        <w:t xml:space="preserve"> of workers could clearly see the benefits of trauma</w:t>
      </w:r>
      <w:r>
        <w:rPr>
          <w:rFonts w:ascii="Calibri" w:hAnsi="Calibri" w:cs="Calibri"/>
          <w:sz w:val="24"/>
          <w:szCs w:val="24"/>
        </w:rPr>
        <w:t>-</w:t>
      </w:r>
      <w:r w:rsidR="00BE634C" w:rsidRPr="00BE634C">
        <w:rPr>
          <w:rFonts w:ascii="Calibri" w:hAnsi="Calibri" w:cs="Calibri"/>
          <w:sz w:val="24"/>
          <w:szCs w:val="24"/>
        </w:rPr>
        <w:t>informed care</w:t>
      </w:r>
      <w:r>
        <w:rPr>
          <w:rFonts w:ascii="Calibri" w:hAnsi="Calibri" w:cs="Calibri"/>
          <w:sz w:val="24"/>
          <w:szCs w:val="24"/>
        </w:rPr>
        <w:t>. Ov</w:t>
      </w:r>
      <w:r w:rsidR="00BE634C" w:rsidRPr="00BE634C">
        <w:rPr>
          <w:rFonts w:ascii="Calibri" w:hAnsi="Calibri" w:cs="Calibri"/>
          <w:sz w:val="24"/>
          <w:szCs w:val="24"/>
        </w:rPr>
        <w:t>er 90</w:t>
      </w:r>
      <w:r>
        <w:rPr>
          <w:rFonts w:ascii="Calibri" w:hAnsi="Calibri" w:cs="Calibri"/>
          <w:sz w:val="24"/>
          <w:szCs w:val="24"/>
        </w:rPr>
        <w:t xml:space="preserve"> per cent</w:t>
      </w:r>
      <w:r w:rsidR="00BE634C" w:rsidRPr="00BE634C">
        <w:rPr>
          <w:rFonts w:ascii="Calibri" w:hAnsi="Calibri" w:cs="Calibri"/>
          <w:sz w:val="24"/>
          <w:szCs w:val="24"/>
        </w:rPr>
        <w:t xml:space="preserve"> felt </w:t>
      </w:r>
      <w:r>
        <w:rPr>
          <w:rFonts w:ascii="Calibri" w:hAnsi="Calibri" w:cs="Calibri"/>
          <w:sz w:val="24"/>
          <w:szCs w:val="24"/>
        </w:rPr>
        <w:t xml:space="preserve">that </w:t>
      </w:r>
      <w:r w:rsidR="00BE634C" w:rsidRPr="00BE634C">
        <w:rPr>
          <w:rFonts w:ascii="Calibri" w:hAnsi="Calibri" w:cs="Calibri"/>
          <w:sz w:val="24"/>
          <w:szCs w:val="24"/>
        </w:rPr>
        <w:t xml:space="preserve">the training had helped them </w:t>
      </w:r>
      <w:r>
        <w:rPr>
          <w:rFonts w:ascii="Calibri" w:hAnsi="Calibri" w:cs="Calibri"/>
          <w:sz w:val="24"/>
          <w:szCs w:val="24"/>
        </w:rPr>
        <w:t xml:space="preserve">to </w:t>
      </w:r>
      <w:r w:rsidR="00BE634C" w:rsidRPr="00BE634C">
        <w:rPr>
          <w:rFonts w:ascii="Calibri" w:hAnsi="Calibri" w:cs="Calibri"/>
          <w:sz w:val="24"/>
          <w:szCs w:val="24"/>
        </w:rPr>
        <w:t>reflect on their work</w:t>
      </w:r>
      <w:r>
        <w:rPr>
          <w:rFonts w:ascii="Calibri" w:hAnsi="Calibri" w:cs="Calibri"/>
          <w:sz w:val="24"/>
          <w:szCs w:val="24"/>
        </w:rPr>
        <w:t xml:space="preserve"> and their</w:t>
      </w:r>
      <w:r w:rsidR="00BE634C" w:rsidRPr="00BE634C">
        <w:rPr>
          <w:rFonts w:ascii="Calibri" w:hAnsi="Calibri" w:cs="Calibri"/>
          <w:sz w:val="24"/>
          <w:szCs w:val="24"/>
        </w:rPr>
        <w:t xml:space="preserve"> interactions with clients</w:t>
      </w:r>
      <w:r>
        <w:rPr>
          <w:rFonts w:ascii="Calibri" w:hAnsi="Calibri" w:cs="Calibri"/>
          <w:sz w:val="24"/>
          <w:szCs w:val="24"/>
        </w:rPr>
        <w:t>. O</w:t>
      </w:r>
      <w:r w:rsidR="00BE634C" w:rsidRPr="00BE634C">
        <w:rPr>
          <w:rFonts w:ascii="Calibri" w:hAnsi="Calibri" w:cs="Calibri"/>
          <w:sz w:val="24"/>
          <w:szCs w:val="24"/>
        </w:rPr>
        <w:t>ver 96</w:t>
      </w:r>
      <w:r>
        <w:rPr>
          <w:rFonts w:ascii="Calibri" w:hAnsi="Calibri" w:cs="Calibri"/>
          <w:sz w:val="24"/>
          <w:szCs w:val="24"/>
        </w:rPr>
        <w:t xml:space="preserve"> per cent</w:t>
      </w:r>
      <w:r w:rsidR="00BE634C" w:rsidRPr="00BE634C">
        <w:rPr>
          <w:rFonts w:ascii="Calibri" w:hAnsi="Calibri" w:cs="Calibri"/>
          <w:sz w:val="24"/>
          <w:szCs w:val="24"/>
        </w:rPr>
        <w:t xml:space="preserve"> were clear about the benefits of trauma</w:t>
      </w:r>
      <w:r>
        <w:rPr>
          <w:rFonts w:ascii="Calibri" w:hAnsi="Calibri" w:cs="Calibri"/>
          <w:sz w:val="24"/>
          <w:szCs w:val="24"/>
        </w:rPr>
        <w:t>-</w:t>
      </w:r>
      <w:r w:rsidR="00BE634C" w:rsidRPr="00BE634C">
        <w:rPr>
          <w:rFonts w:ascii="Calibri" w:hAnsi="Calibri" w:cs="Calibri"/>
          <w:sz w:val="24"/>
          <w:szCs w:val="24"/>
        </w:rPr>
        <w:t>informed practice for staff and clients</w:t>
      </w:r>
      <w:r>
        <w:rPr>
          <w:rFonts w:ascii="Calibri" w:hAnsi="Calibri" w:cs="Calibri"/>
          <w:sz w:val="24"/>
          <w:szCs w:val="24"/>
        </w:rPr>
        <w:t>. A</w:t>
      </w:r>
      <w:r w:rsidR="00BE634C" w:rsidRPr="00BE634C">
        <w:rPr>
          <w:rFonts w:ascii="Calibri" w:hAnsi="Calibri" w:cs="Calibri"/>
          <w:sz w:val="24"/>
          <w:szCs w:val="24"/>
        </w:rPr>
        <w:t>lmost 92</w:t>
      </w:r>
      <w:r>
        <w:rPr>
          <w:rFonts w:ascii="Calibri" w:hAnsi="Calibri" w:cs="Calibri"/>
          <w:sz w:val="24"/>
          <w:szCs w:val="24"/>
        </w:rPr>
        <w:t xml:space="preserve"> per cent</w:t>
      </w:r>
      <w:r w:rsidR="00BE634C" w:rsidRPr="00BE634C">
        <w:rPr>
          <w:rFonts w:ascii="Calibri" w:hAnsi="Calibri" w:cs="Calibri"/>
          <w:sz w:val="24"/>
          <w:szCs w:val="24"/>
        </w:rPr>
        <w:t xml:space="preserve"> were clear about the principles of trauma</w:t>
      </w:r>
      <w:r>
        <w:rPr>
          <w:rFonts w:ascii="Calibri" w:hAnsi="Calibri" w:cs="Calibri"/>
          <w:sz w:val="24"/>
          <w:szCs w:val="24"/>
        </w:rPr>
        <w:t>-</w:t>
      </w:r>
      <w:r w:rsidR="00BE634C" w:rsidRPr="00BE634C">
        <w:rPr>
          <w:rFonts w:ascii="Calibri" w:hAnsi="Calibri" w:cs="Calibri"/>
          <w:sz w:val="24"/>
          <w:szCs w:val="24"/>
        </w:rPr>
        <w:t>informed practice.</w:t>
      </w:r>
    </w:p>
    <w:p w:rsidR="00582AF1" w:rsidRPr="00BE634C" w:rsidRDefault="00582AF1" w:rsidP="00582AF1">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p>
    <w:p w:rsidR="00164694" w:rsidRPr="00164694" w:rsidRDefault="00582AF1" w:rsidP="00937032">
      <w:pPr>
        <w:pBdr>
          <w:top w:val="single" w:sz="12" w:space="1" w:color="006600"/>
          <w:left w:val="single" w:sz="12" w:space="4" w:color="006600"/>
          <w:bottom w:val="single" w:sz="12" w:space="1" w:color="006600"/>
          <w:right w:val="single" w:sz="12" w:space="4" w:color="006600"/>
        </w:pBdr>
        <w:shd w:val="clear" w:color="auto" w:fill="D1FFD1"/>
        <w:rPr>
          <w:rFonts w:ascii="Calibri" w:hAnsi="Calibri" w:cs="Calibri"/>
          <w:sz w:val="24"/>
          <w:szCs w:val="24"/>
        </w:rPr>
      </w:pPr>
      <w:r>
        <w:rPr>
          <w:rFonts w:ascii="Calibri" w:hAnsi="Calibri" w:cs="Calibri"/>
          <w:sz w:val="24"/>
          <w:szCs w:val="24"/>
        </w:rPr>
        <w:t>Before the training, only 58 per cent</w:t>
      </w:r>
      <w:r w:rsidR="00BE634C" w:rsidRPr="00BE634C">
        <w:rPr>
          <w:rFonts w:ascii="Calibri" w:hAnsi="Calibri" w:cs="Calibri"/>
          <w:sz w:val="24"/>
          <w:szCs w:val="24"/>
        </w:rPr>
        <w:t xml:space="preserve"> of managers had heard of trauma</w:t>
      </w:r>
      <w:r>
        <w:rPr>
          <w:rFonts w:ascii="Calibri" w:hAnsi="Calibri" w:cs="Calibri"/>
          <w:sz w:val="24"/>
          <w:szCs w:val="24"/>
        </w:rPr>
        <w:t>-</w:t>
      </w:r>
      <w:r w:rsidR="00BE634C" w:rsidRPr="00BE634C">
        <w:rPr>
          <w:rFonts w:ascii="Calibri" w:hAnsi="Calibri" w:cs="Calibri"/>
          <w:sz w:val="24"/>
          <w:szCs w:val="24"/>
        </w:rPr>
        <w:t>informed care; 33</w:t>
      </w:r>
      <w:r>
        <w:rPr>
          <w:rFonts w:ascii="Calibri" w:hAnsi="Calibri" w:cs="Calibri"/>
          <w:sz w:val="24"/>
          <w:szCs w:val="24"/>
        </w:rPr>
        <w:t xml:space="preserve"> per cent had not</w:t>
      </w:r>
      <w:r w:rsidR="00BE634C" w:rsidRPr="00BE634C">
        <w:rPr>
          <w:rFonts w:ascii="Calibri" w:hAnsi="Calibri" w:cs="Calibri"/>
          <w:sz w:val="24"/>
          <w:szCs w:val="24"/>
        </w:rPr>
        <w:t>; the rest were</w:t>
      </w:r>
      <w:r w:rsidR="00C77E18">
        <w:rPr>
          <w:rFonts w:ascii="Calibri" w:hAnsi="Calibri" w:cs="Calibri"/>
          <w:sz w:val="24"/>
          <w:szCs w:val="24"/>
        </w:rPr>
        <w:t xml:space="preserve"> not</w:t>
      </w:r>
      <w:r w:rsidR="00BE634C" w:rsidRPr="00BE634C">
        <w:rPr>
          <w:rFonts w:ascii="Calibri" w:hAnsi="Calibri" w:cs="Calibri"/>
          <w:sz w:val="24"/>
          <w:szCs w:val="24"/>
        </w:rPr>
        <w:t xml:space="preserve"> sure. </w:t>
      </w:r>
      <w:r>
        <w:rPr>
          <w:rFonts w:ascii="Calibri" w:hAnsi="Calibri" w:cs="Calibri"/>
          <w:sz w:val="24"/>
          <w:szCs w:val="24"/>
        </w:rPr>
        <w:t xml:space="preserve">Those with and without </w:t>
      </w:r>
      <w:r w:rsidRPr="00BE634C">
        <w:rPr>
          <w:rFonts w:ascii="Calibri" w:hAnsi="Calibri" w:cs="Calibri"/>
          <w:sz w:val="24"/>
          <w:szCs w:val="24"/>
        </w:rPr>
        <w:t>prior knowledge of trauma</w:t>
      </w:r>
      <w:r>
        <w:rPr>
          <w:rFonts w:ascii="Calibri" w:hAnsi="Calibri" w:cs="Calibri"/>
          <w:sz w:val="24"/>
          <w:szCs w:val="24"/>
        </w:rPr>
        <w:t>-</w:t>
      </w:r>
      <w:r w:rsidRPr="00BE634C">
        <w:rPr>
          <w:rFonts w:ascii="Calibri" w:hAnsi="Calibri" w:cs="Calibri"/>
          <w:sz w:val="24"/>
          <w:szCs w:val="24"/>
        </w:rPr>
        <w:t xml:space="preserve">informed principles </w:t>
      </w:r>
      <w:r>
        <w:rPr>
          <w:rFonts w:ascii="Calibri" w:hAnsi="Calibri" w:cs="Calibri"/>
          <w:sz w:val="24"/>
          <w:szCs w:val="24"/>
        </w:rPr>
        <w:t xml:space="preserve">were evenly spread, at </w:t>
      </w:r>
      <w:r w:rsidR="00BE634C" w:rsidRPr="00BE634C">
        <w:rPr>
          <w:rFonts w:ascii="Calibri" w:hAnsi="Calibri" w:cs="Calibri"/>
          <w:sz w:val="24"/>
          <w:szCs w:val="24"/>
        </w:rPr>
        <w:t>45.8</w:t>
      </w:r>
      <w:r>
        <w:rPr>
          <w:rFonts w:ascii="Calibri" w:hAnsi="Calibri" w:cs="Calibri"/>
          <w:sz w:val="24"/>
          <w:szCs w:val="24"/>
        </w:rPr>
        <w:t xml:space="preserve"> per cent </w:t>
      </w:r>
      <w:r w:rsidR="00B3182B">
        <w:rPr>
          <w:rFonts w:ascii="Calibri" w:hAnsi="Calibri" w:cs="Calibri"/>
          <w:sz w:val="24"/>
          <w:szCs w:val="24"/>
        </w:rPr>
        <w:t xml:space="preserve">for each group; </w:t>
      </w:r>
      <w:r w:rsidR="00BE634C" w:rsidRPr="00BE634C">
        <w:rPr>
          <w:rFonts w:ascii="Calibri" w:hAnsi="Calibri" w:cs="Calibri"/>
          <w:sz w:val="24"/>
          <w:szCs w:val="24"/>
        </w:rPr>
        <w:t>the rest were unsure. After training, 100</w:t>
      </w:r>
      <w:r w:rsidR="00B3182B">
        <w:rPr>
          <w:rFonts w:ascii="Calibri" w:hAnsi="Calibri" w:cs="Calibri"/>
          <w:sz w:val="24"/>
          <w:szCs w:val="24"/>
        </w:rPr>
        <w:t xml:space="preserve"> per cent</w:t>
      </w:r>
      <w:r w:rsidR="00BE634C" w:rsidRPr="00BE634C">
        <w:rPr>
          <w:rFonts w:ascii="Calibri" w:hAnsi="Calibri" w:cs="Calibri"/>
          <w:sz w:val="24"/>
          <w:szCs w:val="24"/>
        </w:rPr>
        <w:t xml:space="preserve"> of managers were clear about </w:t>
      </w:r>
      <w:r w:rsidR="00223D97">
        <w:rPr>
          <w:rFonts w:ascii="Calibri" w:hAnsi="Calibri" w:cs="Calibri"/>
          <w:sz w:val="24"/>
          <w:szCs w:val="24"/>
        </w:rPr>
        <w:t xml:space="preserve">the </w:t>
      </w:r>
      <w:r w:rsidR="00BE634C" w:rsidRPr="00BE634C">
        <w:rPr>
          <w:rFonts w:ascii="Calibri" w:hAnsi="Calibri" w:cs="Calibri"/>
          <w:sz w:val="24"/>
          <w:szCs w:val="24"/>
        </w:rPr>
        <w:t>benefits of introducing trauma</w:t>
      </w:r>
      <w:r w:rsidR="00B3182B">
        <w:rPr>
          <w:rFonts w:ascii="Calibri" w:hAnsi="Calibri" w:cs="Calibri"/>
          <w:sz w:val="24"/>
          <w:szCs w:val="24"/>
        </w:rPr>
        <w:t>-</w:t>
      </w:r>
      <w:r w:rsidR="00BE634C" w:rsidRPr="00BE634C">
        <w:rPr>
          <w:rFonts w:ascii="Calibri" w:hAnsi="Calibri" w:cs="Calibri"/>
          <w:sz w:val="24"/>
          <w:szCs w:val="24"/>
        </w:rPr>
        <w:t>informed care; 100</w:t>
      </w:r>
      <w:r w:rsidR="00B3182B">
        <w:rPr>
          <w:rFonts w:ascii="Calibri" w:hAnsi="Calibri" w:cs="Calibri"/>
          <w:sz w:val="24"/>
          <w:szCs w:val="24"/>
        </w:rPr>
        <w:t xml:space="preserve"> per cent</w:t>
      </w:r>
      <w:r w:rsidR="00BE634C" w:rsidRPr="00BE634C">
        <w:rPr>
          <w:rFonts w:ascii="Calibri" w:hAnsi="Calibri" w:cs="Calibri"/>
          <w:sz w:val="24"/>
          <w:szCs w:val="24"/>
        </w:rPr>
        <w:t xml:space="preserve"> were clear about </w:t>
      </w:r>
      <w:r w:rsidR="00223D97">
        <w:rPr>
          <w:rFonts w:ascii="Calibri" w:hAnsi="Calibri" w:cs="Calibri"/>
          <w:sz w:val="24"/>
          <w:szCs w:val="24"/>
        </w:rPr>
        <w:t xml:space="preserve">the </w:t>
      </w:r>
      <w:r w:rsidR="00BE634C" w:rsidRPr="00BE634C">
        <w:rPr>
          <w:rFonts w:ascii="Calibri" w:hAnsi="Calibri" w:cs="Calibri"/>
          <w:sz w:val="24"/>
          <w:szCs w:val="24"/>
        </w:rPr>
        <w:t>importance of embedding trauma-informed principles across all aspects of service</w:t>
      </w:r>
      <w:r w:rsidR="003E2CBE">
        <w:rPr>
          <w:rFonts w:ascii="Calibri" w:hAnsi="Calibri" w:cs="Calibri"/>
          <w:sz w:val="24"/>
          <w:szCs w:val="24"/>
        </w:rPr>
        <w:t xml:space="preserve"> </w:t>
      </w:r>
      <w:r w:rsidR="00BE634C" w:rsidRPr="00BE634C">
        <w:rPr>
          <w:rFonts w:ascii="Calibri" w:hAnsi="Calibri" w:cs="Calibri"/>
          <w:sz w:val="24"/>
          <w:szCs w:val="24"/>
        </w:rPr>
        <w:t>delivery; 77</w:t>
      </w:r>
      <w:r w:rsidR="00B3182B">
        <w:rPr>
          <w:rFonts w:ascii="Calibri" w:hAnsi="Calibri" w:cs="Calibri"/>
          <w:sz w:val="24"/>
          <w:szCs w:val="24"/>
        </w:rPr>
        <w:t xml:space="preserve"> per cent</w:t>
      </w:r>
      <w:r w:rsidR="00BE634C" w:rsidRPr="00BE634C">
        <w:rPr>
          <w:rFonts w:ascii="Calibri" w:hAnsi="Calibri" w:cs="Calibri"/>
          <w:sz w:val="24"/>
          <w:szCs w:val="24"/>
        </w:rPr>
        <w:t xml:space="preserve"> felt </w:t>
      </w:r>
      <w:r w:rsidR="00B3182B">
        <w:rPr>
          <w:rFonts w:ascii="Calibri" w:hAnsi="Calibri" w:cs="Calibri"/>
          <w:sz w:val="24"/>
          <w:szCs w:val="24"/>
        </w:rPr>
        <w:t xml:space="preserve">that </w:t>
      </w:r>
      <w:r w:rsidR="00BE634C" w:rsidRPr="00BE634C">
        <w:rPr>
          <w:rFonts w:ascii="Calibri" w:hAnsi="Calibri" w:cs="Calibri"/>
          <w:sz w:val="24"/>
          <w:szCs w:val="24"/>
        </w:rPr>
        <w:t xml:space="preserve">the </w:t>
      </w:r>
      <w:r w:rsidR="00B3182B">
        <w:rPr>
          <w:rFonts w:ascii="Calibri" w:hAnsi="Calibri" w:cs="Calibri"/>
          <w:sz w:val="24"/>
          <w:szCs w:val="24"/>
        </w:rPr>
        <w:t>four</w:t>
      </w:r>
      <w:r w:rsidR="00BE634C" w:rsidRPr="00BE634C">
        <w:rPr>
          <w:rFonts w:ascii="Calibri" w:hAnsi="Calibri" w:cs="Calibri"/>
          <w:sz w:val="24"/>
          <w:szCs w:val="24"/>
        </w:rPr>
        <w:t>-step process for introducing</w:t>
      </w:r>
      <w:r w:rsidR="00B3182B">
        <w:rPr>
          <w:rFonts w:ascii="Calibri" w:hAnsi="Calibri" w:cs="Calibri"/>
          <w:sz w:val="24"/>
          <w:szCs w:val="24"/>
        </w:rPr>
        <w:t xml:space="preserve"> and </w:t>
      </w:r>
      <w:r w:rsidR="00BE634C" w:rsidRPr="00BE634C">
        <w:rPr>
          <w:rFonts w:ascii="Calibri" w:hAnsi="Calibri" w:cs="Calibri"/>
          <w:sz w:val="24"/>
          <w:szCs w:val="24"/>
        </w:rPr>
        <w:t>monitoring trauma</w:t>
      </w:r>
      <w:r w:rsidR="003E2CBE">
        <w:rPr>
          <w:rFonts w:ascii="Calibri" w:hAnsi="Calibri" w:cs="Calibri"/>
          <w:sz w:val="24"/>
          <w:szCs w:val="24"/>
        </w:rPr>
        <w:t>-</w:t>
      </w:r>
      <w:r w:rsidR="00BE634C" w:rsidRPr="00BE634C">
        <w:rPr>
          <w:rFonts w:ascii="Calibri" w:hAnsi="Calibri" w:cs="Calibri"/>
          <w:sz w:val="24"/>
          <w:szCs w:val="24"/>
        </w:rPr>
        <w:t>informed practice in their service was helpful</w:t>
      </w:r>
      <w:r w:rsidR="00937032">
        <w:rPr>
          <w:rFonts w:ascii="Calibri" w:hAnsi="Calibri" w:cs="Calibri"/>
          <w:sz w:val="24"/>
          <w:szCs w:val="24"/>
        </w:rPr>
        <w:t>;</w:t>
      </w:r>
      <w:r w:rsidR="00BE634C" w:rsidRPr="00BE634C">
        <w:rPr>
          <w:rFonts w:ascii="Calibri" w:hAnsi="Calibri" w:cs="Calibri"/>
          <w:sz w:val="24"/>
          <w:szCs w:val="24"/>
        </w:rPr>
        <w:t xml:space="preserve"> 23</w:t>
      </w:r>
      <w:r w:rsidR="00B3182B">
        <w:rPr>
          <w:rFonts w:ascii="Calibri" w:hAnsi="Calibri" w:cs="Calibri"/>
          <w:sz w:val="24"/>
          <w:szCs w:val="24"/>
        </w:rPr>
        <w:t xml:space="preserve"> per cent</w:t>
      </w:r>
      <w:r w:rsidR="00BE634C" w:rsidRPr="00BE634C">
        <w:rPr>
          <w:rFonts w:ascii="Calibri" w:hAnsi="Calibri" w:cs="Calibri"/>
          <w:sz w:val="24"/>
          <w:szCs w:val="24"/>
        </w:rPr>
        <w:t xml:space="preserve"> were</w:t>
      </w:r>
      <w:r w:rsidR="00C77E18">
        <w:rPr>
          <w:rFonts w:ascii="Calibri" w:hAnsi="Calibri" w:cs="Calibri"/>
          <w:sz w:val="24"/>
          <w:szCs w:val="24"/>
        </w:rPr>
        <w:t xml:space="preserve"> not</w:t>
      </w:r>
      <w:r w:rsidR="00BE634C" w:rsidRPr="00BE634C">
        <w:rPr>
          <w:rFonts w:ascii="Calibri" w:hAnsi="Calibri" w:cs="Calibri"/>
          <w:sz w:val="24"/>
          <w:szCs w:val="24"/>
        </w:rPr>
        <w:t xml:space="preserve"> sure.</w:t>
      </w:r>
    </w:p>
    <w:p w:rsidR="00BE634C" w:rsidRPr="008B0CF5" w:rsidRDefault="00BE634C" w:rsidP="008B0CF5">
      <w:pPr>
        <w:rPr>
          <w:rFonts w:ascii="Calibri" w:hAnsi="Calibri"/>
          <w:sz w:val="24"/>
        </w:rPr>
      </w:pPr>
    </w:p>
    <w:p w:rsidR="00BD457A" w:rsidRPr="00ED097C" w:rsidRDefault="00BD457A" w:rsidP="00ED097C">
      <w:pPr>
        <w:pStyle w:val="Heading3"/>
      </w:pPr>
      <w:bookmarkStart w:id="210" w:name="_Toc400007780"/>
      <w:r w:rsidRPr="00ED097C">
        <w:t>Australian Capital Territory</w:t>
      </w:r>
      <w:bookmarkEnd w:id="210"/>
    </w:p>
    <w:p w:rsidR="00B202F0" w:rsidRPr="007847B7" w:rsidRDefault="00ED097C" w:rsidP="00F56F9B">
      <w:pPr>
        <w:pStyle w:val="Heading4"/>
      </w:pPr>
      <w:r w:rsidRPr="007847B7">
        <w:t>Working with Children Checks</w:t>
      </w:r>
    </w:p>
    <w:p w:rsidR="00B202F0" w:rsidRPr="001C5425" w:rsidRDefault="00B202F0" w:rsidP="00B202F0">
      <w:pPr>
        <w:rPr>
          <w:rFonts w:ascii="Calibri" w:hAnsi="Calibri" w:cs="Calibri"/>
          <w:sz w:val="24"/>
          <w:szCs w:val="24"/>
        </w:rPr>
      </w:pPr>
      <w:r w:rsidRPr="001C5425">
        <w:rPr>
          <w:rFonts w:ascii="Calibri" w:hAnsi="Calibri" w:cs="Calibri"/>
          <w:sz w:val="24"/>
          <w:szCs w:val="24"/>
        </w:rPr>
        <w:t xml:space="preserve">In the ACT, the Working </w:t>
      </w:r>
      <w:r>
        <w:rPr>
          <w:rFonts w:ascii="Calibri" w:hAnsi="Calibri" w:cs="Calibri"/>
          <w:sz w:val="24"/>
          <w:szCs w:val="24"/>
        </w:rPr>
        <w:t>w</w:t>
      </w:r>
      <w:r w:rsidRPr="001C5425">
        <w:rPr>
          <w:rFonts w:ascii="Calibri" w:hAnsi="Calibri" w:cs="Calibri"/>
          <w:sz w:val="24"/>
          <w:szCs w:val="24"/>
        </w:rPr>
        <w:t xml:space="preserve">ith Vulnerable People background checking scheme was established in November 2012 under the </w:t>
      </w:r>
      <w:r w:rsidRPr="00FA0340">
        <w:rPr>
          <w:rFonts w:ascii="Calibri" w:hAnsi="Calibri" w:cs="Calibri"/>
          <w:i/>
          <w:sz w:val="24"/>
          <w:szCs w:val="24"/>
        </w:rPr>
        <w:t>Working with Vulnerable People (Background Checking) Act 2011</w:t>
      </w:r>
      <w:r w:rsidRPr="001C5425">
        <w:rPr>
          <w:rFonts w:ascii="Calibri" w:hAnsi="Calibri" w:cs="Calibri"/>
          <w:sz w:val="24"/>
          <w:szCs w:val="24"/>
        </w:rPr>
        <w:t xml:space="preserve">. The scheme establishes mandatory minimum checking standards that apply to all people working across activities involving children or vulnerable people. </w:t>
      </w:r>
    </w:p>
    <w:p w:rsidR="00B202F0" w:rsidRPr="001C5425" w:rsidRDefault="00B202F0" w:rsidP="00B202F0">
      <w:pPr>
        <w:rPr>
          <w:rFonts w:ascii="Calibri" w:hAnsi="Calibri" w:cs="Calibri"/>
          <w:sz w:val="24"/>
          <w:szCs w:val="24"/>
        </w:rPr>
      </w:pPr>
    </w:p>
    <w:p w:rsidR="00B202F0" w:rsidRDefault="00B202F0" w:rsidP="00B202F0">
      <w:pPr>
        <w:rPr>
          <w:rFonts w:ascii="Calibri" w:hAnsi="Calibri" w:cs="Calibri"/>
          <w:sz w:val="24"/>
          <w:szCs w:val="24"/>
        </w:rPr>
      </w:pPr>
      <w:r>
        <w:rPr>
          <w:rFonts w:ascii="Calibri" w:hAnsi="Calibri" w:cs="Calibri"/>
          <w:sz w:val="24"/>
          <w:szCs w:val="24"/>
        </w:rPr>
        <w:t>The Working with Vulnerable P</w:t>
      </w:r>
      <w:r w:rsidRPr="001C5425">
        <w:rPr>
          <w:rFonts w:ascii="Calibri" w:hAnsi="Calibri" w:cs="Calibri"/>
          <w:sz w:val="24"/>
          <w:szCs w:val="24"/>
        </w:rPr>
        <w:t xml:space="preserve">eople </w:t>
      </w:r>
      <w:r>
        <w:rPr>
          <w:rFonts w:ascii="Calibri" w:hAnsi="Calibri" w:cs="Calibri"/>
          <w:sz w:val="24"/>
          <w:szCs w:val="24"/>
        </w:rPr>
        <w:t>S</w:t>
      </w:r>
      <w:r w:rsidRPr="001C5425">
        <w:rPr>
          <w:rFonts w:ascii="Calibri" w:hAnsi="Calibri" w:cs="Calibri"/>
          <w:sz w:val="24"/>
          <w:szCs w:val="24"/>
        </w:rPr>
        <w:t>cheme commences operation in a staged approach</w:t>
      </w:r>
      <w:r>
        <w:rPr>
          <w:rFonts w:ascii="Calibri" w:hAnsi="Calibri" w:cs="Calibri"/>
          <w:sz w:val="24"/>
          <w:szCs w:val="24"/>
        </w:rPr>
        <w:t>,</w:t>
      </w:r>
      <w:r w:rsidRPr="001C5425">
        <w:rPr>
          <w:rFonts w:ascii="Calibri" w:hAnsi="Calibri" w:cs="Calibri"/>
          <w:sz w:val="24"/>
          <w:szCs w:val="24"/>
        </w:rPr>
        <w:t xml:space="preserve"> depending on the type of activity or </w:t>
      </w:r>
      <w:proofErr w:type="gramStart"/>
      <w:r w:rsidRPr="001C5425">
        <w:rPr>
          <w:rFonts w:ascii="Calibri" w:hAnsi="Calibri" w:cs="Calibri"/>
          <w:sz w:val="24"/>
          <w:szCs w:val="24"/>
        </w:rPr>
        <w:t>services a person performs</w:t>
      </w:r>
      <w:proofErr w:type="gramEnd"/>
      <w:r w:rsidRPr="001C5425">
        <w:rPr>
          <w:rFonts w:ascii="Calibri" w:hAnsi="Calibri" w:cs="Calibri"/>
          <w:sz w:val="24"/>
          <w:szCs w:val="24"/>
        </w:rPr>
        <w:t xml:space="preserve"> (both paid employment and voluntary). For the first year, the priority is </w:t>
      </w:r>
      <w:r>
        <w:rPr>
          <w:rFonts w:ascii="Calibri" w:hAnsi="Calibri" w:cs="Calibri"/>
          <w:sz w:val="24"/>
          <w:szCs w:val="24"/>
        </w:rPr>
        <w:t xml:space="preserve">on </w:t>
      </w:r>
      <w:r w:rsidRPr="001C5425">
        <w:rPr>
          <w:rFonts w:ascii="Calibri" w:hAnsi="Calibri" w:cs="Calibri"/>
          <w:sz w:val="24"/>
          <w:szCs w:val="24"/>
        </w:rPr>
        <w:t xml:space="preserve">all employees and volunteers who provide regulated activities and services to children up to the age of 18 years. The ACT is working with its service providers to </w:t>
      </w:r>
      <w:r>
        <w:rPr>
          <w:rFonts w:ascii="Calibri" w:hAnsi="Calibri" w:cs="Calibri"/>
          <w:sz w:val="24"/>
          <w:szCs w:val="24"/>
        </w:rPr>
        <w:t>ensure that</w:t>
      </w:r>
      <w:r w:rsidRPr="001C5425">
        <w:rPr>
          <w:rFonts w:ascii="Calibri" w:hAnsi="Calibri" w:cs="Calibri"/>
          <w:sz w:val="24"/>
          <w:szCs w:val="24"/>
        </w:rPr>
        <w:t xml:space="preserve"> all relevant staff and volunteers are registered.</w:t>
      </w:r>
    </w:p>
    <w:p w:rsidR="00BD457A" w:rsidRPr="007847B7" w:rsidRDefault="004628A1" w:rsidP="00F56F9B">
      <w:pPr>
        <w:pStyle w:val="Heading4"/>
      </w:pPr>
      <w:r w:rsidRPr="007847B7">
        <w:t xml:space="preserve">Other </w:t>
      </w:r>
      <w:r w:rsidR="00FC0C9A" w:rsidRPr="007847B7">
        <w:t>Supporting Actions</w:t>
      </w:r>
    </w:p>
    <w:p w:rsidR="004628A1" w:rsidRPr="004628A1" w:rsidRDefault="004628A1" w:rsidP="004628A1">
      <w:pPr>
        <w:rPr>
          <w:rFonts w:ascii="Calibri" w:hAnsi="Calibri" w:cs="Calibri"/>
          <w:sz w:val="24"/>
          <w:szCs w:val="24"/>
        </w:rPr>
      </w:pPr>
      <w:r w:rsidRPr="004628A1">
        <w:rPr>
          <w:rFonts w:ascii="Calibri" w:hAnsi="Calibri" w:cs="Calibri"/>
          <w:sz w:val="24"/>
          <w:szCs w:val="24"/>
        </w:rPr>
        <w:t>The ACT has specialist counselling services for children and young people who are abused and neglected. Specific sexual assault services are provided through funded agencies</w:t>
      </w:r>
      <w:r w:rsidR="00C32CC8">
        <w:rPr>
          <w:rFonts w:ascii="Calibri" w:hAnsi="Calibri" w:cs="Calibri"/>
          <w:sz w:val="24"/>
          <w:szCs w:val="24"/>
        </w:rPr>
        <w:t>,</w:t>
      </w:r>
      <w:r w:rsidRPr="004628A1">
        <w:rPr>
          <w:rFonts w:ascii="Calibri" w:hAnsi="Calibri" w:cs="Calibri"/>
          <w:sz w:val="24"/>
          <w:szCs w:val="24"/>
        </w:rPr>
        <w:t xml:space="preserve"> such as the Canberra Rape Crisis Centre, the Thomas Wright Institute and the Child at Risk Hea</w:t>
      </w:r>
      <w:r w:rsidR="00C32CC8">
        <w:rPr>
          <w:rFonts w:ascii="Calibri" w:hAnsi="Calibri" w:cs="Calibri"/>
          <w:sz w:val="24"/>
          <w:szCs w:val="24"/>
        </w:rPr>
        <w:t>lth Unit (CARHU), which provide</w:t>
      </w:r>
      <w:r w:rsidRPr="004628A1">
        <w:rPr>
          <w:rFonts w:ascii="Calibri" w:hAnsi="Calibri" w:cs="Calibri"/>
          <w:sz w:val="24"/>
          <w:szCs w:val="24"/>
        </w:rPr>
        <w:t xml:space="preserve"> more generic services and individual therapists with expertise. All these services are readily accessible to residents of Canberra. The Canberra Rape Crisis Centre provides a free sexual assault counselling service for adult survivors. Counselling is provided in a range of delivery modes, including one-to-one consultation, telephone counselling and group sessions. </w:t>
      </w:r>
    </w:p>
    <w:p w:rsidR="004628A1" w:rsidRPr="004628A1" w:rsidRDefault="004628A1" w:rsidP="004628A1">
      <w:pPr>
        <w:rPr>
          <w:rFonts w:ascii="Calibri" w:hAnsi="Calibri" w:cs="Calibri"/>
          <w:sz w:val="24"/>
          <w:szCs w:val="24"/>
        </w:rPr>
      </w:pPr>
    </w:p>
    <w:p w:rsidR="004628A1" w:rsidRPr="004628A1" w:rsidRDefault="004628A1" w:rsidP="004628A1">
      <w:pPr>
        <w:rPr>
          <w:rFonts w:ascii="Calibri" w:hAnsi="Calibri" w:cs="Calibri"/>
          <w:sz w:val="24"/>
          <w:szCs w:val="24"/>
        </w:rPr>
      </w:pPr>
      <w:r w:rsidRPr="004628A1">
        <w:rPr>
          <w:rFonts w:ascii="Calibri" w:hAnsi="Calibri" w:cs="Calibri"/>
          <w:sz w:val="24"/>
          <w:szCs w:val="24"/>
        </w:rPr>
        <w:t xml:space="preserve">Outreach sessions are made available to individuals who have difficulties with access to transport or who require sessions outside business hours. </w:t>
      </w:r>
      <w:r w:rsidR="00C32CC8">
        <w:rPr>
          <w:rFonts w:ascii="Calibri" w:hAnsi="Calibri" w:cs="Calibri"/>
          <w:sz w:val="24"/>
          <w:szCs w:val="24"/>
        </w:rPr>
        <w:t xml:space="preserve">The </w:t>
      </w:r>
      <w:r w:rsidRPr="004628A1">
        <w:rPr>
          <w:rFonts w:ascii="Calibri" w:hAnsi="Calibri" w:cs="Calibri"/>
          <w:sz w:val="24"/>
          <w:szCs w:val="24"/>
        </w:rPr>
        <w:t xml:space="preserve">Canberra Rape Crisis Centre also has </w:t>
      </w:r>
      <w:proofErr w:type="gramStart"/>
      <w:r w:rsidRPr="004628A1">
        <w:rPr>
          <w:rFonts w:ascii="Calibri" w:hAnsi="Calibri" w:cs="Calibri"/>
          <w:sz w:val="24"/>
          <w:szCs w:val="24"/>
        </w:rPr>
        <w:t>a dedicated men’s</w:t>
      </w:r>
      <w:proofErr w:type="gramEnd"/>
      <w:r w:rsidRPr="004628A1">
        <w:rPr>
          <w:rFonts w:ascii="Calibri" w:hAnsi="Calibri" w:cs="Calibri"/>
          <w:sz w:val="24"/>
          <w:szCs w:val="24"/>
        </w:rPr>
        <w:t xml:space="preserve"> service—Service Assisting Male Survivors of Sexual Assault. This service offers counselling and su</w:t>
      </w:r>
      <w:r w:rsidR="00C32CC8">
        <w:rPr>
          <w:rFonts w:ascii="Calibri" w:hAnsi="Calibri" w:cs="Calibri"/>
          <w:sz w:val="24"/>
          <w:szCs w:val="24"/>
        </w:rPr>
        <w:t>pport to men over the age of 16</w:t>
      </w:r>
      <w:r w:rsidRPr="004628A1">
        <w:rPr>
          <w:rFonts w:ascii="Calibri" w:hAnsi="Calibri" w:cs="Calibri"/>
          <w:sz w:val="24"/>
          <w:szCs w:val="24"/>
        </w:rPr>
        <w:t xml:space="preserve"> in the ACT and surrounding region, and their supporters, to recover from the effects and impacts of sexual assault or childhood sexual abuse. </w:t>
      </w:r>
    </w:p>
    <w:p w:rsidR="004628A1" w:rsidRPr="004628A1" w:rsidRDefault="004628A1" w:rsidP="004628A1">
      <w:pPr>
        <w:rPr>
          <w:rFonts w:ascii="Calibri" w:hAnsi="Calibri" w:cs="Calibri"/>
          <w:sz w:val="24"/>
          <w:szCs w:val="24"/>
        </w:rPr>
      </w:pPr>
    </w:p>
    <w:p w:rsidR="004628A1" w:rsidRPr="004628A1" w:rsidRDefault="004628A1" w:rsidP="004628A1">
      <w:pPr>
        <w:rPr>
          <w:rFonts w:ascii="Calibri" w:hAnsi="Calibri" w:cs="Calibri"/>
          <w:sz w:val="24"/>
          <w:szCs w:val="24"/>
        </w:rPr>
      </w:pPr>
      <w:r w:rsidRPr="004628A1">
        <w:rPr>
          <w:rFonts w:ascii="Calibri" w:hAnsi="Calibri" w:cs="Calibri"/>
          <w:sz w:val="24"/>
          <w:szCs w:val="24"/>
        </w:rPr>
        <w:t xml:space="preserve">The Canberra Men's Centre also provides counselling for men, their partners and their families, including counselling following sexual assault. This low-cost counselling service is provided through individual case management. Outreach support is available to eligible men who require ongoing support. </w:t>
      </w:r>
    </w:p>
    <w:p w:rsidR="004628A1" w:rsidRPr="004628A1" w:rsidRDefault="004628A1" w:rsidP="004628A1">
      <w:pPr>
        <w:rPr>
          <w:rFonts w:ascii="Calibri" w:hAnsi="Calibri" w:cs="Calibri"/>
          <w:sz w:val="24"/>
          <w:szCs w:val="24"/>
        </w:rPr>
      </w:pPr>
    </w:p>
    <w:p w:rsidR="004628A1" w:rsidRPr="004628A1" w:rsidRDefault="004628A1" w:rsidP="004628A1">
      <w:pPr>
        <w:rPr>
          <w:rFonts w:ascii="Calibri" w:hAnsi="Calibri" w:cs="Calibri"/>
          <w:sz w:val="24"/>
          <w:szCs w:val="24"/>
        </w:rPr>
      </w:pPr>
      <w:r w:rsidRPr="004628A1">
        <w:rPr>
          <w:rFonts w:ascii="Calibri" w:hAnsi="Calibri" w:cs="Calibri"/>
          <w:sz w:val="24"/>
          <w:szCs w:val="24"/>
        </w:rPr>
        <w:t xml:space="preserve">CARHU provides medical assessments, counselling and consultancy for children and their families </w:t>
      </w:r>
      <w:r w:rsidR="00B3182B">
        <w:rPr>
          <w:rFonts w:ascii="Calibri" w:hAnsi="Calibri" w:cs="Calibri"/>
          <w:sz w:val="24"/>
          <w:szCs w:val="24"/>
        </w:rPr>
        <w:t xml:space="preserve">where children </w:t>
      </w:r>
      <w:r w:rsidRPr="004628A1">
        <w:rPr>
          <w:rFonts w:ascii="Calibri" w:hAnsi="Calibri" w:cs="Calibri"/>
          <w:sz w:val="24"/>
          <w:szCs w:val="24"/>
        </w:rPr>
        <w:t>have been sexually, physically or emotionall</w:t>
      </w:r>
      <w:r w:rsidR="00C32CC8">
        <w:rPr>
          <w:rFonts w:ascii="Calibri" w:hAnsi="Calibri" w:cs="Calibri"/>
          <w:sz w:val="24"/>
          <w:szCs w:val="24"/>
        </w:rPr>
        <w:t>y abused or neglected and/or</w:t>
      </w:r>
      <w:r w:rsidRPr="004628A1">
        <w:rPr>
          <w:rFonts w:ascii="Calibri" w:hAnsi="Calibri" w:cs="Calibri"/>
          <w:sz w:val="24"/>
          <w:szCs w:val="24"/>
        </w:rPr>
        <w:t xml:space="preserve"> have experienced domestic violence. In addition, the Women’s Health Service can provide counselling and information for non-offending family members. </w:t>
      </w:r>
    </w:p>
    <w:p w:rsidR="004628A1" w:rsidRPr="004628A1" w:rsidRDefault="004628A1" w:rsidP="004628A1">
      <w:pPr>
        <w:rPr>
          <w:rFonts w:ascii="Calibri" w:hAnsi="Calibri" w:cs="Calibri"/>
          <w:sz w:val="24"/>
          <w:szCs w:val="24"/>
        </w:rPr>
      </w:pPr>
    </w:p>
    <w:p w:rsidR="004628A1" w:rsidRDefault="004628A1" w:rsidP="004628A1">
      <w:pPr>
        <w:rPr>
          <w:rFonts w:ascii="Calibri" w:hAnsi="Calibri" w:cs="Calibri"/>
          <w:sz w:val="24"/>
          <w:szCs w:val="24"/>
        </w:rPr>
      </w:pPr>
      <w:r w:rsidRPr="004628A1">
        <w:rPr>
          <w:rFonts w:ascii="Calibri" w:hAnsi="Calibri" w:cs="Calibri"/>
          <w:sz w:val="24"/>
          <w:szCs w:val="24"/>
        </w:rPr>
        <w:t>The Forensic and Medical Sexual Assault Care service at Canberra Hospital also provides forensic and medical sexual assault care to people who have been sexually assaulted. Services include:</w:t>
      </w:r>
    </w:p>
    <w:p w:rsidR="004628A1" w:rsidRPr="004628A1" w:rsidRDefault="004628A1" w:rsidP="00B3182B">
      <w:pPr>
        <w:pStyle w:val="ListBullet"/>
      </w:pPr>
      <w:r w:rsidRPr="004628A1">
        <w:t>health assessment, screening and medical management of acute injury and sexually transmitted infections</w:t>
      </w:r>
    </w:p>
    <w:p w:rsidR="004628A1" w:rsidRPr="004628A1" w:rsidRDefault="004628A1" w:rsidP="00B3182B">
      <w:pPr>
        <w:pStyle w:val="ListBullet"/>
      </w:pPr>
      <w:r w:rsidRPr="004628A1">
        <w:t>psychological support for the acute and ongoing needs of sexual assault survivors</w:t>
      </w:r>
    </w:p>
    <w:p w:rsidR="004628A1" w:rsidRPr="004628A1" w:rsidRDefault="004628A1" w:rsidP="00B3182B">
      <w:pPr>
        <w:pStyle w:val="ListBullet"/>
      </w:pPr>
      <w:r w:rsidRPr="004628A1">
        <w:t>Forensic and Medical Sexual Assault Care</w:t>
      </w:r>
      <w:r w:rsidR="00B3182B">
        <w:t>,</w:t>
      </w:r>
      <w:r w:rsidRPr="004628A1">
        <w:t xml:space="preserve"> </w:t>
      </w:r>
      <w:r w:rsidR="00C32CC8">
        <w:t xml:space="preserve">which </w:t>
      </w:r>
      <w:r w:rsidRPr="004628A1">
        <w:t xml:space="preserve">works closely with the Canberra Rape Crisis Centre </w:t>
      </w:r>
      <w:r w:rsidR="00C32CC8">
        <w:t>that</w:t>
      </w:r>
      <w:r w:rsidRPr="004628A1">
        <w:t xml:space="preserve"> provide</w:t>
      </w:r>
      <w:r w:rsidR="00C32CC8">
        <w:t>s</w:t>
      </w:r>
      <w:r w:rsidRPr="004628A1">
        <w:t xml:space="preserve"> a 24-hour on-call service</w:t>
      </w:r>
    </w:p>
    <w:p w:rsidR="004628A1" w:rsidRDefault="004628A1" w:rsidP="00B3182B">
      <w:pPr>
        <w:pStyle w:val="ListBullet"/>
      </w:pPr>
      <w:r w:rsidRPr="004628A1">
        <w:t>Forensic and Medical Sexual Assault Care clinical staff</w:t>
      </w:r>
      <w:r w:rsidR="00B3182B">
        <w:t>,</w:t>
      </w:r>
      <w:r w:rsidR="00C32CC8">
        <w:t xml:space="preserve"> who</w:t>
      </w:r>
      <w:r w:rsidRPr="004628A1">
        <w:t xml:space="preserve"> conduct forensic medical examinations, maintain chain of custody procedures, prepare legal reports and present evidence in court in the role of the expert witness as required.</w:t>
      </w:r>
    </w:p>
    <w:p w:rsidR="0023281D" w:rsidRDefault="0023281D" w:rsidP="00EC4B77">
      <w:pPr>
        <w:rPr>
          <w:rFonts w:ascii="Calibri" w:hAnsi="Calibri" w:cs="Calibri"/>
          <w:sz w:val="24"/>
          <w:szCs w:val="24"/>
        </w:rPr>
      </w:pPr>
    </w:p>
    <w:p w:rsidR="001C5425" w:rsidRDefault="0023281D" w:rsidP="00EC4B77">
      <w:pPr>
        <w:rPr>
          <w:rFonts w:ascii="Calibri" w:hAnsi="Calibri" w:cs="Calibri"/>
          <w:sz w:val="24"/>
          <w:szCs w:val="24"/>
        </w:rPr>
      </w:pPr>
      <w:r w:rsidRPr="0023281D">
        <w:rPr>
          <w:rFonts w:ascii="Calibri" w:hAnsi="Calibri" w:cs="Calibri"/>
          <w:sz w:val="24"/>
          <w:szCs w:val="24"/>
        </w:rPr>
        <w:t>In June 2013, the ACT Government announced new funding to establish a Trauma Recovery Service for children in care as part of the 2013</w:t>
      </w:r>
      <w:r w:rsidR="00280510">
        <w:rPr>
          <w:rFonts w:ascii="Calibri" w:hAnsi="Calibri" w:cs="Calibri"/>
          <w:sz w:val="24"/>
          <w:szCs w:val="24"/>
        </w:rPr>
        <w:t>–</w:t>
      </w:r>
      <w:r w:rsidRPr="0023281D">
        <w:rPr>
          <w:rFonts w:ascii="Calibri" w:hAnsi="Calibri" w:cs="Calibri"/>
          <w:sz w:val="24"/>
          <w:szCs w:val="24"/>
        </w:rPr>
        <w:t>14 ACT Budget. The service will be operational by 1 July 2014.</w:t>
      </w:r>
    </w:p>
    <w:p w:rsidR="00BD5D4E" w:rsidRPr="00821556" w:rsidRDefault="00BD5D4E" w:rsidP="00ED097C">
      <w:pPr>
        <w:pStyle w:val="Heading3"/>
      </w:pPr>
      <w:bookmarkStart w:id="211" w:name="_Toc400007781"/>
      <w:r w:rsidRPr="00821556">
        <w:t>New South Wales</w:t>
      </w:r>
      <w:bookmarkEnd w:id="211"/>
    </w:p>
    <w:p w:rsidR="00BD5D4E" w:rsidRPr="007847B7" w:rsidRDefault="00026101" w:rsidP="00F56F9B">
      <w:pPr>
        <w:pStyle w:val="Heading4"/>
      </w:pPr>
      <w:r w:rsidRPr="007847B7">
        <w:t>Working with Children Checks</w:t>
      </w:r>
    </w:p>
    <w:p w:rsidR="00FB7030" w:rsidRPr="00FB7030" w:rsidRDefault="00FB7030" w:rsidP="00FB7030">
      <w:pPr>
        <w:rPr>
          <w:rFonts w:ascii="Calibri" w:hAnsi="Calibri" w:cs="Calibri"/>
          <w:sz w:val="24"/>
          <w:szCs w:val="24"/>
        </w:rPr>
      </w:pPr>
      <w:r w:rsidRPr="00FB7030">
        <w:rPr>
          <w:rFonts w:ascii="Calibri" w:hAnsi="Calibri" w:cs="Calibri"/>
          <w:sz w:val="24"/>
          <w:szCs w:val="24"/>
        </w:rPr>
        <w:t xml:space="preserve">A new </w:t>
      </w:r>
      <w:r w:rsidR="00CF68D3">
        <w:rPr>
          <w:rFonts w:ascii="Calibri" w:hAnsi="Calibri" w:cs="Calibri"/>
          <w:sz w:val="24"/>
          <w:szCs w:val="24"/>
        </w:rPr>
        <w:t xml:space="preserve">WWCC </w:t>
      </w:r>
      <w:r w:rsidRPr="00FB7030">
        <w:rPr>
          <w:rFonts w:ascii="Calibri" w:hAnsi="Calibri" w:cs="Calibri"/>
          <w:sz w:val="24"/>
          <w:szCs w:val="24"/>
        </w:rPr>
        <w:t xml:space="preserve">was introduced in NSW from June 2013. </w:t>
      </w:r>
      <w:r w:rsidR="00FA0340">
        <w:rPr>
          <w:rFonts w:ascii="Calibri" w:hAnsi="Calibri" w:cs="Calibri"/>
          <w:sz w:val="24"/>
          <w:szCs w:val="24"/>
        </w:rPr>
        <w:t>This new check</w:t>
      </w:r>
      <w:r w:rsidRPr="00FB7030">
        <w:rPr>
          <w:rFonts w:ascii="Calibri" w:hAnsi="Calibri" w:cs="Calibri"/>
          <w:sz w:val="24"/>
          <w:szCs w:val="24"/>
        </w:rPr>
        <w:t xml:space="preserve"> is more robust, provides better protection for children and is more efficient for both </w:t>
      </w:r>
      <w:r w:rsidR="00FA0340">
        <w:rPr>
          <w:rFonts w:ascii="Calibri" w:hAnsi="Calibri" w:cs="Calibri"/>
          <w:sz w:val="24"/>
          <w:szCs w:val="24"/>
        </w:rPr>
        <w:t>employers and workers. The new c</w:t>
      </w:r>
      <w:r w:rsidRPr="00FB7030">
        <w:rPr>
          <w:rFonts w:ascii="Calibri" w:hAnsi="Calibri" w:cs="Calibri"/>
          <w:sz w:val="24"/>
          <w:szCs w:val="24"/>
        </w:rPr>
        <w:t>heck also provides clearer results</w:t>
      </w:r>
      <w:r w:rsidR="00704181">
        <w:rPr>
          <w:rFonts w:ascii="Calibri" w:hAnsi="Calibri" w:cs="Calibri"/>
          <w:sz w:val="24"/>
          <w:szCs w:val="24"/>
        </w:rPr>
        <w:t>,</w:t>
      </w:r>
      <w:r w:rsidRPr="00FB7030">
        <w:rPr>
          <w:rFonts w:ascii="Calibri" w:hAnsi="Calibri" w:cs="Calibri"/>
          <w:sz w:val="24"/>
          <w:szCs w:val="24"/>
        </w:rPr>
        <w:t xml:space="preserve"> </w:t>
      </w:r>
      <w:r w:rsidR="00FA0340">
        <w:rPr>
          <w:rFonts w:ascii="Calibri" w:hAnsi="Calibri" w:cs="Calibri"/>
          <w:sz w:val="24"/>
          <w:szCs w:val="24"/>
        </w:rPr>
        <w:t xml:space="preserve">in the form of </w:t>
      </w:r>
      <w:r w:rsidRPr="00FB7030">
        <w:rPr>
          <w:rFonts w:ascii="Calibri" w:hAnsi="Calibri" w:cs="Calibri"/>
          <w:sz w:val="24"/>
          <w:szCs w:val="24"/>
        </w:rPr>
        <w:t>either a clearance to work with children for five years or a bar against working with children. Adults convicted of sexual offences or serious violence offences against children and other adults</w:t>
      </w:r>
      <w:r w:rsidR="00CF68D3">
        <w:rPr>
          <w:rFonts w:ascii="Calibri" w:hAnsi="Calibri" w:cs="Calibri"/>
          <w:sz w:val="24"/>
          <w:szCs w:val="24"/>
        </w:rPr>
        <w:t>,</w:t>
      </w:r>
      <w:r w:rsidRPr="00FB7030">
        <w:rPr>
          <w:rFonts w:ascii="Calibri" w:hAnsi="Calibri" w:cs="Calibri"/>
          <w:sz w:val="24"/>
          <w:szCs w:val="24"/>
        </w:rPr>
        <w:t xml:space="preserve"> </w:t>
      </w:r>
      <w:r w:rsidR="00CF68D3">
        <w:rPr>
          <w:rFonts w:ascii="Calibri" w:hAnsi="Calibri" w:cs="Calibri"/>
          <w:sz w:val="24"/>
          <w:szCs w:val="24"/>
        </w:rPr>
        <w:t xml:space="preserve">and </w:t>
      </w:r>
      <w:r w:rsidRPr="00FB7030">
        <w:rPr>
          <w:rFonts w:ascii="Calibri" w:hAnsi="Calibri" w:cs="Calibri"/>
          <w:sz w:val="24"/>
          <w:szCs w:val="24"/>
        </w:rPr>
        <w:t>determined to be a high risk</w:t>
      </w:r>
      <w:r w:rsidR="00CF68D3">
        <w:rPr>
          <w:rFonts w:ascii="Calibri" w:hAnsi="Calibri" w:cs="Calibri"/>
          <w:sz w:val="24"/>
          <w:szCs w:val="24"/>
        </w:rPr>
        <w:t>,</w:t>
      </w:r>
      <w:r w:rsidRPr="00FB7030">
        <w:rPr>
          <w:rFonts w:ascii="Calibri" w:hAnsi="Calibri" w:cs="Calibri"/>
          <w:sz w:val="24"/>
          <w:szCs w:val="24"/>
        </w:rPr>
        <w:t xml:space="preserve"> will be barred from working with children. For the first time, a person’s full criminal record will be able to be considered. The new </w:t>
      </w:r>
      <w:r w:rsidR="00097279">
        <w:rPr>
          <w:rFonts w:ascii="Calibri" w:hAnsi="Calibri" w:cs="Calibri"/>
          <w:sz w:val="24"/>
          <w:szCs w:val="24"/>
        </w:rPr>
        <w:t>c</w:t>
      </w:r>
      <w:r w:rsidRPr="00FB7030">
        <w:rPr>
          <w:rFonts w:ascii="Calibri" w:hAnsi="Calibri" w:cs="Calibri"/>
          <w:sz w:val="24"/>
          <w:szCs w:val="24"/>
        </w:rPr>
        <w:t xml:space="preserve">heck will also allow for continuous monitoring of new NSW criminal and disciplinary records. </w:t>
      </w:r>
    </w:p>
    <w:p w:rsidR="00FB7030" w:rsidRPr="00FB7030" w:rsidRDefault="00FB7030" w:rsidP="00FB7030">
      <w:pPr>
        <w:rPr>
          <w:rFonts w:ascii="Calibri" w:hAnsi="Calibri" w:cs="Calibri"/>
          <w:sz w:val="24"/>
          <w:szCs w:val="24"/>
        </w:rPr>
      </w:pPr>
    </w:p>
    <w:p w:rsidR="00FB7030" w:rsidRPr="00FB7030" w:rsidRDefault="00FA0340" w:rsidP="00FB7030">
      <w:pPr>
        <w:rPr>
          <w:rFonts w:ascii="Calibri" w:hAnsi="Calibri" w:cs="Calibri"/>
          <w:sz w:val="24"/>
          <w:szCs w:val="24"/>
        </w:rPr>
      </w:pPr>
      <w:r>
        <w:rPr>
          <w:rFonts w:ascii="Calibri" w:hAnsi="Calibri" w:cs="Calibri"/>
          <w:sz w:val="24"/>
          <w:szCs w:val="24"/>
        </w:rPr>
        <w:t xml:space="preserve">The </w:t>
      </w:r>
      <w:r w:rsidR="00FB7030" w:rsidRPr="00FB7030">
        <w:rPr>
          <w:rFonts w:ascii="Calibri" w:hAnsi="Calibri" w:cs="Calibri"/>
          <w:sz w:val="24"/>
          <w:szCs w:val="24"/>
        </w:rPr>
        <w:t>NSW Joint Investigation Response Teams (JIRT) form an integral part of the joint investigation response for children and young people affected by sexual assault. JIRT</w:t>
      </w:r>
      <w:r w:rsidR="00995294">
        <w:rPr>
          <w:rFonts w:ascii="Calibri" w:hAnsi="Calibri" w:cs="Calibri"/>
          <w:sz w:val="24"/>
          <w:szCs w:val="24"/>
        </w:rPr>
        <w:t>s</w:t>
      </w:r>
      <w:r w:rsidR="00FB7030" w:rsidRPr="00FB7030">
        <w:rPr>
          <w:rFonts w:ascii="Calibri" w:hAnsi="Calibri" w:cs="Calibri"/>
          <w:sz w:val="24"/>
          <w:szCs w:val="24"/>
        </w:rPr>
        <w:t xml:space="preserve"> are made up of child protection caseworkers, police and health professionals who undertake joint investigations of child protection matters. JIRTs link the risk assessment and protective interventions of </w:t>
      </w:r>
      <w:proofErr w:type="gramStart"/>
      <w:r w:rsidR="00FB7030" w:rsidRPr="007721BC">
        <w:rPr>
          <w:rFonts w:ascii="Calibri" w:hAnsi="Calibri" w:cs="Calibri"/>
          <w:sz w:val="24"/>
          <w:szCs w:val="24"/>
        </w:rPr>
        <w:t>FACS(</w:t>
      </w:r>
      <w:proofErr w:type="gramEnd"/>
      <w:r w:rsidR="00FB7030" w:rsidRPr="007721BC">
        <w:rPr>
          <w:rFonts w:ascii="Calibri" w:hAnsi="Calibri" w:cs="Calibri"/>
          <w:sz w:val="24"/>
          <w:szCs w:val="24"/>
        </w:rPr>
        <w:t>CS)</w:t>
      </w:r>
      <w:r w:rsidR="00FB7030" w:rsidRPr="00FB7030">
        <w:rPr>
          <w:rFonts w:ascii="Calibri" w:hAnsi="Calibri" w:cs="Calibri"/>
          <w:sz w:val="24"/>
          <w:szCs w:val="24"/>
        </w:rPr>
        <w:t xml:space="preserve"> with the criminal investigation conducted by </w:t>
      </w:r>
      <w:r w:rsidR="00DA6ECA">
        <w:rPr>
          <w:rFonts w:ascii="Calibri" w:hAnsi="Calibri" w:cs="Calibri"/>
          <w:sz w:val="24"/>
          <w:szCs w:val="24"/>
        </w:rPr>
        <w:t>p</w:t>
      </w:r>
      <w:r w:rsidR="00FB7030" w:rsidRPr="00FB7030">
        <w:rPr>
          <w:rFonts w:ascii="Calibri" w:hAnsi="Calibri" w:cs="Calibri"/>
          <w:sz w:val="24"/>
          <w:szCs w:val="24"/>
        </w:rPr>
        <w:t>olice and the therapeutic services of NSW Health.</w:t>
      </w:r>
    </w:p>
    <w:p w:rsidR="00FB7030" w:rsidRPr="00FB7030" w:rsidRDefault="00FB7030" w:rsidP="00FB7030">
      <w:pPr>
        <w:rPr>
          <w:rFonts w:ascii="Calibri" w:hAnsi="Calibri" w:cs="Calibri"/>
          <w:sz w:val="24"/>
          <w:szCs w:val="24"/>
        </w:rPr>
      </w:pPr>
    </w:p>
    <w:p w:rsidR="00FB7030" w:rsidRPr="00FB7030" w:rsidRDefault="00FB7030" w:rsidP="00FB7030">
      <w:pPr>
        <w:rPr>
          <w:rFonts w:ascii="Calibri" w:hAnsi="Calibri" w:cs="Calibri"/>
          <w:sz w:val="24"/>
          <w:szCs w:val="24"/>
        </w:rPr>
      </w:pPr>
      <w:r w:rsidRPr="00FB7030">
        <w:rPr>
          <w:rFonts w:ascii="Calibri" w:hAnsi="Calibri" w:cs="Calibri"/>
          <w:sz w:val="24"/>
          <w:szCs w:val="24"/>
        </w:rPr>
        <w:t>Seven</w:t>
      </w:r>
      <w:r w:rsidR="003E70A9">
        <w:rPr>
          <w:rFonts w:ascii="Calibri" w:hAnsi="Calibri" w:cs="Calibri"/>
          <w:sz w:val="24"/>
          <w:szCs w:val="24"/>
        </w:rPr>
        <w:t xml:space="preserve"> full-time equivalent</w:t>
      </w:r>
      <w:r w:rsidRPr="00FB7030">
        <w:rPr>
          <w:rFonts w:ascii="Calibri" w:hAnsi="Calibri" w:cs="Calibri"/>
          <w:sz w:val="24"/>
          <w:szCs w:val="24"/>
        </w:rPr>
        <w:t xml:space="preserve"> </w:t>
      </w:r>
      <w:r w:rsidR="003E70A9" w:rsidRPr="003E70A9">
        <w:rPr>
          <w:rFonts w:ascii="Calibri" w:hAnsi="Calibri" w:cs="Calibri"/>
          <w:sz w:val="24"/>
          <w:szCs w:val="24"/>
        </w:rPr>
        <w:t>(</w:t>
      </w:r>
      <w:r w:rsidRPr="003E70A9">
        <w:rPr>
          <w:rFonts w:ascii="Calibri" w:hAnsi="Calibri" w:cs="Calibri"/>
          <w:sz w:val="24"/>
          <w:szCs w:val="24"/>
        </w:rPr>
        <w:t>FTE</w:t>
      </w:r>
      <w:r w:rsidR="003E70A9" w:rsidRPr="003E70A9">
        <w:rPr>
          <w:rFonts w:ascii="Calibri" w:hAnsi="Calibri" w:cs="Calibri"/>
          <w:sz w:val="24"/>
          <w:szCs w:val="24"/>
        </w:rPr>
        <w:t>)</w:t>
      </w:r>
      <w:r w:rsidRPr="00FB7030">
        <w:rPr>
          <w:rFonts w:ascii="Calibri" w:hAnsi="Calibri" w:cs="Calibri"/>
          <w:sz w:val="24"/>
          <w:szCs w:val="24"/>
        </w:rPr>
        <w:t xml:space="preserve"> specialist Aboriginal child sexual assault counselling positions have been established in priority locations in the Illawarra Shoalhaven </w:t>
      </w:r>
      <w:r w:rsidR="006C5522">
        <w:rPr>
          <w:rFonts w:ascii="Calibri" w:hAnsi="Calibri" w:cs="Calibri"/>
          <w:sz w:val="24"/>
          <w:szCs w:val="24"/>
        </w:rPr>
        <w:t>LHD</w:t>
      </w:r>
      <w:r w:rsidRPr="00FB7030">
        <w:rPr>
          <w:rFonts w:ascii="Calibri" w:hAnsi="Calibri" w:cs="Calibri"/>
          <w:sz w:val="24"/>
          <w:szCs w:val="24"/>
        </w:rPr>
        <w:t xml:space="preserve">, South East Sydney </w:t>
      </w:r>
      <w:r w:rsidR="006C5522">
        <w:rPr>
          <w:rFonts w:ascii="Calibri" w:hAnsi="Calibri" w:cs="Calibri"/>
          <w:sz w:val="24"/>
          <w:szCs w:val="24"/>
        </w:rPr>
        <w:t>LHD</w:t>
      </w:r>
      <w:r w:rsidRPr="00FB7030">
        <w:rPr>
          <w:rFonts w:ascii="Calibri" w:hAnsi="Calibri" w:cs="Calibri"/>
          <w:sz w:val="24"/>
          <w:szCs w:val="24"/>
        </w:rPr>
        <w:t xml:space="preserve">, Western Sydney </w:t>
      </w:r>
      <w:r w:rsidR="006C5522">
        <w:rPr>
          <w:rFonts w:ascii="Calibri" w:hAnsi="Calibri" w:cs="Calibri"/>
          <w:sz w:val="24"/>
          <w:szCs w:val="24"/>
        </w:rPr>
        <w:t>LHD</w:t>
      </w:r>
      <w:r w:rsidRPr="00FB7030">
        <w:rPr>
          <w:rFonts w:ascii="Calibri" w:hAnsi="Calibri" w:cs="Calibri"/>
          <w:sz w:val="24"/>
          <w:szCs w:val="24"/>
        </w:rPr>
        <w:t xml:space="preserve"> and Hunter New England </w:t>
      </w:r>
      <w:r w:rsidR="006C5522">
        <w:rPr>
          <w:rFonts w:ascii="Calibri" w:hAnsi="Calibri" w:cs="Calibri"/>
          <w:sz w:val="24"/>
          <w:szCs w:val="24"/>
        </w:rPr>
        <w:t>LHD</w:t>
      </w:r>
      <w:r w:rsidRPr="00FB7030">
        <w:rPr>
          <w:rFonts w:ascii="Calibri" w:hAnsi="Calibri" w:cs="Calibri"/>
          <w:sz w:val="24"/>
          <w:szCs w:val="24"/>
        </w:rPr>
        <w:t>. These positions provide individual counselling</w:t>
      </w:r>
      <w:r w:rsidR="00FA0340">
        <w:rPr>
          <w:rFonts w:ascii="Calibri" w:hAnsi="Calibri" w:cs="Calibri"/>
          <w:sz w:val="24"/>
          <w:szCs w:val="24"/>
        </w:rPr>
        <w:t xml:space="preserve"> and</w:t>
      </w:r>
      <w:r w:rsidR="00CF68D3">
        <w:rPr>
          <w:rFonts w:ascii="Calibri" w:hAnsi="Calibri" w:cs="Calibri"/>
          <w:sz w:val="24"/>
          <w:szCs w:val="24"/>
        </w:rPr>
        <w:t xml:space="preserve"> </w:t>
      </w:r>
      <w:r w:rsidRPr="00FB7030">
        <w:rPr>
          <w:rFonts w:ascii="Calibri" w:hAnsi="Calibri" w:cs="Calibri"/>
          <w:sz w:val="24"/>
          <w:szCs w:val="24"/>
        </w:rPr>
        <w:t>group work</w:t>
      </w:r>
      <w:r w:rsidR="00FA0340">
        <w:rPr>
          <w:rFonts w:ascii="Calibri" w:hAnsi="Calibri" w:cs="Calibri"/>
          <w:sz w:val="24"/>
          <w:szCs w:val="24"/>
        </w:rPr>
        <w:t>,</w:t>
      </w:r>
      <w:r w:rsidRPr="00FB7030">
        <w:rPr>
          <w:rFonts w:ascii="Calibri" w:hAnsi="Calibri" w:cs="Calibri"/>
          <w:sz w:val="24"/>
          <w:szCs w:val="24"/>
        </w:rPr>
        <w:t xml:space="preserve"> as well as support groups and workshops (to raise awareness and training on child sexual assault, prevention, reparation or healing), in collaboration with other services and the Aboriginal communities. </w:t>
      </w:r>
    </w:p>
    <w:p w:rsidR="00FB7030" w:rsidRPr="00FB7030" w:rsidRDefault="00FB7030" w:rsidP="00FB7030">
      <w:pPr>
        <w:rPr>
          <w:rFonts w:ascii="Calibri" w:hAnsi="Calibri" w:cs="Calibri"/>
          <w:sz w:val="24"/>
          <w:szCs w:val="24"/>
        </w:rPr>
      </w:pPr>
    </w:p>
    <w:p w:rsidR="00FB7030" w:rsidRDefault="00FB7030" w:rsidP="00FB7030">
      <w:pPr>
        <w:rPr>
          <w:rFonts w:ascii="Calibri" w:hAnsi="Calibri" w:cs="Calibri"/>
          <w:sz w:val="24"/>
          <w:szCs w:val="24"/>
        </w:rPr>
      </w:pPr>
      <w:r w:rsidRPr="00FB7030">
        <w:rPr>
          <w:rFonts w:ascii="Calibri" w:hAnsi="Calibri" w:cs="Calibri"/>
          <w:sz w:val="24"/>
          <w:szCs w:val="24"/>
        </w:rPr>
        <w:t>NSW Health’s New Street has currently expanded into a network of services at:</w:t>
      </w:r>
    </w:p>
    <w:p w:rsidR="00FB7030" w:rsidRPr="00FB7030" w:rsidRDefault="00FB7030" w:rsidP="00CF68D3">
      <w:pPr>
        <w:pStyle w:val="ListBullet"/>
      </w:pPr>
      <w:r w:rsidRPr="00FB7030">
        <w:t>New Street Sydney, based at North Parramatta</w:t>
      </w:r>
      <w:r w:rsidR="00CF68D3">
        <w:t>—</w:t>
      </w:r>
      <w:r w:rsidRPr="00FB7030">
        <w:t xml:space="preserve">for referrals from </w:t>
      </w:r>
      <w:r w:rsidR="00DB5EE7">
        <w:t>LHD</w:t>
      </w:r>
      <w:r w:rsidRPr="00FB7030">
        <w:t>s in Sydney and a ‘satellite’ service in the Central Coast</w:t>
      </w:r>
    </w:p>
    <w:p w:rsidR="00FB7030" w:rsidRPr="00FB7030" w:rsidRDefault="00FB7030" w:rsidP="00CF68D3">
      <w:pPr>
        <w:pStyle w:val="ListBullet"/>
      </w:pPr>
      <w:r w:rsidRPr="00FB7030">
        <w:t>Rural New Street Hunter New England, based at Tamworth (2008) and Newcastle (2010)</w:t>
      </w:r>
      <w:r w:rsidR="00CF68D3">
        <w:t>—</w:t>
      </w:r>
      <w:r w:rsidRPr="00FB7030">
        <w:t>for clients in the Hunter New England LHD</w:t>
      </w:r>
    </w:p>
    <w:p w:rsidR="00FB7030" w:rsidRPr="00FB7030" w:rsidRDefault="00FB7030" w:rsidP="00CF68D3">
      <w:pPr>
        <w:pStyle w:val="ListBullet"/>
      </w:pPr>
      <w:r w:rsidRPr="00FB7030">
        <w:t>Rural New Street Western, Dubbo (June 2011)</w:t>
      </w:r>
      <w:r w:rsidR="00CF68D3">
        <w:t>—</w:t>
      </w:r>
      <w:r w:rsidRPr="00FB7030">
        <w:t xml:space="preserve">for Western and Far West LHDs with </w:t>
      </w:r>
      <w:r w:rsidR="00CF68D3">
        <w:t>four</w:t>
      </w:r>
      <w:r w:rsidR="00CF68D3" w:rsidRPr="00FB7030">
        <w:t xml:space="preserve"> </w:t>
      </w:r>
      <w:r w:rsidRPr="00FB7030">
        <w:t>outreach circuits to Bourke, Walgett, Lightning Ridge and Goodooga.</w:t>
      </w:r>
    </w:p>
    <w:p w:rsidR="00FB7030" w:rsidRPr="00FB7030" w:rsidRDefault="00FB7030" w:rsidP="00FB7030">
      <w:pPr>
        <w:rPr>
          <w:rFonts w:ascii="Calibri" w:hAnsi="Calibri" w:cs="Calibri"/>
          <w:sz w:val="24"/>
          <w:szCs w:val="24"/>
        </w:rPr>
      </w:pPr>
    </w:p>
    <w:p w:rsidR="00FB7030" w:rsidRPr="00FB7030" w:rsidRDefault="00FB7030" w:rsidP="00FB7030">
      <w:pPr>
        <w:rPr>
          <w:rFonts w:ascii="Calibri" w:hAnsi="Calibri" w:cs="Calibri"/>
          <w:sz w:val="24"/>
          <w:szCs w:val="24"/>
        </w:rPr>
      </w:pPr>
      <w:r w:rsidRPr="00FB7030">
        <w:rPr>
          <w:rFonts w:ascii="Calibri" w:hAnsi="Calibri" w:cs="Calibri"/>
          <w:sz w:val="24"/>
          <w:szCs w:val="24"/>
        </w:rPr>
        <w:t xml:space="preserve">Each New Street service site has an </w:t>
      </w:r>
      <w:r w:rsidRPr="003E70A9">
        <w:rPr>
          <w:rFonts w:ascii="Calibri" w:hAnsi="Calibri" w:cs="Calibri"/>
          <w:sz w:val="24"/>
          <w:szCs w:val="24"/>
        </w:rPr>
        <w:t>FTE</w:t>
      </w:r>
      <w:r w:rsidRPr="00FB7030">
        <w:rPr>
          <w:rFonts w:ascii="Calibri" w:hAnsi="Calibri" w:cs="Calibri"/>
          <w:sz w:val="24"/>
          <w:szCs w:val="24"/>
        </w:rPr>
        <w:t xml:space="preserve"> Aboriginal</w:t>
      </w:r>
      <w:r w:rsidR="00A27FE3">
        <w:rPr>
          <w:rFonts w:ascii="Calibri" w:hAnsi="Calibri" w:cs="Calibri"/>
          <w:sz w:val="24"/>
          <w:szCs w:val="24"/>
        </w:rPr>
        <w:t xml:space="preserve"> </w:t>
      </w:r>
      <w:r w:rsidRPr="00FB7030">
        <w:rPr>
          <w:rFonts w:ascii="Calibri" w:hAnsi="Calibri" w:cs="Calibri"/>
          <w:sz w:val="24"/>
          <w:szCs w:val="24"/>
        </w:rPr>
        <w:t>identified position, with a total of four FTE Aboriginal identified positions.</w:t>
      </w:r>
    </w:p>
    <w:p w:rsidR="00FB7030" w:rsidRPr="00FB7030" w:rsidRDefault="00FB7030" w:rsidP="00FB7030">
      <w:pPr>
        <w:rPr>
          <w:rFonts w:ascii="Calibri" w:hAnsi="Calibri" w:cs="Calibri"/>
          <w:sz w:val="24"/>
          <w:szCs w:val="24"/>
        </w:rPr>
      </w:pPr>
    </w:p>
    <w:p w:rsidR="00FB7030" w:rsidRPr="00FB7030" w:rsidRDefault="00FB7030" w:rsidP="00FB7030">
      <w:pPr>
        <w:rPr>
          <w:rFonts w:ascii="Calibri" w:hAnsi="Calibri" w:cs="Calibri"/>
          <w:sz w:val="24"/>
          <w:szCs w:val="24"/>
        </w:rPr>
      </w:pPr>
      <w:r w:rsidRPr="00FB7030">
        <w:rPr>
          <w:rFonts w:ascii="Calibri" w:hAnsi="Calibri" w:cs="Calibri"/>
          <w:sz w:val="24"/>
          <w:szCs w:val="24"/>
        </w:rPr>
        <w:t xml:space="preserve">The Approved Counselling Scheme is administered by Victims Services, which is part of </w:t>
      </w:r>
      <w:r w:rsidR="00753BB0">
        <w:rPr>
          <w:rFonts w:ascii="Calibri" w:hAnsi="Calibri" w:cs="Calibri"/>
          <w:sz w:val="24"/>
          <w:szCs w:val="24"/>
        </w:rPr>
        <w:t>DAGJ</w:t>
      </w:r>
      <w:r w:rsidRPr="00FB7030">
        <w:rPr>
          <w:rFonts w:ascii="Calibri" w:hAnsi="Calibri" w:cs="Calibri"/>
          <w:sz w:val="24"/>
          <w:szCs w:val="24"/>
        </w:rPr>
        <w:t xml:space="preserve">. It offers up to 22 hours of free counselling to eligible </w:t>
      </w:r>
      <w:r w:rsidR="00FA0340">
        <w:rPr>
          <w:rFonts w:ascii="Calibri" w:hAnsi="Calibri" w:cs="Calibri"/>
          <w:sz w:val="24"/>
          <w:szCs w:val="24"/>
        </w:rPr>
        <w:t>victims of crime. In 2012</w:t>
      </w:r>
      <w:r w:rsidR="00CF68D3">
        <w:rPr>
          <w:rFonts w:ascii="Calibri" w:hAnsi="Calibri" w:cs="Calibri"/>
          <w:sz w:val="24"/>
          <w:szCs w:val="24"/>
        </w:rPr>
        <w:t>–</w:t>
      </w:r>
      <w:r w:rsidR="00FA0340">
        <w:rPr>
          <w:rFonts w:ascii="Calibri" w:hAnsi="Calibri" w:cs="Calibri"/>
          <w:sz w:val="24"/>
          <w:szCs w:val="24"/>
        </w:rPr>
        <w:t>13</w:t>
      </w:r>
      <w:r w:rsidRPr="00FB7030">
        <w:rPr>
          <w:rFonts w:ascii="Calibri" w:hAnsi="Calibri" w:cs="Calibri"/>
          <w:sz w:val="24"/>
          <w:szCs w:val="24"/>
        </w:rPr>
        <w:t>, more than 1205 ch</w:t>
      </w:r>
      <w:r w:rsidR="00FA0340">
        <w:rPr>
          <w:rFonts w:ascii="Calibri" w:hAnsi="Calibri" w:cs="Calibri"/>
          <w:sz w:val="24"/>
          <w:szCs w:val="24"/>
        </w:rPr>
        <w:t>ildren</w:t>
      </w:r>
      <w:r w:rsidR="00CF68D3">
        <w:rPr>
          <w:rFonts w:ascii="Calibri" w:hAnsi="Calibri" w:cs="Calibri"/>
          <w:sz w:val="24"/>
          <w:szCs w:val="24"/>
        </w:rPr>
        <w:t>,</w:t>
      </w:r>
      <w:r w:rsidR="00FA0340">
        <w:rPr>
          <w:rFonts w:ascii="Calibri" w:hAnsi="Calibri" w:cs="Calibri"/>
          <w:sz w:val="24"/>
          <w:szCs w:val="24"/>
        </w:rPr>
        <w:t xml:space="preserve"> 16 years old and younger</w:t>
      </w:r>
      <w:r w:rsidR="00CF68D3">
        <w:rPr>
          <w:rFonts w:ascii="Calibri" w:hAnsi="Calibri" w:cs="Calibri"/>
          <w:sz w:val="24"/>
          <w:szCs w:val="24"/>
        </w:rPr>
        <w:t>,</w:t>
      </w:r>
      <w:r w:rsidRPr="00FB7030">
        <w:rPr>
          <w:rFonts w:ascii="Calibri" w:hAnsi="Calibri" w:cs="Calibri"/>
          <w:sz w:val="24"/>
          <w:szCs w:val="24"/>
        </w:rPr>
        <w:t xml:space="preserve"> and 97 young people aged 17, applied for counselling.</w:t>
      </w:r>
    </w:p>
    <w:p w:rsidR="00FB7030" w:rsidRPr="00FB7030" w:rsidRDefault="00FB7030" w:rsidP="00FB7030">
      <w:pPr>
        <w:rPr>
          <w:rFonts w:ascii="Calibri" w:hAnsi="Calibri" w:cs="Calibri"/>
          <w:sz w:val="24"/>
          <w:szCs w:val="24"/>
        </w:rPr>
      </w:pPr>
    </w:p>
    <w:p w:rsidR="00FB7030" w:rsidRDefault="00FB7030" w:rsidP="00FB7030">
      <w:pPr>
        <w:rPr>
          <w:rFonts w:ascii="Calibri" w:hAnsi="Calibri" w:cs="Calibri"/>
          <w:sz w:val="24"/>
          <w:szCs w:val="24"/>
        </w:rPr>
      </w:pPr>
      <w:r w:rsidRPr="00FB7030">
        <w:rPr>
          <w:rFonts w:ascii="Calibri" w:hAnsi="Calibri" w:cs="Calibri"/>
          <w:sz w:val="24"/>
          <w:szCs w:val="24"/>
        </w:rPr>
        <w:t>Trauma</w:t>
      </w:r>
      <w:r w:rsidR="00CF68D3">
        <w:rPr>
          <w:rFonts w:ascii="Calibri" w:hAnsi="Calibri" w:cs="Calibri"/>
          <w:sz w:val="24"/>
          <w:szCs w:val="24"/>
        </w:rPr>
        <w:t>-</w:t>
      </w:r>
      <w:r w:rsidRPr="00FB7030">
        <w:rPr>
          <w:rFonts w:ascii="Calibri" w:hAnsi="Calibri" w:cs="Calibri"/>
          <w:sz w:val="24"/>
          <w:szCs w:val="24"/>
        </w:rPr>
        <w:t xml:space="preserve">informed practice training for frontline staff is being developed by DAGJ Victims Services in conjunction with FACS, </w:t>
      </w:r>
      <w:r w:rsidR="0032247C">
        <w:rPr>
          <w:rFonts w:ascii="Calibri" w:hAnsi="Calibri" w:cs="Calibri"/>
          <w:sz w:val="24"/>
          <w:szCs w:val="24"/>
        </w:rPr>
        <w:t>CSNSW</w:t>
      </w:r>
      <w:r w:rsidRPr="00FB7030">
        <w:rPr>
          <w:rFonts w:ascii="Calibri" w:hAnsi="Calibri" w:cs="Calibri"/>
          <w:sz w:val="24"/>
          <w:szCs w:val="24"/>
        </w:rPr>
        <w:t>, the Education Centr</w:t>
      </w:r>
      <w:r w:rsidR="00FA0340">
        <w:rPr>
          <w:rFonts w:ascii="Calibri" w:hAnsi="Calibri" w:cs="Calibri"/>
          <w:sz w:val="24"/>
          <w:szCs w:val="24"/>
        </w:rPr>
        <w:t>e against Violence (NSW Health)</w:t>
      </w:r>
      <w:r w:rsidRPr="00FB7030">
        <w:rPr>
          <w:rFonts w:ascii="Calibri" w:hAnsi="Calibri" w:cs="Calibri"/>
          <w:sz w:val="24"/>
          <w:szCs w:val="24"/>
        </w:rPr>
        <w:t xml:space="preserve"> and the Mental Health Coordinating Council</w:t>
      </w:r>
      <w:r w:rsidR="00FA0340">
        <w:rPr>
          <w:rFonts w:ascii="Calibri" w:hAnsi="Calibri" w:cs="Calibri"/>
          <w:sz w:val="24"/>
          <w:szCs w:val="24"/>
        </w:rPr>
        <w:t>,</w:t>
      </w:r>
      <w:r w:rsidRPr="00FB7030">
        <w:rPr>
          <w:rFonts w:ascii="Calibri" w:hAnsi="Calibri" w:cs="Calibri"/>
          <w:sz w:val="24"/>
          <w:szCs w:val="24"/>
        </w:rPr>
        <w:t xml:space="preserve"> to provide staff with skills to work sensitively with inmates who have experienced complex trauma.</w:t>
      </w:r>
    </w:p>
    <w:p w:rsidR="00ED097C" w:rsidRDefault="00ED097C" w:rsidP="00FB7030">
      <w:pPr>
        <w:rPr>
          <w:rFonts w:ascii="Calibri" w:hAnsi="Calibri" w:cs="Calibri"/>
          <w:sz w:val="24"/>
          <w:szCs w:val="24"/>
        </w:rPr>
      </w:pPr>
    </w:p>
    <w:p w:rsidR="00B6630B" w:rsidRDefault="00B6630B">
      <w:pPr>
        <w:rPr>
          <w:rFonts w:ascii="Arial" w:hAnsi="Arial"/>
          <w:bCs/>
          <w:color w:val="00B050"/>
          <w:sz w:val="26"/>
          <w:szCs w:val="26"/>
        </w:rPr>
      </w:pPr>
      <w:r>
        <w:br w:type="page"/>
      </w:r>
    </w:p>
    <w:p w:rsidR="00BD5D4E" w:rsidRDefault="00BD5D4E" w:rsidP="00ED097C">
      <w:pPr>
        <w:pStyle w:val="Heading3"/>
      </w:pPr>
      <w:bookmarkStart w:id="212" w:name="_Toc400007782"/>
      <w:r w:rsidRPr="00164694">
        <w:t>Northern Territory</w:t>
      </w:r>
      <w:bookmarkEnd w:id="212"/>
    </w:p>
    <w:p w:rsidR="00F534CE" w:rsidRPr="007847B7" w:rsidRDefault="00F534CE" w:rsidP="00F56F9B">
      <w:pPr>
        <w:pStyle w:val="Heading4"/>
      </w:pPr>
      <w:r w:rsidRPr="007847B7">
        <w:t>Working with Children Checks</w:t>
      </w:r>
    </w:p>
    <w:p w:rsidR="00F534CE" w:rsidRDefault="00F534CE" w:rsidP="00F534CE">
      <w:pPr>
        <w:rPr>
          <w:rFonts w:ascii="Calibri" w:hAnsi="Calibri" w:cs="Calibri"/>
          <w:sz w:val="24"/>
          <w:szCs w:val="24"/>
        </w:rPr>
      </w:pPr>
      <w:r w:rsidRPr="00F534CE">
        <w:rPr>
          <w:rFonts w:ascii="Calibri" w:hAnsi="Calibri" w:cs="Calibri"/>
          <w:sz w:val="24"/>
          <w:szCs w:val="24"/>
        </w:rPr>
        <w:t>The Northern Territory participated in inter-jurisdictional discussions on the ongoing operation and effectiveness of WWCC</w:t>
      </w:r>
      <w:r w:rsidR="00CF68D3">
        <w:rPr>
          <w:rFonts w:ascii="Calibri" w:hAnsi="Calibri" w:cs="Calibri"/>
          <w:sz w:val="24"/>
          <w:szCs w:val="24"/>
        </w:rPr>
        <w:t>s</w:t>
      </w:r>
      <w:r w:rsidRPr="00F534CE">
        <w:rPr>
          <w:rFonts w:ascii="Calibri" w:hAnsi="Calibri" w:cs="Calibri"/>
          <w:sz w:val="24"/>
          <w:szCs w:val="24"/>
        </w:rPr>
        <w:t>.</w:t>
      </w:r>
      <w:r w:rsidR="007764A2">
        <w:rPr>
          <w:rFonts w:ascii="Calibri" w:hAnsi="Calibri" w:cs="Calibri"/>
          <w:sz w:val="24"/>
          <w:szCs w:val="24"/>
        </w:rPr>
        <w:t xml:space="preserve"> </w:t>
      </w:r>
      <w:r w:rsidR="00427289">
        <w:rPr>
          <w:rFonts w:ascii="Calibri" w:hAnsi="Calibri" w:cs="Calibri"/>
          <w:sz w:val="24"/>
          <w:szCs w:val="24"/>
        </w:rPr>
        <w:t>T</w:t>
      </w:r>
      <w:r w:rsidRPr="00F534CE">
        <w:rPr>
          <w:rFonts w:ascii="Calibri" w:hAnsi="Calibri" w:cs="Calibri"/>
          <w:sz w:val="24"/>
          <w:szCs w:val="24"/>
        </w:rPr>
        <w:t xml:space="preserve">he NT has maintained </w:t>
      </w:r>
      <w:r w:rsidR="00CF68D3" w:rsidRPr="00F534CE">
        <w:rPr>
          <w:rFonts w:ascii="Calibri" w:hAnsi="Calibri" w:cs="Calibri"/>
          <w:sz w:val="24"/>
          <w:szCs w:val="24"/>
        </w:rPr>
        <w:t>in</w:t>
      </w:r>
      <w:r w:rsidR="00CF68D3">
        <w:rPr>
          <w:rFonts w:ascii="Calibri" w:hAnsi="Calibri" w:cs="Calibri"/>
          <w:sz w:val="24"/>
          <w:szCs w:val="24"/>
        </w:rPr>
        <w:t>-</w:t>
      </w:r>
      <w:r w:rsidRPr="00F534CE">
        <w:rPr>
          <w:rFonts w:ascii="Calibri" w:hAnsi="Calibri" w:cs="Calibri"/>
          <w:sz w:val="24"/>
          <w:szCs w:val="24"/>
        </w:rPr>
        <w:t xml:space="preserve">principle support for </w:t>
      </w:r>
      <w:r w:rsidR="00427289">
        <w:rPr>
          <w:rFonts w:ascii="Calibri" w:hAnsi="Calibri" w:cs="Calibri"/>
          <w:sz w:val="24"/>
          <w:szCs w:val="24"/>
        </w:rPr>
        <w:t xml:space="preserve">implementation of the WWCC national exemptions project </w:t>
      </w:r>
      <w:r w:rsidRPr="00F534CE">
        <w:rPr>
          <w:rFonts w:ascii="Calibri" w:hAnsi="Calibri" w:cs="Calibri"/>
          <w:sz w:val="24"/>
          <w:szCs w:val="24"/>
        </w:rPr>
        <w:t xml:space="preserve">but flagged that the </w:t>
      </w:r>
      <w:r w:rsidR="00CF68D3" w:rsidRPr="00F534CE">
        <w:rPr>
          <w:rFonts w:ascii="Calibri" w:hAnsi="Calibri" w:cs="Calibri"/>
          <w:sz w:val="24"/>
          <w:szCs w:val="24"/>
        </w:rPr>
        <w:t>exemption</w:t>
      </w:r>
      <w:r w:rsidR="00CF68D3">
        <w:rPr>
          <w:rFonts w:ascii="Calibri" w:hAnsi="Calibri" w:cs="Calibri"/>
          <w:sz w:val="24"/>
          <w:szCs w:val="24"/>
        </w:rPr>
        <w:t>-</w:t>
      </w:r>
      <w:r w:rsidRPr="00F534CE">
        <w:rPr>
          <w:rFonts w:ascii="Calibri" w:hAnsi="Calibri" w:cs="Calibri"/>
          <w:sz w:val="24"/>
          <w:szCs w:val="24"/>
        </w:rPr>
        <w:t xml:space="preserve">related amendments were tied to broader reform of the WWCC provisions in the </w:t>
      </w:r>
      <w:r w:rsidR="00FB12A0">
        <w:rPr>
          <w:rFonts w:ascii="Calibri" w:hAnsi="Calibri" w:cs="Calibri"/>
          <w:sz w:val="24"/>
          <w:szCs w:val="24"/>
        </w:rPr>
        <w:t>NT</w:t>
      </w:r>
      <w:r w:rsidRPr="00F534CE">
        <w:rPr>
          <w:rFonts w:ascii="Calibri" w:hAnsi="Calibri" w:cs="Calibri"/>
          <w:sz w:val="24"/>
          <w:szCs w:val="24"/>
        </w:rPr>
        <w:t>, which was not yet underway.</w:t>
      </w:r>
      <w:r w:rsidR="00A43557">
        <w:rPr>
          <w:rFonts w:ascii="Calibri" w:hAnsi="Calibri" w:cs="Calibri"/>
          <w:sz w:val="24"/>
          <w:szCs w:val="24"/>
        </w:rPr>
        <w:t xml:space="preserve"> </w:t>
      </w:r>
      <w:r w:rsidRPr="00F534CE">
        <w:rPr>
          <w:rFonts w:ascii="Calibri" w:hAnsi="Calibri" w:cs="Calibri"/>
          <w:sz w:val="24"/>
          <w:szCs w:val="24"/>
        </w:rPr>
        <w:t xml:space="preserve">A targeted project in advance of the broader reform was proposed, designed to amend and streamline aspects of the </w:t>
      </w:r>
      <w:r w:rsidRPr="00427289">
        <w:rPr>
          <w:rFonts w:ascii="Calibri" w:hAnsi="Calibri" w:cs="Calibri"/>
          <w:i/>
          <w:sz w:val="24"/>
          <w:szCs w:val="24"/>
        </w:rPr>
        <w:t>Care and Protection of Children Screening Regulations</w:t>
      </w:r>
      <w:r w:rsidR="00427289">
        <w:rPr>
          <w:rFonts w:ascii="Calibri" w:hAnsi="Calibri" w:cs="Calibri"/>
          <w:sz w:val="24"/>
          <w:szCs w:val="24"/>
        </w:rPr>
        <w:t>,</w:t>
      </w:r>
      <w:r w:rsidRPr="00F534CE">
        <w:rPr>
          <w:rFonts w:ascii="Calibri" w:hAnsi="Calibri" w:cs="Calibri"/>
          <w:sz w:val="24"/>
          <w:szCs w:val="24"/>
        </w:rPr>
        <w:t xml:space="preserve"> including introducing the nationally consistent exemption for certain people to work across state borders for up to 30 days.</w:t>
      </w:r>
      <w:r w:rsidR="007764A2">
        <w:rPr>
          <w:rFonts w:ascii="Calibri" w:hAnsi="Calibri" w:cs="Calibri"/>
          <w:sz w:val="24"/>
          <w:szCs w:val="24"/>
        </w:rPr>
        <w:t xml:space="preserve"> </w:t>
      </w:r>
      <w:r w:rsidRPr="00F534CE">
        <w:rPr>
          <w:rFonts w:ascii="Calibri" w:hAnsi="Calibri" w:cs="Calibri"/>
          <w:sz w:val="24"/>
          <w:szCs w:val="24"/>
        </w:rPr>
        <w:t>It is anticipated that the new regulations will be operational during 2013</w:t>
      </w:r>
      <w:r w:rsidR="00CF68D3">
        <w:rPr>
          <w:rFonts w:ascii="Calibri" w:hAnsi="Calibri" w:cs="Calibri"/>
          <w:sz w:val="24"/>
          <w:szCs w:val="24"/>
        </w:rPr>
        <w:t>–</w:t>
      </w:r>
      <w:r w:rsidRPr="00F534CE">
        <w:rPr>
          <w:rFonts w:ascii="Calibri" w:hAnsi="Calibri" w:cs="Calibri"/>
          <w:sz w:val="24"/>
          <w:szCs w:val="24"/>
        </w:rPr>
        <w:t>14.</w:t>
      </w:r>
    </w:p>
    <w:p w:rsidR="00F534CE" w:rsidRPr="007847B7" w:rsidRDefault="00F534CE" w:rsidP="00F56F9B">
      <w:pPr>
        <w:pStyle w:val="Heading4"/>
      </w:pPr>
      <w:r w:rsidRPr="007847B7">
        <w:t>Responding to Sexual Abuse</w:t>
      </w:r>
    </w:p>
    <w:p w:rsidR="00FB12A0" w:rsidRPr="00387A84" w:rsidRDefault="00FB12A0" w:rsidP="00F534CE">
      <w:pPr>
        <w:rPr>
          <w:rFonts w:ascii="Calibri" w:hAnsi="Calibri"/>
          <w:sz w:val="24"/>
        </w:rPr>
      </w:pPr>
      <w:r w:rsidRPr="00D81603">
        <w:rPr>
          <w:rFonts w:ascii="Calibri" w:hAnsi="Calibri"/>
          <w:sz w:val="24"/>
        </w:rPr>
        <w:t>The Mobile Outreach Service Plus (MOS+) provides counselling, professional development for community</w:t>
      </w:r>
      <w:r>
        <w:rPr>
          <w:rFonts w:ascii="Calibri" w:hAnsi="Calibri"/>
          <w:sz w:val="24"/>
        </w:rPr>
        <w:t>-</w:t>
      </w:r>
      <w:r w:rsidRPr="00D81603">
        <w:rPr>
          <w:rFonts w:ascii="Calibri" w:hAnsi="Calibri"/>
          <w:sz w:val="24"/>
        </w:rPr>
        <w:t xml:space="preserve">based staff and community education </w:t>
      </w:r>
      <w:r>
        <w:rPr>
          <w:rFonts w:ascii="Calibri" w:hAnsi="Calibri"/>
          <w:sz w:val="24"/>
        </w:rPr>
        <w:t>in preventing,</w:t>
      </w:r>
      <w:r w:rsidRPr="00D81603">
        <w:rPr>
          <w:rFonts w:ascii="Calibri" w:hAnsi="Calibri"/>
          <w:sz w:val="24"/>
        </w:rPr>
        <w:t xml:space="preserve"> and responding to</w:t>
      </w:r>
      <w:r>
        <w:rPr>
          <w:rFonts w:ascii="Calibri" w:hAnsi="Calibri"/>
          <w:sz w:val="24"/>
        </w:rPr>
        <w:t>,</w:t>
      </w:r>
      <w:r w:rsidRPr="00D81603">
        <w:rPr>
          <w:rFonts w:ascii="Calibri" w:hAnsi="Calibri"/>
          <w:sz w:val="24"/>
        </w:rPr>
        <w:t xml:space="preserve"> trauma from child abuse and neglect</w:t>
      </w:r>
      <w:r>
        <w:rPr>
          <w:rFonts w:ascii="Calibri" w:hAnsi="Calibri"/>
          <w:sz w:val="24"/>
        </w:rPr>
        <w:t>,</w:t>
      </w:r>
      <w:r w:rsidRPr="00D81603">
        <w:rPr>
          <w:rFonts w:ascii="Calibri" w:hAnsi="Calibri"/>
          <w:sz w:val="24"/>
        </w:rPr>
        <w:t xml:space="preserve"> including sexual assault. Community education is effective for raising </w:t>
      </w:r>
      <w:r>
        <w:rPr>
          <w:rFonts w:ascii="Calibri" w:hAnsi="Calibri"/>
          <w:sz w:val="24"/>
        </w:rPr>
        <w:t xml:space="preserve">the </w:t>
      </w:r>
      <w:r w:rsidRPr="00D81603">
        <w:rPr>
          <w:rFonts w:ascii="Calibri" w:hAnsi="Calibri"/>
          <w:sz w:val="24"/>
        </w:rPr>
        <w:t xml:space="preserve">awareness of the community </w:t>
      </w:r>
      <w:r>
        <w:rPr>
          <w:rFonts w:ascii="Calibri" w:hAnsi="Calibri"/>
          <w:sz w:val="24"/>
        </w:rPr>
        <w:t xml:space="preserve">of ways </w:t>
      </w:r>
      <w:r w:rsidRPr="00D81603">
        <w:rPr>
          <w:rFonts w:ascii="Calibri" w:hAnsi="Calibri"/>
          <w:sz w:val="24"/>
        </w:rPr>
        <w:t>to prevent and respond to trauma from child abuse and neglect. MOS+ ensures cultural safety in the delivery of counselling through the cultural advice of the Aboriginal Therapeutic Resource Officer</w:t>
      </w:r>
      <w:r>
        <w:rPr>
          <w:rFonts w:ascii="Calibri" w:hAnsi="Calibri"/>
          <w:sz w:val="24"/>
        </w:rPr>
        <w:t>,</w:t>
      </w:r>
      <w:r w:rsidRPr="00D81603">
        <w:rPr>
          <w:rFonts w:ascii="Calibri" w:hAnsi="Calibri"/>
          <w:sz w:val="24"/>
        </w:rPr>
        <w:t xml:space="preserve"> who is partnered with a qualified counsellor.</w:t>
      </w:r>
    </w:p>
    <w:p w:rsidR="00FB12A0" w:rsidRPr="00ED097C" w:rsidRDefault="00FB12A0" w:rsidP="00F534CE">
      <w:pPr>
        <w:rPr>
          <w:rFonts w:ascii="Calibri" w:hAnsi="Calibri" w:cs="Calibri"/>
          <w:sz w:val="24"/>
          <w:szCs w:val="24"/>
        </w:rPr>
      </w:pPr>
    </w:p>
    <w:p w:rsidR="00F534CE" w:rsidRDefault="00F534CE" w:rsidP="00F534CE">
      <w:pPr>
        <w:rPr>
          <w:rFonts w:ascii="Calibri" w:hAnsi="Calibri" w:cs="Calibri"/>
          <w:sz w:val="24"/>
          <w:szCs w:val="24"/>
        </w:rPr>
      </w:pPr>
      <w:r w:rsidRPr="00F534CE">
        <w:rPr>
          <w:rFonts w:ascii="Calibri" w:hAnsi="Calibri" w:cs="Calibri"/>
          <w:sz w:val="24"/>
          <w:szCs w:val="24"/>
        </w:rPr>
        <w:t xml:space="preserve">In the Northern Territory, the Ruby Gaea Darwin Centre </w:t>
      </w:r>
      <w:proofErr w:type="gramStart"/>
      <w:r w:rsidRPr="00F534CE">
        <w:rPr>
          <w:rFonts w:ascii="Calibri" w:hAnsi="Calibri" w:cs="Calibri"/>
          <w:sz w:val="24"/>
          <w:szCs w:val="24"/>
        </w:rPr>
        <w:t>Against</w:t>
      </w:r>
      <w:proofErr w:type="gramEnd"/>
      <w:r w:rsidRPr="00F534CE">
        <w:rPr>
          <w:rFonts w:ascii="Calibri" w:hAnsi="Calibri" w:cs="Calibri"/>
          <w:sz w:val="24"/>
          <w:szCs w:val="24"/>
        </w:rPr>
        <w:t xml:space="preserve"> Rape provided an education program in Darwin High Schools</w:t>
      </w:r>
      <w:r w:rsidR="00CF68D3">
        <w:rPr>
          <w:rFonts w:ascii="Calibri" w:hAnsi="Calibri" w:cs="Calibri"/>
          <w:sz w:val="24"/>
          <w:szCs w:val="24"/>
        </w:rPr>
        <w:t>,</w:t>
      </w:r>
      <w:r w:rsidRPr="00F534CE">
        <w:rPr>
          <w:rFonts w:ascii="Calibri" w:hAnsi="Calibri" w:cs="Calibri"/>
          <w:sz w:val="24"/>
          <w:szCs w:val="24"/>
        </w:rPr>
        <w:t xml:space="preserve"> specifically targeting prevention of sexual violence and development of respectful relationships.</w:t>
      </w:r>
    </w:p>
    <w:p w:rsidR="00BD5D4E" w:rsidRPr="00821556" w:rsidRDefault="00BD5D4E" w:rsidP="00ED097C">
      <w:pPr>
        <w:pStyle w:val="Heading3"/>
      </w:pPr>
      <w:bookmarkStart w:id="213" w:name="_Toc400007783"/>
      <w:r w:rsidRPr="00821556">
        <w:t>Queensland</w:t>
      </w:r>
      <w:bookmarkEnd w:id="213"/>
    </w:p>
    <w:p w:rsidR="00DD4408" w:rsidRPr="00F56F9B" w:rsidRDefault="005B0CBB" w:rsidP="00F56F9B">
      <w:pPr>
        <w:pStyle w:val="Heading4"/>
        <w:rPr>
          <w:lang w:val="en-AU"/>
        </w:rPr>
      </w:pPr>
      <w:r w:rsidRPr="007847B7">
        <w:t>Responding to Sexual Abuse</w:t>
      </w:r>
    </w:p>
    <w:p w:rsidR="005B0CBB" w:rsidRDefault="005B0CBB" w:rsidP="005B0CBB">
      <w:pPr>
        <w:rPr>
          <w:rFonts w:ascii="Calibri" w:hAnsi="Calibri" w:cs="Calibri"/>
          <w:sz w:val="24"/>
          <w:szCs w:val="24"/>
        </w:rPr>
      </w:pPr>
      <w:r w:rsidRPr="005B0CBB">
        <w:rPr>
          <w:rFonts w:ascii="Calibri" w:hAnsi="Calibri" w:cs="Calibri"/>
          <w:sz w:val="24"/>
          <w:szCs w:val="24"/>
        </w:rPr>
        <w:t xml:space="preserve">The </w:t>
      </w:r>
      <w:r w:rsidRPr="00427289">
        <w:rPr>
          <w:rFonts w:ascii="Calibri" w:hAnsi="Calibri" w:cs="Calibri"/>
          <w:sz w:val="24"/>
          <w:szCs w:val="24"/>
        </w:rPr>
        <w:t xml:space="preserve">Queensland Government’s </w:t>
      </w:r>
      <w:r w:rsidR="00CF68D3" w:rsidRPr="00856FA8">
        <w:rPr>
          <w:rFonts w:ascii="Calibri" w:hAnsi="Calibri"/>
          <w:sz w:val="24"/>
        </w:rPr>
        <w:t>DCCSDS</w:t>
      </w:r>
      <w:r w:rsidRPr="00427289">
        <w:rPr>
          <w:rFonts w:ascii="Calibri" w:hAnsi="Calibri" w:cs="Calibri"/>
          <w:sz w:val="24"/>
          <w:szCs w:val="24"/>
        </w:rPr>
        <w:t xml:space="preserve"> </w:t>
      </w:r>
      <w:r w:rsidRPr="005B0CBB">
        <w:rPr>
          <w:rFonts w:ascii="Calibri" w:hAnsi="Calibri" w:cs="Calibri"/>
          <w:sz w:val="24"/>
          <w:szCs w:val="24"/>
        </w:rPr>
        <w:t>Sexual Abuse Specialist Support Team provides the following services:</w:t>
      </w:r>
    </w:p>
    <w:p w:rsidR="005B0CBB" w:rsidRPr="005B0CBB" w:rsidRDefault="005B0CBB" w:rsidP="00CF68D3">
      <w:pPr>
        <w:pStyle w:val="ListBullet"/>
      </w:pPr>
      <w:r w:rsidRPr="005B0CBB">
        <w:t>capacity building for Child Safety staff</w:t>
      </w:r>
      <w:r w:rsidR="00CF68D3">
        <w:t>,</w:t>
      </w:r>
      <w:r w:rsidRPr="005B0CBB">
        <w:t xml:space="preserve"> with a focus on foundation training modules</w:t>
      </w:r>
      <w:r w:rsidR="00CF68D3">
        <w:t>,</w:t>
      </w:r>
      <w:r w:rsidRPr="005B0CBB">
        <w:t xml:space="preserve"> training modules for practice leaders</w:t>
      </w:r>
      <w:r w:rsidR="00753BB0">
        <w:t xml:space="preserve"> </w:t>
      </w:r>
      <w:r w:rsidR="00CF68D3">
        <w:t>and</w:t>
      </w:r>
      <w:r w:rsidR="00CF68D3" w:rsidRPr="005B0CBB">
        <w:t xml:space="preserve"> </w:t>
      </w:r>
      <w:r w:rsidRPr="005B0CBB">
        <w:t>conduct of Complex Case Clinics</w:t>
      </w:r>
    </w:p>
    <w:p w:rsidR="005B0CBB" w:rsidRPr="005B0CBB" w:rsidRDefault="005B0CBB" w:rsidP="00CF68D3">
      <w:pPr>
        <w:pStyle w:val="ListBullet"/>
      </w:pPr>
      <w:r w:rsidRPr="005B0CBB">
        <w:t>capacity building for service providers for clients of Child Safety</w:t>
      </w:r>
      <w:r w:rsidR="00CF68D3">
        <w:t>,</w:t>
      </w:r>
      <w:r w:rsidRPr="005B0CBB">
        <w:t xml:space="preserve"> </w:t>
      </w:r>
      <w:r w:rsidR="00651D32">
        <w:t>notably</w:t>
      </w:r>
      <w:r w:rsidRPr="005B0CBB">
        <w:t xml:space="preserve"> foster and kinship carers, including training modules and direct </w:t>
      </w:r>
      <w:r w:rsidR="00651D32" w:rsidRPr="005B0CBB">
        <w:t>one</w:t>
      </w:r>
      <w:r w:rsidR="00651D32">
        <w:t>-</w:t>
      </w:r>
      <w:r w:rsidR="00651D32" w:rsidRPr="005B0CBB">
        <w:t>on</w:t>
      </w:r>
      <w:r w:rsidR="00651D32">
        <w:t>-</w:t>
      </w:r>
      <w:r w:rsidRPr="005B0CBB">
        <w:t xml:space="preserve">one assistance and support; </w:t>
      </w:r>
      <w:r w:rsidR="00651D32">
        <w:t xml:space="preserve">and </w:t>
      </w:r>
      <w:r w:rsidRPr="005B0CBB">
        <w:t>residential care providers</w:t>
      </w:r>
      <w:r w:rsidR="00651D32">
        <w:t>,</w:t>
      </w:r>
      <w:r w:rsidRPr="005B0CBB">
        <w:t xml:space="preserve"> including training and forums, Complex Case Clinics and discussion and support in relation to individual children and young people</w:t>
      </w:r>
    </w:p>
    <w:p w:rsidR="005B0CBB" w:rsidRPr="005B0CBB" w:rsidRDefault="005B0CBB" w:rsidP="00CF68D3">
      <w:pPr>
        <w:pStyle w:val="ListBullet"/>
      </w:pPr>
      <w:r w:rsidRPr="005B0CBB">
        <w:t>involvement in stakeholder processes</w:t>
      </w:r>
      <w:r w:rsidR="00753BB0">
        <w:t>,</w:t>
      </w:r>
      <w:r w:rsidRPr="005B0CBB">
        <w:t xml:space="preserve"> including all partners working with children, young people and families who are clients of Child Safety</w:t>
      </w:r>
    </w:p>
    <w:p w:rsidR="005B0CBB" w:rsidRPr="005B0CBB" w:rsidRDefault="005B0CBB" w:rsidP="00CF68D3">
      <w:pPr>
        <w:pStyle w:val="ListBullet"/>
      </w:pPr>
      <w:r w:rsidRPr="005B0CBB">
        <w:t xml:space="preserve">the provision of </w:t>
      </w:r>
      <w:r w:rsidR="00651D32" w:rsidRPr="005B0CBB">
        <w:t>case</w:t>
      </w:r>
      <w:r w:rsidR="00651D32">
        <w:t>-</w:t>
      </w:r>
      <w:r w:rsidRPr="005B0CBB">
        <w:t>specific advice and recommendations to staff of the department, key stakeholders and members of the public</w:t>
      </w:r>
    </w:p>
    <w:p w:rsidR="005B0CBB" w:rsidRDefault="005B0CBB" w:rsidP="00CF68D3">
      <w:pPr>
        <w:pStyle w:val="ListBullet"/>
      </w:pPr>
      <w:proofErr w:type="gramStart"/>
      <w:r w:rsidRPr="005B0CBB">
        <w:t>direct</w:t>
      </w:r>
      <w:proofErr w:type="gramEnd"/>
      <w:r w:rsidRPr="005B0CBB">
        <w:t xml:space="preserve"> support to members of the public.</w:t>
      </w:r>
    </w:p>
    <w:p w:rsidR="00427289" w:rsidRPr="005B0CBB" w:rsidRDefault="00427289" w:rsidP="001A2A89">
      <w:pPr>
        <w:rPr>
          <w:rFonts w:ascii="Calibri" w:hAnsi="Calibri" w:cs="Calibri"/>
          <w:sz w:val="24"/>
          <w:szCs w:val="24"/>
        </w:rPr>
      </w:pPr>
    </w:p>
    <w:p w:rsidR="005B0CBB" w:rsidRPr="005B0CBB" w:rsidRDefault="005B0CBB" w:rsidP="005B0CBB">
      <w:pPr>
        <w:rPr>
          <w:rFonts w:ascii="Calibri" w:hAnsi="Calibri" w:cs="Calibri"/>
          <w:sz w:val="24"/>
          <w:szCs w:val="24"/>
        </w:rPr>
      </w:pPr>
      <w:r w:rsidRPr="005B0CBB">
        <w:rPr>
          <w:rFonts w:ascii="Calibri" w:hAnsi="Calibri" w:cs="Calibri"/>
          <w:sz w:val="24"/>
          <w:szCs w:val="24"/>
        </w:rPr>
        <w:t>In 2012</w:t>
      </w:r>
      <w:r w:rsidR="00651D32">
        <w:rPr>
          <w:rFonts w:ascii="Calibri" w:hAnsi="Calibri" w:cs="Calibri"/>
          <w:sz w:val="24"/>
          <w:szCs w:val="24"/>
        </w:rPr>
        <w:t>–</w:t>
      </w:r>
      <w:r w:rsidRPr="005B0CBB">
        <w:rPr>
          <w:rFonts w:ascii="Calibri" w:hAnsi="Calibri" w:cs="Calibri"/>
          <w:sz w:val="24"/>
          <w:szCs w:val="24"/>
        </w:rPr>
        <w:t>2013</w:t>
      </w:r>
      <w:r w:rsidR="00427289">
        <w:rPr>
          <w:rFonts w:ascii="Calibri" w:hAnsi="Calibri" w:cs="Calibri"/>
          <w:sz w:val="24"/>
          <w:szCs w:val="24"/>
        </w:rPr>
        <w:t>,</w:t>
      </w:r>
      <w:r w:rsidRPr="005B0CBB">
        <w:rPr>
          <w:rFonts w:ascii="Calibri" w:hAnsi="Calibri" w:cs="Calibri"/>
          <w:sz w:val="24"/>
          <w:szCs w:val="24"/>
        </w:rPr>
        <w:t xml:space="preserve"> the </w:t>
      </w:r>
      <w:r w:rsidRPr="00427289">
        <w:rPr>
          <w:rFonts w:ascii="Calibri" w:hAnsi="Calibri" w:cs="Calibri"/>
          <w:sz w:val="24"/>
          <w:szCs w:val="24"/>
        </w:rPr>
        <w:t>Queensland Government through DCC</w:t>
      </w:r>
      <w:r w:rsidR="00C033C8">
        <w:rPr>
          <w:rFonts w:ascii="Calibri" w:hAnsi="Calibri" w:cs="Calibri"/>
          <w:sz w:val="24"/>
          <w:szCs w:val="24"/>
        </w:rPr>
        <w:t>S</w:t>
      </w:r>
      <w:r w:rsidRPr="00427289">
        <w:rPr>
          <w:rFonts w:ascii="Calibri" w:hAnsi="Calibri" w:cs="Calibri"/>
          <w:sz w:val="24"/>
          <w:szCs w:val="24"/>
        </w:rPr>
        <w:t>DS</w:t>
      </w:r>
      <w:r w:rsidR="00427289">
        <w:rPr>
          <w:rFonts w:ascii="Calibri" w:hAnsi="Calibri" w:cs="Calibri"/>
          <w:sz w:val="24"/>
          <w:szCs w:val="24"/>
        </w:rPr>
        <w:t xml:space="preserve"> allocated $2</w:t>
      </w:r>
      <w:r w:rsidR="00B6357E">
        <w:rPr>
          <w:rFonts w:ascii="Calibri" w:hAnsi="Calibri" w:cs="Calibri"/>
          <w:sz w:val="24"/>
          <w:szCs w:val="24"/>
        </w:rPr>
        <w:t>.</w:t>
      </w:r>
      <w:r w:rsidRPr="005B0CBB">
        <w:rPr>
          <w:rFonts w:ascii="Calibri" w:hAnsi="Calibri" w:cs="Calibri"/>
          <w:sz w:val="24"/>
          <w:szCs w:val="24"/>
        </w:rPr>
        <w:t xml:space="preserve">941 million for the delivery of </w:t>
      </w:r>
      <w:r w:rsidR="00A27FE3">
        <w:rPr>
          <w:rFonts w:ascii="Calibri" w:hAnsi="Calibri" w:cs="Calibri"/>
          <w:sz w:val="24"/>
          <w:szCs w:val="24"/>
        </w:rPr>
        <w:t>10</w:t>
      </w:r>
      <w:r w:rsidRPr="005B0CBB">
        <w:rPr>
          <w:rFonts w:ascii="Calibri" w:hAnsi="Calibri" w:cs="Calibri"/>
          <w:sz w:val="24"/>
          <w:szCs w:val="24"/>
        </w:rPr>
        <w:t xml:space="preserve"> sexual abuse counselling services across Queensland</w:t>
      </w:r>
      <w:r w:rsidR="00427289">
        <w:rPr>
          <w:rFonts w:ascii="Calibri" w:hAnsi="Calibri" w:cs="Calibri"/>
          <w:sz w:val="24"/>
          <w:szCs w:val="24"/>
        </w:rPr>
        <w:t>,</w:t>
      </w:r>
      <w:r w:rsidRPr="005B0CBB">
        <w:rPr>
          <w:rFonts w:ascii="Calibri" w:hAnsi="Calibri" w:cs="Calibri"/>
          <w:sz w:val="24"/>
          <w:szCs w:val="24"/>
        </w:rPr>
        <w:t xml:space="preserve"> to address the range of issues arising from sexual abuse. The services provide a mix of therapeutic and family-based support</w:t>
      </w:r>
      <w:r w:rsidR="00753BB0">
        <w:rPr>
          <w:rFonts w:ascii="Calibri" w:hAnsi="Calibri" w:cs="Calibri"/>
          <w:sz w:val="24"/>
          <w:szCs w:val="24"/>
        </w:rPr>
        <w:t>s</w:t>
      </w:r>
      <w:r w:rsidRPr="005B0CBB">
        <w:rPr>
          <w:rFonts w:ascii="Calibri" w:hAnsi="Calibri" w:cs="Calibri"/>
          <w:sz w:val="24"/>
          <w:szCs w:val="24"/>
        </w:rPr>
        <w:t xml:space="preserve"> and assessment and individual case plans that are responsive to the individual needs of children and young people living in out-of-home care</w:t>
      </w:r>
      <w:r w:rsidR="00651D32">
        <w:rPr>
          <w:rFonts w:ascii="Calibri" w:hAnsi="Calibri" w:cs="Calibri"/>
          <w:sz w:val="24"/>
          <w:szCs w:val="24"/>
        </w:rPr>
        <w:t>,</w:t>
      </w:r>
      <w:r w:rsidRPr="005B0CBB">
        <w:rPr>
          <w:rFonts w:ascii="Calibri" w:hAnsi="Calibri" w:cs="Calibri"/>
          <w:sz w:val="24"/>
          <w:szCs w:val="24"/>
        </w:rPr>
        <w:t xml:space="preserve"> who have experienced sexual abuse or present with problem sexu</w:t>
      </w:r>
      <w:r w:rsidR="009C5F74">
        <w:rPr>
          <w:rFonts w:ascii="Calibri" w:hAnsi="Calibri" w:cs="Calibri"/>
          <w:sz w:val="24"/>
          <w:szCs w:val="24"/>
        </w:rPr>
        <w:t>al behaviour</w:t>
      </w:r>
      <w:r w:rsidR="00651D32">
        <w:rPr>
          <w:rFonts w:ascii="Calibri" w:hAnsi="Calibri" w:cs="Calibri"/>
          <w:sz w:val="24"/>
          <w:szCs w:val="24"/>
        </w:rPr>
        <w:t>,</w:t>
      </w:r>
      <w:r w:rsidR="009C5F74">
        <w:rPr>
          <w:rFonts w:ascii="Calibri" w:hAnsi="Calibri" w:cs="Calibri"/>
          <w:sz w:val="24"/>
          <w:szCs w:val="24"/>
        </w:rPr>
        <w:t xml:space="preserve"> and their families or </w:t>
      </w:r>
      <w:r w:rsidRPr="005B0CBB">
        <w:rPr>
          <w:rFonts w:ascii="Calibri" w:hAnsi="Calibri" w:cs="Calibri"/>
          <w:sz w:val="24"/>
          <w:szCs w:val="24"/>
        </w:rPr>
        <w:t>carers. The service also has some capacity to support carers and non-offending family members as well as children not requiring intervention. In one case, a service provider has been working with a mother concerning protective behaviours and</w:t>
      </w:r>
      <w:r w:rsidR="00651D32">
        <w:rPr>
          <w:rFonts w:ascii="Calibri" w:hAnsi="Calibri" w:cs="Calibri"/>
          <w:sz w:val="24"/>
          <w:szCs w:val="24"/>
        </w:rPr>
        <w:t>,</w:t>
      </w:r>
      <w:r w:rsidRPr="005B0CBB">
        <w:rPr>
          <w:rFonts w:ascii="Calibri" w:hAnsi="Calibri" w:cs="Calibri"/>
          <w:sz w:val="24"/>
          <w:szCs w:val="24"/>
        </w:rPr>
        <w:t xml:space="preserve"> as a result</w:t>
      </w:r>
      <w:r w:rsidR="009C5F74">
        <w:rPr>
          <w:rFonts w:ascii="Calibri" w:hAnsi="Calibri" w:cs="Calibri"/>
          <w:sz w:val="24"/>
          <w:szCs w:val="24"/>
        </w:rPr>
        <w:t>,</w:t>
      </w:r>
      <w:r w:rsidRPr="005B0CBB">
        <w:rPr>
          <w:rFonts w:ascii="Calibri" w:hAnsi="Calibri" w:cs="Calibri"/>
          <w:sz w:val="24"/>
          <w:szCs w:val="24"/>
        </w:rPr>
        <w:t xml:space="preserve"> the child will soon be returning home on a permanent basis, approximately one year ahead of schedule. </w:t>
      </w:r>
    </w:p>
    <w:p w:rsidR="005B0CBB" w:rsidRPr="005B0CBB" w:rsidRDefault="005B0CBB" w:rsidP="005B0CBB">
      <w:pPr>
        <w:rPr>
          <w:rFonts w:ascii="Calibri" w:hAnsi="Calibri" w:cs="Calibri"/>
          <w:sz w:val="24"/>
          <w:szCs w:val="24"/>
        </w:rPr>
      </w:pPr>
    </w:p>
    <w:p w:rsidR="005B0CBB" w:rsidRPr="005B0CBB" w:rsidRDefault="005B0CBB" w:rsidP="005B0CBB">
      <w:pPr>
        <w:rPr>
          <w:rFonts w:ascii="Calibri" w:hAnsi="Calibri" w:cs="Calibri"/>
          <w:sz w:val="24"/>
          <w:szCs w:val="24"/>
        </w:rPr>
      </w:pPr>
      <w:r w:rsidRPr="005B0CBB">
        <w:rPr>
          <w:rFonts w:ascii="Calibri" w:hAnsi="Calibri" w:cs="Calibri"/>
          <w:sz w:val="24"/>
          <w:szCs w:val="24"/>
        </w:rPr>
        <w:t xml:space="preserve">Evolve Interagency Services (Evolve) is a collaborative partnership between DCCSDS, Queensland Health and </w:t>
      </w:r>
      <w:r w:rsidR="00585683">
        <w:rPr>
          <w:rFonts w:ascii="Calibri" w:hAnsi="Calibri" w:cs="Calibri"/>
          <w:sz w:val="24"/>
          <w:szCs w:val="24"/>
        </w:rPr>
        <w:t>DETE</w:t>
      </w:r>
      <w:r w:rsidRPr="005B0CBB">
        <w:rPr>
          <w:rFonts w:ascii="Calibri" w:hAnsi="Calibri" w:cs="Calibri"/>
          <w:sz w:val="24"/>
          <w:szCs w:val="24"/>
        </w:rPr>
        <w:t>. In 2012</w:t>
      </w:r>
      <w:r w:rsidR="00651D32">
        <w:rPr>
          <w:rFonts w:ascii="Calibri" w:hAnsi="Calibri" w:cs="Calibri"/>
          <w:sz w:val="24"/>
          <w:szCs w:val="24"/>
        </w:rPr>
        <w:t>–</w:t>
      </w:r>
      <w:r w:rsidRPr="005B0CBB">
        <w:rPr>
          <w:rFonts w:ascii="Calibri" w:hAnsi="Calibri" w:cs="Calibri"/>
          <w:sz w:val="24"/>
          <w:szCs w:val="24"/>
        </w:rPr>
        <w:t xml:space="preserve">2013, DCCSDS (Child Safety) allocated $26.722 million to Disability Services and Hospital and Health Services to deliver the Evolve program. Evolve provides therapeutic and behaviour support services for children and young people on interim and finalised child protection orders granting </w:t>
      </w:r>
      <w:r w:rsidR="009C5F74">
        <w:rPr>
          <w:rFonts w:ascii="Calibri" w:hAnsi="Calibri" w:cs="Calibri"/>
          <w:sz w:val="24"/>
          <w:szCs w:val="24"/>
        </w:rPr>
        <w:t>custody or guardianship to the Chief E</w:t>
      </w:r>
      <w:r w:rsidRPr="005B0CBB">
        <w:rPr>
          <w:rFonts w:ascii="Calibri" w:hAnsi="Calibri" w:cs="Calibri"/>
          <w:sz w:val="24"/>
          <w:szCs w:val="24"/>
        </w:rPr>
        <w:t xml:space="preserve">xecutive who have severe and complex psychological and behavioural problems. The service is tailored to the level of need </w:t>
      </w:r>
      <w:r w:rsidR="009C5F74">
        <w:rPr>
          <w:rFonts w:ascii="Calibri" w:hAnsi="Calibri" w:cs="Calibri"/>
          <w:sz w:val="24"/>
          <w:szCs w:val="24"/>
        </w:rPr>
        <w:t xml:space="preserve">of children and young people </w:t>
      </w:r>
      <w:r w:rsidRPr="005B0CBB">
        <w:rPr>
          <w:rFonts w:ascii="Calibri" w:hAnsi="Calibri" w:cs="Calibri"/>
          <w:sz w:val="24"/>
          <w:szCs w:val="24"/>
        </w:rPr>
        <w:t>and may include strategies to address the complex trauma experienced from past sexual abuse</w:t>
      </w:r>
      <w:r w:rsidR="00651D32">
        <w:rPr>
          <w:rFonts w:ascii="Calibri" w:hAnsi="Calibri" w:cs="Calibri"/>
          <w:sz w:val="24"/>
          <w:szCs w:val="24"/>
        </w:rPr>
        <w:t>,</w:t>
      </w:r>
      <w:r w:rsidRPr="005B0CBB">
        <w:rPr>
          <w:rFonts w:ascii="Calibri" w:hAnsi="Calibri" w:cs="Calibri"/>
          <w:sz w:val="24"/>
          <w:szCs w:val="24"/>
        </w:rPr>
        <w:t xml:space="preserve"> to improve their emotional and mental health wellbeing. </w:t>
      </w:r>
      <w:r w:rsidR="00EE58B4">
        <w:rPr>
          <w:rFonts w:ascii="Calibri" w:hAnsi="Calibri" w:cs="Calibri"/>
          <w:sz w:val="24"/>
          <w:szCs w:val="24"/>
        </w:rPr>
        <w:t xml:space="preserve">The Evolve Behaviour Support Services also delivers an Early </w:t>
      </w:r>
      <w:proofErr w:type="spellStart"/>
      <w:r w:rsidR="00EE58B4">
        <w:rPr>
          <w:rFonts w:ascii="Calibri" w:hAnsi="Calibri" w:cs="Calibri"/>
          <w:sz w:val="24"/>
          <w:szCs w:val="24"/>
        </w:rPr>
        <w:t>Intervensionservice</w:t>
      </w:r>
      <w:proofErr w:type="spellEnd"/>
      <w:r w:rsidR="00EE58B4">
        <w:rPr>
          <w:rFonts w:ascii="Calibri" w:hAnsi="Calibri" w:cs="Calibri"/>
          <w:sz w:val="24"/>
          <w:szCs w:val="24"/>
        </w:rPr>
        <w:t xml:space="preserve"> for children with a disability who have complex behaviours and support needs, and are at </w:t>
      </w:r>
      <w:proofErr w:type="spellStart"/>
      <w:r w:rsidR="00EE58B4">
        <w:rPr>
          <w:rFonts w:ascii="Calibri" w:hAnsi="Calibri" w:cs="Calibri"/>
          <w:sz w:val="24"/>
          <w:szCs w:val="24"/>
        </w:rPr>
        <w:t>riks</w:t>
      </w:r>
      <w:proofErr w:type="spellEnd"/>
      <w:r w:rsidR="00EE58B4">
        <w:rPr>
          <w:rFonts w:ascii="Calibri" w:hAnsi="Calibri" w:cs="Calibri"/>
          <w:sz w:val="24"/>
          <w:szCs w:val="24"/>
        </w:rPr>
        <w:t xml:space="preserve"> of being relinquished for families by providing intensive family centred services in managing the complex needs of their child.</w:t>
      </w:r>
    </w:p>
    <w:p w:rsidR="005B0CBB" w:rsidRPr="005B0CBB" w:rsidRDefault="005B0CBB" w:rsidP="005B0CBB">
      <w:pPr>
        <w:rPr>
          <w:rFonts w:ascii="Calibri" w:hAnsi="Calibri" w:cs="Calibri"/>
          <w:sz w:val="24"/>
          <w:szCs w:val="24"/>
        </w:rPr>
      </w:pPr>
    </w:p>
    <w:p w:rsidR="005B0CBB" w:rsidRPr="005B0CBB" w:rsidRDefault="005B0CBB" w:rsidP="005B0CBB">
      <w:pPr>
        <w:rPr>
          <w:rFonts w:ascii="Calibri" w:hAnsi="Calibri" w:cs="Calibri"/>
          <w:sz w:val="24"/>
          <w:szCs w:val="24"/>
        </w:rPr>
      </w:pPr>
      <w:r w:rsidRPr="005B0CBB">
        <w:rPr>
          <w:rFonts w:ascii="Calibri" w:hAnsi="Calibri" w:cs="Calibri"/>
          <w:sz w:val="24"/>
          <w:szCs w:val="24"/>
        </w:rPr>
        <w:t>From 1 July 2012 to 31 March 2013, 930 children and young people with complex or severe needs, including those who have experienced trauma from past sexual abuse, accessed Evolve services. The Evolve program outcomes found a significant improvement in the overall wellbeing of these children and young people</w:t>
      </w:r>
      <w:r w:rsidR="009C5F74">
        <w:rPr>
          <w:rFonts w:ascii="Calibri" w:hAnsi="Calibri" w:cs="Calibri"/>
          <w:sz w:val="24"/>
          <w:szCs w:val="24"/>
        </w:rPr>
        <w:t>,</w:t>
      </w:r>
      <w:r w:rsidRPr="005B0CBB">
        <w:rPr>
          <w:rFonts w:ascii="Calibri" w:hAnsi="Calibri" w:cs="Calibri"/>
          <w:sz w:val="24"/>
          <w:szCs w:val="24"/>
        </w:rPr>
        <w:t xml:space="preserve"> including increased placement stability, educational engagement and community participation and decreased challenging behaviour.</w:t>
      </w:r>
    </w:p>
    <w:p w:rsidR="005B0CBB" w:rsidRPr="005B0CBB" w:rsidRDefault="005B0CBB" w:rsidP="005B0CBB">
      <w:pPr>
        <w:rPr>
          <w:rFonts w:ascii="Calibri" w:hAnsi="Calibri" w:cs="Calibri"/>
          <w:sz w:val="24"/>
          <w:szCs w:val="24"/>
        </w:rPr>
      </w:pPr>
    </w:p>
    <w:p w:rsidR="005B0CBB" w:rsidRDefault="005B0CBB" w:rsidP="005B0CBB">
      <w:pPr>
        <w:rPr>
          <w:rFonts w:ascii="Calibri" w:hAnsi="Calibri" w:cs="Calibri"/>
          <w:sz w:val="24"/>
          <w:szCs w:val="24"/>
        </w:rPr>
      </w:pPr>
      <w:r w:rsidRPr="005B0CBB">
        <w:rPr>
          <w:rFonts w:ascii="Calibri" w:hAnsi="Calibri" w:cs="Calibri"/>
          <w:sz w:val="24"/>
          <w:szCs w:val="24"/>
        </w:rPr>
        <w:t>The</w:t>
      </w:r>
      <w:r w:rsidRPr="005B0CBB">
        <w:rPr>
          <w:rFonts w:ascii="Calibri" w:hAnsi="Calibri" w:cs="Calibri"/>
          <w:b/>
          <w:sz w:val="24"/>
          <w:szCs w:val="24"/>
        </w:rPr>
        <w:t xml:space="preserve"> </w:t>
      </w:r>
      <w:r w:rsidRPr="009C5F74">
        <w:rPr>
          <w:rFonts w:ascii="Calibri" w:hAnsi="Calibri" w:cs="Calibri"/>
          <w:sz w:val="24"/>
          <w:szCs w:val="24"/>
        </w:rPr>
        <w:t>Queensland Government</w:t>
      </w:r>
      <w:r w:rsidRPr="005B0CBB">
        <w:rPr>
          <w:rFonts w:ascii="Calibri" w:hAnsi="Calibri" w:cs="Calibri"/>
          <w:b/>
          <w:sz w:val="24"/>
          <w:szCs w:val="24"/>
        </w:rPr>
        <w:t xml:space="preserve"> </w:t>
      </w:r>
      <w:r w:rsidRPr="005B0CBB">
        <w:rPr>
          <w:rFonts w:ascii="Calibri" w:hAnsi="Calibri" w:cs="Calibri"/>
          <w:sz w:val="24"/>
          <w:szCs w:val="24"/>
        </w:rPr>
        <w:t>has</w:t>
      </w:r>
      <w:r w:rsidRPr="005B0CBB">
        <w:rPr>
          <w:rFonts w:ascii="Calibri" w:hAnsi="Calibri" w:cs="Calibri"/>
          <w:b/>
          <w:sz w:val="24"/>
          <w:szCs w:val="24"/>
        </w:rPr>
        <w:t xml:space="preserve"> </w:t>
      </w:r>
      <w:r w:rsidRPr="005B0CBB">
        <w:rPr>
          <w:rFonts w:ascii="Calibri" w:hAnsi="Calibri" w:cs="Calibri"/>
          <w:sz w:val="24"/>
          <w:szCs w:val="24"/>
        </w:rPr>
        <w:t>also</w:t>
      </w:r>
      <w:r w:rsidRPr="005B0CBB">
        <w:rPr>
          <w:rFonts w:ascii="Calibri" w:hAnsi="Calibri" w:cs="Calibri"/>
          <w:b/>
          <w:sz w:val="24"/>
          <w:szCs w:val="24"/>
        </w:rPr>
        <w:t xml:space="preserve"> </w:t>
      </w:r>
      <w:r w:rsidRPr="005B0CBB">
        <w:rPr>
          <w:rFonts w:ascii="Calibri" w:hAnsi="Calibri" w:cs="Calibri"/>
          <w:sz w:val="24"/>
          <w:szCs w:val="24"/>
        </w:rPr>
        <w:t xml:space="preserve">developed the Interagency </w:t>
      </w:r>
      <w:r w:rsidRPr="00F77886">
        <w:rPr>
          <w:rFonts w:ascii="Calibri" w:hAnsi="Calibri" w:cs="Calibri"/>
          <w:i/>
          <w:sz w:val="24"/>
          <w:szCs w:val="24"/>
        </w:rPr>
        <w:t>Guidelines for Responding to People Who Have Experienced Sexual Assault</w:t>
      </w:r>
      <w:r w:rsidR="00651D32">
        <w:rPr>
          <w:rFonts w:ascii="Calibri" w:hAnsi="Calibri" w:cs="Calibri"/>
          <w:sz w:val="24"/>
          <w:szCs w:val="24"/>
        </w:rPr>
        <w:t>,</w:t>
      </w:r>
      <w:r w:rsidRPr="005B0CBB">
        <w:rPr>
          <w:rFonts w:ascii="Calibri" w:hAnsi="Calibri" w:cs="Calibri"/>
          <w:sz w:val="24"/>
          <w:szCs w:val="24"/>
        </w:rPr>
        <w:t xml:space="preserve"> through an interagency group comprising representatives from key government and </w:t>
      </w:r>
      <w:r w:rsidR="00C8305C">
        <w:rPr>
          <w:rFonts w:ascii="Calibri" w:hAnsi="Calibri" w:cs="Calibri"/>
          <w:sz w:val="24"/>
          <w:szCs w:val="24"/>
        </w:rPr>
        <w:t>community sector</w:t>
      </w:r>
      <w:r w:rsidRPr="005B0CBB">
        <w:rPr>
          <w:rFonts w:ascii="Calibri" w:hAnsi="Calibri" w:cs="Calibri"/>
          <w:sz w:val="24"/>
          <w:szCs w:val="24"/>
        </w:rPr>
        <w:t xml:space="preserve"> agencies. The guidelines are intended to outline key principles and a best</w:t>
      </w:r>
      <w:r w:rsidR="00B30B95">
        <w:rPr>
          <w:rFonts w:ascii="Calibri" w:hAnsi="Calibri" w:cs="Calibri"/>
          <w:sz w:val="24"/>
          <w:szCs w:val="24"/>
        </w:rPr>
        <w:t>-</w:t>
      </w:r>
      <w:r w:rsidRPr="005B0CBB">
        <w:rPr>
          <w:rFonts w:ascii="Calibri" w:hAnsi="Calibri" w:cs="Calibri"/>
          <w:sz w:val="24"/>
          <w:szCs w:val="24"/>
        </w:rPr>
        <w:t>practice framework when working with people who have experienced sexual assault, including children and young people who have been sexually abused.</w:t>
      </w:r>
    </w:p>
    <w:p w:rsidR="005B0CBB" w:rsidRDefault="005B0CBB" w:rsidP="005B0CBB">
      <w:pPr>
        <w:rPr>
          <w:rFonts w:ascii="Calibri" w:hAnsi="Calibri" w:cs="Calibri"/>
          <w:sz w:val="24"/>
          <w:szCs w:val="24"/>
        </w:rPr>
      </w:pPr>
    </w:p>
    <w:p w:rsidR="007E56EA" w:rsidRPr="007E56EA" w:rsidRDefault="007E56EA" w:rsidP="007E56EA">
      <w:pPr>
        <w:rPr>
          <w:rFonts w:ascii="Calibri" w:hAnsi="Calibri" w:cs="Calibri"/>
          <w:sz w:val="24"/>
          <w:szCs w:val="24"/>
        </w:rPr>
      </w:pPr>
      <w:r w:rsidRPr="007E56EA">
        <w:rPr>
          <w:rFonts w:ascii="Calibri" w:hAnsi="Calibri" w:cs="Calibri"/>
          <w:sz w:val="24"/>
          <w:szCs w:val="24"/>
        </w:rPr>
        <w:t>DCCSDS</w:t>
      </w:r>
      <w:r w:rsidRPr="007E56EA">
        <w:rPr>
          <w:rFonts w:ascii="Calibri" w:hAnsi="Calibri" w:cs="Calibri"/>
          <w:b/>
          <w:sz w:val="24"/>
          <w:szCs w:val="24"/>
        </w:rPr>
        <w:t xml:space="preserve"> </w:t>
      </w:r>
      <w:r w:rsidRPr="007E56EA">
        <w:rPr>
          <w:rFonts w:ascii="Calibri" w:hAnsi="Calibri" w:cs="Calibri"/>
          <w:sz w:val="24"/>
          <w:szCs w:val="24"/>
        </w:rPr>
        <w:t xml:space="preserve">established the </w:t>
      </w:r>
      <w:r w:rsidR="00757F58">
        <w:rPr>
          <w:rFonts w:ascii="Calibri" w:hAnsi="Calibri" w:cs="Calibri"/>
          <w:sz w:val="24"/>
          <w:szCs w:val="24"/>
        </w:rPr>
        <w:t>TRC</w:t>
      </w:r>
      <w:r w:rsidRPr="007E56EA">
        <w:rPr>
          <w:rFonts w:ascii="Calibri" w:hAnsi="Calibri" w:cs="Calibri"/>
          <w:sz w:val="24"/>
          <w:szCs w:val="24"/>
        </w:rPr>
        <w:t xml:space="preserve"> Program in 2009 to assist young people in care (aged 12</w:t>
      </w:r>
      <w:r w:rsidR="00945F81">
        <w:rPr>
          <w:rFonts w:ascii="Calibri" w:hAnsi="Calibri" w:cs="Calibri"/>
          <w:sz w:val="24"/>
          <w:szCs w:val="24"/>
        </w:rPr>
        <w:t xml:space="preserve"> to </w:t>
      </w:r>
      <w:r w:rsidRPr="007E56EA">
        <w:rPr>
          <w:rFonts w:ascii="Calibri" w:hAnsi="Calibri" w:cs="Calibri"/>
          <w:sz w:val="24"/>
          <w:szCs w:val="24"/>
        </w:rPr>
        <w:t xml:space="preserve">15 years at the time of referral) in dealing with relational, behavioural and emotional issues. TRC aims to decrease the risk of placement instability, support reconnection with family and their community, and develop the skills and behaviours required to successfully transition to less intensive forms of out-of-home care. </w:t>
      </w:r>
    </w:p>
    <w:p w:rsidR="007E56EA" w:rsidRPr="007E56EA" w:rsidRDefault="007E56EA" w:rsidP="007E56EA">
      <w:pPr>
        <w:rPr>
          <w:rFonts w:ascii="Calibri" w:hAnsi="Calibri" w:cs="Calibri"/>
          <w:sz w:val="24"/>
          <w:szCs w:val="24"/>
        </w:rPr>
      </w:pPr>
    </w:p>
    <w:p w:rsidR="007E56EA" w:rsidRPr="007E56EA" w:rsidRDefault="007E56EA" w:rsidP="007E56EA">
      <w:pPr>
        <w:rPr>
          <w:rFonts w:ascii="Calibri" w:hAnsi="Calibri" w:cs="Calibri"/>
          <w:sz w:val="24"/>
          <w:szCs w:val="24"/>
        </w:rPr>
      </w:pPr>
      <w:r w:rsidRPr="007E56EA">
        <w:rPr>
          <w:rFonts w:ascii="Calibri" w:hAnsi="Calibri" w:cs="Calibri"/>
          <w:sz w:val="24"/>
          <w:szCs w:val="24"/>
        </w:rPr>
        <w:t xml:space="preserve">Therapeutic counselling and support to the young people in each TRC service is provided by </w:t>
      </w:r>
      <w:r w:rsidR="005704D2">
        <w:rPr>
          <w:rFonts w:ascii="Calibri" w:hAnsi="Calibri" w:cs="Calibri"/>
          <w:sz w:val="24"/>
          <w:szCs w:val="24"/>
        </w:rPr>
        <w:t>Evolve Interagency Services</w:t>
      </w:r>
      <w:r w:rsidRPr="007E56EA">
        <w:rPr>
          <w:rFonts w:ascii="Calibri" w:hAnsi="Calibri" w:cs="Calibri"/>
          <w:sz w:val="24"/>
          <w:szCs w:val="24"/>
        </w:rPr>
        <w:t xml:space="preserve">. While an evaluation of the implementation of the TRC Program has been undertaken, an evaluation of the outcomes for the young people referred to the TRC services was delayed until such time as all four TRC services had been operational for a reasonable period. The last TRC service to begin operation has now been operating for over 12 months. Preliminary discussions have begun with Evolve </w:t>
      </w:r>
      <w:r w:rsidR="005704D2">
        <w:rPr>
          <w:rFonts w:ascii="Calibri" w:hAnsi="Calibri" w:cs="Calibri"/>
          <w:sz w:val="24"/>
          <w:szCs w:val="24"/>
        </w:rPr>
        <w:t>Interagency</w:t>
      </w:r>
      <w:r w:rsidR="005704D2" w:rsidRPr="007E56EA">
        <w:rPr>
          <w:rFonts w:ascii="Calibri" w:hAnsi="Calibri" w:cs="Calibri"/>
          <w:sz w:val="24"/>
          <w:szCs w:val="24"/>
        </w:rPr>
        <w:t xml:space="preserve"> </w:t>
      </w:r>
      <w:r w:rsidRPr="007E56EA">
        <w:rPr>
          <w:rFonts w:ascii="Calibri" w:hAnsi="Calibri" w:cs="Calibri"/>
          <w:sz w:val="24"/>
          <w:szCs w:val="24"/>
        </w:rPr>
        <w:t xml:space="preserve">Services on an outcome evaluation. </w:t>
      </w:r>
    </w:p>
    <w:p w:rsidR="007E56EA" w:rsidRPr="007E56EA" w:rsidRDefault="007E56EA" w:rsidP="007E56EA">
      <w:pPr>
        <w:rPr>
          <w:rFonts w:ascii="Calibri" w:hAnsi="Calibri" w:cs="Calibri"/>
          <w:b/>
          <w:sz w:val="24"/>
          <w:szCs w:val="24"/>
        </w:rPr>
      </w:pPr>
    </w:p>
    <w:p w:rsidR="007E56EA" w:rsidRPr="007E56EA" w:rsidRDefault="007E56EA" w:rsidP="007E56EA">
      <w:pPr>
        <w:rPr>
          <w:rFonts w:ascii="Calibri" w:hAnsi="Calibri" w:cs="Calibri"/>
          <w:sz w:val="24"/>
          <w:szCs w:val="24"/>
        </w:rPr>
      </w:pPr>
      <w:r w:rsidRPr="009C5F74">
        <w:rPr>
          <w:rFonts w:ascii="Calibri" w:hAnsi="Calibri" w:cs="Calibri"/>
          <w:sz w:val="24"/>
          <w:szCs w:val="24"/>
        </w:rPr>
        <w:t>Queensland</w:t>
      </w:r>
      <w:r w:rsidRPr="007E56EA">
        <w:rPr>
          <w:rFonts w:ascii="Calibri" w:hAnsi="Calibri" w:cs="Calibri"/>
          <w:sz w:val="24"/>
          <w:szCs w:val="24"/>
        </w:rPr>
        <w:t xml:space="preserve"> hosted the Second National </w:t>
      </w:r>
      <w:r w:rsidR="005A03D9">
        <w:rPr>
          <w:rFonts w:ascii="Calibri" w:hAnsi="Calibri" w:cs="Calibri"/>
          <w:sz w:val="24"/>
          <w:szCs w:val="24"/>
        </w:rPr>
        <w:t xml:space="preserve">TRC </w:t>
      </w:r>
      <w:r w:rsidR="009C5F74">
        <w:rPr>
          <w:rFonts w:ascii="Calibri" w:hAnsi="Calibri" w:cs="Calibri"/>
          <w:sz w:val="24"/>
          <w:szCs w:val="24"/>
        </w:rPr>
        <w:t>Workshop in Brisbane on 11</w:t>
      </w:r>
      <w:r w:rsidR="00651D32">
        <w:rPr>
          <w:rFonts w:ascii="Calibri" w:hAnsi="Calibri" w:cs="Calibri"/>
          <w:sz w:val="24"/>
          <w:szCs w:val="24"/>
        </w:rPr>
        <w:t>–</w:t>
      </w:r>
      <w:r w:rsidRPr="007E56EA">
        <w:rPr>
          <w:rFonts w:ascii="Calibri" w:hAnsi="Calibri" w:cs="Calibri"/>
          <w:sz w:val="24"/>
          <w:szCs w:val="24"/>
        </w:rPr>
        <w:t>12 October 2012</w:t>
      </w:r>
      <w:r w:rsidR="00651D32">
        <w:rPr>
          <w:rFonts w:ascii="Calibri" w:hAnsi="Calibri" w:cs="Calibri"/>
          <w:sz w:val="24"/>
          <w:szCs w:val="24"/>
        </w:rPr>
        <w:t>.</w:t>
      </w:r>
      <w:r w:rsidRPr="007E56EA">
        <w:rPr>
          <w:rFonts w:ascii="Calibri" w:hAnsi="Calibri" w:cs="Calibri"/>
          <w:sz w:val="24"/>
          <w:szCs w:val="24"/>
        </w:rPr>
        <w:t xml:space="preserve"> </w:t>
      </w:r>
      <w:r w:rsidR="00651D32">
        <w:rPr>
          <w:rFonts w:ascii="Calibri" w:hAnsi="Calibri" w:cs="Calibri"/>
          <w:sz w:val="24"/>
          <w:szCs w:val="24"/>
        </w:rPr>
        <w:t>It</w:t>
      </w:r>
      <w:r w:rsidRPr="007E56EA">
        <w:rPr>
          <w:rFonts w:ascii="Calibri" w:hAnsi="Calibri" w:cs="Calibri"/>
          <w:sz w:val="24"/>
          <w:szCs w:val="24"/>
        </w:rPr>
        <w:t xml:space="preserve"> was attended by over 360 participants from across all jurisdictions. A key theme for the workshop was identifying best practice in </w:t>
      </w:r>
      <w:r w:rsidR="00CC16F4">
        <w:rPr>
          <w:rFonts w:ascii="Calibri" w:hAnsi="Calibri" w:cs="Calibri"/>
          <w:sz w:val="24"/>
          <w:szCs w:val="24"/>
        </w:rPr>
        <w:t>TRC</w:t>
      </w:r>
      <w:r w:rsidRPr="007E56EA">
        <w:rPr>
          <w:rFonts w:ascii="Calibri" w:hAnsi="Calibri" w:cs="Calibri"/>
          <w:sz w:val="24"/>
          <w:szCs w:val="24"/>
        </w:rPr>
        <w:t xml:space="preserve">. Other themes were working with the education sector, the role of clinicians in residential care, responding to sexualised behaviours and transitions to other models of care or adulthood. It also included mechanisms for future evaluation and ongoing development of services. Feedback from both government and </w:t>
      </w:r>
      <w:r w:rsidR="00C8305C">
        <w:rPr>
          <w:rFonts w:ascii="Calibri" w:hAnsi="Calibri" w:cs="Calibri"/>
          <w:sz w:val="24"/>
          <w:szCs w:val="24"/>
        </w:rPr>
        <w:t>community sector</w:t>
      </w:r>
      <w:r w:rsidRPr="007E56EA">
        <w:rPr>
          <w:rFonts w:ascii="Calibri" w:hAnsi="Calibri" w:cs="Calibri"/>
          <w:sz w:val="24"/>
          <w:szCs w:val="24"/>
        </w:rPr>
        <w:t xml:space="preserve"> participants was very positive. </w:t>
      </w:r>
    </w:p>
    <w:p w:rsidR="007E56EA" w:rsidRPr="007E56EA" w:rsidRDefault="007E56EA" w:rsidP="007E56EA">
      <w:pPr>
        <w:rPr>
          <w:rFonts w:ascii="Calibri" w:hAnsi="Calibri" w:cs="Calibri"/>
          <w:sz w:val="24"/>
          <w:szCs w:val="24"/>
        </w:rPr>
      </w:pPr>
    </w:p>
    <w:p w:rsidR="007E56EA" w:rsidRDefault="007E56EA" w:rsidP="007E56EA">
      <w:pPr>
        <w:rPr>
          <w:rFonts w:ascii="Calibri" w:hAnsi="Calibri" w:cs="Calibri"/>
          <w:sz w:val="24"/>
          <w:szCs w:val="24"/>
        </w:rPr>
      </w:pPr>
      <w:r w:rsidRPr="007E56EA">
        <w:rPr>
          <w:rFonts w:ascii="Calibri" w:hAnsi="Calibri" w:cs="Calibri"/>
          <w:sz w:val="24"/>
          <w:szCs w:val="24"/>
        </w:rPr>
        <w:t xml:space="preserve">Ministers </w:t>
      </w:r>
      <w:r w:rsidR="00F9488E">
        <w:rPr>
          <w:rFonts w:ascii="Calibri" w:hAnsi="Calibri" w:cs="Calibri"/>
          <w:sz w:val="24"/>
          <w:szCs w:val="24"/>
        </w:rPr>
        <w:t>have</w:t>
      </w:r>
      <w:r w:rsidR="00F9488E" w:rsidRPr="007E56EA">
        <w:rPr>
          <w:rFonts w:ascii="Calibri" w:hAnsi="Calibri" w:cs="Calibri"/>
          <w:sz w:val="24"/>
          <w:szCs w:val="24"/>
        </w:rPr>
        <w:t xml:space="preserve"> </w:t>
      </w:r>
      <w:r w:rsidRPr="007E56EA">
        <w:rPr>
          <w:rFonts w:ascii="Calibri" w:hAnsi="Calibri" w:cs="Calibri"/>
          <w:sz w:val="24"/>
          <w:szCs w:val="24"/>
        </w:rPr>
        <w:t xml:space="preserve">agreed that future directions </w:t>
      </w:r>
      <w:r w:rsidR="00F9488E">
        <w:rPr>
          <w:rFonts w:ascii="Calibri" w:hAnsi="Calibri" w:cs="Calibri"/>
          <w:sz w:val="24"/>
          <w:szCs w:val="24"/>
        </w:rPr>
        <w:t>in therapeutic responses to sexualised behaviours will</w:t>
      </w:r>
      <w:r w:rsidR="00F9488E" w:rsidRPr="007E56EA">
        <w:rPr>
          <w:rFonts w:ascii="Calibri" w:hAnsi="Calibri" w:cs="Calibri"/>
          <w:sz w:val="24"/>
          <w:szCs w:val="24"/>
        </w:rPr>
        <w:t xml:space="preserve"> </w:t>
      </w:r>
      <w:r w:rsidRPr="007E56EA">
        <w:rPr>
          <w:rFonts w:ascii="Calibri" w:hAnsi="Calibri" w:cs="Calibri"/>
          <w:sz w:val="24"/>
          <w:szCs w:val="24"/>
        </w:rPr>
        <w:t xml:space="preserve">be determined </w:t>
      </w:r>
      <w:r w:rsidR="00F9488E">
        <w:rPr>
          <w:rFonts w:ascii="Calibri" w:hAnsi="Calibri" w:cs="Calibri"/>
          <w:sz w:val="24"/>
          <w:szCs w:val="24"/>
        </w:rPr>
        <w:t>by</w:t>
      </w:r>
      <w:r w:rsidR="00F9488E" w:rsidRPr="007E56EA">
        <w:rPr>
          <w:rFonts w:ascii="Calibri" w:hAnsi="Calibri" w:cs="Calibri"/>
          <w:sz w:val="24"/>
          <w:szCs w:val="24"/>
        </w:rPr>
        <w:t xml:space="preserve"> </w:t>
      </w:r>
      <w:r w:rsidR="00C033C8">
        <w:rPr>
          <w:rFonts w:ascii="Calibri" w:hAnsi="Calibri" w:cs="Calibri"/>
          <w:sz w:val="24"/>
          <w:szCs w:val="24"/>
        </w:rPr>
        <w:t>CYCSPRWG</w:t>
      </w:r>
      <w:r w:rsidRPr="007E56EA">
        <w:rPr>
          <w:rFonts w:ascii="Calibri" w:hAnsi="Calibri" w:cs="Calibri"/>
          <w:sz w:val="24"/>
          <w:szCs w:val="24"/>
        </w:rPr>
        <w:t xml:space="preserve"> </w:t>
      </w:r>
      <w:r w:rsidR="00F9488E">
        <w:rPr>
          <w:rFonts w:ascii="Calibri" w:hAnsi="Calibri" w:cs="Calibri"/>
          <w:sz w:val="24"/>
          <w:szCs w:val="24"/>
        </w:rPr>
        <w:t>later in</w:t>
      </w:r>
      <w:r w:rsidRPr="007E56EA">
        <w:rPr>
          <w:rFonts w:ascii="Calibri" w:hAnsi="Calibri" w:cs="Calibri"/>
          <w:sz w:val="24"/>
          <w:szCs w:val="24"/>
        </w:rPr>
        <w:t xml:space="preserve"> 2013.</w:t>
      </w:r>
    </w:p>
    <w:p w:rsidR="00F56F9B" w:rsidRDefault="00F56F9B">
      <w:pPr>
        <w:rPr>
          <w:rFonts w:ascii="Arial" w:hAnsi="Arial"/>
          <w:bCs/>
          <w:color w:val="00755E"/>
          <w:sz w:val="24"/>
          <w:szCs w:val="26"/>
        </w:rPr>
      </w:pPr>
      <w:bookmarkStart w:id="214" w:name="_Toc400007784"/>
      <w:r>
        <w:br w:type="page"/>
      </w:r>
    </w:p>
    <w:p w:rsidR="00BD5D4E" w:rsidRDefault="00BD5D4E" w:rsidP="00ED097C">
      <w:pPr>
        <w:pStyle w:val="Heading3"/>
      </w:pPr>
      <w:r w:rsidRPr="00821556">
        <w:t>South Australia</w:t>
      </w:r>
      <w:bookmarkEnd w:id="214"/>
    </w:p>
    <w:p w:rsidR="003C75AF" w:rsidRPr="007847B7" w:rsidRDefault="003C75AF" w:rsidP="00F56F9B">
      <w:pPr>
        <w:pStyle w:val="Heading4"/>
      </w:pPr>
      <w:r w:rsidRPr="007847B7">
        <w:t>Working with Children Checks</w:t>
      </w:r>
    </w:p>
    <w:p w:rsidR="003C75AF" w:rsidRPr="00280510" w:rsidRDefault="003C75AF" w:rsidP="003C75AF">
      <w:pPr>
        <w:rPr>
          <w:rFonts w:ascii="Calibri" w:hAnsi="Calibri" w:cs="Calibri"/>
          <w:sz w:val="24"/>
          <w:szCs w:val="24"/>
        </w:rPr>
      </w:pPr>
      <w:r w:rsidRPr="00280510">
        <w:rPr>
          <w:rFonts w:ascii="Calibri" w:hAnsi="Calibri" w:cs="Calibri"/>
          <w:sz w:val="24"/>
          <w:szCs w:val="24"/>
        </w:rPr>
        <w:t xml:space="preserve">South Australia has participated in inter-jurisdictional discussions aimed at strengthening national consistency and effectiveness of </w:t>
      </w:r>
      <w:r w:rsidR="007712A8">
        <w:rPr>
          <w:rFonts w:ascii="Calibri" w:hAnsi="Calibri" w:cs="Calibri"/>
          <w:sz w:val="24"/>
          <w:szCs w:val="24"/>
        </w:rPr>
        <w:t>WWCC</w:t>
      </w:r>
      <w:r w:rsidRPr="00280510">
        <w:rPr>
          <w:rFonts w:ascii="Calibri" w:hAnsi="Calibri" w:cs="Calibri"/>
          <w:sz w:val="24"/>
          <w:szCs w:val="24"/>
        </w:rPr>
        <w:t xml:space="preserve">s through the </w:t>
      </w:r>
      <w:r w:rsidR="007712A8">
        <w:rPr>
          <w:rFonts w:ascii="Calibri" w:hAnsi="Calibri" w:cs="Calibri"/>
          <w:sz w:val="24"/>
          <w:szCs w:val="24"/>
        </w:rPr>
        <w:t>WWCC</w:t>
      </w:r>
      <w:r w:rsidRPr="00280510">
        <w:rPr>
          <w:rFonts w:ascii="Calibri" w:hAnsi="Calibri" w:cs="Calibri"/>
          <w:sz w:val="24"/>
          <w:szCs w:val="24"/>
        </w:rPr>
        <w:t xml:space="preserve"> working group and the Exchange of Criminal History Information for People Working with Children project implementation committee.</w:t>
      </w:r>
      <w:r w:rsidR="00A973E8">
        <w:rPr>
          <w:rFonts w:ascii="Calibri" w:hAnsi="Calibri" w:cs="Calibri"/>
          <w:sz w:val="24"/>
          <w:szCs w:val="24"/>
        </w:rPr>
        <w:t xml:space="preserve"> </w:t>
      </w:r>
    </w:p>
    <w:p w:rsidR="003C75AF" w:rsidRPr="00280510" w:rsidRDefault="003C75AF" w:rsidP="003C75AF">
      <w:pPr>
        <w:rPr>
          <w:rFonts w:ascii="Calibri" w:hAnsi="Calibri" w:cs="Calibri"/>
          <w:sz w:val="24"/>
          <w:szCs w:val="24"/>
        </w:rPr>
      </w:pPr>
    </w:p>
    <w:p w:rsidR="001E4AE9" w:rsidRDefault="003C75AF" w:rsidP="003C75AF">
      <w:pPr>
        <w:rPr>
          <w:rFonts w:ascii="Calibri" w:hAnsi="Calibri" w:cs="Calibri"/>
          <w:sz w:val="24"/>
          <w:szCs w:val="24"/>
        </w:rPr>
      </w:pPr>
      <w:r w:rsidRPr="00280510">
        <w:rPr>
          <w:rFonts w:ascii="Calibri" w:hAnsi="Calibri" w:cs="Calibri"/>
          <w:sz w:val="24"/>
          <w:szCs w:val="24"/>
        </w:rPr>
        <w:t>The phasing in of criminal history assessment requirements for people working with or around children or their records in prescribed positions continued during 2012</w:t>
      </w:r>
      <w:r w:rsidR="00280510">
        <w:rPr>
          <w:rFonts w:ascii="Calibri" w:hAnsi="Calibri" w:cs="Calibri"/>
          <w:sz w:val="24"/>
          <w:szCs w:val="24"/>
        </w:rPr>
        <w:t>–</w:t>
      </w:r>
      <w:r w:rsidRPr="00280510">
        <w:rPr>
          <w:rFonts w:ascii="Calibri" w:hAnsi="Calibri" w:cs="Calibri"/>
          <w:sz w:val="24"/>
          <w:szCs w:val="24"/>
        </w:rPr>
        <w:t>13.</w:t>
      </w:r>
      <w:r w:rsidR="00A973E8">
        <w:rPr>
          <w:rFonts w:ascii="Calibri" w:hAnsi="Calibri" w:cs="Calibri"/>
          <w:sz w:val="24"/>
          <w:szCs w:val="24"/>
        </w:rPr>
        <w:t xml:space="preserve"> </w:t>
      </w:r>
      <w:r w:rsidRPr="00280510">
        <w:rPr>
          <w:rFonts w:ascii="Calibri" w:hAnsi="Calibri" w:cs="Calibri"/>
          <w:sz w:val="24"/>
          <w:szCs w:val="24"/>
        </w:rPr>
        <w:t>During this period, information about establishing child</w:t>
      </w:r>
      <w:r w:rsidR="00280510">
        <w:rPr>
          <w:rFonts w:ascii="Calibri" w:hAnsi="Calibri" w:cs="Calibri"/>
          <w:sz w:val="24"/>
          <w:szCs w:val="24"/>
        </w:rPr>
        <w:t>-</w:t>
      </w:r>
      <w:r w:rsidRPr="00280510">
        <w:rPr>
          <w:rFonts w:ascii="Calibri" w:hAnsi="Calibri" w:cs="Calibri"/>
          <w:sz w:val="24"/>
          <w:szCs w:val="24"/>
        </w:rPr>
        <w:t>safe environments, including the requirement to conduct criminal history assessments, was provided to affected organisations and individuals in South Australia through a number of pathways, including information sessions</w:t>
      </w:r>
      <w:r w:rsidR="00280510">
        <w:rPr>
          <w:rFonts w:ascii="Calibri" w:hAnsi="Calibri" w:cs="Calibri"/>
          <w:sz w:val="24"/>
          <w:szCs w:val="24"/>
        </w:rPr>
        <w:t>,</w:t>
      </w:r>
      <w:r w:rsidRPr="00280510">
        <w:rPr>
          <w:rFonts w:ascii="Calibri" w:hAnsi="Calibri" w:cs="Calibri"/>
          <w:sz w:val="24"/>
          <w:szCs w:val="24"/>
        </w:rPr>
        <w:t xml:space="preserve"> website information and the delivery of child</w:t>
      </w:r>
      <w:r w:rsidR="00280510">
        <w:rPr>
          <w:rFonts w:ascii="Calibri" w:hAnsi="Calibri" w:cs="Calibri"/>
          <w:sz w:val="24"/>
          <w:szCs w:val="24"/>
        </w:rPr>
        <w:t>-</w:t>
      </w:r>
      <w:r w:rsidRPr="00280510">
        <w:rPr>
          <w:rFonts w:ascii="Calibri" w:hAnsi="Calibri" w:cs="Calibri"/>
          <w:sz w:val="24"/>
          <w:szCs w:val="24"/>
        </w:rPr>
        <w:t>safe environments:</w:t>
      </w:r>
      <w:r w:rsidR="00A973E8">
        <w:rPr>
          <w:rFonts w:ascii="Calibri" w:hAnsi="Calibri" w:cs="Calibri"/>
          <w:sz w:val="24"/>
          <w:szCs w:val="24"/>
        </w:rPr>
        <w:t xml:space="preserve"> </w:t>
      </w:r>
      <w:r w:rsidRPr="00280510">
        <w:rPr>
          <w:rFonts w:ascii="Calibri" w:hAnsi="Calibri" w:cs="Calibri"/>
          <w:sz w:val="24"/>
          <w:szCs w:val="24"/>
        </w:rPr>
        <w:t>reporting child abuse and neglect training.</w:t>
      </w:r>
      <w:r w:rsidR="00A973E8">
        <w:rPr>
          <w:rFonts w:ascii="Calibri" w:hAnsi="Calibri" w:cs="Calibri"/>
          <w:sz w:val="24"/>
          <w:szCs w:val="24"/>
        </w:rPr>
        <w:t xml:space="preserve"> </w:t>
      </w:r>
      <w:r w:rsidRPr="00280510">
        <w:rPr>
          <w:rFonts w:ascii="Calibri" w:hAnsi="Calibri" w:cs="Calibri"/>
          <w:sz w:val="24"/>
          <w:szCs w:val="24"/>
        </w:rPr>
        <w:t>The phasing in of criminal history assessments for people working with children will be complete by the end of 2013.</w:t>
      </w:r>
    </w:p>
    <w:p w:rsidR="001E4AE9" w:rsidRPr="00F56F9B" w:rsidRDefault="00F56F9B" w:rsidP="00F56F9B">
      <w:pPr>
        <w:pStyle w:val="Heading4"/>
        <w:rPr>
          <w:lang w:val="en-AU"/>
        </w:rPr>
      </w:pPr>
      <w:r>
        <w:t>Responding to Sexual Abuse</w:t>
      </w:r>
    </w:p>
    <w:p w:rsidR="001E4AE9" w:rsidRDefault="0058576F" w:rsidP="001E4AE9">
      <w:pPr>
        <w:rPr>
          <w:rFonts w:ascii="Calibri" w:hAnsi="Calibri" w:cs="Calibri"/>
          <w:sz w:val="24"/>
          <w:szCs w:val="24"/>
        </w:rPr>
      </w:pPr>
      <w:r>
        <w:rPr>
          <w:rFonts w:ascii="Calibri" w:hAnsi="Calibri" w:cs="Calibri"/>
          <w:sz w:val="24"/>
          <w:szCs w:val="24"/>
        </w:rPr>
        <w:t xml:space="preserve">DECD </w:t>
      </w:r>
      <w:r w:rsidR="00162D58">
        <w:rPr>
          <w:rFonts w:ascii="Calibri" w:hAnsi="Calibri" w:cs="Calibri"/>
          <w:sz w:val="24"/>
          <w:szCs w:val="24"/>
        </w:rPr>
        <w:t>(F</w:t>
      </w:r>
      <w:r w:rsidR="001E4AE9" w:rsidRPr="001E4AE9">
        <w:rPr>
          <w:rFonts w:ascii="Calibri" w:hAnsi="Calibri" w:cs="Calibri"/>
          <w:sz w:val="24"/>
          <w:szCs w:val="24"/>
        </w:rPr>
        <w:t xml:space="preserve">amilies </w:t>
      </w:r>
      <w:r w:rsidR="00162D58">
        <w:rPr>
          <w:rFonts w:ascii="Calibri" w:hAnsi="Calibri" w:cs="Calibri"/>
          <w:sz w:val="24"/>
          <w:szCs w:val="24"/>
        </w:rPr>
        <w:t>SA) R</w:t>
      </w:r>
      <w:r w:rsidR="001E4AE9" w:rsidRPr="001E4AE9">
        <w:rPr>
          <w:rFonts w:ascii="Calibri" w:hAnsi="Calibri" w:cs="Calibri"/>
          <w:sz w:val="24"/>
          <w:szCs w:val="24"/>
        </w:rPr>
        <w:t>esident</w:t>
      </w:r>
      <w:r w:rsidR="00162D58">
        <w:rPr>
          <w:rFonts w:ascii="Calibri" w:hAnsi="Calibri" w:cs="Calibri"/>
          <w:sz w:val="24"/>
          <w:szCs w:val="24"/>
        </w:rPr>
        <w:t>ial C</w:t>
      </w:r>
      <w:r w:rsidR="001E4AE9" w:rsidRPr="001E4AE9">
        <w:rPr>
          <w:rFonts w:ascii="Calibri" w:hAnsi="Calibri" w:cs="Calibri"/>
          <w:sz w:val="24"/>
          <w:szCs w:val="24"/>
        </w:rPr>
        <w:t xml:space="preserve">are </w:t>
      </w:r>
      <w:r w:rsidR="00213308">
        <w:rPr>
          <w:rFonts w:ascii="Calibri" w:hAnsi="Calibri" w:cs="Calibri"/>
          <w:sz w:val="24"/>
          <w:szCs w:val="24"/>
        </w:rPr>
        <w:t xml:space="preserve">has </w:t>
      </w:r>
      <w:r w:rsidR="001E4AE9" w:rsidRPr="001E4AE9">
        <w:rPr>
          <w:rFonts w:ascii="Calibri" w:hAnsi="Calibri" w:cs="Calibri"/>
          <w:sz w:val="24"/>
          <w:szCs w:val="24"/>
        </w:rPr>
        <w:t xml:space="preserve">developed a practice guide </w:t>
      </w:r>
      <w:r w:rsidR="00213308" w:rsidRPr="00213308">
        <w:rPr>
          <w:rFonts w:ascii="Calibri" w:hAnsi="Calibri" w:cs="Calibri"/>
          <w:sz w:val="24"/>
          <w:szCs w:val="24"/>
        </w:rPr>
        <w:t xml:space="preserve">and training module for Residential Care </w:t>
      </w:r>
      <w:r w:rsidR="001E4AE9" w:rsidRPr="001E4AE9">
        <w:rPr>
          <w:rFonts w:ascii="Calibri" w:hAnsi="Calibri" w:cs="Calibri"/>
          <w:sz w:val="24"/>
          <w:szCs w:val="24"/>
        </w:rPr>
        <w:t>to increase understanding and guide practice resp</w:t>
      </w:r>
      <w:r w:rsidR="00162D58">
        <w:rPr>
          <w:rFonts w:ascii="Calibri" w:hAnsi="Calibri" w:cs="Calibri"/>
          <w:sz w:val="24"/>
          <w:szCs w:val="24"/>
        </w:rPr>
        <w:t>onses to sexualised behaviour</w:t>
      </w:r>
      <w:r w:rsidR="00213308" w:rsidRPr="00213308">
        <w:t xml:space="preserve"> </w:t>
      </w:r>
      <w:r w:rsidR="00213308" w:rsidRPr="00213308">
        <w:rPr>
          <w:rFonts w:ascii="Calibri" w:hAnsi="Calibri" w:cs="Calibri"/>
          <w:sz w:val="24"/>
          <w:szCs w:val="24"/>
        </w:rPr>
        <w:t>in children and young people</w:t>
      </w:r>
      <w:r w:rsidR="00162D58">
        <w:rPr>
          <w:rFonts w:ascii="Calibri" w:hAnsi="Calibri" w:cs="Calibri"/>
          <w:sz w:val="24"/>
          <w:szCs w:val="24"/>
        </w:rPr>
        <w:t xml:space="preserve">. </w:t>
      </w:r>
      <w:r w:rsidR="00213308" w:rsidRPr="00213308">
        <w:rPr>
          <w:rFonts w:ascii="Calibri" w:hAnsi="Calibri" w:cs="Calibri"/>
          <w:sz w:val="24"/>
          <w:szCs w:val="24"/>
        </w:rPr>
        <w:t>Collaborative strategies</w:t>
      </w:r>
      <w:r w:rsidR="00213308">
        <w:rPr>
          <w:rFonts w:ascii="Calibri" w:hAnsi="Calibri" w:cs="Calibri"/>
          <w:sz w:val="24"/>
          <w:szCs w:val="24"/>
        </w:rPr>
        <w:t>,</w:t>
      </w:r>
      <w:r w:rsidR="00213308" w:rsidRPr="00213308">
        <w:rPr>
          <w:rFonts w:ascii="Calibri" w:hAnsi="Calibri" w:cs="Calibri"/>
          <w:sz w:val="24"/>
          <w:szCs w:val="24"/>
        </w:rPr>
        <w:t xml:space="preserve"> involving Residential Care, Famil</w:t>
      </w:r>
      <w:r w:rsidR="004F2C2D">
        <w:rPr>
          <w:rFonts w:ascii="Calibri" w:hAnsi="Calibri" w:cs="Calibri"/>
          <w:sz w:val="24"/>
          <w:szCs w:val="24"/>
        </w:rPr>
        <w:t>i</w:t>
      </w:r>
      <w:r w:rsidR="00213308" w:rsidRPr="00213308">
        <w:rPr>
          <w:rFonts w:ascii="Calibri" w:hAnsi="Calibri" w:cs="Calibri"/>
          <w:sz w:val="24"/>
          <w:szCs w:val="24"/>
        </w:rPr>
        <w:t>es SA Psychological Services and multiple health agencies</w:t>
      </w:r>
      <w:r w:rsidR="00213308">
        <w:rPr>
          <w:rFonts w:ascii="Calibri" w:hAnsi="Calibri" w:cs="Calibri"/>
          <w:sz w:val="24"/>
          <w:szCs w:val="24"/>
        </w:rPr>
        <w:t>,</w:t>
      </w:r>
      <w:r w:rsidR="00213308" w:rsidRPr="00213308">
        <w:rPr>
          <w:rFonts w:ascii="Calibri" w:hAnsi="Calibri" w:cs="Calibri"/>
          <w:sz w:val="24"/>
          <w:szCs w:val="24"/>
        </w:rPr>
        <w:t xml:space="preserve"> are being used </w:t>
      </w:r>
      <w:r w:rsidR="00213308">
        <w:rPr>
          <w:rFonts w:ascii="Calibri" w:hAnsi="Calibri" w:cs="Calibri"/>
          <w:sz w:val="24"/>
          <w:szCs w:val="24"/>
        </w:rPr>
        <w:t>t</w:t>
      </w:r>
      <w:r w:rsidR="009C5F74" w:rsidRPr="009C5F74">
        <w:rPr>
          <w:rFonts w:ascii="Calibri" w:hAnsi="Calibri" w:cs="Calibri"/>
          <w:sz w:val="24"/>
          <w:szCs w:val="24"/>
        </w:rPr>
        <w:t>o maximise support for children and young people who have been sexually abused and/or demonstrate concerning sexualised b</w:t>
      </w:r>
      <w:r w:rsidR="009C5F74">
        <w:rPr>
          <w:rFonts w:ascii="Calibri" w:hAnsi="Calibri" w:cs="Calibri"/>
          <w:sz w:val="24"/>
          <w:szCs w:val="24"/>
        </w:rPr>
        <w:t>ehaviour.</w:t>
      </w:r>
    </w:p>
    <w:p w:rsidR="009C5F74" w:rsidRPr="001E4AE9" w:rsidRDefault="009C5F74" w:rsidP="001E4AE9">
      <w:pPr>
        <w:rPr>
          <w:rFonts w:ascii="Calibri" w:hAnsi="Calibri" w:cs="Calibri"/>
          <w:caps/>
          <w:sz w:val="24"/>
          <w:szCs w:val="24"/>
        </w:rPr>
      </w:pPr>
    </w:p>
    <w:p w:rsidR="001E4AE9" w:rsidRDefault="00213308" w:rsidP="001E4AE9">
      <w:pPr>
        <w:rPr>
          <w:rFonts w:ascii="Calibri" w:hAnsi="Calibri" w:cs="Calibri"/>
          <w:sz w:val="24"/>
          <w:szCs w:val="24"/>
        </w:rPr>
      </w:pPr>
      <w:r w:rsidRPr="00213308">
        <w:rPr>
          <w:rFonts w:ascii="Calibri" w:hAnsi="Calibri" w:cs="Calibri"/>
          <w:sz w:val="24"/>
          <w:szCs w:val="24"/>
        </w:rPr>
        <w:t xml:space="preserve">Yarrow Place Rape and Sexual Assault Service </w:t>
      </w:r>
      <w:r w:rsidR="001E4AE9" w:rsidRPr="001E4AE9">
        <w:rPr>
          <w:rFonts w:ascii="Calibri" w:hAnsi="Calibri" w:cs="Calibri"/>
          <w:sz w:val="24"/>
          <w:szCs w:val="24"/>
        </w:rPr>
        <w:t>provide</w:t>
      </w:r>
      <w:r>
        <w:rPr>
          <w:rFonts w:ascii="Calibri" w:hAnsi="Calibri" w:cs="Calibri"/>
          <w:sz w:val="24"/>
          <w:szCs w:val="24"/>
        </w:rPr>
        <w:t>s</w:t>
      </w:r>
      <w:r w:rsidR="001E4AE9" w:rsidRPr="001E4AE9">
        <w:rPr>
          <w:rFonts w:ascii="Calibri" w:hAnsi="Calibri" w:cs="Calibri"/>
          <w:sz w:val="24"/>
          <w:szCs w:val="24"/>
        </w:rPr>
        <w:t xml:space="preserve"> an intensive therapeutic and mobile service to young people over</w:t>
      </w:r>
      <w:r w:rsidR="009C5F74">
        <w:rPr>
          <w:rFonts w:ascii="Calibri" w:hAnsi="Calibri" w:cs="Calibri"/>
          <w:sz w:val="24"/>
          <w:szCs w:val="24"/>
        </w:rPr>
        <w:t xml:space="preserve"> 12 years of age,</w:t>
      </w:r>
      <w:r w:rsidR="00162D58">
        <w:rPr>
          <w:rFonts w:ascii="Calibri" w:hAnsi="Calibri" w:cs="Calibri"/>
          <w:sz w:val="24"/>
          <w:szCs w:val="24"/>
        </w:rPr>
        <w:t xml:space="preserve"> under the Guardianship of the M</w:t>
      </w:r>
      <w:r w:rsidR="001E4AE9" w:rsidRPr="001E4AE9">
        <w:rPr>
          <w:rFonts w:ascii="Calibri" w:hAnsi="Calibri" w:cs="Calibri"/>
          <w:sz w:val="24"/>
          <w:szCs w:val="24"/>
        </w:rPr>
        <w:t>inister,</w:t>
      </w:r>
      <w:r w:rsidR="00162D58">
        <w:rPr>
          <w:rFonts w:ascii="Calibri" w:hAnsi="Calibri" w:cs="Calibri"/>
          <w:sz w:val="24"/>
          <w:szCs w:val="24"/>
        </w:rPr>
        <w:t xml:space="preserve"> </w:t>
      </w:r>
      <w:r w:rsidR="009C5F74">
        <w:rPr>
          <w:rFonts w:ascii="Calibri" w:hAnsi="Calibri" w:cs="Calibri"/>
          <w:sz w:val="24"/>
          <w:szCs w:val="24"/>
        </w:rPr>
        <w:t>who</w:t>
      </w:r>
      <w:r w:rsidR="00162D58">
        <w:rPr>
          <w:rFonts w:ascii="Calibri" w:hAnsi="Calibri" w:cs="Calibri"/>
          <w:sz w:val="24"/>
          <w:szCs w:val="24"/>
        </w:rPr>
        <w:t xml:space="preserve"> have complex care needs.</w:t>
      </w:r>
      <w:r w:rsidR="007764A2">
        <w:rPr>
          <w:rFonts w:ascii="Calibri" w:hAnsi="Calibri" w:cs="Calibri"/>
          <w:sz w:val="24"/>
          <w:szCs w:val="24"/>
        </w:rPr>
        <w:t xml:space="preserve"> </w:t>
      </w:r>
      <w:r w:rsidR="00162D58">
        <w:rPr>
          <w:rFonts w:ascii="Calibri" w:hAnsi="Calibri" w:cs="Calibri"/>
          <w:sz w:val="24"/>
          <w:szCs w:val="24"/>
        </w:rPr>
        <w:t>T</w:t>
      </w:r>
      <w:r w:rsidR="001E4AE9" w:rsidRPr="001E4AE9">
        <w:rPr>
          <w:rFonts w:ascii="Calibri" w:hAnsi="Calibri" w:cs="Calibri"/>
          <w:sz w:val="24"/>
          <w:szCs w:val="24"/>
        </w:rPr>
        <w:t>he</w:t>
      </w:r>
      <w:r w:rsidR="00865299">
        <w:rPr>
          <w:rFonts w:ascii="Calibri" w:hAnsi="Calibri" w:cs="Calibri"/>
          <w:sz w:val="24"/>
          <w:szCs w:val="24"/>
        </w:rPr>
        <w:t xml:space="preserve"> service has been established </w:t>
      </w:r>
      <w:r>
        <w:rPr>
          <w:rFonts w:ascii="Calibri" w:hAnsi="Calibri" w:cs="Calibri"/>
          <w:sz w:val="24"/>
          <w:szCs w:val="24"/>
        </w:rPr>
        <w:t xml:space="preserve">in response to the </w:t>
      </w:r>
      <w:r w:rsidR="001E4AE9" w:rsidRPr="001E4AE9">
        <w:rPr>
          <w:rFonts w:ascii="Calibri" w:hAnsi="Calibri" w:cs="Calibri"/>
          <w:sz w:val="24"/>
          <w:szCs w:val="24"/>
        </w:rPr>
        <w:t xml:space="preserve">difficulty </w:t>
      </w:r>
      <w:r>
        <w:rPr>
          <w:rFonts w:ascii="Calibri" w:hAnsi="Calibri" w:cs="Calibri"/>
          <w:sz w:val="24"/>
          <w:szCs w:val="24"/>
        </w:rPr>
        <w:t xml:space="preserve">these young people </w:t>
      </w:r>
      <w:r w:rsidR="00280510">
        <w:rPr>
          <w:rFonts w:ascii="Calibri" w:hAnsi="Calibri" w:cs="Calibri"/>
          <w:sz w:val="24"/>
          <w:szCs w:val="24"/>
        </w:rPr>
        <w:t>experience</w:t>
      </w:r>
      <w:r>
        <w:rPr>
          <w:rFonts w:ascii="Calibri" w:hAnsi="Calibri" w:cs="Calibri"/>
          <w:sz w:val="24"/>
          <w:szCs w:val="24"/>
        </w:rPr>
        <w:t xml:space="preserve"> </w:t>
      </w:r>
      <w:r w:rsidR="001E4AE9" w:rsidRPr="001E4AE9">
        <w:rPr>
          <w:rFonts w:ascii="Calibri" w:hAnsi="Calibri" w:cs="Calibri"/>
          <w:sz w:val="24"/>
          <w:szCs w:val="24"/>
        </w:rPr>
        <w:t>engaging in mainstream therapeutic services</w:t>
      </w:r>
      <w:r>
        <w:rPr>
          <w:rFonts w:ascii="Calibri" w:hAnsi="Calibri" w:cs="Calibri"/>
          <w:sz w:val="24"/>
          <w:szCs w:val="24"/>
        </w:rPr>
        <w:t>.</w:t>
      </w:r>
      <w:r w:rsidR="001E4AE9" w:rsidRPr="001E4AE9">
        <w:rPr>
          <w:rFonts w:ascii="Calibri" w:hAnsi="Calibri" w:cs="Calibri"/>
          <w:sz w:val="24"/>
          <w:szCs w:val="24"/>
        </w:rPr>
        <w:t xml:space="preserve"> </w:t>
      </w:r>
      <w:r w:rsidRPr="00213308">
        <w:rPr>
          <w:rFonts w:ascii="Calibri" w:hAnsi="Calibri" w:cs="Calibri"/>
          <w:sz w:val="24"/>
          <w:szCs w:val="24"/>
        </w:rPr>
        <w:t xml:space="preserve">The aim of the therapeutic care team is to support the young person to increase a sense of safety and reduce the risks of sexual exploitation and absconding from care. The care model is a relationship-based approach whereby key people involved in the young person’s life work as part of a therapeutic care team to support the young person. The young person is also a member of the therapeutic care team, and </w:t>
      </w:r>
      <w:r w:rsidR="00280510">
        <w:rPr>
          <w:rFonts w:ascii="Calibri" w:hAnsi="Calibri" w:cs="Calibri"/>
          <w:sz w:val="24"/>
          <w:szCs w:val="24"/>
        </w:rPr>
        <w:t>her</w:t>
      </w:r>
      <w:r w:rsidR="00F0493A">
        <w:rPr>
          <w:rFonts w:ascii="Calibri" w:hAnsi="Calibri" w:cs="Calibri"/>
          <w:sz w:val="24"/>
          <w:szCs w:val="24"/>
        </w:rPr>
        <w:t xml:space="preserve"> or </w:t>
      </w:r>
      <w:r w:rsidR="00280510">
        <w:rPr>
          <w:rFonts w:ascii="Calibri" w:hAnsi="Calibri" w:cs="Calibri"/>
          <w:sz w:val="24"/>
          <w:szCs w:val="24"/>
        </w:rPr>
        <w:t>his</w:t>
      </w:r>
      <w:r w:rsidRPr="00213308">
        <w:rPr>
          <w:rFonts w:ascii="Calibri" w:hAnsi="Calibri" w:cs="Calibri"/>
          <w:sz w:val="24"/>
          <w:szCs w:val="24"/>
        </w:rPr>
        <w:t xml:space="preserve"> views are essential to decision making.</w:t>
      </w:r>
    </w:p>
    <w:p w:rsidR="00317563" w:rsidRDefault="00317563" w:rsidP="001E4AE9">
      <w:pPr>
        <w:rPr>
          <w:rFonts w:ascii="Calibri" w:hAnsi="Calibri" w:cs="Calibri"/>
          <w:sz w:val="24"/>
          <w:szCs w:val="24"/>
        </w:rPr>
      </w:pPr>
    </w:p>
    <w:p w:rsidR="00317563" w:rsidRDefault="00213308" w:rsidP="00317563">
      <w:pPr>
        <w:rPr>
          <w:rFonts w:ascii="Calibri" w:hAnsi="Calibri" w:cs="Calibri"/>
          <w:sz w:val="24"/>
          <w:szCs w:val="24"/>
        </w:rPr>
      </w:pPr>
      <w:r>
        <w:rPr>
          <w:rFonts w:ascii="Calibri" w:hAnsi="Calibri" w:cs="Calibri"/>
          <w:sz w:val="24"/>
          <w:szCs w:val="24"/>
        </w:rPr>
        <w:t>DCSI</w:t>
      </w:r>
      <w:r w:rsidRPr="00213308">
        <w:rPr>
          <w:rFonts w:ascii="Calibri" w:hAnsi="Calibri" w:cs="Calibri"/>
          <w:sz w:val="24"/>
          <w:szCs w:val="24"/>
        </w:rPr>
        <w:t xml:space="preserve">, through the Family and Community Development Program, funds three </w:t>
      </w:r>
      <w:r w:rsidR="00317563" w:rsidRPr="00317563">
        <w:rPr>
          <w:rFonts w:ascii="Calibri" w:hAnsi="Calibri" w:cs="Calibri"/>
          <w:sz w:val="24"/>
          <w:szCs w:val="24"/>
        </w:rPr>
        <w:t xml:space="preserve">programs which work with survivors of child sexual abuse. These </w:t>
      </w:r>
      <w:r w:rsidR="00057066">
        <w:rPr>
          <w:rFonts w:ascii="Calibri" w:hAnsi="Calibri" w:cs="Calibri"/>
          <w:sz w:val="24"/>
          <w:szCs w:val="24"/>
        </w:rPr>
        <w:t xml:space="preserve">programs </w:t>
      </w:r>
      <w:r>
        <w:rPr>
          <w:rFonts w:ascii="Calibri" w:hAnsi="Calibri" w:cs="Calibri"/>
          <w:sz w:val="24"/>
          <w:szCs w:val="24"/>
        </w:rPr>
        <w:t>include</w:t>
      </w:r>
      <w:r w:rsidRPr="00317563">
        <w:rPr>
          <w:rFonts w:ascii="Calibri" w:hAnsi="Calibri" w:cs="Calibri"/>
          <w:sz w:val="24"/>
          <w:szCs w:val="24"/>
        </w:rPr>
        <w:t xml:space="preserve"> </w:t>
      </w:r>
      <w:r w:rsidR="00317563" w:rsidRPr="00317563">
        <w:rPr>
          <w:rFonts w:ascii="Calibri" w:hAnsi="Calibri" w:cs="Calibri"/>
          <w:sz w:val="24"/>
          <w:szCs w:val="24"/>
        </w:rPr>
        <w:t>professional counselling and support for parents of children who have been sexually assaulted. Additional strategies include:</w:t>
      </w:r>
    </w:p>
    <w:p w:rsidR="00317563" w:rsidRPr="009C5F74" w:rsidRDefault="00057066" w:rsidP="00BC71C3">
      <w:pPr>
        <w:pStyle w:val="ListBullet"/>
      </w:pPr>
      <w:r>
        <w:t>i</w:t>
      </w:r>
      <w:r w:rsidR="00317563" w:rsidRPr="009C5F74">
        <w:t xml:space="preserve">nformation </w:t>
      </w:r>
      <w:r>
        <w:t>s</w:t>
      </w:r>
      <w:r w:rsidR="00317563" w:rsidRPr="009C5F74">
        <w:t>essions for groups of non-offending parents and professionals</w:t>
      </w:r>
    </w:p>
    <w:p w:rsidR="00317563" w:rsidRPr="009C5F74" w:rsidRDefault="00057066" w:rsidP="00BC71C3">
      <w:pPr>
        <w:pStyle w:val="ListBullet"/>
      </w:pPr>
      <w:proofErr w:type="gramStart"/>
      <w:r>
        <w:t>n</w:t>
      </w:r>
      <w:r w:rsidR="00317563" w:rsidRPr="009C5F74">
        <w:t>etwork</w:t>
      </w:r>
      <w:proofErr w:type="gramEnd"/>
      <w:r w:rsidR="00317563" w:rsidRPr="009C5F74">
        <w:t xml:space="preserve"> meetings for workers who are counselling and supporting children who have been sexually assaulted</w:t>
      </w:r>
      <w:r w:rsidR="00DD4BAE">
        <w:t>,</w:t>
      </w:r>
      <w:r w:rsidR="00317563" w:rsidRPr="009C5F74">
        <w:t xml:space="preserve"> and their parents.</w:t>
      </w:r>
    </w:p>
    <w:p w:rsidR="00BC71C3" w:rsidRDefault="00BC71C3" w:rsidP="00317563">
      <w:pPr>
        <w:rPr>
          <w:rFonts w:ascii="Calibri" w:hAnsi="Calibri" w:cs="Calibri"/>
          <w:sz w:val="24"/>
          <w:szCs w:val="24"/>
        </w:rPr>
      </w:pPr>
    </w:p>
    <w:p w:rsidR="00747C66" w:rsidRPr="00317563" w:rsidRDefault="00317563" w:rsidP="00317563">
      <w:pPr>
        <w:rPr>
          <w:rFonts w:ascii="Calibri" w:hAnsi="Calibri" w:cs="Calibri"/>
          <w:sz w:val="24"/>
          <w:szCs w:val="24"/>
        </w:rPr>
      </w:pPr>
      <w:r w:rsidRPr="00057066">
        <w:rPr>
          <w:rFonts w:ascii="Calibri" w:hAnsi="Calibri" w:cs="Calibri"/>
          <w:sz w:val="24"/>
          <w:szCs w:val="24"/>
        </w:rPr>
        <w:t>SA Health Child Protection Service</w:t>
      </w:r>
      <w:r w:rsidR="00717A9B" w:rsidRPr="00057066">
        <w:rPr>
          <w:rFonts w:ascii="Calibri" w:hAnsi="Calibri" w:cs="Calibri"/>
          <w:sz w:val="24"/>
          <w:szCs w:val="24"/>
        </w:rPr>
        <w:t>, through its Sexualised Behaviour Treatment Program,</w:t>
      </w:r>
      <w:r w:rsidRPr="00057066">
        <w:rPr>
          <w:rFonts w:ascii="Calibri" w:hAnsi="Calibri" w:cs="Calibri"/>
          <w:sz w:val="24"/>
          <w:szCs w:val="24"/>
        </w:rPr>
        <w:t xml:space="preserve"> provides consultation and training to </w:t>
      </w:r>
      <w:r w:rsidR="00E41395">
        <w:rPr>
          <w:rFonts w:ascii="Calibri" w:hAnsi="Calibri" w:cs="Calibri"/>
          <w:sz w:val="24"/>
          <w:szCs w:val="24"/>
        </w:rPr>
        <w:t xml:space="preserve">both </w:t>
      </w:r>
      <w:r w:rsidRPr="00057066">
        <w:rPr>
          <w:rFonts w:ascii="Calibri" w:hAnsi="Calibri" w:cs="Calibri"/>
          <w:sz w:val="24"/>
          <w:szCs w:val="24"/>
        </w:rPr>
        <w:t>governme</w:t>
      </w:r>
      <w:r w:rsidR="009C5F74" w:rsidRPr="00057066">
        <w:rPr>
          <w:rFonts w:ascii="Calibri" w:hAnsi="Calibri" w:cs="Calibri"/>
          <w:sz w:val="24"/>
          <w:szCs w:val="24"/>
        </w:rPr>
        <w:t xml:space="preserve">nt and </w:t>
      </w:r>
      <w:r w:rsidR="00F332C2">
        <w:rPr>
          <w:rFonts w:ascii="Calibri" w:hAnsi="Calibri" w:cs="Calibri"/>
          <w:sz w:val="24"/>
          <w:szCs w:val="24"/>
        </w:rPr>
        <w:t>community</w:t>
      </w:r>
      <w:r w:rsidR="009C5F74" w:rsidRPr="00057066">
        <w:rPr>
          <w:rFonts w:ascii="Calibri" w:hAnsi="Calibri" w:cs="Calibri"/>
          <w:sz w:val="24"/>
          <w:szCs w:val="24"/>
        </w:rPr>
        <w:t xml:space="preserve"> </w:t>
      </w:r>
      <w:r w:rsidRPr="00057066">
        <w:rPr>
          <w:rFonts w:ascii="Calibri" w:hAnsi="Calibri" w:cs="Calibri"/>
          <w:sz w:val="24"/>
          <w:szCs w:val="24"/>
        </w:rPr>
        <w:t xml:space="preserve">services, including </w:t>
      </w:r>
      <w:r w:rsidR="009C5F74" w:rsidRPr="00057066">
        <w:rPr>
          <w:rFonts w:ascii="Calibri" w:hAnsi="Calibri" w:cs="Calibri"/>
          <w:sz w:val="24"/>
          <w:szCs w:val="24"/>
        </w:rPr>
        <w:t xml:space="preserve">health services and </w:t>
      </w:r>
      <w:r w:rsidRPr="00057066">
        <w:rPr>
          <w:rFonts w:ascii="Calibri" w:hAnsi="Calibri" w:cs="Calibri"/>
          <w:sz w:val="24"/>
          <w:szCs w:val="24"/>
        </w:rPr>
        <w:t xml:space="preserve">child protection services. </w:t>
      </w:r>
      <w:r w:rsidR="00717A9B" w:rsidRPr="00057066">
        <w:rPr>
          <w:rFonts w:ascii="Calibri" w:hAnsi="Calibri" w:cs="Calibri"/>
          <w:sz w:val="24"/>
          <w:szCs w:val="24"/>
        </w:rPr>
        <w:t>Specialised</w:t>
      </w:r>
      <w:r w:rsidRPr="00057066">
        <w:rPr>
          <w:rFonts w:ascii="Calibri" w:hAnsi="Calibri" w:cs="Calibri"/>
          <w:sz w:val="24"/>
          <w:szCs w:val="24"/>
        </w:rPr>
        <w:t xml:space="preserve"> training in relation to trauma</w:t>
      </w:r>
      <w:r w:rsidR="00717A9B" w:rsidRPr="00057066">
        <w:rPr>
          <w:rFonts w:ascii="Calibri" w:hAnsi="Calibri" w:cs="Calibri"/>
          <w:sz w:val="24"/>
          <w:szCs w:val="24"/>
        </w:rPr>
        <w:t xml:space="preserve"> and child </w:t>
      </w:r>
      <w:r w:rsidRPr="00057066">
        <w:rPr>
          <w:rFonts w:ascii="Calibri" w:hAnsi="Calibri" w:cs="Calibri"/>
          <w:sz w:val="24"/>
          <w:szCs w:val="24"/>
        </w:rPr>
        <w:t xml:space="preserve">abuse </w:t>
      </w:r>
      <w:r w:rsidR="00717A9B" w:rsidRPr="00057066">
        <w:rPr>
          <w:rFonts w:ascii="Calibri" w:hAnsi="Calibri" w:cs="Calibri"/>
          <w:sz w:val="24"/>
          <w:szCs w:val="24"/>
        </w:rPr>
        <w:t xml:space="preserve">is also provided </w:t>
      </w:r>
      <w:r w:rsidRPr="00057066">
        <w:rPr>
          <w:rFonts w:ascii="Calibri" w:hAnsi="Calibri" w:cs="Calibri"/>
          <w:sz w:val="24"/>
          <w:szCs w:val="24"/>
        </w:rPr>
        <w:t xml:space="preserve">to </w:t>
      </w:r>
      <w:r w:rsidR="00865299" w:rsidRPr="00057066">
        <w:rPr>
          <w:rFonts w:ascii="Calibri" w:hAnsi="Calibri" w:cs="Calibri"/>
          <w:sz w:val="24"/>
          <w:szCs w:val="24"/>
        </w:rPr>
        <w:t xml:space="preserve">government and </w:t>
      </w:r>
      <w:r w:rsidR="007A20D3">
        <w:rPr>
          <w:rFonts w:ascii="Calibri" w:hAnsi="Calibri" w:cs="Calibri"/>
          <w:sz w:val="24"/>
          <w:szCs w:val="24"/>
        </w:rPr>
        <w:t>community</w:t>
      </w:r>
      <w:r w:rsidRPr="00057066">
        <w:rPr>
          <w:rFonts w:ascii="Calibri" w:hAnsi="Calibri" w:cs="Calibri"/>
          <w:sz w:val="24"/>
          <w:szCs w:val="24"/>
        </w:rPr>
        <w:t xml:space="preserve"> agencies, </w:t>
      </w:r>
      <w:r w:rsidR="00717A9B" w:rsidRPr="00057066">
        <w:rPr>
          <w:rFonts w:ascii="Calibri" w:hAnsi="Calibri" w:cs="Calibri"/>
          <w:sz w:val="24"/>
          <w:szCs w:val="24"/>
        </w:rPr>
        <w:t xml:space="preserve">including hospital emergency departments and other health services, DECD and </w:t>
      </w:r>
      <w:r w:rsidRPr="00057066">
        <w:rPr>
          <w:rFonts w:ascii="Calibri" w:hAnsi="Calibri" w:cs="Calibri"/>
          <w:sz w:val="24"/>
          <w:szCs w:val="24"/>
        </w:rPr>
        <w:t>Victims of Crime Service.</w:t>
      </w:r>
    </w:p>
    <w:p w:rsidR="00317563" w:rsidRPr="00ED097C" w:rsidRDefault="00317563" w:rsidP="00BD5D4E">
      <w:pPr>
        <w:rPr>
          <w:rFonts w:ascii="Calibri" w:hAnsi="Calibri" w:cs="Calibri"/>
          <w:b/>
          <w:sz w:val="24"/>
          <w:szCs w:val="24"/>
        </w:rPr>
      </w:pPr>
    </w:p>
    <w:p w:rsidR="005812D2" w:rsidRDefault="005812D2">
      <w:pPr>
        <w:rPr>
          <w:rFonts w:ascii="Arial" w:hAnsi="Arial"/>
          <w:bCs/>
          <w:color w:val="00B050"/>
          <w:sz w:val="26"/>
          <w:szCs w:val="26"/>
        </w:rPr>
      </w:pPr>
      <w:r>
        <w:br w:type="page"/>
      </w:r>
    </w:p>
    <w:p w:rsidR="00BD5D4E" w:rsidRPr="00821556" w:rsidRDefault="00BD5D4E" w:rsidP="00ED097C">
      <w:pPr>
        <w:pStyle w:val="Heading3"/>
      </w:pPr>
      <w:bookmarkStart w:id="215" w:name="_Toc400007785"/>
      <w:r w:rsidRPr="00821556">
        <w:t>Tasmania</w:t>
      </w:r>
      <w:bookmarkEnd w:id="215"/>
    </w:p>
    <w:p w:rsidR="00FC0C9A" w:rsidRPr="00F56F9B" w:rsidRDefault="00F56F9B" w:rsidP="00F56F9B">
      <w:pPr>
        <w:pStyle w:val="Heading4"/>
        <w:rPr>
          <w:lang w:val="en-AU"/>
        </w:rPr>
      </w:pPr>
      <w:r>
        <w:t>Working with Children Checks</w:t>
      </w:r>
    </w:p>
    <w:p w:rsidR="00FC0C9A" w:rsidRPr="00CE266C" w:rsidRDefault="00FC0C9A" w:rsidP="00FC0C9A">
      <w:pPr>
        <w:rPr>
          <w:rFonts w:ascii="Calibri" w:hAnsi="Calibri" w:cs="Calibri"/>
          <w:sz w:val="24"/>
          <w:szCs w:val="24"/>
        </w:rPr>
      </w:pPr>
      <w:r w:rsidRPr="00CE266C">
        <w:rPr>
          <w:rFonts w:ascii="Calibri" w:hAnsi="Calibri" w:cs="Calibri"/>
          <w:sz w:val="24"/>
          <w:szCs w:val="24"/>
        </w:rPr>
        <w:t>Through a COAG decision, Tasmania committed to the development of a nationally consistent approach to background checking and risk assessment for people intending to work with children.</w:t>
      </w:r>
      <w:r w:rsidR="007764A2">
        <w:rPr>
          <w:rFonts w:ascii="Calibri" w:hAnsi="Calibri" w:cs="Calibri"/>
          <w:sz w:val="24"/>
          <w:szCs w:val="24"/>
        </w:rPr>
        <w:t xml:space="preserve"> </w:t>
      </w:r>
      <w:r w:rsidRPr="00CE266C">
        <w:rPr>
          <w:rFonts w:ascii="Calibri" w:hAnsi="Calibri" w:cs="Calibri"/>
          <w:sz w:val="24"/>
          <w:szCs w:val="24"/>
        </w:rPr>
        <w:t xml:space="preserve">This includes the implementation of a national framework for inter-jurisdictional exchange of criminal history for people working with children. </w:t>
      </w:r>
    </w:p>
    <w:p w:rsidR="00FC0C9A" w:rsidRDefault="00FC0C9A" w:rsidP="00FC0C9A">
      <w:pPr>
        <w:rPr>
          <w:rFonts w:ascii="Calibri" w:hAnsi="Calibri" w:cs="Calibri"/>
          <w:sz w:val="24"/>
          <w:szCs w:val="24"/>
        </w:rPr>
      </w:pPr>
    </w:p>
    <w:p w:rsidR="00FC0C9A" w:rsidRPr="00CE266C" w:rsidRDefault="00FC0C9A" w:rsidP="00FC0C9A">
      <w:pPr>
        <w:rPr>
          <w:rFonts w:ascii="Calibri" w:hAnsi="Calibri" w:cs="Calibri"/>
          <w:sz w:val="24"/>
          <w:szCs w:val="24"/>
        </w:rPr>
      </w:pPr>
      <w:r w:rsidRPr="00CE266C">
        <w:rPr>
          <w:rFonts w:ascii="Calibri" w:hAnsi="Calibri" w:cs="Calibri"/>
          <w:sz w:val="24"/>
          <w:szCs w:val="24"/>
        </w:rPr>
        <w:t>Tasmania is in the process of making the legislative and administrative changes necessary to support participation in the national exchange of criminal history information for people working with children and</w:t>
      </w:r>
      <w:r w:rsidR="00BC71C3">
        <w:rPr>
          <w:rFonts w:ascii="Calibri" w:hAnsi="Calibri" w:cs="Calibri"/>
          <w:sz w:val="24"/>
          <w:szCs w:val="24"/>
        </w:rPr>
        <w:t xml:space="preserve"> is </w:t>
      </w:r>
      <w:r w:rsidRPr="00CE266C">
        <w:rPr>
          <w:rFonts w:ascii="Calibri" w:hAnsi="Calibri" w:cs="Calibri"/>
          <w:sz w:val="24"/>
          <w:szCs w:val="24"/>
        </w:rPr>
        <w:t>establish</w:t>
      </w:r>
      <w:r w:rsidR="00BC71C3">
        <w:rPr>
          <w:rFonts w:ascii="Calibri" w:hAnsi="Calibri" w:cs="Calibri"/>
          <w:sz w:val="24"/>
          <w:szCs w:val="24"/>
        </w:rPr>
        <w:t>ing</w:t>
      </w:r>
      <w:r w:rsidRPr="00CE266C">
        <w:rPr>
          <w:rFonts w:ascii="Calibri" w:hAnsi="Calibri" w:cs="Calibri"/>
          <w:sz w:val="24"/>
          <w:szCs w:val="24"/>
        </w:rPr>
        <w:t xml:space="preserve"> a centralised screening unit. Tasmania will also extend background checking and risk assessment to people working with vulnerable people, with screening for </w:t>
      </w:r>
      <w:r w:rsidR="00C116B1">
        <w:rPr>
          <w:rFonts w:ascii="Calibri" w:hAnsi="Calibri" w:cs="Calibri"/>
          <w:sz w:val="24"/>
          <w:szCs w:val="24"/>
        </w:rPr>
        <w:t xml:space="preserve">working with </w:t>
      </w:r>
      <w:r w:rsidRPr="00CE266C">
        <w:rPr>
          <w:rFonts w:ascii="Calibri" w:hAnsi="Calibri" w:cs="Calibri"/>
          <w:sz w:val="24"/>
          <w:szCs w:val="24"/>
        </w:rPr>
        <w:t>children to be implemented first.</w:t>
      </w:r>
      <w:r w:rsidR="00E448B9">
        <w:rPr>
          <w:rFonts w:ascii="Calibri" w:hAnsi="Calibri" w:cs="Calibri"/>
          <w:sz w:val="24"/>
          <w:szCs w:val="24"/>
        </w:rPr>
        <w:t xml:space="preserve"> </w:t>
      </w:r>
      <w:r w:rsidR="00E448B9" w:rsidRPr="00E448B9">
        <w:rPr>
          <w:rFonts w:ascii="Calibri" w:hAnsi="Calibri" w:cs="Calibri"/>
          <w:sz w:val="24"/>
          <w:szCs w:val="24"/>
        </w:rPr>
        <w:t xml:space="preserve">A Bill facilitating this has been tabled and </w:t>
      </w:r>
      <w:r w:rsidR="00057066">
        <w:rPr>
          <w:rFonts w:ascii="Calibri" w:hAnsi="Calibri" w:cs="Calibri"/>
          <w:sz w:val="24"/>
          <w:szCs w:val="24"/>
        </w:rPr>
        <w:t xml:space="preserve">was </w:t>
      </w:r>
      <w:r w:rsidR="00E448B9" w:rsidRPr="00E448B9">
        <w:rPr>
          <w:rFonts w:ascii="Calibri" w:hAnsi="Calibri" w:cs="Calibri"/>
          <w:sz w:val="24"/>
          <w:szCs w:val="24"/>
        </w:rPr>
        <w:t>passed in the House of Assembly on 14 November 2013.</w:t>
      </w:r>
    </w:p>
    <w:p w:rsidR="00053415" w:rsidRPr="00F56F9B" w:rsidRDefault="00F56F9B" w:rsidP="00F56F9B">
      <w:pPr>
        <w:pStyle w:val="Heading4"/>
        <w:rPr>
          <w:lang w:val="en-AU"/>
        </w:rPr>
      </w:pPr>
      <w:r>
        <w:t>Responding to Sexual Abuse</w:t>
      </w:r>
    </w:p>
    <w:p w:rsidR="00DC15D4" w:rsidRPr="00DC15D4" w:rsidRDefault="00DC15D4" w:rsidP="00DC15D4">
      <w:pPr>
        <w:rPr>
          <w:rFonts w:ascii="Calibri" w:hAnsi="Calibri" w:cs="Calibri"/>
          <w:sz w:val="24"/>
          <w:szCs w:val="24"/>
        </w:rPr>
      </w:pPr>
      <w:r w:rsidRPr="00DC15D4">
        <w:rPr>
          <w:rFonts w:ascii="Calibri" w:hAnsi="Calibri" w:cs="Calibri"/>
          <w:sz w:val="24"/>
          <w:szCs w:val="24"/>
        </w:rPr>
        <w:t xml:space="preserve">Medical management and forensic assessments for children and </w:t>
      </w:r>
      <w:r w:rsidR="009C5F74">
        <w:rPr>
          <w:rFonts w:ascii="Calibri" w:hAnsi="Calibri" w:cs="Calibri"/>
          <w:sz w:val="24"/>
          <w:szCs w:val="24"/>
        </w:rPr>
        <w:t>young people 0</w:t>
      </w:r>
      <w:r w:rsidR="00C116B1">
        <w:rPr>
          <w:rFonts w:ascii="Calibri" w:hAnsi="Calibri" w:cs="Calibri"/>
          <w:sz w:val="24"/>
          <w:szCs w:val="24"/>
        </w:rPr>
        <w:t>–</w:t>
      </w:r>
      <w:r w:rsidR="009C5F74">
        <w:rPr>
          <w:rFonts w:ascii="Calibri" w:hAnsi="Calibri" w:cs="Calibri"/>
          <w:sz w:val="24"/>
          <w:szCs w:val="24"/>
        </w:rPr>
        <w:t xml:space="preserve">17 years of age </w:t>
      </w:r>
      <w:r w:rsidRPr="00DC15D4">
        <w:rPr>
          <w:rFonts w:ascii="Calibri" w:hAnsi="Calibri" w:cs="Calibri"/>
          <w:sz w:val="24"/>
          <w:szCs w:val="24"/>
        </w:rPr>
        <w:t>with suspected/alleged sexual abuse are managed by the paediatric sexual abuse care service in Southern Tasmani</w:t>
      </w:r>
      <w:r w:rsidR="009C5F74">
        <w:rPr>
          <w:rFonts w:ascii="Calibri" w:hAnsi="Calibri" w:cs="Calibri"/>
          <w:sz w:val="24"/>
          <w:szCs w:val="24"/>
        </w:rPr>
        <w:t xml:space="preserve">a. The service </w:t>
      </w:r>
      <w:r w:rsidR="00BC71C3">
        <w:rPr>
          <w:rFonts w:ascii="Calibri" w:hAnsi="Calibri" w:cs="Calibri"/>
          <w:sz w:val="24"/>
          <w:szCs w:val="24"/>
        </w:rPr>
        <w:t>comprises</w:t>
      </w:r>
      <w:r w:rsidR="009C5F74">
        <w:rPr>
          <w:rFonts w:ascii="Calibri" w:hAnsi="Calibri" w:cs="Calibri"/>
          <w:sz w:val="24"/>
          <w:szCs w:val="24"/>
        </w:rPr>
        <w:t xml:space="preserve"> four</w:t>
      </w:r>
      <w:r w:rsidRPr="00DC15D4">
        <w:rPr>
          <w:rFonts w:ascii="Calibri" w:hAnsi="Calibri" w:cs="Calibri"/>
          <w:sz w:val="24"/>
          <w:szCs w:val="24"/>
        </w:rPr>
        <w:t xml:space="preserve"> paediatricians on a </w:t>
      </w:r>
      <w:r w:rsidR="00C116B1" w:rsidRPr="00DC15D4">
        <w:rPr>
          <w:rFonts w:ascii="Calibri" w:hAnsi="Calibri" w:cs="Calibri"/>
          <w:sz w:val="24"/>
          <w:szCs w:val="24"/>
        </w:rPr>
        <w:t>24</w:t>
      </w:r>
      <w:r w:rsidR="00C116B1">
        <w:rPr>
          <w:rFonts w:ascii="Calibri" w:hAnsi="Calibri" w:cs="Calibri"/>
          <w:sz w:val="24"/>
          <w:szCs w:val="24"/>
        </w:rPr>
        <w:t>-</w:t>
      </w:r>
      <w:r w:rsidRPr="00DC15D4">
        <w:rPr>
          <w:rFonts w:ascii="Calibri" w:hAnsi="Calibri" w:cs="Calibri"/>
          <w:sz w:val="24"/>
          <w:szCs w:val="24"/>
        </w:rPr>
        <w:t>hour roster</w:t>
      </w:r>
      <w:r w:rsidR="009C5F74">
        <w:rPr>
          <w:rFonts w:ascii="Calibri" w:hAnsi="Calibri" w:cs="Calibri"/>
          <w:sz w:val="24"/>
          <w:szCs w:val="24"/>
        </w:rPr>
        <w:t>,</w:t>
      </w:r>
      <w:r w:rsidRPr="00DC15D4">
        <w:rPr>
          <w:rFonts w:ascii="Calibri" w:hAnsi="Calibri" w:cs="Calibri"/>
          <w:sz w:val="24"/>
          <w:szCs w:val="24"/>
        </w:rPr>
        <w:t xml:space="preserve"> supported by experienced nursing staff. Referrals are accepted from </w:t>
      </w:r>
      <w:r w:rsidR="009C5F74">
        <w:rPr>
          <w:rFonts w:ascii="Calibri" w:hAnsi="Calibri" w:cs="Calibri"/>
          <w:sz w:val="24"/>
          <w:szCs w:val="24"/>
        </w:rPr>
        <w:t>general practitioners</w:t>
      </w:r>
      <w:r w:rsidRPr="00DC15D4">
        <w:rPr>
          <w:rFonts w:ascii="Calibri" w:hAnsi="Calibri" w:cs="Calibri"/>
          <w:sz w:val="24"/>
          <w:szCs w:val="24"/>
        </w:rPr>
        <w:t xml:space="preserve">, Child Protection and </w:t>
      </w:r>
      <w:r w:rsidR="00DA6ECA">
        <w:rPr>
          <w:rFonts w:ascii="Calibri" w:hAnsi="Calibri" w:cs="Calibri"/>
          <w:sz w:val="24"/>
          <w:szCs w:val="24"/>
        </w:rPr>
        <w:t>p</w:t>
      </w:r>
      <w:r w:rsidRPr="00DC15D4">
        <w:rPr>
          <w:rFonts w:ascii="Calibri" w:hAnsi="Calibri" w:cs="Calibri"/>
          <w:sz w:val="24"/>
          <w:szCs w:val="24"/>
        </w:rPr>
        <w:t>olice</w:t>
      </w:r>
      <w:r w:rsidR="009C5F74">
        <w:rPr>
          <w:rFonts w:ascii="Calibri" w:hAnsi="Calibri" w:cs="Calibri"/>
          <w:sz w:val="24"/>
          <w:szCs w:val="24"/>
        </w:rPr>
        <w:t>,</w:t>
      </w:r>
      <w:r w:rsidRPr="00DC15D4">
        <w:rPr>
          <w:rFonts w:ascii="Calibri" w:hAnsi="Calibri" w:cs="Calibri"/>
          <w:sz w:val="24"/>
          <w:szCs w:val="24"/>
        </w:rPr>
        <w:t xml:space="preserve"> via phone calls through the hospital switchboard for direct contact with the rostered paediatrician on call for the week.</w:t>
      </w:r>
    </w:p>
    <w:p w:rsidR="00DC15D4" w:rsidRDefault="00DC15D4" w:rsidP="00DC15D4">
      <w:pPr>
        <w:rPr>
          <w:rFonts w:ascii="Calibri" w:hAnsi="Calibri" w:cs="Calibri"/>
          <w:sz w:val="24"/>
          <w:szCs w:val="24"/>
        </w:rPr>
      </w:pPr>
    </w:p>
    <w:p w:rsidR="00DC15D4" w:rsidRPr="00DC15D4" w:rsidRDefault="00DC15D4" w:rsidP="00DC15D4">
      <w:pPr>
        <w:rPr>
          <w:rFonts w:ascii="Calibri" w:hAnsi="Calibri" w:cs="Calibri"/>
          <w:sz w:val="24"/>
          <w:szCs w:val="24"/>
        </w:rPr>
      </w:pPr>
      <w:r w:rsidRPr="00DC15D4">
        <w:rPr>
          <w:rFonts w:ascii="Calibri" w:hAnsi="Calibri" w:cs="Calibri"/>
          <w:sz w:val="24"/>
          <w:szCs w:val="24"/>
        </w:rPr>
        <w:t>Peer review meetings are held monthly with Paediatrics, Police and Ch</w:t>
      </w:r>
      <w:r w:rsidR="009C5F74">
        <w:rPr>
          <w:rFonts w:ascii="Calibri" w:hAnsi="Calibri" w:cs="Calibri"/>
          <w:sz w:val="24"/>
          <w:szCs w:val="24"/>
        </w:rPr>
        <w:t xml:space="preserve">ild Protection to discuss cases, </w:t>
      </w:r>
      <w:r w:rsidRPr="00DC15D4">
        <w:rPr>
          <w:rFonts w:ascii="Calibri" w:hAnsi="Calibri" w:cs="Calibri"/>
          <w:sz w:val="24"/>
          <w:szCs w:val="24"/>
        </w:rPr>
        <w:t>notifications and other related matters.</w:t>
      </w:r>
    </w:p>
    <w:p w:rsidR="00DC15D4" w:rsidRDefault="00DC15D4" w:rsidP="00DC15D4">
      <w:pPr>
        <w:rPr>
          <w:rFonts w:ascii="Calibri" w:hAnsi="Calibri" w:cs="Calibri"/>
          <w:sz w:val="24"/>
          <w:szCs w:val="24"/>
        </w:rPr>
      </w:pPr>
    </w:p>
    <w:p w:rsidR="00E448B9" w:rsidRPr="00E448B9" w:rsidRDefault="00E448B9" w:rsidP="00E448B9">
      <w:pPr>
        <w:rPr>
          <w:rFonts w:ascii="Calibri" w:hAnsi="Calibri" w:cs="Calibri"/>
          <w:sz w:val="24"/>
          <w:szCs w:val="24"/>
        </w:rPr>
      </w:pPr>
      <w:r w:rsidRPr="00E448B9">
        <w:rPr>
          <w:rFonts w:ascii="Calibri" w:hAnsi="Calibri" w:cs="Calibri"/>
          <w:sz w:val="24"/>
          <w:szCs w:val="24"/>
        </w:rPr>
        <w:t xml:space="preserve">Tasmania has strengthened provisions under the </w:t>
      </w:r>
      <w:r w:rsidRPr="00057066">
        <w:rPr>
          <w:rFonts w:ascii="Calibri" w:hAnsi="Calibri" w:cs="Calibri"/>
          <w:i/>
          <w:sz w:val="24"/>
          <w:szCs w:val="24"/>
        </w:rPr>
        <w:t>Criminal Code Act 1924</w:t>
      </w:r>
      <w:r w:rsidRPr="00E448B9">
        <w:rPr>
          <w:rFonts w:ascii="Calibri" w:hAnsi="Calibri" w:cs="Calibri"/>
          <w:sz w:val="24"/>
          <w:szCs w:val="24"/>
        </w:rPr>
        <w:t xml:space="preserve"> to protect young people by limiting the circumstances where honest and reasonable mistake as to a young person’s age can be raised as a defence. </w:t>
      </w:r>
    </w:p>
    <w:p w:rsidR="00E448B9" w:rsidRPr="00E448B9" w:rsidRDefault="00E448B9" w:rsidP="00057066">
      <w:pPr>
        <w:pStyle w:val="ListBullet"/>
      </w:pPr>
      <w:r w:rsidRPr="00E448B9">
        <w:t>Mistake as to age can no longer be raised in relation to a sexual offence against a young person who is under 13 years of age</w:t>
      </w:r>
      <w:r w:rsidR="00057066">
        <w:t>.</w:t>
      </w:r>
    </w:p>
    <w:p w:rsidR="00E448B9" w:rsidRPr="00E448B9" w:rsidRDefault="00E448B9" w:rsidP="00057066">
      <w:pPr>
        <w:pStyle w:val="ListBullet"/>
      </w:pPr>
      <w:r w:rsidRPr="00E448B9">
        <w:t xml:space="preserve">For mistake as to age for </w:t>
      </w:r>
      <w:r w:rsidR="00057066">
        <w:t xml:space="preserve">a </w:t>
      </w:r>
      <w:r w:rsidRPr="00E448B9">
        <w:t>young person between 13 and 17 to be found honest and reasonable</w:t>
      </w:r>
      <w:r w:rsidR="00534C85">
        <w:t>,</w:t>
      </w:r>
      <w:r w:rsidRPr="00E448B9">
        <w:t xml:space="preserve"> the accused must have taken all reasonable steps to ascertain the actual age of the young person</w:t>
      </w:r>
      <w:r w:rsidR="00057066">
        <w:t>,</w:t>
      </w:r>
      <w:r w:rsidRPr="00E448B9">
        <w:t xml:space="preserve"> and the mistake must not be one made as a result of self-induced intoxication of the accused</w:t>
      </w:r>
      <w:r w:rsidR="00057066">
        <w:t>.</w:t>
      </w:r>
    </w:p>
    <w:p w:rsidR="00E448B9" w:rsidRPr="00E448B9" w:rsidRDefault="00E448B9" w:rsidP="00057066">
      <w:pPr>
        <w:pStyle w:val="ListBullet"/>
      </w:pPr>
      <w:r w:rsidRPr="00E448B9">
        <w:t>The mistake as to age provisions will still apply where there is a similarity in ages between the young person and the accused, but not in any case where the young person is under 13 years of age</w:t>
      </w:r>
      <w:r w:rsidR="00057066">
        <w:t>.</w:t>
      </w:r>
      <w:r w:rsidRPr="00E448B9">
        <w:t xml:space="preserve"> </w:t>
      </w:r>
    </w:p>
    <w:p w:rsidR="00E448B9" w:rsidRDefault="00E448B9" w:rsidP="00057066">
      <w:pPr>
        <w:pStyle w:val="ListBullet"/>
      </w:pPr>
      <w:r w:rsidRPr="00E448B9">
        <w:t xml:space="preserve">For the crime of maintaining a sexual relationship with a young person, which requires proof of an unlawful sexual act against a young person on at least three occasions, up to two unlawful act/s </w:t>
      </w:r>
      <w:r w:rsidR="00057066" w:rsidRPr="00E448B9">
        <w:t>committed</w:t>
      </w:r>
      <w:r w:rsidRPr="00E448B9">
        <w:t xml:space="preserve"> outside Tasmania can be considered</w:t>
      </w:r>
      <w:r w:rsidR="00057066">
        <w:t>,</w:t>
      </w:r>
      <w:r w:rsidRPr="00E448B9">
        <w:t xml:space="preserve"> provided those acts would constitute an unlawful sexual act in the </w:t>
      </w:r>
      <w:r w:rsidR="00057066">
        <w:t>s</w:t>
      </w:r>
      <w:r w:rsidRPr="00E448B9">
        <w:t>tate within which it was committed and also under Tasmanian law.</w:t>
      </w:r>
    </w:p>
    <w:p w:rsidR="00E448B9" w:rsidRPr="00E448B9" w:rsidRDefault="00E448B9" w:rsidP="00E448B9">
      <w:pPr>
        <w:ind w:left="709" w:hanging="709"/>
        <w:rPr>
          <w:rFonts w:ascii="Calibri" w:hAnsi="Calibri" w:cs="Calibri"/>
          <w:sz w:val="24"/>
          <w:szCs w:val="24"/>
        </w:rPr>
      </w:pPr>
    </w:p>
    <w:p w:rsidR="00CE266C" w:rsidRDefault="00E448B9" w:rsidP="00E448B9">
      <w:pPr>
        <w:rPr>
          <w:rFonts w:ascii="Calibri" w:hAnsi="Calibri" w:cs="Calibri"/>
          <w:sz w:val="24"/>
          <w:szCs w:val="24"/>
        </w:rPr>
      </w:pPr>
      <w:r w:rsidRPr="00E448B9">
        <w:rPr>
          <w:rFonts w:ascii="Calibri" w:hAnsi="Calibri" w:cs="Calibri"/>
          <w:sz w:val="24"/>
          <w:szCs w:val="24"/>
        </w:rPr>
        <w:t>The</w:t>
      </w:r>
      <w:r w:rsidR="00057066">
        <w:rPr>
          <w:rFonts w:ascii="Calibri" w:hAnsi="Calibri" w:cs="Calibri"/>
          <w:sz w:val="24"/>
          <w:szCs w:val="24"/>
        </w:rPr>
        <w:t>se</w:t>
      </w:r>
      <w:r w:rsidRPr="00E448B9">
        <w:rPr>
          <w:rFonts w:ascii="Calibri" w:hAnsi="Calibri" w:cs="Calibri"/>
          <w:sz w:val="24"/>
          <w:szCs w:val="24"/>
        </w:rPr>
        <w:t xml:space="preserve"> amendments to the </w:t>
      </w:r>
      <w:r w:rsidRPr="005E0BDA">
        <w:rPr>
          <w:rFonts w:ascii="Calibri" w:hAnsi="Calibri" w:cs="Calibri"/>
          <w:i/>
          <w:sz w:val="24"/>
          <w:szCs w:val="24"/>
        </w:rPr>
        <w:t>Criminal Code Act 1924</w:t>
      </w:r>
      <w:r w:rsidRPr="00E448B9">
        <w:rPr>
          <w:rFonts w:ascii="Calibri" w:hAnsi="Calibri" w:cs="Calibri"/>
          <w:sz w:val="24"/>
          <w:szCs w:val="24"/>
        </w:rPr>
        <w:t xml:space="preserve"> </w:t>
      </w:r>
      <w:r w:rsidR="00057066">
        <w:rPr>
          <w:rFonts w:ascii="Calibri" w:hAnsi="Calibri" w:cs="Calibri"/>
          <w:sz w:val="24"/>
          <w:szCs w:val="24"/>
        </w:rPr>
        <w:t>came into effect</w:t>
      </w:r>
      <w:r w:rsidRPr="00E448B9">
        <w:rPr>
          <w:rFonts w:ascii="Calibri" w:hAnsi="Calibri" w:cs="Calibri"/>
          <w:sz w:val="24"/>
          <w:szCs w:val="24"/>
        </w:rPr>
        <w:t xml:space="preserve"> on 8 October 2013.</w:t>
      </w:r>
    </w:p>
    <w:p w:rsidR="00BD5D4E" w:rsidRDefault="00BD5D4E" w:rsidP="005812D2">
      <w:pPr>
        <w:pStyle w:val="Heading3"/>
      </w:pPr>
      <w:bookmarkStart w:id="216" w:name="_Toc400007786"/>
      <w:r w:rsidRPr="006F52EA">
        <w:t>Victoria</w:t>
      </w:r>
      <w:bookmarkEnd w:id="216"/>
    </w:p>
    <w:p w:rsidR="001C71CA" w:rsidRPr="007847B7" w:rsidRDefault="001C71CA" w:rsidP="00F56F9B">
      <w:pPr>
        <w:pStyle w:val="Heading4"/>
      </w:pPr>
      <w:r w:rsidRPr="007847B7">
        <w:t>Working with Children Checks</w:t>
      </w:r>
    </w:p>
    <w:p w:rsidR="001C71CA" w:rsidRPr="001C71CA" w:rsidRDefault="001C71CA" w:rsidP="00AE7DB5">
      <w:pPr>
        <w:rPr>
          <w:rFonts w:ascii="Calibri" w:hAnsi="Calibri" w:cs="Calibri"/>
          <w:sz w:val="24"/>
          <w:szCs w:val="24"/>
        </w:rPr>
      </w:pPr>
      <w:r w:rsidRPr="001C71CA">
        <w:rPr>
          <w:rFonts w:ascii="Calibri" w:hAnsi="Calibri" w:cs="Calibri"/>
          <w:sz w:val="24"/>
          <w:szCs w:val="24"/>
        </w:rPr>
        <w:t xml:space="preserve">Victoria is a representative on the recently reconvened </w:t>
      </w:r>
      <w:r w:rsidR="007712A8">
        <w:rPr>
          <w:rFonts w:ascii="Calibri" w:hAnsi="Calibri" w:cs="Calibri"/>
          <w:sz w:val="24"/>
          <w:szCs w:val="24"/>
        </w:rPr>
        <w:t>WWCC</w:t>
      </w:r>
      <w:r w:rsidRPr="001C71CA">
        <w:rPr>
          <w:rFonts w:ascii="Calibri" w:hAnsi="Calibri" w:cs="Calibri"/>
          <w:sz w:val="24"/>
          <w:szCs w:val="24"/>
        </w:rPr>
        <w:t xml:space="preserve"> </w:t>
      </w:r>
      <w:r w:rsidR="00097279">
        <w:rPr>
          <w:rFonts w:ascii="Calibri" w:hAnsi="Calibri" w:cs="Calibri"/>
          <w:sz w:val="24"/>
          <w:szCs w:val="24"/>
        </w:rPr>
        <w:t>w</w:t>
      </w:r>
      <w:r w:rsidRPr="001C71CA">
        <w:rPr>
          <w:rFonts w:ascii="Calibri" w:hAnsi="Calibri" w:cs="Calibri"/>
          <w:sz w:val="24"/>
          <w:szCs w:val="24"/>
        </w:rPr>
        <w:t xml:space="preserve">orking </w:t>
      </w:r>
      <w:r w:rsidR="00097279">
        <w:rPr>
          <w:rFonts w:ascii="Calibri" w:hAnsi="Calibri" w:cs="Calibri"/>
          <w:sz w:val="24"/>
          <w:szCs w:val="24"/>
        </w:rPr>
        <w:t>g</w:t>
      </w:r>
      <w:r w:rsidRPr="001C71CA">
        <w:rPr>
          <w:rFonts w:ascii="Calibri" w:hAnsi="Calibri" w:cs="Calibri"/>
          <w:sz w:val="24"/>
          <w:szCs w:val="24"/>
        </w:rPr>
        <w:t>roup.</w:t>
      </w:r>
    </w:p>
    <w:p w:rsidR="001C71CA" w:rsidRPr="00A43EA2" w:rsidRDefault="001C71CA" w:rsidP="00BD5D4E">
      <w:pPr>
        <w:rPr>
          <w:rFonts w:ascii="Calibri" w:hAnsi="Calibri" w:cs="Calibri"/>
          <w:sz w:val="24"/>
          <w:szCs w:val="24"/>
        </w:rPr>
      </w:pPr>
    </w:p>
    <w:p w:rsidR="005812D2" w:rsidRDefault="005812D2">
      <w:pPr>
        <w:rPr>
          <w:rFonts w:ascii="Calibri" w:hAnsi="Calibri" w:cs="Calibri"/>
          <w:i/>
          <w:sz w:val="24"/>
          <w:szCs w:val="24"/>
        </w:rPr>
      </w:pPr>
      <w:r>
        <w:rPr>
          <w:rFonts w:ascii="Calibri" w:hAnsi="Calibri" w:cs="Calibri"/>
          <w:i/>
          <w:sz w:val="24"/>
          <w:szCs w:val="24"/>
        </w:rPr>
        <w:br w:type="page"/>
      </w:r>
    </w:p>
    <w:p w:rsidR="00C9739A" w:rsidRPr="007847B7" w:rsidRDefault="009755B3" w:rsidP="00F56F9B">
      <w:pPr>
        <w:pStyle w:val="Heading4"/>
      </w:pPr>
      <w:r w:rsidRPr="007847B7">
        <w:t>Responding to Sexual Abuse</w:t>
      </w:r>
    </w:p>
    <w:p w:rsidR="006265C3" w:rsidRDefault="006265C3" w:rsidP="001C71CA"/>
    <w:p w:rsidR="001C71CA" w:rsidRPr="001C71CA" w:rsidRDefault="001C71CA" w:rsidP="001C71CA">
      <w:pPr>
        <w:rPr>
          <w:rFonts w:ascii="Calibri" w:hAnsi="Calibri" w:cs="Calibri"/>
          <w:sz w:val="24"/>
          <w:szCs w:val="24"/>
        </w:rPr>
      </w:pPr>
      <w:proofErr w:type="gramStart"/>
      <w:r w:rsidRPr="001C71CA">
        <w:rPr>
          <w:rFonts w:ascii="Calibri" w:hAnsi="Calibri" w:cs="Calibri"/>
          <w:sz w:val="24"/>
          <w:szCs w:val="24"/>
        </w:rPr>
        <w:t>The 2012</w:t>
      </w:r>
      <w:r w:rsidR="00506143">
        <w:rPr>
          <w:rFonts w:ascii="Calibri" w:hAnsi="Calibri" w:cs="Calibri"/>
          <w:sz w:val="24"/>
          <w:szCs w:val="24"/>
        </w:rPr>
        <w:t>–</w:t>
      </w:r>
      <w:r w:rsidRPr="001C71CA">
        <w:rPr>
          <w:rFonts w:ascii="Calibri" w:hAnsi="Calibri" w:cs="Calibri"/>
          <w:sz w:val="24"/>
          <w:szCs w:val="24"/>
        </w:rPr>
        <w:t>13 State Budget</w:t>
      </w:r>
      <w:proofErr w:type="gramEnd"/>
      <w:r w:rsidRPr="001C71CA">
        <w:rPr>
          <w:rFonts w:ascii="Calibri" w:hAnsi="Calibri" w:cs="Calibri"/>
          <w:sz w:val="24"/>
          <w:szCs w:val="24"/>
        </w:rPr>
        <w:t xml:space="preserve"> allocated $20 million over four years to establish three additional multidisciplinary centres (</w:t>
      </w:r>
      <w:r w:rsidR="006265C3">
        <w:rPr>
          <w:rFonts w:ascii="Calibri" w:hAnsi="Calibri" w:cs="Calibri"/>
          <w:sz w:val="24"/>
          <w:szCs w:val="24"/>
        </w:rPr>
        <w:t>MDC</w:t>
      </w:r>
      <w:r w:rsidRPr="001C71CA">
        <w:rPr>
          <w:rFonts w:ascii="Calibri" w:hAnsi="Calibri" w:cs="Calibri"/>
          <w:sz w:val="24"/>
          <w:szCs w:val="24"/>
        </w:rPr>
        <w:t>)</w:t>
      </w:r>
      <w:r w:rsidR="0016593D">
        <w:rPr>
          <w:rFonts w:ascii="Calibri" w:hAnsi="Calibri" w:cs="Calibri"/>
          <w:sz w:val="24"/>
          <w:szCs w:val="24"/>
        </w:rPr>
        <w:t>. These centres</w:t>
      </w:r>
      <w:r w:rsidRPr="001C71CA">
        <w:rPr>
          <w:rFonts w:ascii="Calibri" w:hAnsi="Calibri" w:cs="Calibri"/>
          <w:sz w:val="24"/>
          <w:szCs w:val="24"/>
        </w:rPr>
        <w:t xml:space="preserve"> co-locate police, sexual assault support and child protection to provide a rapid and coordinated intervention to sexual assault or child abuse.</w:t>
      </w:r>
      <w:r w:rsidR="007764A2">
        <w:rPr>
          <w:rFonts w:ascii="Calibri" w:hAnsi="Calibri" w:cs="Calibri"/>
          <w:sz w:val="24"/>
          <w:szCs w:val="24"/>
        </w:rPr>
        <w:t xml:space="preserve"> </w:t>
      </w:r>
      <w:r w:rsidRPr="001C71CA">
        <w:rPr>
          <w:rFonts w:ascii="Calibri" w:hAnsi="Calibri" w:cs="Calibri"/>
          <w:sz w:val="24"/>
          <w:szCs w:val="24"/>
        </w:rPr>
        <w:t>The three additional sites will commence from 2013</w:t>
      </w:r>
      <w:r w:rsidR="008C46AD">
        <w:rPr>
          <w:rFonts w:ascii="Calibri" w:hAnsi="Calibri" w:cs="Calibri"/>
          <w:sz w:val="24"/>
          <w:szCs w:val="24"/>
        </w:rPr>
        <w:t>–</w:t>
      </w:r>
      <w:r w:rsidRPr="001C71CA">
        <w:rPr>
          <w:rFonts w:ascii="Calibri" w:hAnsi="Calibri" w:cs="Calibri"/>
          <w:sz w:val="24"/>
          <w:szCs w:val="24"/>
        </w:rPr>
        <w:t xml:space="preserve">14 in Dandenong, La Trobe Valley and Ballarat. </w:t>
      </w:r>
      <w:r w:rsidR="006265C3" w:rsidRPr="001C71CA">
        <w:rPr>
          <w:rFonts w:ascii="Calibri" w:hAnsi="Calibri" w:cs="Calibri"/>
          <w:sz w:val="24"/>
          <w:szCs w:val="24"/>
        </w:rPr>
        <w:t>M</w:t>
      </w:r>
      <w:r w:rsidR="006265C3">
        <w:rPr>
          <w:rFonts w:ascii="Calibri" w:hAnsi="Calibri" w:cs="Calibri"/>
          <w:sz w:val="24"/>
          <w:szCs w:val="24"/>
        </w:rPr>
        <w:t>DC</w:t>
      </w:r>
      <w:r w:rsidR="006265C3" w:rsidRPr="001C71CA">
        <w:rPr>
          <w:rFonts w:ascii="Calibri" w:hAnsi="Calibri" w:cs="Calibri"/>
          <w:sz w:val="24"/>
          <w:szCs w:val="24"/>
        </w:rPr>
        <w:t xml:space="preserve">s </w:t>
      </w:r>
      <w:r w:rsidRPr="001C71CA">
        <w:rPr>
          <w:rFonts w:ascii="Calibri" w:hAnsi="Calibri" w:cs="Calibri"/>
          <w:sz w:val="24"/>
          <w:szCs w:val="24"/>
        </w:rPr>
        <w:t xml:space="preserve">are currently operating in three locations (Frankston, Mildura and Geelong). </w:t>
      </w:r>
    </w:p>
    <w:p w:rsidR="001C71CA" w:rsidRPr="001C71CA" w:rsidRDefault="001C71CA" w:rsidP="001C71CA">
      <w:pPr>
        <w:rPr>
          <w:rFonts w:ascii="Calibri" w:hAnsi="Calibri" w:cs="Calibri"/>
          <w:sz w:val="24"/>
          <w:szCs w:val="24"/>
        </w:rPr>
      </w:pPr>
    </w:p>
    <w:p w:rsidR="009755B3" w:rsidRDefault="001C71CA" w:rsidP="001C71CA">
      <w:pPr>
        <w:rPr>
          <w:rFonts w:ascii="Calibri" w:hAnsi="Calibri" w:cs="Calibri"/>
          <w:sz w:val="24"/>
          <w:szCs w:val="24"/>
        </w:rPr>
      </w:pPr>
      <w:proofErr w:type="gramStart"/>
      <w:r w:rsidRPr="001C71CA">
        <w:rPr>
          <w:rFonts w:ascii="Calibri" w:hAnsi="Calibri" w:cs="Calibri"/>
          <w:sz w:val="24"/>
          <w:szCs w:val="24"/>
        </w:rPr>
        <w:t>The 2012</w:t>
      </w:r>
      <w:r w:rsidR="00506143">
        <w:rPr>
          <w:rFonts w:ascii="Calibri" w:hAnsi="Calibri" w:cs="Calibri"/>
          <w:sz w:val="24"/>
          <w:szCs w:val="24"/>
        </w:rPr>
        <w:t>–</w:t>
      </w:r>
      <w:r w:rsidRPr="001C71CA">
        <w:rPr>
          <w:rFonts w:ascii="Calibri" w:hAnsi="Calibri" w:cs="Calibri"/>
          <w:sz w:val="24"/>
          <w:szCs w:val="24"/>
        </w:rPr>
        <w:t>13 State Budget</w:t>
      </w:r>
      <w:proofErr w:type="gramEnd"/>
      <w:r w:rsidRPr="001C71CA">
        <w:rPr>
          <w:rFonts w:ascii="Calibri" w:hAnsi="Calibri" w:cs="Calibri"/>
          <w:sz w:val="24"/>
          <w:szCs w:val="24"/>
        </w:rPr>
        <w:t xml:space="preserve"> allocated an addition $7.3 million over four years to expand treatment places for children and young people (aged up to 15 years) displaying problem sexual behaviour or sexually abusive behaviour. An evaluation </w:t>
      </w:r>
      <w:r w:rsidR="0016593D">
        <w:rPr>
          <w:rFonts w:ascii="Calibri" w:hAnsi="Calibri" w:cs="Calibri"/>
          <w:sz w:val="24"/>
          <w:szCs w:val="24"/>
        </w:rPr>
        <w:t xml:space="preserve">of this work </w:t>
      </w:r>
      <w:r w:rsidRPr="001C71CA">
        <w:rPr>
          <w:rFonts w:ascii="Calibri" w:hAnsi="Calibri" w:cs="Calibri"/>
          <w:sz w:val="24"/>
          <w:szCs w:val="24"/>
        </w:rPr>
        <w:t>has been undertaken and is currently being considered.</w:t>
      </w:r>
    </w:p>
    <w:p w:rsidR="00BD5D4E" w:rsidRPr="00821556" w:rsidRDefault="00BD5D4E" w:rsidP="005812D2">
      <w:pPr>
        <w:pStyle w:val="Heading3"/>
      </w:pPr>
      <w:bookmarkStart w:id="217" w:name="_Toc400007787"/>
      <w:r w:rsidRPr="00821556">
        <w:t>Western Australia</w:t>
      </w:r>
      <w:bookmarkEnd w:id="217"/>
    </w:p>
    <w:p w:rsidR="0016593D" w:rsidRPr="007847B7" w:rsidRDefault="0016593D" w:rsidP="00F56F9B">
      <w:pPr>
        <w:pStyle w:val="Heading4"/>
      </w:pPr>
      <w:r w:rsidRPr="007847B7">
        <w:t>Working with Children Checks</w:t>
      </w:r>
    </w:p>
    <w:p w:rsidR="0016593D" w:rsidRPr="0016593D" w:rsidRDefault="0016593D" w:rsidP="00D154E8">
      <w:pPr>
        <w:rPr>
          <w:rFonts w:ascii="Calibri" w:hAnsi="Calibri" w:cs="Calibri"/>
          <w:sz w:val="24"/>
          <w:szCs w:val="24"/>
        </w:rPr>
      </w:pPr>
      <w:r w:rsidRPr="0016593D">
        <w:rPr>
          <w:rFonts w:ascii="Calibri" w:hAnsi="Calibri" w:cs="Calibri"/>
          <w:sz w:val="24"/>
          <w:szCs w:val="24"/>
        </w:rPr>
        <w:t xml:space="preserve">A statutory review of the </w:t>
      </w:r>
      <w:r w:rsidRPr="00AE7DB5">
        <w:rPr>
          <w:rFonts w:ascii="Calibri" w:hAnsi="Calibri" w:cs="Calibri"/>
          <w:i/>
          <w:sz w:val="24"/>
          <w:szCs w:val="24"/>
        </w:rPr>
        <w:t>Working with Children (Criminal Record Checking) Act 2004</w:t>
      </w:r>
      <w:r w:rsidRPr="0016593D">
        <w:rPr>
          <w:rFonts w:ascii="Calibri" w:hAnsi="Calibri" w:cs="Calibri"/>
          <w:sz w:val="24"/>
          <w:szCs w:val="24"/>
        </w:rPr>
        <w:t xml:space="preserve"> was tabled in Parliament in September 2012.</w:t>
      </w:r>
      <w:r w:rsidR="007764A2">
        <w:rPr>
          <w:rFonts w:ascii="Calibri" w:hAnsi="Calibri" w:cs="Calibri"/>
          <w:sz w:val="24"/>
          <w:szCs w:val="24"/>
        </w:rPr>
        <w:t xml:space="preserve"> </w:t>
      </w:r>
      <w:r w:rsidRPr="0016593D">
        <w:rPr>
          <w:rFonts w:ascii="Calibri" w:hAnsi="Calibri" w:cs="Calibri"/>
          <w:sz w:val="24"/>
          <w:szCs w:val="24"/>
        </w:rPr>
        <w:t>The Review’s recommendations are currently being considered.</w:t>
      </w:r>
    </w:p>
    <w:p w:rsidR="009D1AD6" w:rsidRPr="00F56F9B" w:rsidRDefault="00F56F9B" w:rsidP="00F56F9B">
      <w:pPr>
        <w:pStyle w:val="Heading4"/>
        <w:rPr>
          <w:lang w:val="en-AU"/>
        </w:rPr>
      </w:pPr>
      <w:r>
        <w:t>Responding to Sexual Abuse</w:t>
      </w:r>
    </w:p>
    <w:p w:rsidR="005E0CCC" w:rsidRPr="005E0CCC" w:rsidRDefault="005E0CCC" w:rsidP="005E0CCC">
      <w:pPr>
        <w:rPr>
          <w:rFonts w:ascii="Calibri" w:hAnsi="Calibri" w:cs="Calibri"/>
          <w:sz w:val="24"/>
          <w:szCs w:val="24"/>
        </w:rPr>
      </w:pPr>
      <w:r w:rsidRPr="005E0CCC">
        <w:rPr>
          <w:rFonts w:ascii="Calibri" w:hAnsi="Calibri" w:cs="Calibri"/>
          <w:sz w:val="24"/>
          <w:szCs w:val="24"/>
        </w:rPr>
        <w:t>Youth Axis is a new youth mental health program that outreaches to adolescents and youth with mental health problems</w:t>
      </w:r>
      <w:r w:rsidR="006265C3">
        <w:rPr>
          <w:rFonts w:ascii="Calibri" w:hAnsi="Calibri" w:cs="Calibri"/>
          <w:sz w:val="24"/>
          <w:szCs w:val="24"/>
        </w:rPr>
        <w:t>,</w:t>
      </w:r>
      <w:r w:rsidRPr="005E0CCC">
        <w:rPr>
          <w:rFonts w:ascii="Calibri" w:hAnsi="Calibri" w:cs="Calibri"/>
          <w:sz w:val="24"/>
          <w:szCs w:val="24"/>
        </w:rPr>
        <w:t xml:space="preserve"> including psychosis and complex trauma, focusing on engagement and short-term intervention and assistance in transitioning to other services.</w:t>
      </w:r>
    </w:p>
    <w:p w:rsidR="00DD4BAE" w:rsidRDefault="00DD4BAE" w:rsidP="005E0CCC">
      <w:pPr>
        <w:rPr>
          <w:rFonts w:ascii="Calibri" w:hAnsi="Calibri" w:cs="Calibri"/>
          <w:sz w:val="24"/>
          <w:szCs w:val="24"/>
        </w:rPr>
      </w:pPr>
    </w:p>
    <w:p w:rsidR="005E0CCC" w:rsidRPr="005E0CCC" w:rsidRDefault="005E0CCC" w:rsidP="005E0CCC">
      <w:pPr>
        <w:rPr>
          <w:rFonts w:ascii="Calibri" w:hAnsi="Calibri" w:cs="Calibri"/>
          <w:sz w:val="24"/>
          <w:szCs w:val="24"/>
        </w:rPr>
      </w:pPr>
      <w:r w:rsidRPr="005E0CCC">
        <w:rPr>
          <w:rFonts w:ascii="Calibri" w:hAnsi="Calibri" w:cs="Calibri"/>
          <w:sz w:val="24"/>
          <w:szCs w:val="24"/>
        </w:rPr>
        <w:t xml:space="preserve">The Department of Education has developed culturally and linguistically appropriate workshops for Aboriginal and </w:t>
      </w:r>
      <w:r w:rsidR="006265C3">
        <w:rPr>
          <w:rFonts w:ascii="Calibri" w:hAnsi="Calibri" w:cs="Calibri"/>
          <w:sz w:val="24"/>
          <w:szCs w:val="24"/>
        </w:rPr>
        <w:t xml:space="preserve">Torres Strait </w:t>
      </w:r>
      <w:r w:rsidRPr="005E0CCC">
        <w:rPr>
          <w:rFonts w:ascii="Calibri" w:hAnsi="Calibri" w:cs="Calibri"/>
          <w:sz w:val="24"/>
          <w:szCs w:val="24"/>
        </w:rPr>
        <w:t>Islander Education Officers on child protection and protective behaviours.</w:t>
      </w:r>
      <w:r w:rsidR="007764A2">
        <w:rPr>
          <w:rFonts w:ascii="Calibri" w:hAnsi="Calibri" w:cs="Calibri"/>
          <w:sz w:val="24"/>
          <w:szCs w:val="24"/>
        </w:rPr>
        <w:t xml:space="preserve"> </w:t>
      </w:r>
    </w:p>
    <w:p w:rsidR="005E0CCC" w:rsidRPr="005E0CCC" w:rsidRDefault="005E0CCC" w:rsidP="005E0CCC">
      <w:pPr>
        <w:rPr>
          <w:rFonts w:ascii="Calibri" w:hAnsi="Calibri" w:cs="Calibri"/>
          <w:sz w:val="24"/>
          <w:szCs w:val="24"/>
        </w:rPr>
      </w:pPr>
    </w:p>
    <w:p w:rsidR="00CD553B" w:rsidRDefault="005E0CCC" w:rsidP="005E0CCC">
      <w:pPr>
        <w:rPr>
          <w:rFonts w:ascii="Calibri" w:hAnsi="Calibri" w:cs="Calibri"/>
          <w:sz w:val="24"/>
          <w:szCs w:val="24"/>
        </w:rPr>
      </w:pPr>
      <w:r w:rsidRPr="005E0CCC">
        <w:rPr>
          <w:rFonts w:ascii="Calibri" w:hAnsi="Calibri" w:cs="Calibri"/>
          <w:sz w:val="24"/>
          <w:szCs w:val="24"/>
        </w:rPr>
        <w:t xml:space="preserve">Through Operation Reset </w:t>
      </w:r>
      <w:proofErr w:type="spellStart"/>
      <w:r w:rsidRPr="005E0CCC">
        <w:rPr>
          <w:rFonts w:ascii="Calibri" w:hAnsi="Calibri" w:cs="Calibri"/>
          <w:sz w:val="24"/>
          <w:szCs w:val="24"/>
        </w:rPr>
        <w:t>Kalumburu</w:t>
      </w:r>
      <w:proofErr w:type="spellEnd"/>
      <w:r w:rsidRPr="005E0CCC">
        <w:rPr>
          <w:rFonts w:ascii="Calibri" w:hAnsi="Calibri" w:cs="Calibri"/>
          <w:sz w:val="24"/>
          <w:szCs w:val="24"/>
        </w:rPr>
        <w:t>, training was provided in relation to protective behaviours for children, mandatory reporting, Constable Care</w:t>
      </w:r>
      <w:r w:rsidR="006265C3">
        <w:rPr>
          <w:rFonts w:ascii="Calibri" w:hAnsi="Calibri" w:cs="Calibri"/>
          <w:sz w:val="24"/>
          <w:szCs w:val="24"/>
        </w:rPr>
        <w:t xml:space="preserve"> (</w:t>
      </w:r>
      <w:r w:rsidR="006265C3" w:rsidRPr="006265C3">
        <w:rPr>
          <w:rFonts w:ascii="Calibri" w:hAnsi="Calibri" w:cs="Calibri"/>
          <w:sz w:val="24"/>
          <w:szCs w:val="24"/>
        </w:rPr>
        <w:t>Child Safety Foundation</w:t>
      </w:r>
      <w:r w:rsidR="006265C3">
        <w:rPr>
          <w:rFonts w:ascii="Calibri" w:hAnsi="Calibri" w:cs="Calibri"/>
          <w:sz w:val="24"/>
          <w:szCs w:val="24"/>
        </w:rPr>
        <w:t>)</w:t>
      </w:r>
      <w:r w:rsidRPr="005E0CCC">
        <w:rPr>
          <w:rFonts w:ascii="Calibri" w:hAnsi="Calibri" w:cs="Calibri"/>
          <w:sz w:val="24"/>
          <w:szCs w:val="24"/>
        </w:rPr>
        <w:t>, mental health, first aid and drug/alcohol awareness.</w:t>
      </w:r>
      <w:r w:rsidR="007764A2">
        <w:rPr>
          <w:rFonts w:ascii="Calibri" w:hAnsi="Calibri" w:cs="Calibri"/>
          <w:sz w:val="24"/>
          <w:szCs w:val="24"/>
        </w:rPr>
        <w:t xml:space="preserve"> </w:t>
      </w:r>
    </w:p>
    <w:p w:rsidR="005E0CCC" w:rsidRDefault="005E0CCC" w:rsidP="005E0CCC">
      <w:pPr>
        <w:rPr>
          <w:rFonts w:ascii="Calibri" w:hAnsi="Calibri" w:cs="Calibri"/>
          <w:sz w:val="24"/>
          <w:szCs w:val="24"/>
        </w:rPr>
      </w:pPr>
    </w:p>
    <w:p w:rsidR="005E0CCC" w:rsidRDefault="001C4241" w:rsidP="005E0CCC">
      <w:pPr>
        <w:rPr>
          <w:rFonts w:ascii="Calibri" w:hAnsi="Calibri" w:cs="Calibri"/>
          <w:sz w:val="24"/>
          <w:szCs w:val="24"/>
        </w:rPr>
      </w:pPr>
      <w:r w:rsidRPr="00DC1B19">
        <w:rPr>
          <w:rStyle w:val="StyleBodyCalibri12pt"/>
        </w:rPr>
        <w:t>DLGC</w:t>
      </w:r>
      <w:r w:rsidR="007764A2">
        <w:rPr>
          <w:rFonts w:ascii="Calibri" w:hAnsi="Calibri" w:cs="Calibri"/>
          <w:sz w:val="24"/>
          <w:szCs w:val="24"/>
        </w:rPr>
        <w:t xml:space="preserve"> </w:t>
      </w:r>
      <w:r w:rsidR="0016593D">
        <w:rPr>
          <w:rFonts w:ascii="Calibri" w:hAnsi="Calibri" w:cs="Calibri"/>
          <w:sz w:val="24"/>
          <w:szCs w:val="24"/>
        </w:rPr>
        <w:t>hosted two seminars (</w:t>
      </w:r>
      <w:r w:rsidR="005E0CCC" w:rsidRPr="005E0CCC">
        <w:rPr>
          <w:rFonts w:ascii="Calibri" w:hAnsi="Calibri" w:cs="Calibri"/>
          <w:sz w:val="24"/>
          <w:szCs w:val="24"/>
        </w:rPr>
        <w:t xml:space="preserve">one for practitioners and </w:t>
      </w:r>
      <w:r w:rsidR="0016593D">
        <w:rPr>
          <w:rFonts w:ascii="Calibri" w:hAnsi="Calibri" w:cs="Calibri"/>
          <w:sz w:val="24"/>
          <w:szCs w:val="24"/>
        </w:rPr>
        <w:t>the other for parents)</w:t>
      </w:r>
      <w:r w:rsidR="005E0CCC" w:rsidRPr="005E0CCC">
        <w:rPr>
          <w:rFonts w:ascii="Calibri" w:hAnsi="Calibri" w:cs="Calibri"/>
          <w:sz w:val="24"/>
          <w:szCs w:val="24"/>
        </w:rPr>
        <w:t xml:space="preserve"> on the impact of sexualised media and advertising on the wellbeing of children and young people.</w:t>
      </w:r>
      <w:r w:rsidR="007764A2">
        <w:rPr>
          <w:rFonts w:ascii="Calibri" w:hAnsi="Calibri" w:cs="Calibri"/>
          <w:sz w:val="24"/>
          <w:szCs w:val="24"/>
        </w:rPr>
        <w:t xml:space="preserve"> </w:t>
      </w:r>
      <w:r w:rsidR="005E0CCC" w:rsidRPr="005E0CCC">
        <w:rPr>
          <w:rFonts w:ascii="Calibri" w:hAnsi="Calibri" w:cs="Calibri"/>
          <w:sz w:val="24"/>
          <w:szCs w:val="24"/>
        </w:rPr>
        <w:t xml:space="preserve">The seminars included presentations by Professor Elizabeth </w:t>
      </w:r>
      <w:proofErr w:type="spellStart"/>
      <w:r w:rsidR="005E0CCC" w:rsidRPr="005E0CCC">
        <w:rPr>
          <w:rFonts w:ascii="Calibri" w:hAnsi="Calibri" w:cs="Calibri"/>
          <w:sz w:val="24"/>
          <w:szCs w:val="24"/>
        </w:rPr>
        <w:t>Handsley</w:t>
      </w:r>
      <w:proofErr w:type="spellEnd"/>
      <w:r w:rsidR="005E0CCC" w:rsidRPr="005E0CCC">
        <w:rPr>
          <w:rFonts w:ascii="Calibri" w:hAnsi="Calibri" w:cs="Calibri"/>
          <w:sz w:val="24"/>
          <w:szCs w:val="24"/>
        </w:rPr>
        <w:t xml:space="preserve"> from Flinders University and social commentator Ms Jane Caro.</w:t>
      </w:r>
    </w:p>
    <w:p w:rsidR="00FC0C9A" w:rsidRPr="007847B7" w:rsidRDefault="00FC0C9A" w:rsidP="00F56F9B">
      <w:pPr>
        <w:pStyle w:val="Heading4"/>
      </w:pPr>
      <w:r w:rsidRPr="007847B7">
        <w:t>Other Supporting Actions</w:t>
      </w:r>
    </w:p>
    <w:p w:rsidR="005E0CCC" w:rsidRDefault="001C4241" w:rsidP="005E0CCC">
      <w:pPr>
        <w:rPr>
          <w:rFonts w:ascii="Calibri" w:hAnsi="Calibri" w:cs="Calibri"/>
          <w:sz w:val="24"/>
          <w:szCs w:val="24"/>
        </w:rPr>
      </w:pPr>
      <w:r>
        <w:rPr>
          <w:rFonts w:ascii="Calibri" w:hAnsi="Calibri" w:cs="Calibri"/>
          <w:sz w:val="24"/>
          <w:szCs w:val="24"/>
        </w:rPr>
        <w:t>DLGC</w:t>
      </w:r>
      <w:r w:rsidR="005E0CCC" w:rsidRPr="005E0CCC">
        <w:rPr>
          <w:rFonts w:ascii="Calibri" w:hAnsi="Calibri" w:cs="Calibri"/>
          <w:sz w:val="24"/>
          <w:szCs w:val="24"/>
        </w:rPr>
        <w:t xml:space="preserve"> held a num</w:t>
      </w:r>
      <w:r w:rsidR="00773036">
        <w:rPr>
          <w:rFonts w:ascii="Calibri" w:hAnsi="Calibri" w:cs="Calibri"/>
          <w:sz w:val="24"/>
          <w:szCs w:val="24"/>
        </w:rPr>
        <w:t xml:space="preserve">ber of seminars regarding </w:t>
      </w:r>
      <w:proofErr w:type="spellStart"/>
      <w:r w:rsidR="00773036">
        <w:rPr>
          <w:rFonts w:ascii="Calibri" w:hAnsi="Calibri" w:cs="Calibri"/>
          <w:sz w:val="24"/>
          <w:szCs w:val="24"/>
        </w:rPr>
        <w:t>cyber</w:t>
      </w:r>
      <w:r w:rsidR="005E0CCC" w:rsidRPr="005E0CCC">
        <w:rPr>
          <w:rFonts w:ascii="Calibri" w:hAnsi="Calibri" w:cs="Calibri"/>
          <w:sz w:val="24"/>
          <w:szCs w:val="24"/>
        </w:rPr>
        <w:t>safety</w:t>
      </w:r>
      <w:proofErr w:type="spellEnd"/>
      <w:r w:rsidR="005E0CCC" w:rsidRPr="005E0CCC">
        <w:rPr>
          <w:rFonts w:ascii="Calibri" w:hAnsi="Calibri" w:cs="Calibri"/>
          <w:sz w:val="24"/>
          <w:szCs w:val="24"/>
        </w:rPr>
        <w:t xml:space="preserve"> in Broome, Albany and Bunbury</w:t>
      </w:r>
      <w:r w:rsidR="0016593D">
        <w:rPr>
          <w:rFonts w:ascii="Calibri" w:hAnsi="Calibri" w:cs="Calibri"/>
          <w:sz w:val="24"/>
          <w:szCs w:val="24"/>
        </w:rPr>
        <w:t>,</w:t>
      </w:r>
      <w:r w:rsidR="005E0CCC" w:rsidRPr="005E0CCC">
        <w:rPr>
          <w:rFonts w:ascii="Calibri" w:hAnsi="Calibri" w:cs="Calibri"/>
          <w:sz w:val="24"/>
          <w:szCs w:val="24"/>
        </w:rPr>
        <w:t xml:space="preserve"> with presentations by Mr Greg </w:t>
      </w:r>
      <w:proofErr w:type="spellStart"/>
      <w:r w:rsidR="005E0CCC" w:rsidRPr="005E0CCC">
        <w:rPr>
          <w:rFonts w:ascii="Calibri" w:hAnsi="Calibri" w:cs="Calibri"/>
          <w:sz w:val="24"/>
          <w:szCs w:val="24"/>
        </w:rPr>
        <w:t>Gebhart</w:t>
      </w:r>
      <w:proofErr w:type="spellEnd"/>
      <w:r w:rsidR="005E0CCC" w:rsidRPr="005E0CCC">
        <w:rPr>
          <w:rFonts w:ascii="Calibri" w:hAnsi="Calibri" w:cs="Calibri"/>
          <w:sz w:val="24"/>
          <w:szCs w:val="24"/>
        </w:rPr>
        <w:t xml:space="preserve"> from </w:t>
      </w:r>
      <w:r w:rsidR="008C46AD">
        <w:rPr>
          <w:rFonts w:ascii="Calibri" w:hAnsi="Calibri" w:cs="Calibri"/>
          <w:sz w:val="24"/>
          <w:szCs w:val="24"/>
        </w:rPr>
        <w:t>ACMA</w:t>
      </w:r>
      <w:r w:rsidR="005E0CCC" w:rsidRPr="005E0CCC">
        <w:rPr>
          <w:rFonts w:ascii="Calibri" w:hAnsi="Calibri" w:cs="Calibri"/>
          <w:sz w:val="24"/>
          <w:szCs w:val="24"/>
        </w:rPr>
        <w:t xml:space="preserve"> and Ms Kate </w:t>
      </w:r>
      <w:proofErr w:type="spellStart"/>
      <w:r w:rsidR="005E0CCC" w:rsidRPr="005E0CCC">
        <w:rPr>
          <w:rFonts w:ascii="Calibri" w:hAnsi="Calibri" w:cs="Calibri"/>
          <w:sz w:val="24"/>
          <w:szCs w:val="24"/>
        </w:rPr>
        <w:t>Hadwen</w:t>
      </w:r>
      <w:proofErr w:type="spellEnd"/>
      <w:r w:rsidR="005E0CCC" w:rsidRPr="005E0CCC">
        <w:rPr>
          <w:rFonts w:ascii="Calibri" w:hAnsi="Calibri" w:cs="Calibri"/>
          <w:sz w:val="24"/>
          <w:szCs w:val="24"/>
        </w:rPr>
        <w:t xml:space="preserve"> from Edith Cowan University.</w:t>
      </w:r>
    </w:p>
    <w:p w:rsidR="00641A7B" w:rsidRDefault="00641A7B" w:rsidP="005E0CCC">
      <w:pPr>
        <w:rPr>
          <w:rFonts w:ascii="Calibri" w:hAnsi="Calibri" w:cs="Calibri"/>
          <w:sz w:val="24"/>
          <w:szCs w:val="24"/>
        </w:rPr>
      </w:pPr>
    </w:p>
    <w:p w:rsidR="00641A7B" w:rsidRDefault="00641A7B" w:rsidP="005E0CCC">
      <w:pPr>
        <w:rPr>
          <w:rFonts w:ascii="Calibri" w:hAnsi="Calibri" w:cs="Calibri"/>
          <w:sz w:val="24"/>
          <w:szCs w:val="24"/>
        </w:rPr>
      </w:pPr>
      <w:r w:rsidRPr="00641A7B">
        <w:rPr>
          <w:rFonts w:ascii="Calibri" w:hAnsi="Calibri" w:cs="Calibri"/>
          <w:sz w:val="24"/>
          <w:szCs w:val="24"/>
        </w:rPr>
        <w:t>The Department of the Attor</w:t>
      </w:r>
      <w:r w:rsidR="0016593D">
        <w:rPr>
          <w:rFonts w:ascii="Calibri" w:hAnsi="Calibri" w:cs="Calibri"/>
          <w:sz w:val="24"/>
          <w:szCs w:val="24"/>
        </w:rPr>
        <w:t xml:space="preserve">ney General will introduce the </w:t>
      </w:r>
      <w:r w:rsidRPr="0016593D">
        <w:rPr>
          <w:rFonts w:ascii="Calibri" w:hAnsi="Calibri" w:cs="Calibri"/>
          <w:i/>
          <w:sz w:val="24"/>
          <w:szCs w:val="24"/>
        </w:rPr>
        <w:t>Criminal Code Amendment (Child Sex Offences) Bill 2013 (WA)</w:t>
      </w:r>
      <w:r w:rsidRPr="00641A7B">
        <w:rPr>
          <w:rFonts w:ascii="Calibri" w:hAnsi="Calibri" w:cs="Calibri"/>
          <w:sz w:val="24"/>
          <w:szCs w:val="24"/>
        </w:rPr>
        <w:t xml:space="preserve"> to expand the application of Western Australia's criminal law to protect children from sexual predators both within and outside of WA and to ensure a consistent approach to </w:t>
      </w:r>
      <w:r w:rsidR="007B5465">
        <w:rPr>
          <w:rFonts w:ascii="Calibri" w:hAnsi="Calibri" w:cs="Calibri"/>
          <w:sz w:val="24"/>
          <w:szCs w:val="24"/>
        </w:rPr>
        <w:t>s</w:t>
      </w:r>
      <w:r w:rsidR="007B5465" w:rsidRPr="00641A7B">
        <w:rPr>
          <w:rFonts w:ascii="Calibri" w:hAnsi="Calibri" w:cs="Calibri"/>
          <w:sz w:val="24"/>
          <w:szCs w:val="24"/>
        </w:rPr>
        <w:t xml:space="preserve">tate </w:t>
      </w:r>
      <w:r w:rsidRPr="00641A7B">
        <w:rPr>
          <w:rFonts w:ascii="Calibri" w:hAnsi="Calibri" w:cs="Calibri"/>
          <w:sz w:val="24"/>
          <w:szCs w:val="24"/>
        </w:rPr>
        <w:t>and Commonwealth legislation covering child sex tourism. The bill will also expand the definitions of electronic material with regard to protecting children from exposure to indecent matter.</w:t>
      </w:r>
    </w:p>
    <w:p w:rsidR="003E6CD1" w:rsidRPr="00CD553B" w:rsidRDefault="003E6CD1" w:rsidP="005E0CCC">
      <w:pPr>
        <w:rPr>
          <w:rFonts w:ascii="Calibri" w:hAnsi="Calibri" w:cs="Calibri"/>
          <w:sz w:val="24"/>
          <w:szCs w:val="24"/>
        </w:rPr>
      </w:pPr>
    </w:p>
    <w:p w:rsidR="005812D2" w:rsidRDefault="005812D2">
      <w:pPr>
        <w:rPr>
          <w:rFonts w:ascii="Arial" w:hAnsi="Arial"/>
          <w:bCs/>
          <w:color w:val="00B050"/>
          <w:sz w:val="26"/>
          <w:szCs w:val="26"/>
        </w:rPr>
      </w:pPr>
      <w:r>
        <w:br w:type="page"/>
      </w:r>
    </w:p>
    <w:p w:rsidR="003A4369" w:rsidRDefault="00F17136" w:rsidP="00A3106F">
      <w:pPr>
        <w:pStyle w:val="Heading3"/>
      </w:pPr>
      <w:bookmarkStart w:id="218" w:name="_Toc400007788"/>
      <w:r w:rsidRPr="00821556">
        <w:t>Measuring progress</w:t>
      </w:r>
      <w:bookmarkEnd w:id="218"/>
    </w:p>
    <w:p w:rsidR="00D0122C" w:rsidRPr="007847B7" w:rsidRDefault="00D0122C" w:rsidP="00F56F9B">
      <w:pPr>
        <w:pStyle w:val="Heading4"/>
      </w:pPr>
      <w:r w:rsidRPr="007847B7">
        <w:t>Sexual abuse substantiations</w:t>
      </w:r>
    </w:p>
    <w:p w:rsidR="00D0122C" w:rsidRPr="004B3342" w:rsidRDefault="00D0122C" w:rsidP="004B3342">
      <w:pPr>
        <w:pStyle w:val="Heading4a"/>
      </w:pPr>
      <w:r w:rsidRPr="004B3342">
        <w:t xml:space="preserve">Indicator 6.1: Rate of children aged 0–17 years who were the subject of </w:t>
      </w:r>
      <w:proofErr w:type="gramStart"/>
      <w:r w:rsidRPr="004B3342">
        <w:t>a child</w:t>
      </w:r>
      <w:proofErr w:type="gramEnd"/>
      <w:r w:rsidRPr="004B3342">
        <w:t xml:space="preserve"> protection substantiation for sexual abuse</w:t>
      </w:r>
    </w:p>
    <w:p w:rsidR="00D0122C" w:rsidRPr="00842266" w:rsidRDefault="00D0122C" w:rsidP="00D0122C">
      <w:pPr>
        <w:rPr>
          <w:lang w:eastAsia="en-AU"/>
        </w:rPr>
      </w:pPr>
    </w:p>
    <w:p w:rsidR="00D0122C" w:rsidRDefault="00D0122C" w:rsidP="00D0122C">
      <w:pPr>
        <w:rPr>
          <w:rFonts w:ascii="Calibri" w:hAnsi="Calibri" w:cs="Calibri"/>
          <w:sz w:val="24"/>
          <w:szCs w:val="24"/>
        </w:rPr>
      </w:pPr>
      <w:r w:rsidRPr="006233E6">
        <w:rPr>
          <w:rFonts w:ascii="Calibri" w:hAnsi="Calibri" w:cs="Calibri"/>
          <w:sz w:val="24"/>
          <w:szCs w:val="24"/>
        </w:rPr>
        <w:t>Children who have been abused or neglected often have poor social, behavioural and health outcomes in childhood and later in life. In particular, a history of child sexual abuse has been associated with difficulty maintaining adult relationships, mental health problems including depression and anxiety</w:t>
      </w:r>
      <w:r>
        <w:rPr>
          <w:rFonts w:ascii="Calibri" w:hAnsi="Calibri" w:cs="Calibri"/>
          <w:sz w:val="24"/>
          <w:szCs w:val="24"/>
        </w:rPr>
        <w:t xml:space="preserve">, </w:t>
      </w:r>
      <w:r w:rsidRPr="006233E6">
        <w:rPr>
          <w:rFonts w:ascii="Calibri" w:hAnsi="Calibri" w:cs="Calibri"/>
          <w:sz w:val="24"/>
          <w:szCs w:val="24"/>
        </w:rPr>
        <w:t>substance abuse</w:t>
      </w:r>
      <w:r>
        <w:rPr>
          <w:rFonts w:ascii="Calibri" w:hAnsi="Calibri" w:cs="Calibri"/>
          <w:sz w:val="24"/>
          <w:szCs w:val="24"/>
        </w:rPr>
        <w:t>,</w:t>
      </w:r>
      <w:r w:rsidRPr="006233E6">
        <w:rPr>
          <w:rFonts w:ascii="Calibri" w:hAnsi="Calibri" w:cs="Calibri"/>
          <w:sz w:val="24"/>
          <w:szCs w:val="24"/>
        </w:rPr>
        <w:t xml:space="preserve"> and violent and sexual offending later in life (AIHW </w:t>
      </w:r>
      <w:r>
        <w:rPr>
          <w:rFonts w:ascii="Calibri" w:hAnsi="Calibri" w:cs="Calibri"/>
          <w:sz w:val="24"/>
          <w:szCs w:val="24"/>
        </w:rPr>
        <w:t>2012a</w:t>
      </w:r>
      <w:r w:rsidRPr="006233E6">
        <w:rPr>
          <w:rFonts w:ascii="Calibri" w:hAnsi="Calibri" w:cs="Calibri"/>
          <w:sz w:val="24"/>
          <w:szCs w:val="24"/>
        </w:rPr>
        <w:t>).</w:t>
      </w:r>
    </w:p>
    <w:p w:rsidR="00D0122C" w:rsidRPr="00821556" w:rsidRDefault="00D0122C" w:rsidP="00D0122C">
      <w:pPr>
        <w:rPr>
          <w:rFonts w:ascii="Calibri" w:hAnsi="Calibri" w:cs="Calibri"/>
          <w:sz w:val="24"/>
          <w:szCs w:val="24"/>
        </w:rPr>
      </w:pPr>
    </w:p>
    <w:p w:rsidR="00D0122C" w:rsidRDefault="00D0122C" w:rsidP="00D0122C">
      <w:pPr>
        <w:rPr>
          <w:rFonts w:ascii="Calibri" w:hAnsi="Calibri" w:cs="Calibri"/>
          <w:sz w:val="24"/>
          <w:szCs w:val="24"/>
        </w:rPr>
      </w:pPr>
      <w:r w:rsidRPr="00821556">
        <w:rPr>
          <w:rFonts w:ascii="Calibri" w:hAnsi="Calibri" w:cs="Calibri"/>
          <w:sz w:val="24"/>
          <w:szCs w:val="24"/>
        </w:rPr>
        <w:t>Other types of abuse and neglect are generally viewed as a symptom of family dysfunction and parenting problems. Sexual abuse is different, with multiple types of potential perpetrators. These include adult family members of the child, adults in a position of power or authority over the child (such as a teacher or doctor), adults with no familial or authority relationship to the child, adolescent or child family members, and non-familial adolescent or child perpetrators (Price</w:t>
      </w:r>
      <w:r>
        <w:rPr>
          <w:rFonts w:ascii="Calibri" w:hAnsi="Calibri" w:cs="Calibri"/>
          <w:sz w:val="24"/>
          <w:szCs w:val="24"/>
        </w:rPr>
        <w:t>-</w:t>
      </w:r>
      <w:r w:rsidRPr="00821556">
        <w:rPr>
          <w:rFonts w:ascii="Calibri" w:hAnsi="Calibri" w:cs="Calibri"/>
          <w:sz w:val="24"/>
          <w:szCs w:val="24"/>
        </w:rPr>
        <w:t>Robertson</w:t>
      </w:r>
      <w:r w:rsidR="00DD4BAE">
        <w:rPr>
          <w:rFonts w:ascii="Calibri" w:hAnsi="Calibri" w:cs="Calibri"/>
          <w:sz w:val="24"/>
          <w:szCs w:val="24"/>
        </w:rPr>
        <w:t xml:space="preserve">, Bromfield &amp; </w:t>
      </w:r>
      <w:proofErr w:type="spellStart"/>
      <w:r w:rsidR="00DD4BAE">
        <w:rPr>
          <w:rFonts w:ascii="Calibri" w:hAnsi="Calibri" w:cs="Calibri"/>
          <w:sz w:val="24"/>
          <w:szCs w:val="24"/>
        </w:rPr>
        <w:t>Vassallo</w:t>
      </w:r>
      <w:proofErr w:type="spellEnd"/>
      <w:r w:rsidRPr="00821556">
        <w:rPr>
          <w:rFonts w:ascii="Calibri" w:hAnsi="Calibri" w:cs="Calibri"/>
          <w:sz w:val="24"/>
          <w:szCs w:val="24"/>
        </w:rPr>
        <w:t xml:space="preserve"> 2010). </w:t>
      </w:r>
    </w:p>
    <w:p w:rsidR="00D0122C" w:rsidRDefault="00D0122C" w:rsidP="00D0122C">
      <w:pPr>
        <w:rPr>
          <w:rFonts w:ascii="Calibri" w:hAnsi="Calibri" w:cs="Calibri"/>
          <w:sz w:val="24"/>
          <w:szCs w:val="24"/>
        </w:rPr>
      </w:pPr>
    </w:p>
    <w:p w:rsidR="00D0122C" w:rsidRPr="00821556" w:rsidRDefault="00D0122C" w:rsidP="00D0122C">
      <w:pPr>
        <w:rPr>
          <w:rFonts w:ascii="Calibri" w:eastAsia="Calibri" w:hAnsi="Calibri" w:cs="Calibri"/>
          <w:sz w:val="24"/>
          <w:szCs w:val="24"/>
          <w:lang w:eastAsia="en-US"/>
        </w:rPr>
      </w:pPr>
      <w:r>
        <w:rPr>
          <w:rFonts w:ascii="Calibri" w:hAnsi="Calibri" w:cs="Calibri"/>
          <w:sz w:val="24"/>
          <w:szCs w:val="24"/>
        </w:rPr>
        <w:t>The d</w:t>
      </w:r>
      <w:r w:rsidRPr="00821556">
        <w:rPr>
          <w:rFonts w:ascii="Calibri" w:hAnsi="Calibri" w:cs="Calibri"/>
          <w:sz w:val="24"/>
          <w:szCs w:val="24"/>
        </w:rPr>
        <w:t xml:space="preserve">ata </w:t>
      </w:r>
      <w:r>
        <w:rPr>
          <w:rFonts w:ascii="Calibri" w:hAnsi="Calibri" w:cs="Calibri"/>
          <w:sz w:val="24"/>
          <w:szCs w:val="24"/>
        </w:rPr>
        <w:t>provided for this indicator</w:t>
      </w:r>
      <w:r w:rsidRPr="00821556">
        <w:rPr>
          <w:rFonts w:ascii="Calibri" w:hAnsi="Calibri" w:cs="Calibri"/>
          <w:sz w:val="24"/>
          <w:szCs w:val="24"/>
        </w:rPr>
        <w:t xml:space="preserve"> only represent cases of sexual abuse reported to </w:t>
      </w:r>
      <w:r>
        <w:rPr>
          <w:rFonts w:ascii="Calibri" w:hAnsi="Calibri" w:cs="Calibri"/>
          <w:sz w:val="24"/>
          <w:szCs w:val="24"/>
        </w:rPr>
        <w:t>d</w:t>
      </w:r>
      <w:r w:rsidRPr="00821556">
        <w:rPr>
          <w:rFonts w:ascii="Calibri" w:hAnsi="Calibri" w:cs="Calibri"/>
          <w:sz w:val="24"/>
          <w:szCs w:val="24"/>
        </w:rPr>
        <w:t xml:space="preserve">epartments responsible for child protection. Instances of sexual abuse by family members other than parents/guardians and </w:t>
      </w:r>
      <w:r>
        <w:rPr>
          <w:rFonts w:ascii="Calibri" w:hAnsi="Calibri" w:cs="Calibri"/>
          <w:sz w:val="24"/>
          <w:szCs w:val="24"/>
        </w:rPr>
        <w:t xml:space="preserve">by </w:t>
      </w:r>
      <w:r w:rsidRPr="00821556">
        <w:rPr>
          <w:rFonts w:ascii="Calibri" w:hAnsi="Calibri" w:cs="Calibri"/>
          <w:sz w:val="24"/>
          <w:szCs w:val="24"/>
        </w:rPr>
        <w:t>non-family members are generally only included where there has been a finding of a failure to protect by the parent/guardian.</w:t>
      </w:r>
      <w:r w:rsidRPr="000608A8">
        <w:rPr>
          <w:rFonts w:ascii="Calibri" w:eastAsia="Calibri" w:hAnsi="Calibri" w:cs="Calibri"/>
          <w:sz w:val="24"/>
          <w:szCs w:val="24"/>
          <w:lang w:eastAsia="en-US"/>
        </w:rPr>
        <w:t xml:space="preserve"> </w:t>
      </w:r>
      <w:r w:rsidRPr="00821556">
        <w:rPr>
          <w:rFonts w:ascii="Calibri" w:eastAsia="Calibri" w:hAnsi="Calibri" w:cs="Calibri"/>
          <w:sz w:val="24"/>
          <w:szCs w:val="24"/>
          <w:lang w:eastAsia="en-US"/>
        </w:rPr>
        <w:t>When interpreting these data, it should be noted that</w:t>
      </w:r>
      <w:r>
        <w:rPr>
          <w:rFonts w:ascii="Calibri" w:eastAsia="Calibri" w:hAnsi="Calibri" w:cs="Calibri"/>
          <w:sz w:val="24"/>
          <w:szCs w:val="24"/>
          <w:lang w:eastAsia="en-US"/>
        </w:rPr>
        <w:t>,</w:t>
      </w:r>
      <w:r w:rsidRPr="00821556">
        <w:rPr>
          <w:rFonts w:ascii="Calibri" w:eastAsia="Calibri" w:hAnsi="Calibri" w:cs="Calibri"/>
          <w:sz w:val="24"/>
          <w:szCs w:val="24"/>
          <w:lang w:eastAsia="en-US"/>
        </w:rPr>
        <w:t xml:space="preserve"> if a child was the subject of more than one type of abuse or neglect as part of the same notification, the abuse and/or neglect reported is the one considered by the child protection workers to cause the most harm to the child.</w:t>
      </w:r>
      <w:r>
        <w:rPr>
          <w:rFonts w:ascii="Calibri" w:eastAsia="Calibri" w:hAnsi="Calibri" w:cs="Calibri"/>
          <w:sz w:val="24"/>
          <w:szCs w:val="24"/>
          <w:lang w:eastAsia="en-US"/>
        </w:rPr>
        <w:t xml:space="preserve"> </w:t>
      </w:r>
    </w:p>
    <w:p w:rsidR="00D0122C" w:rsidRPr="00821556" w:rsidRDefault="00D0122C" w:rsidP="00D0122C">
      <w:pPr>
        <w:rPr>
          <w:rFonts w:ascii="Calibri" w:eastAsia="Calibri" w:hAnsi="Calibri" w:cs="Calibri"/>
          <w:sz w:val="24"/>
          <w:szCs w:val="24"/>
          <w:lang w:eastAsia="en-US"/>
        </w:rPr>
      </w:pPr>
    </w:p>
    <w:p w:rsidR="00D0122C" w:rsidRPr="00821556" w:rsidRDefault="00D0122C" w:rsidP="00D0122C">
      <w:pPr>
        <w:rPr>
          <w:rFonts w:ascii="Calibri" w:eastAsia="Calibri" w:hAnsi="Calibri" w:cs="Calibri"/>
          <w:sz w:val="24"/>
          <w:szCs w:val="24"/>
          <w:lang w:eastAsia="en-US"/>
        </w:rPr>
      </w:pPr>
      <w:r w:rsidRPr="00821556">
        <w:rPr>
          <w:rFonts w:ascii="Calibri" w:eastAsia="Calibri" w:hAnsi="Calibri" w:cs="Calibri"/>
          <w:sz w:val="24"/>
          <w:szCs w:val="24"/>
          <w:lang w:eastAsia="en-US"/>
        </w:rPr>
        <w:t xml:space="preserve">In 2011–12, 4801 children were the subject of substantiated sexual abuse, </w:t>
      </w:r>
      <w:r>
        <w:rPr>
          <w:rFonts w:ascii="Calibri" w:eastAsia="Calibri" w:hAnsi="Calibri" w:cs="Calibri"/>
          <w:sz w:val="24"/>
          <w:szCs w:val="24"/>
          <w:lang w:eastAsia="en-US"/>
        </w:rPr>
        <w:t>a rate of 0.9 per 1000 children. The rate of s</w:t>
      </w:r>
      <w:r w:rsidRPr="00821556">
        <w:rPr>
          <w:rFonts w:ascii="Calibri" w:eastAsia="Calibri" w:hAnsi="Calibri" w:cs="Calibri"/>
          <w:sz w:val="24"/>
          <w:szCs w:val="24"/>
          <w:lang w:eastAsia="en-US"/>
        </w:rPr>
        <w:t xml:space="preserve">ubstantiated sexual abuse was </w:t>
      </w:r>
      <w:r>
        <w:rPr>
          <w:rFonts w:ascii="Calibri" w:eastAsia="Calibri" w:hAnsi="Calibri" w:cs="Calibri"/>
          <w:sz w:val="24"/>
          <w:szCs w:val="24"/>
          <w:lang w:eastAsia="en-US"/>
        </w:rPr>
        <w:t xml:space="preserve">five times </w:t>
      </w:r>
      <w:r w:rsidRPr="00821556">
        <w:rPr>
          <w:rFonts w:ascii="Calibri" w:eastAsia="Calibri" w:hAnsi="Calibri" w:cs="Calibri"/>
          <w:sz w:val="24"/>
          <w:szCs w:val="24"/>
          <w:lang w:eastAsia="en-US"/>
        </w:rPr>
        <w:t>higher for Indigenous children than non-Indigenous children</w:t>
      </w:r>
      <w:r>
        <w:rPr>
          <w:rFonts w:ascii="Calibri" w:eastAsia="Calibri" w:hAnsi="Calibri" w:cs="Calibri"/>
          <w:sz w:val="24"/>
          <w:szCs w:val="24"/>
          <w:lang w:eastAsia="en-US"/>
        </w:rPr>
        <w:t xml:space="preserve"> (3.9 and 0.7 per 1000 respectively).</w:t>
      </w:r>
    </w:p>
    <w:p w:rsidR="00D0122C" w:rsidRDefault="00D0122C" w:rsidP="00D0122C">
      <w:pPr>
        <w:rPr>
          <w:rFonts w:ascii="Calibri" w:eastAsia="Calibri" w:hAnsi="Calibri" w:cs="Calibri"/>
          <w:sz w:val="24"/>
          <w:szCs w:val="24"/>
          <w:lang w:eastAsia="en-US"/>
        </w:rPr>
      </w:pPr>
    </w:p>
    <w:p w:rsidR="00D0122C" w:rsidRPr="00821556" w:rsidRDefault="00E0613F" w:rsidP="00520DEC">
      <w:pPr>
        <w:pStyle w:val="Figure"/>
        <w:ind w:right="2527"/>
      </w:pPr>
      <w:bookmarkStart w:id="219" w:name="_Toc400010309"/>
      <w:r>
        <w:t xml:space="preserve">Table </w:t>
      </w:r>
      <w:fldSimple w:instr=" SEQ Table \* ARABIC ">
        <w:r w:rsidR="00BF1EC9">
          <w:rPr>
            <w:noProof/>
          </w:rPr>
          <w:t>23</w:t>
        </w:r>
      </w:fldSimple>
      <w:r>
        <w:t xml:space="preserve">: </w:t>
      </w:r>
      <w:r w:rsidRPr="00821556">
        <w:t xml:space="preserve">Children aged 0–17 years who were the subject of </w:t>
      </w:r>
      <w:proofErr w:type="gramStart"/>
      <w:r w:rsidRPr="00821556">
        <w:t>a substantiation</w:t>
      </w:r>
      <w:proofErr w:type="gramEnd"/>
      <w:r w:rsidRPr="00821556">
        <w:t>, by type of abuse or neglect</w:t>
      </w:r>
      <w:r w:rsidR="00520DEC">
        <w:t xml:space="preserve"> </w:t>
      </w:r>
      <w:r w:rsidRPr="00821556">
        <w:t>and Indigenous status, 2011–12</w:t>
      </w:r>
      <w:bookmarkEnd w:id="219"/>
    </w:p>
    <w:tbl>
      <w:tblPr>
        <w:tblW w:w="3899" w:type="pct"/>
        <w:tblBorders>
          <w:top w:val="single" w:sz="4" w:space="0" w:color="auto"/>
          <w:bottom w:val="single" w:sz="4" w:space="0" w:color="auto"/>
        </w:tblBorders>
        <w:tblLayout w:type="fixed"/>
        <w:tblLook w:val="04A0" w:firstRow="1" w:lastRow="0" w:firstColumn="1" w:lastColumn="0" w:noHBand="0" w:noVBand="1"/>
        <w:tblDescription w:val="Table 23: Children aged 0–17 years who were the subject of a substantiation, by type of abuse or neglect and Indigenous status, 2011–12"/>
      </w:tblPr>
      <w:tblGrid>
        <w:gridCol w:w="1529"/>
        <w:gridCol w:w="1133"/>
        <w:gridCol w:w="1133"/>
        <w:gridCol w:w="1133"/>
        <w:gridCol w:w="1134"/>
        <w:gridCol w:w="1134"/>
        <w:gridCol w:w="1133"/>
      </w:tblGrid>
      <w:tr w:rsidR="00AF60C8" w:rsidRPr="00821556" w:rsidTr="00AF60C8">
        <w:trPr>
          <w:trHeight w:val="288"/>
        </w:trPr>
        <w:tc>
          <w:tcPr>
            <w:tcW w:w="917" w:type="pct"/>
            <w:tcBorders>
              <w:top w:val="single" w:sz="4" w:space="0" w:color="auto"/>
              <w:bottom w:val="single" w:sz="4" w:space="0" w:color="auto"/>
            </w:tcBorders>
            <w:shd w:val="clear" w:color="000000" w:fill="FFFFFF"/>
            <w:vAlign w:val="bottom"/>
          </w:tcPr>
          <w:p w:rsidR="00AF60C8" w:rsidRPr="00821556" w:rsidRDefault="00AF60C8" w:rsidP="00135409">
            <w:pPr>
              <w:pStyle w:val="TableFigText"/>
              <w:rPr>
                <w:rFonts w:eastAsia="Calibri" w:cs="Arial"/>
              </w:rPr>
            </w:pPr>
          </w:p>
        </w:tc>
        <w:tc>
          <w:tcPr>
            <w:tcW w:w="680" w:type="pct"/>
            <w:tcBorders>
              <w:top w:val="single" w:sz="4" w:space="0" w:color="auto"/>
              <w:bottom w:val="single" w:sz="4" w:space="0" w:color="auto"/>
            </w:tcBorders>
            <w:shd w:val="clear" w:color="000000" w:fill="FFFFFF"/>
            <w:noWrap/>
            <w:vAlign w:val="bottom"/>
          </w:tcPr>
          <w:p w:rsidR="00AF60C8" w:rsidRPr="00821556" w:rsidRDefault="00AF60C8" w:rsidP="00135409">
            <w:pPr>
              <w:pStyle w:val="TableFigHeadingtotal"/>
              <w:jc w:val="right"/>
              <w:rPr>
                <w:rFonts w:eastAsia="Calibri" w:cs="Arial"/>
              </w:rPr>
            </w:pPr>
            <w:r>
              <w:rPr>
                <w:rFonts w:eastAsia="Calibri" w:cs="Arial"/>
              </w:rPr>
              <w:t>Indigenous children</w:t>
            </w:r>
            <w:r>
              <w:rPr>
                <w:rFonts w:eastAsia="Calibri" w:cs="Arial"/>
              </w:rPr>
              <w:br/>
            </w:r>
            <w:r w:rsidRPr="00821556">
              <w:rPr>
                <w:rFonts w:eastAsia="Calibri" w:cs="Arial"/>
              </w:rPr>
              <w:t>Number</w:t>
            </w:r>
          </w:p>
        </w:tc>
        <w:tc>
          <w:tcPr>
            <w:tcW w:w="680" w:type="pct"/>
            <w:tcBorders>
              <w:top w:val="single" w:sz="4" w:space="0" w:color="auto"/>
              <w:bottom w:val="single" w:sz="4" w:space="0" w:color="auto"/>
            </w:tcBorders>
            <w:shd w:val="clear" w:color="000000" w:fill="FFFFFF"/>
            <w:vAlign w:val="bottom"/>
          </w:tcPr>
          <w:p w:rsidR="00AF60C8" w:rsidRPr="00821556" w:rsidRDefault="00AF60C8" w:rsidP="00135409">
            <w:pPr>
              <w:pStyle w:val="TableFigHeadingtotal"/>
              <w:jc w:val="right"/>
              <w:rPr>
                <w:rFonts w:eastAsia="Calibri" w:cs="Arial"/>
              </w:rPr>
            </w:pPr>
            <w:r>
              <w:rPr>
                <w:rFonts w:eastAsia="Calibri" w:cs="Arial"/>
              </w:rPr>
              <w:t>Indigenous children</w:t>
            </w:r>
            <w:r>
              <w:rPr>
                <w:rFonts w:eastAsia="Calibri" w:cs="Arial"/>
              </w:rPr>
              <w:br/>
              <w:t>Rate</w:t>
            </w:r>
          </w:p>
        </w:tc>
        <w:tc>
          <w:tcPr>
            <w:tcW w:w="680" w:type="pct"/>
            <w:tcBorders>
              <w:top w:val="single" w:sz="4" w:space="0" w:color="auto"/>
              <w:bottom w:val="single" w:sz="4" w:space="0" w:color="auto"/>
            </w:tcBorders>
            <w:shd w:val="clear" w:color="000000" w:fill="FFFFFF"/>
            <w:vAlign w:val="bottom"/>
          </w:tcPr>
          <w:p w:rsidR="00AF60C8" w:rsidRPr="00821556" w:rsidRDefault="00AF60C8" w:rsidP="00135409">
            <w:pPr>
              <w:pStyle w:val="TableFigHeadingtotal"/>
              <w:jc w:val="right"/>
              <w:rPr>
                <w:rFonts w:eastAsia="Calibri" w:cs="Arial"/>
              </w:rPr>
            </w:pPr>
            <w:r w:rsidRPr="00821556">
              <w:rPr>
                <w:rFonts w:eastAsia="Calibri" w:cs="Arial"/>
              </w:rPr>
              <w:t>Non-Indigenous children Number</w:t>
            </w:r>
          </w:p>
        </w:tc>
        <w:tc>
          <w:tcPr>
            <w:tcW w:w="681" w:type="pct"/>
            <w:tcBorders>
              <w:top w:val="single" w:sz="4" w:space="0" w:color="auto"/>
              <w:bottom w:val="single" w:sz="4" w:space="0" w:color="auto"/>
            </w:tcBorders>
            <w:shd w:val="clear" w:color="000000" w:fill="FFFFFF"/>
            <w:vAlign w:val="bottom"/>
          </w:tcPr>
          <w:p w:rsidR="00AF60C8" w:rsidRPr="00821556" w:rsidRDefault="00AF60C8" w:rsidP="00135409">
            <w:pPr>
              <w:pStyle w:val="TableFigHeadingtotal"/>
              <w:jc w:val="right"/>
              <w:rPr>
                <w:rFonts w:eastAsia="Calibri" w:cs="Arial"/>
              </w:rPr>
            </w:pPr>
            <w:r w:rsidRPr="00821556">
              <w:rPr>
                <w:rFonts w:eastAsia="Calibri" w:cs="Arial"/>
              </w:rPr>
              <w:t>Non-Indigenous children</w:t>
            </w:r>
            <w:r>
              <w:rPr>
                <w:rFonts w:eastAsia="Calibri" w:cs="Arial"/>
              </w:rPr>
              <w:t xml:space="preserve"> Rate</w:t>
            </w:r>
          </w:p>
        </w:tc>
        <w:tc>
          <w:tcPr>
            <w:tcW w:w="681" w:type="pct"/>
            <w:tcBorders>
              <w:top w:val="single" w:sz="4" w:space="0" w:color="auto"/>
              <w:bottom w:val="single" w:sz="4" w:space="0" w:color="auto"/>
            </w:tcBorders>
            <w:shd w:val="clear" w:color="000000" w:fill="FFFFFF"/>
            <w:vAlign w:val="bottom"/>
          </w:tcPr>
          <w:p w:rsidR="00AF60C8" w:rsidRPr="00821556" w:rsidRDefault="00AF60C8" w:rsidP="00135409">
            <w:pPr>
              <w:pStyle w:val="TableFigHeadingtotal"/>
              <w:jc w:val="right"/>
              <w:rPr>
                <w:rFonts w:eastAsia="Calibri" w:cs="Arial"/>
              </w:rPr>
            </w:pPr>
            <w:r>
              <w:rPr>
                <w:rFonts w:eastAsia="Calibri" w:cs="Arial"/>
              </w:rPr>
              <w:t>All children</w:t>
            </w:r>
            <w:r>
              <w:rPr>
                <w:rFonts w:eastAsia="Calibri" w:cs="Arial"/>
              </w:rPr>
              <w:br/>
            </w:r>
            <w:r w:rsidRPr="00821556">
              <w:rPr>
                <w:rFonts w:eastAsia="Calibri" w:cs="Arial"/>
              </w:rPr>
              <w:t>Number</w:t>
            </w:r>
          </w:p>
        </w:tc>
        <w:tc>
          <w:tcPr>
            <w:tcW w:w="680" w:type="pct"/>
            <w:tcBorders>
              <w:top w:val="single" w:sz="4" w:space="0" w:color="auto"/>
              <w:bottom w:val="single" w:sz="4" w:space="0" w:color="auto"/>
            </w:tcBorders>
            <w:shd w:val="clear" w:color="000000" w:fill="FFFFFF"/>
            <w:vAlign w:val="bottom"/>
          </w:tcPr>
          <w:p w:rsidR="00AF60C8" w:rsidRPr="00821556" w:rsidRDefault="00AF60C8" w:rsidP="00135409">
            <w:pPr>
              <w:pStyle w:val="TableFigHeadingtotal"/>
              <w:jc w:val="right"/>
              <w:rPr>
                <w:rFonts w:eastAsia="Calibri" w:cs="Arial"/>
              </w:rPr>
            </w:pPr>
            <w:r>
              <w:rPr>
                <w:rFonts w:eastAsia="Calibri" w:cs="Arial"/>
              </w:rPr>
              <w:t>All children</w:t>
            </w:r>
            <w:r>
              <w:rPr>
                <w:rFonts w:eastAsia="Calibri" w:cs="Arial"/>
              </w:rPr>
              <w:br/>
              <w:t>Rate</w:t>
            </w:r>
          </w:p>
        </w:tc>
      </w:tr>
      <w:tr w:rsidR="00AF60C8" w:rsidRPr="00821556" w:rsidTr="00AF60C8">
        <w:trPr>
          <w:trHeight w:val="288"/>
        </w:trPr>
        <w:tc>
          <w:tcPr>
            <w:tcW w:w="917" w:type="pct"/>
            <w:tcBorders>
              <w:top w:val="single" w:sz="4" w:space="0" w:color="auto"/>
            </w:tcBorders>
            <w:shd w:val="clear" w:color="000000" w:fill="FFFFFF"/>
            <w:vAlign w:val="bottom"/>
          </w:tcPr>
          <w:p w:rsidR="00AF60C8" w:rsidRPr="00821556" w:rsidRDefault="00AF60C8" w:rsidP="00135409">
            <w:pPr>
              <w:pStyle w:val="TableFigText"/>
              <w:rPr>
                <w:rFonts w:eastAsia="Calibri" w:cs="Arial"/>
              </w:rPr>
            </w:pPr>
            <w:r w:rsidRPr="00821556">
              <w:rPr>
                <w:rFonts w:eastAsia="Calibri" w:cs="Arial"/>
              </w:rPr>
              <w:t xml:space="preserve">Physical </w:t>
            </w:r>
          </w:p>
        </w:tc>
        <w:tc>
          <w:tcPr>
            <w:tcW w:w="680" w:type="pct"/>
            <w:tcBorders>
              <w:top w:val="single" w:sz="4" w:space="0" w:color="auto"/>
            </w:tcBorders>
            <w:shd w:val="clear" w:color="000000" w:fill="FFFFFF"/>
            <w:noWrap/>
            <w:vAlign w:val="bottom"/>
          </w:tcPr>
          <w:p w:rsidR="00AF60C8" w:rsidRPr="00821556" w:rsidRDefault="00AF60C8" w:rsidP="00540D18">
            <w:pPr>
              <w:pStyle w:val="TableFigText"/>
              <w:jc w:val="right"/>
              <w:rPr>
                <w:rFonts w:eastAsia="Calibri" w:cs="Arial"/>
              </w:rPr>
            </w:pPr>
            <w:r w:rsidRPr="00821556">
              <w:rPr>
                <w:rFonts w:eastAsia="Calibri" w:cs="Arial"/>
              </w:rPr>
              <w:t>1829</w:t>
            </w:r>
          </w:p>
        </w:tc>
        <w:tc>
          <w:tcPr>
            <w:tcW w:w="680" w:type="pct"/>
            <w:tcBorders>
              <w:top w:val="single" w:sz="4" w:space="0" w:color="auto"/>
            </w:tcBorders>
            <w:shd w:val="clear" w:color="000000" w:fill="FFFFFF"/>
            <w:vAlign w:val="bottom"/>
          </w:tcPr>
          <w:p w:rsidR="00AF60C8" w:rsidRPr="00821556" w:rsidRDefault="00AF60C8" w:rsidP="00AF60C8">
            <w:pPr>
              <w:pStyle w:val="TableFigText"/>
              <w:jc w:val="right"/>
              <w:rPr>
                <w:rFonts w:eastAsia="Calibri" w:cs="Arial"/>
              </w:rPr>
            </w:pPr>
            <w:r w:rsidRPr="000469AD">
              <w:rPr>
                <w:rFonts w:eastAsia="Calibri" w:cs="Arial"/>
              </w:rPr>
              <w:t>7.6</w:t>
            </w:r>
          </w:p>
        </w:tc>
        <w:tc>
          <w:tcPr>
            <w:tcW w:w="680" w:type="pct"/>
            <w:tcBorders>
              <w:top w:val="single" w:sz="4" w:space="0" w:color="auto"/>
            </w:tcBorders>
            <w:shd w:val="clear" w:color="000000" w:fill="FFFFFF"/>
            <w:vAlign w:val="bottom"/>
          </w:tcPr>
          <w:p w:rsidR="00AF60C8" w:rsidRPr="00821556" w:rsidRDefault="00AF60C8" w:rsidP="00664DE1">
            <w:pPr>
              <w:pStyle w:val="TableFigText"/>
              <w:jc w:val="right"/>
              <w:rPr>
                <w:rFonts w:eastAsia="Calibri" w:cs="Arial"/>
              </w:rPr>
            </w:pPr>
            <w:r w:rsidRPr="00821556">
              <w:rPr>
                <w:rFonts w:eastAsia="Calibri" w:cs="Arial"/>
              </w:rPr>
              <w:t>5845</w:t>
            </w:r>
          </w:p>
        </w:tc>
        <w:tc>
          <w:tcPr>
            <w:tcW w:w="681" w:type="pct"/>
            <w:tcBorders>
              <w:top w:val="single" w:sz="4" w:space="0" w:color="auto"/>
            </w:tcBorders>
            <w:shd w:val="clear" w:color="000000" w:fill="FFFFFF"/>
          </w:tcPr>
          <w:p w:rsidR="00AF60C8" w:rsidRPr="00821556" w:rsidRDefault="00AF60C8" w:rsidP="00463227">
            <w:pPr>
              <w:pStyle w:val="TableFigText"/>
              <w:jc w:val="right"/>
              <w:rPr>
                <w:rFonts w:eastAsia="Calibri" w:cs="Arial"/>
              </w:rPr>
            </w:pPr>
            <w:r w:rsidRPr="00AE05FF">
              <w:t>1.2</w:t>
            </w:r>
          </w:p>
        </w:tc>
        <w:tc>
          <w:tcPr>
            <w:tcW w:w="681" w:type="pct"/>
            <w:tcBorders>
              <w:top w:val="single" w:sz="4" w:space="0" w:color="auto"/>
            </w:tcBorders>
            <w:shd w:val="clear" w:color="000000" w:fill="FFFFFF"/>
            <w:vAlign w:val="bottom"/>
          </w:tcPr>
          <w:p w:rsidR="00AF60C8" w:rsidRPr="00821556" w:rsidRDefault="00AF60C8" w:rsidP="00664DE1">
            <w:pPr>
              <w:pStyle w:val="TableFigText"/>
              <w:jc w:val="right"/>
              <w:rPr>
                <w:rFonts w:eastAsia="Calibri" w:cs="Arial"/>
              </w:rPr>
            </w:pPr>
            <w:r w:rsidRPr="00821556">
              <w:rPr>
                <w:rFonts w:eastAsia="Calibri" w:cs="Arial"/>
              </w:rPr>
              <w:t>7980</w:t>
            </w:r>
          </w:p>
        </w:tc>
        <w:tc>
          <w:tcPr>
            <w:tcW w:w="680" w:type="pct"/>
            <w:tcBorders>
              <w:top w:val="single" w:sz="4" w:space="0" w:color="auto"/>
            </w:tcBorders>
            <w:shd w:val="clear" w:color="000000" w:fill="FFFFFF"/>
          </w:tcPr>
          <w:p w:rsidR="00AF60C8" w:rsidRPr="00821556" w:rsidRDefault="00AF60C8" w:rsidP="00463227">
            <w:pPr>
              <w:pStyle w:val="TableFigText"/>
              <w:jc w:val="right"/>
              <w:rPr>
                <w:rFonts w:eastAsia="Calibri" w:cs="Arial"/>
              </w:rPr>
            </w:pPr>
            <w:r w:rsidRPr="00AA5490">
              <w:t>1.6</w:t>
            </w:r>
          </w:p>
        </w:tc>
      </w:tr>
      <w:tr w:rsidR="00AF60C8" w:rsidRPr="00821556" w:rsidTr="00AF60C8">
        <w:trPr>
          <w:trHeight w:val="288"/>
        </w:trPr>
        <w:tc>
          <w:tcPr>
            <w:tcW w:w="917" w:type="pct"/>
            <w:shd w:val="clear" w:color="000000" w:fill="FFFFFF"/>
            <w:vAlign w:val="bottom"/>
          </w:tcPr>
          <w:p w:rsidR="00AF60C8" w:rsidRPr="00821556" w:rsidRDefault="00AF60C8" w:rsidP="00135409">
            <w:pPr>
              <w:pStyle w:val="TableFigText"/>
              <w:rPr>
                <w:rFonts w:eastAsia="Calibri" w:cs="Arial"/>
              </w:rPr>
            </w:pPr>
            <w:r w:rsidRPr="00821556">
              <w:rPr>
                <w:rFonts w:eastAsia="Calibri" w:cs="Arial"/>
              </w:rPr>
              <w:t xml:space="preserve">Sexual </w:t>
            </w:r>
          </w:p>
        </w:tc>
        <w:tc>
          <w:tcPr>
            <w:tcW w:w="680" w:type="pct"/>
            <w:shd w:val="clear" w:color="000000" w:fill="FFFFFF"/>
            <w:noWrap/>
            <w:vAlign w:val="bottom"/>
          </w:tcPr>
          <w:p w:rsidR="00AF60C8" w:rsidRPr="00821556" w:rsidRDefault="00AF60C8" w:rsidP="00135409">
            <w:pPr>
              <w:pStyle w:val="TableFigText"/>
              <w:jc w:val="right"/>
              <w:rPr>
                <w:rFonts w:eastAsia="Calibri" w:cs="Arial"/>
              </w:rPr>
            </w:pPr>
            <w:r w:rsidRPr="00821556">
              <w:rPr>
                <w:rFonts w:eastAsia="Calibri" w:cs="Arial"/>
              </w:rPr>
              <w:t>935</w:t>
            </w:r>
          </w:p>
        </w:tc>
        <w:tc>
          <w:tcPr>
            <w:tcW w:w="680" w:type="pct"/>
            <w:shd w:val="clear" w:color="000000" w:fill="FFFFFF"/>
            <w:vAlign w:val="bottom"/>
          </w:tcPr>
          <w:p w:rsidR="00AF60C8" w:rsidRPr="00821556" w:rsidRDefault="00AF60C8" w:rsidP="00AF60C8">
            <w:pPr>
              <w:pStyle w:val="TableFigText"/>
              <w:jc w:val="right"/>
              <w:rPr>
                <w:rFonts w:eastAsia="Calibri" w:cs="Arial"/>
              </w:rPr>
            </w:pPr>
            <w:r w:rsidRPr="000469AD">
              <w:rPr>
                <w:rFonts w:eastAsia="Calibri" w:cs="Arial"/>
              </w:rPr>
              <w:t>3.9</w:t>
            </w:r>
          </w:p>
        </w:tc>
        <w:tc>
          <w:tcPr>
            <w:tcW w:w="680" w:type="pct"/>
            <w:shd w:val="clear" w:color="000000" w:fill="FFFFFF"/>
            <w:vAlign w:val="bottom"/>
          </w:tcPr>
          <w:p w:rsidR="00AF60C8" w:rsidRPr="00821556" w:rsidRDefault="00AF60C8" w:rsidP="00664DE1">
            <w:pPr>
              <w:pStyle w:val="TableFigText"/>
              <w:jc w:val="right"/>
              <w:rPr>
                <w:rFonts w:eastAsia="Calibri" w:cs="Arial"/>
              </w:rPr>
            </w:pPr>
            <w:r w:rsidRPr="00821556">
              <w:rPr>
                <w:rFonts w:eastAsia="Calibri" w:cs="Arial"/>
              </w:rPr>
              <w:t>3574</w:t>
            </w:r>
          </w:p>
        </w:tc>
        <w:tc>
          <w:tcPr>
            <w:tcW w:w="681" w:type="pct"/>
            <w:shd w:val="clear" w:color="000000" w:fill="FFFFFF"/>
          </w:tcPr>
          <w:p w:rsidR="00AF60C8" w:rsidRPr="00821556" w:rsidRDefault="00AF60C8" w:rsidP="00463227">
            <w:pPr>
              <w:pStyle w:val="TableFigText"/>
              <w:jc w:val="right"/>
              <w:rPr>
                <w:rFonts w:eastAsia="Calibri" w:cs="Arial"/>
              </w:rPr>
            </w:pPr>
            <w:r w:rsidRPr="00AE05FF">
              <w:t>0.7</w:t>
            </w:r>
          </w:p>
        </w:tc>
        <w:tc>
          <w:tcPr>
            <w:tcW w:w="681" w:type="pct"/>
            <w:shd w:val="clear" w:color="000000" w:fill="FFFFFF"/>
            <w:vAlign w:val="bottom"/>
          </w:tcPr>
          <w:p w:rsidR="00AF60C8" w:rsidRPr="00821556" w:rsidRDefault="00AF60C8" w:rsidP="00664DE1">
            <w:pPr>
              <w:pStyle w:val="TableFigText"/>
              <w:jc w:val="right"/>
              <w:rPr>
                <w:rFonts w:eastAsia="Calibri" w:cs="Arial"/>
              </w:rPr>
            </w:pPr>
            <w:r w:rsidRPr="00821556">
              <w:rPr>
                <w:rFonts w:eastAsia="Calibri" w:cs="Arial"/>
              </w:rPr>
              <w:t>4801</w:t>
            </w:r>
          </w:p>
        </w:tc>
        <w:tc>
          <w:tcPr>
            <w:tcW w:w="680" w:type="pct"/>
            <w:shd w:val="clear" w:color="000000" w:fill="FFFFFF"/>
          </w:tcPr>
          <w:p w:rsidR="00AF60C8" w:rsidRPr="00821556" w:rsidRDefault="00AF60C8" w:rsidP="00463227">
            <w:pPr>
              <w:pStyle w:val="TableFigText"/>
              <w:jc w:val="right"/>
              <w:rPr>
                <w:rFonts w:eastAsia="Calibri" w:cs="Arial"/>
              </w:rPr>
            </w:pPr>
            <w:r w:rsidRPr="00AA5490">
              <w:t>0.9</w:t>
            </w:r>
          </w:p>
        </w:tc>
      </w:tr>
      <w:tr w:rsidR="00AF60C8" w:rsidRPr="00821556" w:rsidTr="00AF60C8">
        <w:trPr>
          <w:trHeight w:val="288"/>
        </w:trPr>
        <w:tc>
          <w:tcPr>
            <w:tcW w:w="917" w:type="pct"/>
            <w:shd w:val="clear" w:color="000000" w:fill="FFFFFF"/>
            <w:vAlign w:val="bottom"/>
          </w:tcPr>
          <w:p w:rsidR="00AF60C8" w:rsidRPr="00821556" w:rsidRDefault="00AF60C8" w:rsidP="00135409">
            <w:pPr>
              <w:pStyle w:val="TableFigText"/>
              <w:rPr>
                <w:rFonts w:eastAsia="Calibri" w:cs="Arial"/>
              </w:rPr>
            </w:pPr>
            <w:r w:rsidRPr="00821556">
              <w:rPr>
                <w:rFonts w:eastAsia="Calibri" w:cs="Arial"/>
              </w:rPr>
              <w:t xml:space="preserve">Emotional </w:t>
            </w:r>
          </w:p>
        </w:tc>
        <w:tc>
          <w:tcPr>
            <w:tcW w:w="680" w:type="pct"/>
            <w:shd w:val="clear" w:color="000000" w:fill="FFFFFF"/>
            <w:noWrap/>
            <w:vAlign w:val="bottom"/>
          </w:tcPr>
          <w:p w:rsidR="00AF60C8" w:rsidRPr="00821556" w:rsidRDefault="00AF60C8" w:rsidP="00540D18">
            <w:pPr>
              <w:pStyle w:val="TableFigText"/>
              <w:jc w:val="right"/>
              <w:rPr>
                <w:rFonts w:eastAsia="Calibri" w:cs="Arial"/>
              </w:rPr>
            </w:pPr>
            <w:r w:rsidRPr="00821556">
              <w:rPr>
                <w:rFonts w:eastAsia="Calibri" w:cs="Arial"/>
              </w:rPr>
              <w:t>3303</w:t>
            </w:r>
          </w:p>
        </w:tc>
        <w:tc>
          <w:tcPr>
            <w:tcW w:w="680" w:type="pct"/>
            <w:shd w:val="clear" w:color="000000" w:fill="FFFFFF"/>
            <w:vAlign w:val="bottom"/>
          </w:tcPr>
          <w:p w:rsidR="00AF60C8" w:rsidRPr="00821556" w:rsidRDefault="00AF60C8" w:rsidP="00AF60C8">
            <w:pPr>
              <w:pStyle w:val="TableFigText"/>
              <w:jc w:val="right"/>
              <w:rPr>
                <w:rFonts w:eastAsia="Calibri" w:cs="Arial"/>
              </w:rPr>
            </w:pPr>
            <w:r>
              <w:rPr>
                <w:rFonts w:eastAsia="Calibri" w:cs="Arial"/>
              </w:rPr>
              <w:t>1</w:t>
            </w:r>
            <w:r w:rsidRPr="000469AD">
              <w:rPr>
                <w:rFonts w:eastAsia="Calibri" w:cs="Arial"/>
              </w:rPr>
              <w:t>3.7</w:t>
            </w:r>
          </w:p>
        </w:tc>
        <w:tc>
          <w:tcPr>
            <w:tcW w:w="680" w:type="pct"/>
            <w:shd w:val="clear" w:color="000000" w:fill="FFFFFF"/>
            <w:vAlign w:val="bottom"/>
          </w:tcPr>
          <w:p w:rsidR="00AF60C8" w:rsidRPr="00821556" w:rsidRDefault="00AF60C8" w:rsidP="00135409">
            <w:pPr>
              <w:pStyle w:val="TableFigText"/>
              <w:jc w:val="right"/>
              <w:rPr>
                <w:rFonts w:eastAsia="Calibri" w:cs="Arial"/>
              </w:rPr>
            </w:pPr>
            <w:r w:rsidRPr="00821556">
              <w:rPr>
                <w:rFonts w:eastAsia="Calibri" w:cs="Arial"/>
              </w:rPr>
              <w:t>10</w:t>
            </w:r>
            <w:r>
              <w:rPr>
                <w:rFonts w:eastAsia="Calibri" w:cs="Arial"/>
              </w:rPr>
              <w:t> </w:t>
            </w:r>
            <w:r w:rsidRPr="00821556">
              <w:rPr>
                <w:rFonts w:eastAsia="Calibri" w:cs="Arial"/>
              </w:rPr>
              <w:t>220</w:t>
            </w:r>
          </w:p>
        </w:tc>
        <w:tc>
          <w:tcPr>
            <w:tcW w:w="681" w:type="pct"/>
            <w:shd w:val="clear" w:color="000000" w:fill="FFFFFF"/>
          </w:tcPr>
          <w:p w:rsidR="00AF60C8" w:rsidRPr="00821556" w:rsidRDefault="00AF60C8" w:rsidP="00463227">
            <w:pPr>
              <w:pStyle w:val="TableFigText"/>
              <w:jc w:val="right"/>
              <w:rPr>
                <w:rFonts w:eastAsia="Calibri" w:cs="Arial"/>
              </w:rPr>
            </w:pPr>
            <w:r w:rsidRPr="00AE05FF">
              <w:t>2.1</w:t>
            </w:r>
          </w:p>
        </w:tc>
        <w:tc>
          <w:tcPr>
            <w:tcW w:w="681" w:type="pct"/>
            <w:shd w:val="clear" w:color="000000" w:fill="FFFFFF"/>
            <w:vAlign w:val="bottom"/>
          </w:tcPr>
          <w:p w:rsidR="00AF60C8" w:rsidRPr="00821556" w:rsidRDefault="00AF60C8" w:rsidP="00135409">
            <w:pPr>
              <w:pStyle w:val="TableFigText"/>
              <w:jc w:val="right"/>
              <w:rPr>
                <w:rFonts w:eastAsia="Calibri" w:cs="Arial"/>
              </w:rPr>
            </w:pPr>
            <w:r w:rsidRPr="00821556">
              <w:rPr>
                <w:rFonts w:eastAsia="Calibri" w:cs="Arial"/>
              </w:rPr>
              <w:t>14</w:t>
            </w:r>
            <w:r>
              <w:rPr>
                <w:rFonts w:eastAsia="Calibri" w:cs="Arial"/>
              </w:rPr>
              <w:t> </w:t>
            </w:r>
            <w:r w:rsidRPr="00821556">
              <w:rPr>
                <w:rFonts w:eastAsia="Calibri" w:cs="Arial"/>
              </w:rPr>
              <w:t>024</w:t>
            </w:r>
          </w:p>
        </w:tc>
        <w:tc>
          <w:tcPr>
            <w:tcW w:w="680" w:type="pct"/>
            <w:shd w:val="clear" w:color="000000" w:fill="FFFFFF"/>
          </w:tcPr>
          <w:p w:rsidR="00AF60C8" w:rsidRPr="00821556" w:rsidRDefault="00AF60C8" w:rsidP="00463227">
            <w:pPr>
              <w:pStyle w:val="TableFigText"/>
              <w:jc w:val="right"/>
              <w:rPr>
                <w:rFonts w:eastAsia="Calibri" w:cs="Arial"/>
              </w:rPr>
            </w:pPr>
            <w:r w:rsidRPr="00AA5490">
              <w:t>2.8</w:t>
            </w:r>
          </w:p>
        </w:tc>
      </w:tr>
      <w:tr w:rsidR="00AF60C8" w:rsidRPr="00821556" w:rsidTr="00AF60C8">
        <w:trPr>
          <w:trHeight w:val="288"/>
        </w:trPr>
        <w:tc>
          <w:tcPr>
            <w:tcW w:w="917" w:type="pct"/>
            <w:shd w:val="clear" w:color="000000" w:fill="FFFFFF"/>
            <w:vAlign w:val="bottom"/>
          </w:tcPr>
          <w:p w:rsidR="00AF60C8" w:rsidRPr="00821556" w:rsidRDefault="00AF60C8" w:rsidP="00135409">
            <w:pPr>
              <w:pStyle w:val="TableFigText"/>
              <w:rPr>
                <w:rFonts w:eastAsia="Calibri" w:cs="Arial"/>
              </w:rPr>
            </w:pPr>
            <w:r w:rsidRPr="00821556">
              <w:rPr>
                <w:rFonts w:eastAsia="Calibri" w:cs="Arial"/>
              </w:rPr>
              <w:t xml:space="preserve">Neglect </w:t>
            </w:r>
          </w:p>
        </w:tc>
        <w:tc>
          <w:tcPr>
            <w:tcW w:w="680" w:type="pct"/>
            <w:shd w:val="clear" w:color="000000" w:fill="FFFFFF"/>
            <w:noWrap/>
            <w:vAlign w:val="bottom"/>
          </w:tcPr>
          <w:p w:rsidR="00AF60C8" w:rsidRPr="00821556" w:rsidRDefault="00AF60C8" w:rsidP="00540D18">
            <w:pPr>
              <w:pStyle w:val="TableFigText"/>
              <w:jc w:val="right"/>
              <w:rPr>
                <w:rFonts w:eastAsia="Calibri" w:cs="Arial"/>
              </w:rPr>
            </w:pPr>
            <w:r w:rsidRPr="00821556">
              <w:rPr>
                <w:rFonts w:eastAsia="Calibri" w:cs="Arial"/>
              </w:rPr>
              <w:t>3990</w:t>
            </w:r>
          </w:p>
        </w:tc>
        <w:tc>
          <w:tcPr>
            <w:tcW w:w="680" w:type="pct"/>
            <w:shd w:val="clear" w:color="000000" w:fill="FFFFFF"/>
            <w:vAlign w:val="bottom"/>
          </w:tcPr>
          <w:p w:rsidR="00AF60C8" w:rsidRPr="00821556" w:rsidRDefault="00AF60C8" w:rsidP="00AF60C8">
            <w:pPr>
              <w:pStyle w:val="TableFigText"/>
              <w:jc w:val="right"/>
              <w:rPr>
                <w:rFonts w:eastAsia="Calibri" w:cs="Arial"/>
              </w:rPr>
            </w:pPr>
            <w:r w:rsidRPr="000469AD">
              <w:rPr>
                <w:rFonts w:eastAsia="Calibri" w:cs="Arial"/>
              </w:rPr>
              <w:t>16.6</w:t>
            </w:r>
          </w:p>
        </w:tc>
        <w:tc>
          <w:tcPr>
            <w:tcW w:w="680" w:type="pct"/>
            <w:shd w:val="clear" w:color="000000" w:fill="FFFFFF"/>
            <w:vAlign w:val="bottom"/>
          </w:tcPr>
          <w:p w:rsidR="00AF60C8" w:rsidRPr="00821556" w:rsidRDefault="00AF60C8" w:rsidP="00540D18">
            <w:pPr>
              <w:pStyle w:val="TableFigText"/>
              <w:jc w:val="right"/>
              <w:rPr>
                <w:rFonts w:eastAsia="Calibri" w:cs="Arial"/>
              </w:rPr>
            </w:pPr>
            <w:r w:rsidRPr="00821556">
              <w:rPr>
                <w:rFonts w:eastAsia="Calibri" w:cs="Arial"/>
              </w:rPr>
              <w:t>6519</w:t>
            </w:r>
          </w:p>
        </w:tc>
        <w:tc>
          <w:tcPr>
            <w:tcW w:w="681" w:type="pct"/>
            <w:shd w:val="clear" w:color="000000" w:fill="FFFFFF"/>
          </w:tcPr>
          <w:p w:rsidR="00AF60C8" w:rsidRPr="00821556" w:rsidRDefault="00AF60C8" w:rsidP="00463227">
            <w:pPr>
              <w:pStyle w:val="TableFigText"/>
              <w:jc w:val="right"/>
              <w:rPr>
                <w:rFonts w:eastAsia="Calibri" w:cs="Arial"/>
              </w:rPr>
            </w:pPr>
            <w:r w:rsidRPr="00AE05FF">
              <w:t>1.3</w:t>
            </w:r>
          </w:p>
        </w:tc>
        <w:tc>
          <w:tcPr>
            <w:tcW w:w="681" w:type="pct"/>
            <w:shd w:val="clear" w:color="000000" w:fill="FFFFFF"/>
            <w:vAlign w:val="bottom"/>
          </w:tcPr>
          <w:p w:rsidR="00AF60C8" w:rsidRPr="00821556" w:rsidRDefault="00AF60C8" w:rsidP="00135409">
            <w:pPr>
              <w:pStyle w:val="TableFigText"/>
              <w:jc w:val="right"/>
              <w:rPr>
                <w:rFonts w:eastAsia="Calibri" w:cs="Arial"/>
              </w:rPr>
            </w:pPr>
            <w:r w:rsidRPr="00821556">
              <w:rPr>
                <w:rFonts w:eastAsia="Calibri" w:cs="Arial"/>
              </w:rPr>
              <w:t>10</w:t>
            </w:r>
            <w:r>
              <w:rPr>
                <w:rFonts w:eastAsia="Calibri" w:cs="Arial"/>
              </w:rPr>
              <w:t> </w:t>
            </w:r>
            <w:r w:rsidRPr="00821556">
              <w:rPr>
                <w:rFonts w:eastAsia="Calibri" w:cs="Arial"/>
              </w:rPr>
              <w:t>936</w:t>
            </w:r>
          </w:p>
        </w:tc>
        <w:tc>
          <w:tcPr>
            <w:tcW w:w="680" w:type="pct"/>
            <w:shd w:val="clear" w:color="000000" w:fill="FFFFFF"/>
          </w:tcPr>
          <w:p w:rsidR="00AF60C8" w:rsidRPr="00821556" w:rsidRDefault="00AF60C8" w:rsidP="00463227">
            <w:pPr>
              <w:pStyle w:val="TableFigText"/>
              <w:jc w:val="right"/>
              <w:rPr>
                <w:rFonts w:eastAsia="Calibri" w:cs="Arial"/>
              </w:rPr>
            </w:pPr>
            <w:r w:rsidRPr="00AA5490">
              <w:t>2.1</w:t>
            </w:r>
          </w:p>
        </w:tc>
      </w:tr>
      <w:tr w:rsidR="00AF60C8" w:rsidRPr="00821556" w:rsidTr="00AF60C8">
        <w:trPr>
          <w:trHeight w:val="288"/>
        </w:trPr>
        <w:tc>
          <w:tcPr>
            <w:tcW w:w="917" w:type="pct"/>
            <w:tcBorders>
              <w:bottom w:val="single" w:sz="4" w:space="0" w:color="auto"/>
            </w:tcBorders>
            <w:shd w:val="clear" w:color="000000" w:fill="FFFFFF"/>
            <w:vAlign w:val="bottom"/>
          </w:tcPr>
          <w:p w:rsidR="00AF60C8" w:rsidRPr="00821556" w:rsidRDefault="00AF60C8" w:rsidP="00135409">
            <w:pPr>
              <w:pStyle w:val="TableFigText"/>
              <w:rPr>
                <w:rFonts w:eastAsia="Calibri" w:cs="Arial"/>
                <w:b/>
                <w:bCs/>
              </w:rPr>
            </w:pPr>
            <w:r w:rsidRPr="00821556">
              <w:rPr>
                <w:rFonts w:eastAsia="Calibri" w:cs="Arial"/>
                <w:b/>
                <w:bCs/>
              </w:rPr>
              <w:t xml:space="preserve">Total </w:t>
            </w:r>
          </w:p>
        </w:tc>
        <w:tc>
          <w:tcPr>
            <w:tcW w:w="680" w:type="pct"/>
            <w:tcBorders>
              <w:bottom w:val="single" w:sz="4" w:space="0" w:color="auto"/>
            </w:tcBorders>
            <w:shd w:val="clear" w:color="000000" w:fill="FFFFFF"/>
            <w:noWrap/>
            <w:vAlign w:val="bottom"/>
          </w:tcPr>
          <w:p w:rsidR="00AF60C8" w:rsidRPr="00821556" w:rsidRDefault="00AF60C8" w:rsidP="00135409">
            <w:pPr>
              <w:pStyle w:val="TableFigText"/>
              <w:jc w:val="right"/>
              <w:rPr>
                <w:rFonts w:eastAsia="Calibri" w:cs="Arial"/>
                <w:b/>
                <w:bCs/>
              </w:rPr>
            </w:pPr>
            <w:r w:rsidRPr="00821556">
              <w:rPr>
                <w:rFonts w:eastAsia="Calibri" w:cs="Arial"/>
                <w:b/>
                <w:bCs/>
              </w:rPr>
              <w:t>10</w:t>
            </w:r>
            <w:r>
              <w:rPr>
                <w:rFonts w:eastAsia="Calibri" w:cs="Arial"/>
                <w:b/>
                <w:bCs/>
              </w:rPr>
              <w:t> </w:t>
            </w:r>
            <w:r w:rsidRPr="00821556">
              <w:rPr>
                <w:rFonts w:eastAsia="Calibri" w:cs="Arial"/>
                <w:b/>
                <w:bCs/>
              </w:rPr>
              <w:t>058</w:t>
            </w:r>
          </w:p>
        </w:tc>
        <w:tc>
          <w:tcPr>
            <w:tcW w:w="680" w:type="pct"/>
            <w:tcBorders>
              <w:bottom w:val="single" w:sz="4" w:space="0" w:color="auto"/>
            </w:tcBorders>
            <w:shd w:val="clear" w:color="000000" w:fill="FFFFFF"/>
            <w:vAlign w:val="bottom"/>
          </w:tcPr>
          <w:p w:rsidR="00AF60C8" w:rsidRPr="000469AD" w:rsidRDefault="00AF60C8" w:rsidP="00AF60C8">
            <w:pPr>
              <w:pStyle w:val="TableFigText"/>
              <w:jc w:val="right"/>
              <w:rPr>
                <w:rFonts w:eastAsia="Calibri" w:cs="Arial"/>
                <w:b/>
              </w:rPr>
            </w:pPr>
            <w:r w:rsidRPr="000469AD">
              <w:rPr>
                <w:rFonts w:eastAsia="Calibri" w:cs="Arial"/>
                <w:b/>
              </w:rPr>
              <w:t>41.9</w:t>
            </w:r>
          </w:p>
        </w:tc>
        <w:tc>
          <w:tcPr>
            <w:tcW w:w="680" w:type="pct"/>
            <w:tcBorders>
              <w:bottom w:val="single" w:sz="4" w:space="0" w:color="auto"/>
            </w:tcBorders>
            <w:shd w:val="clear" w:color="000000" w:fill="FFFFFF"/>
            <w:vAlign w:val="bottom"/>
          </w:tcPr>
          <w:p w:rsidR="00AF60C8" w:rsidRPr="000469AD" w:rsidRDefault="00AF60C8" w:rsidP="00135409">
            <w:pPr>
              <w:pStyle w:val="TableFigText"/>
              <w:jc w:val="right"/>
              <w:rPr>
                <w:rFonts w:eastAsia="Calibri" w:cs="Arial"/>
                <w:b/>
                <w:bCs/>
              </w:rPr>
            </w:pPr>
            <w:r w:rsidRPr="000469AD">
              <w:rPr>
                <w:rFonts w:eastAsia="Calibri" w:cs="Arial"/>
                <w:b/>
                <w:bCs/>
              </w:rPr>
              <w:t>26 183</w:t>
            </w:r>
          </w:p>
        </w:tc>
        <w:tc>
          <w:tcPr>
            <w:tcW w:w="681" w:type="pct"/>
            <w:tcBorders>
              <w:bottom w:val="single" w:sz="4" w:space="0" w:color="auto"/>
            </w:tcBorders>
            <w:shd w:val="clear" w:color="000000" w:fill="FFFFFF"/>
          </w:tcPr>
          <w:p w:rsidR="00AF60C8" w:rsidRPr="000469AD" w:rsidRDefault="00AF60C8" w:rsidP="00463227">
            <w:pPr>
              <w:pStyle w:val="TableFigText"/>
              <w:jc w:val="right"/>
              <w:rPr>
                <w:rFonts w:eastAsia="Calibri" w:cs="Arial"/>
                <w:b/>
              </w:rPr>
            </w:pPr>
            <w:r w:rsidRPr="000469AD">
              <w:rPr>
                <w:b/>
              </w:rPr>
              <w:t>5.4</w:t>
            </w:r>
          </w:p>
        </w:tc>
        <w:tc>
          <w:tcPr>
            <w:tcW w:w="681" w:type="pct"/>
            <w:tcBorders>
              <w:bottom w:val="single" w:sz="4" w:space="0" w:color="auto"/>
            </w:tcBorders>
            <w:shd w:val="clear" w:color="000000" w:fill="FFFFFF"/>
            <w:vAlign w:val="bottom"/>
          </w:tcPr>
          <w:p w:rsidR="00AF60C8" w:rsidRPr="000469AD" w:rsidRDefault="00AF60C8" w:rsidP="00135409">
            <w:pPr>
              <w:pStyle w:val="TableFigText"/>
              <w:jc w:val="right"/>
              <w:rPr>
                <w:rFonts w:eastAsia="Calibri" w:cs="Arial"/>
                <w:b/>
                <w:bCs/>
              </w:rPr>
            </w:pPr>
            <w:r w:rsidRPr="000469AD">
              <w:rPr>
                <w:rFonts w:eastAsia="Calibri" w:cs="Arial"/>
                <w:b/>
                <w:bCs/>
              </w:rPr>
              <w:t>37 781</w:t>
            </w:r>
          </w:p>
        </w:tc>
        <w:tc>
          <w:tcPr>
            <w:tcW w:w="680" w:type="pct"/>
            <w:tcBorders>
              <w:bottom w:val="single" w:sz="4" w:space="0" w:color="auto"/>
            </w:tcBorders>
            <w:shd w:val="clear" w:color="000000" w:fill="FFFFFF"/>
          </w:tcPr>
          <w:p w:rsidR="00AF60C8" w:rsidRPr="000469AD" w:rsidRDefault="00AF60C8" w:rsidP="00463227">
            <w:pPr>
              <w:pStyle w:val="TableFigText"/>
              <w:jc w:val="right"/>
              <w:rPr>
                <w:rFonts w:eastAsia="Calibri" w:cs="Arial"/>
                <w:b/>
                <w:bCs/>
              </w:rPr>
            </w:pPr>
            <w:r w:rsidRPr="000469AD">
              <w:rPr>
                <w:b/>
              </w:rPr>
              <w:t>7.4</w:t>
            </w:r>
          </w:p>
        </w:tc>
      </w:tr>
    </w:tbl>
    <w:p w:rsidR="00D0122C" w:rsidRPr="005812D2" w:rsidRDefault="00D0122C" w:rsidP="00D66FAA">
      <w:pPr>
        <w:pStyle w:val="StyleArial7ptLeft0cmHanging05cmBefore6pt"/>
      </w:pPr>
      <w:r w:rsidRPr="005812D2">
        <w:t xml:space="preserve">(a) </w:t>
      </w:r>
      <w:r w:rsidRPr="005812D2">
        <w:tab/>
        <w:t xml:space="preserve">‘All children’ includes children whose Indigenous status is unknown. </w:t>
      </w:r>
    </w:p>
    <w:p w:rsidR="00D0122C" w:rsidRPr="005812D2" w:rsidRDefault="00D0122C" w:rsidP="00D66FAA">
      <w:pPr>
        <w:pStyle w:val="StyleArial7ptLeft0cmHanging05cmBefore6pt"/>
      </w:pPr>
      <w:r w:rsidRPr="005812D2">
        <w:t>Notes</w:t>
      </w:r>
    </w:p>
    <w:p w:rsidR="00D0122C" w:rsidRPr="005812D2" w:rsidRDefault="00D0122C" w:rsidP="00AC0E40">
      <w:pPr>
        <w:pStyle w:val="StyleArial7ptLeft0cmHanging05cmBefore6pt"/>
        <w:ind w:left="284" w:hanging="284"/>
      </w:pPr>
      <w:r w:rsidRPr="005812D2">
        <w:t>1.</w:t>
      </w:r>
      <w:r w:rsidRPr="005812D2">
        <w:tab/>
        <w:t xml:space="preserve">Finalised investigations, including substantiations, refer only to cases which were notified during the reporting year, not the total number of investigations finalised during the reporting year. </w:t>
      </w:r>
    </w:p>
    <w:p w:rsidR="00D0122C" w:rsidRPr="005812D2" w:rsidRDefault="00D0122C" w:rsidP="00AC0E40">
      <w:pPr>
        <w:pStyle w:val="StyleArial7ptLeft0cmHanging05cmBefore6pt"/>
        <w:ind w:left="284" w:hanging="284"/>
      </w:pPr>
      <w:r w:rsidRPr="005812D2">
        <w:t xml:space="preserve">2. </w:t>
      </w:r>
      <w:r w:rsidRPr="005812D2">
        <w:tab/>
        <w:t xml:space="preserve">If a child was the subject of more than one type of abuse or neglect as part of the same notification, then the abuse and/or neglect reported is the one considered by the child protection workers to cause the most harm to the child. Where a child is the subject </w:t>
      </w:r>
      <w:proofErr w:type="gramStart"/>
      <w:r w:rsidRPr="005812D2">
        <w:t>of more than one substantiation</w:t>
      </w:r>
      <w:proofErr w:type="gramEnd"/>
      <w:r w:rsidRPr="005812D2">
        <w:t xml:space="preserve"> during the year, then the type of abuse reported in this table is the type of abuse and/or neglect associated with the substantiation decision relating to the earliest notification during the year.</w:t>
      </w:r>
    </w:p>
    <w:p w:rsidR="00D0122C" w:rsidRPr="005812D2" w:rsidRDefault="00D0122C" w:rsidP="00AC0E40">
      <w:pPr>
        <w:pStyle w:val="StyleArial7ptLeft0cmHanging05cmBefore6pt"/>
        <w:ind w:left="284" w:hanging="284"/>
      </w:pPr>
      <w:r w:rsidRPr="005812D2">
        <w:t>3.</w:t>
      </w:r>
      <w:r w:rsidRPr="005812D2">
        <w:tab/>
        <w:t>Totals include substantiations for which the abuse type was recorded as ‘not stated/inadequately described’. As such, total may not equal the sum of categories.</w:t>
      </w:r>
    </w:p>
    <w:p w:rsidR="00D0122C" w:rsidRPr="005812D2" w:rsidRDefault="00D0122C" w:rsidP="00AC0E40">
      <w:pPr>
        <w:pStyle w:val="StyleArial7ptLeft0cmHanging05cmBefore6pt"/>
        <w:ind w:left="284" w:hanging="284"/>
      </w:pPr>
      <w:r w:rsidRPr="005812D2">
        <w:t>Sources: AIHW Child Protection Data Collections; AIHW 2013a.</w:t>
      </w:r>
    </w:p>
    <w:p w:rsidR="00D0122C" w:rsidRPr="00AC0E40" w:rsidRDefault="00D0122C" w:rsidP="00AC0E40"/>
    <w:p w:rsidR="005812D2" w:rsidRDefault="005812D2">
      <w:pPr>
        <w:rPr>
          <w:rFonts w:ascii="Calibri" w:eastAsia="Calibri" w:hAnsi="Calibri" w:cs="Calibri"/>
          <w:sz w:val="24"/>
          <w:szCs w:val="24"/>
          <w:lang w:eastAsia="en-US"/>
        </w:rPr>
      </w:pPr>
      <w:r>
        <w:rPr>
          <w:rFonts w:ascii="Calibri" w:eastAsia="Calibri" w:hAnsi="Calibri" w:cs="Calibri"/>
          <w:sz w:val="24"/>
          <w:szCs w:val="24"/>
          <w:lang w:eastAsia="en-US"/>
        </w:rPr>
        <w:br w:type="page"/>
      </w:r>
    </w:p>
    <w:p w:rsidR="00D0122C" w:rsidRDefault="00D0122C" w:rsidP="00D0122C">
      <w:pPr>
        <w:rPr>
          <w:rFonts w:ascii="Calibri" w:eastAsia="Calibri" w:hAnsi="Calibri" w:cs="Calibri"/>
          <w:sz w:val="24"/>
          <w:szCs w:val="24"/>
          <w:lang w:eastAsia="en-US"/>
        </w:rPr>
      </w:pPr>
      <w:r w:rsidRPr="00821556">
        <w:rPr>
          <w:rFonts w:ascii="Calibri" w:eastAsia="Calibri" w:hAnsi="Calibri" w:cs="Calibri"/>
          <w:sz w:val="24"/>
          <w:szCs w:val="24"/>
          <w:lang w:eastAsia="en-US"/>
        </w:rPr>
        <w:t xml:space="preserve">In 2011–12, </w:t>
      </w:r>
      <w:r>
        <w:rPr>
          <w:rFonts w:ascii="Calibri" w:eastAsia="Calibri" w:hAnsi="Calibri" w:cs="Calibri"/>
          <w:sz w:val="24"/>
          <w:szCs w:val="24"/>
          <w:lang w:eastAsia="en-US"/>
        </w:rPr>
        <w:t>e</w:t>
      </w:r>
      <w:r w:rsidRPr="00821556">
        <w:rPr>
          <w:rFonts w:ascii="Calibri" w:eastAsia="Calibri" w:hAnsi="Calibri" w:cs="Calibri"/>
          <w:sz w:val="24"/>
          <w:szCs w:val="24"/>
          <w:lang w:eastAsia="en-US"/>
        </w:rPr>
        <w:t>motional abuse was the most common substantiation type for all children (</w:t>
      </w:r>
      <w:r>
        <w:rPr>
          <w:rFonts w:ascii="Calibri" w:eastAsia="Calibri" w:hAnsi="Calibri" w:cs="Calibri"/>
          <w:sz w:val="24"/>
          <w:szCs w:val="24"/>
          <w:lang w:eastAsia="en-US"/>
        </w:rPr>
        <w:t>a rate of 2.8 per 1000</w:t>
      </w:r>
      <w:r w:rsidRPr="00821556">
        <w:rPr>
          <w:rFonts w:ascii="Calibri" w:eastAsia="Calibri" w:hAnsi="Calibri" w:cs="Calibri"/>
          <w:sz w:val="24"/>
          <w:szCs w:val="24"/>
          <w:lang w:eastAsia="en-US"/>
        </w:rPr>
        <w:t>), followed by neglect (</w:t>
      </w:r>
      <w:r>
        <w:rPr>
          <w:rFonts w:ascii="Calibri" w:eastAsia="Calibri" w:hAnsi="Calibri" w:cs="Calibri"/>
          <w:sz w:val="24"/>
          <w:szCs w:val="24"/>
          <w:lang w:eastAsia="en-US"/>
        </w:rPr>
        <w:t>2.1 per 1000</w:t>
      </w:r>
      <w:r w:rsidRPr="00821556">
        <w:rPr>
          <w:rFonts w:ascii="Calibri" w:eastAsia="Calibri" w:hAnsi="Calibri" w:cs="Calibri"/>
          <w:sz w:val="24"/>
          <w:szCs w:val="24"/>
          <w:lang w:eastAsia="en-US"/>
        </w:rPr>
        <w:t xml:space="preserve">). </w:t>
      </w:r>
      <w:r>
        <w:rPr>
          <w:rFonts w:ascii="Calibri" w:eastAsia="Calibri" w:hAnsi="Calibri" w:cs="Calibri"/>
          <w:sz w:val="24"/>
          <w:szCs w:val="24"/>
          <w:lang w:eastAsia="en-US"/>
        </w:rPr>
        <w:t xml:space="preserve">This pattern has remained consistent since 2009–10. </w:t>
      </w:r>
    </w:p>
    <w:p w:rsidR="00D0122C" w:rsidRDefault="00D0122C" w:rsidP="00D0122C">
      <w:pPr>
        <w:rPr>
          <w:rFonts w:ascii="Calibri" w:eastAsia="Calibri" w:hAnsi="Calibri" w:cs="Calibri"/>
          <w:sz w:val="24"/>
          <w:szCs w:val="24"/>
          <w:lang w:eastAsia="en-US"/>
        </w:rPr>
      </w:pPr>
    </w:p>
    <w:p w:rsidR="00D0122C" w:rsidRPr="00821556" w:rsidRDefault="0072629A" w:rsidP="00BF3B30">
      <w:pPr>
        <w:pStyle w:val="Figure"/>
      </w:pPr>
      <w:bookmarkStart w:id="220" w:name="_Toc400615863"/>
      <w:r>
        <w:t xml:space="preserve">Figure </w:t>
      </w:r>
      <w:fldSimple w:instr=" SEQ Figure \* ARABIC ">
        <w:r w:rsidR="00BF1EC9">
          <w:rPr>
            <w:noProof/>
          </w:rPr>
          <w:t>5</w:t>
        </w:r>
      </w:fldSimple>
      <w:r w:rsidR="00D0122C" w:rsidRPr="00821556">
        <w:t>: Children in out-of-home care at 30 June</w:t>
      </w:r>
      <w:r w:rsidR="00FC7E61">
        <w:t xml:space="preserve"> </w:t>
      </w:r>
      <w:r w:rsidR="00D0122C" w:rsidRPr="00821556">
        <w:t>20</w:t>
      </w:r>
      <w:r w:rsidR="00D0122C">
        <w:t>10</w:t>
      </w:r>
      <w:r w:rsidR="00D0122C" w:rsidRPr="00821556">
        <w:t xml:space="preserve"> to 2012 (number per 1000 children)</w:t>
      </w:r>
      <w:bookmarkEnd w:id="220"/>
    </w:p>
    <w:p w:rsidR="00D0122C" w:rsidRDefault="00D0122C" w:rsidP="00D0122C">
      <w:pPr>
        <w:rPr>
          <w:rFonts w:ascii="Calibri" w:eastAsia="Calibri" w:hAnsi="Calibri" w:cs="Calibri"/>
          <w:sz w:val="24"/>
          <w:szCs w:val="24"/>
          <w:lang w:eastAsia="en-US"/>
        </w:rPr>
      </w:pPr>
      <w:r w:rsidRPr="000608A8">
        <w:rPr>
          <w:noProof/>
          <w:lang w:eastAsia="en-AU"/>
        </w:rPr>
        <w:drawing>
          <wp:inline distT="0" distB="0" distL="0" distR="0" wp14:anchorId="1E4939FB" wp14:editId="7A4209C7">
            <wp:extent cx="5038096" cy="2742857"/>
            <wp:effectExtent l="0" t="0" r="0" b="635"/>
            <wp:docPr id="28" name="Picture 28" descr="Title - Figure 5: Children in out-of-home care at 30 June 2010 to 2012 (number per 1000 children). Description - the rates of children in out-of-home care continue to increase due emotional abuse, neglect, physical abuse and sexual abuse. Sources: Table 23; AIHW Child Protection Data Col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038096" cy="2742857"/>
                    </a:xfrm>
                    <a:prstGeom prst="rect">
                      <a:avLst/>
                    </a:prstGeom>
                  </pic:spPr>
                </pic:pic>
              </a:graphicData>
            </a:graphic>
          </wp:inline>
        </w:drawing>
      </w:r>
    </w:p>
    <w:p w:rsidR="00D0122C" w:rsidRPr="000608A8" w:rsidRDefault="00D0122C" w:rsidP="00D0122C">
      <w:pPr>
        <w:rPr>
          <w:rFonts w:ascii="Arial" w:hAnsi="Arial" w:cs="Arial"/>
          <w:sz w:val="14"/>
          <w:lang w:eastAsia="en-US"/>
        </w:rPr>
      </w:pPr>
      <w:r w:rsidRPr="000608A8">
        <w:rPr>
          <w:rFonts w:ascii="Arial" w:hAnsi="Arial" w:cs="Arial"/>
          <w:sz w:val="14"/>
          <w:lang w:eastAsia="en-US"/>
        </w:rPr>
        <w:t xml:space="preserve">Sources: </w:t>
      </w:r>
      <w:r>
        <w:rPr>
          <w:rFonts w:ascii="Arial" w:hAnsi="Arial" w:cs="Arial"/>
          <w:sz w:val="14"/>
          <w:lang w:eastAsia="en-US"/>
        </w:rPr>
        <w:t xml:space="preserve">Table </w:t>
      </w:r>
      <w:r w:rsidR="00664DE1">
        <w:rPr>
          <w:rFonts w:ascii="Arial" w:hAnsi="Arial" w:cs="Arial"/>
          <w:sz w:val="14"/>
          <w:lang w:eastAsia="en-US"/>
        </w:rPr>
        <w:t>23</w:t>
      </w:r>
      <w:r>
        <w:rPr>
          <w:rFonts w:ascii="Arial" w:hAnsi="Arial" w:cs="Arial"/>
          <w:sz w:val="14"/>
          <w:lang w:eastAsia="en-US"/>
        </w:rPr>
        <w:t xml:space="preserve">; </w:t>
      </w:r>
      <w:r w:rsidRPr="000608A8">
        <w:rPr>
          <w:rFonts w:ascii="Arial" w:hAnsi="Arial" w:cs="Arial"/>
          <w:sz w:val="14"/>
          <w:lang w:eastAsia="en-US"/>
        </w:rPr>
        <w:t>AIHW Child Protection Data Collections</w:t>
      </w:r>
      <w:r>
        <w:rPr>
          <w:rFonts w:ascii="Arial" w:hAnsi="Arial" w:cs="Arial"/>
          <w:sz w:val="14"/>
          <w:lang w:eastAsia="en-US"/>
        </w:rPr>
        <w:t>.</w:t>
      </w:r>
    </w:p>
    <w:p w:rsidR="00D0122C" w:rsidRPr="00BF3B30" w:rsidRDefault="00D0122C" w:rsidP="00D0122C">
      <w:pPr>
        <w:rPr>
          <w:rFonts w:ascii="Calibri" w:hAnsi="Calibri"/>
          <w:b/>
          <w:bCs/>
          <w:sz w:val="28"/>
          <w:szCs w:val="28"/>
        </w:rPr>
      </w:pPr>
    </w:p>
    <w:p w:rsidR="00D0122C" w:rsidRPr="007847B7" w:rsidRDefault="00D0122C" w:rsidP="00BF3B30">
      <w:pPr>
        <w:pStyle w:val="Heading3"/>
      </w:pPr>
      <w:bookmarkStart w:id="221" w:name="_Toc400007789"/>
      <w:r w:rsidRPr="007847B7">
        <w:t>Child sexual assault</w:t>
      </w:r>
      <w:bookmarkEnd w:id="221"/>
    </w:p>
    <w:p w:rsidR="00D0122C" w:rsidRPr="004B3342" w:rsidRDefault="00D0122C" w:rsidP="004B3342">
      <w:pPr>
        <w:pStyle w:val="Heading4a"/>
      </w:pPr>
      <w:r w:rsidRPr="004B3342">
        <w:t>Indicator 6.2: Rate of children aged 0–14 years who have been the victim of sexual assault</w:t>
      </w:r>
    </w:p>
    <w:p w:rsidR="00D0122C" w:rsidRPr="005812D2" w:rsidRDefault="00D0122C" w:rsidP="005812D2">
      <w:pPr>
        <w:rPr>
          <w:rFonts w:ascii="Calibri" w:hAnsi="Calibri"/>
          <w:sz w:val="24"/>
        </w:rPr>
      </w:pPr>
    </w:p>
    <w:p w:rsidR="00D0122C" w:rsidRDefault="00D0122C" w:rsidP="00D0122C">
      <w:pPr>
        <w:rPr>
          <w:rFonts w:ascii="Calibri" w:eastAsia="Calibri" w:hAnsi="Calibri" w:cs="Calibri"/>
          <w:sz w:val="24"/>
          <w:szCs w:val="24"/>
          <w:lang w:eastAsia="en-US"/>
        </w:rPr>
      </w:pPr>
      <w:r>
        <w:rPr>
          <w:rFonts w:ascii="Calibri" w:eastAsia="Calibri" w:hAnsi="Calibri" w:cs="Calibri"/>
          <w:sz w:val="24"/>
          <w:szCs w:val="24"/>
          <w:lang w:eastAsia="en-US"/>
        </w:rPr>
        <w:t>The ABS Recorded Crime</w:t>
      </w:r>
      <w:r w:rsidR="008764E1">
        <w:rPr>
          <w:rFonts w:ascii="Calibri" w:eastAsia="Calibri" w:hAnsi="Calibri" w:cs="Calibri"/>
          <w:sz w:val="24"/>
          <w:szCs w:val="24"/>
          <w:lang w:eastAsia="en-US"/>
        </w:rPr>
        <w:t xml:space="preserve"> – </w:t>
      </w:r>
      <w:r>
        <w:rPr>
          <w:rFonts w:ascii="Calibri" w:eastAsia="Calibri" w:hAnsi="Calibri" w:cs="Calibri"/>
          <w:sz w:val="24"/>
          <w:szCs w:val="24"/>
          <w:lang w:eastAsia="en-US"/>
        </w:rPr>
        <w:t>Victims collection captures data on children who were recorded by the police as victims of sexual assault (ABS 2013</w:t>
      </w:r>
      <w:r w:rsidR="00352341">
        <w:rPr>
          <w:rFonts w:ascii="Calibri" w:eastAsia="Calibri" w:hAnsi="Calibri" w:cs="Calibri"/>
          <w:sz w:val="24"/>
          <w:szCs w:val="24"/>
          <w:lang w:eastAsia="en-US"/>
        </w:rPr>
        <w:t>b</w:t>
      </w:r>
      <w:r>
        <w:rPr>
          <w:rFonts w:ascii="Calibri" w:eastAsia="Calibri" w:hAnsi="Calibri" w:cs="Calibri"/>
          <w:sz w:val="24"/>
          <w:szCs w:val="24"/>
          <w:lang w:eastAsia="en-US"/>
        </w:rPr>
        <w:t>)</w:t>
      </w:r>
      <w:r w:rsidRPr="00182FF9">
        <w:rPr>
          <w:rFonts w:ascii="Calibri" w:eastAsia="Calibri" w:hAnsi="Calibri" w:cs="Calibri"/>
          <w:sz w:val="24"/>
          <w:szCs w:val="24"/>
          <w:lang w:eastAsia="en-US"/>
        </w:rPr>
        <w:t xml:space="preserve">. These offences may have been reported by a victim, witness or other person, or they may have been detected by police. The </w:t>
      </w:r>
      <w:r>
        <w:rPr>
          <w:rFonts w:ascii="Calibri" w:eastAsia="Calibri" w:hAnsi="Calibri" w:cs="Calibri"/>
          <w:sz w:val="24"/>
          <w:szCs w:val="24"/>
          <w:lang w:eastAsia="en-US"/>
        </w:rPr>
        <w:t>statistics from this collection</w:t>
      </w:r>
      <w:r w:rsidRPr="00182FF9">
        <w:rPr>
          <w:rFonts w:ascii="Calibri" w:eastAsia="Calibri" w:hAnsi="Calibri" w:cs="Calibri"/>
          <w:sz w:val="24"/>
          <w:szCs w:val="24"/>
          <w:lang w:eastAsia="en-US"/>
        </w:rPr>
        <w:t xml:space="preserve"> do not provide a total picture of </w:t>
      </w:r>
      <w:r>
        <w:rPr>
          <w:rFonts w:ascii="Calibri" w:eastAsia="Calibri" w:hAnsi="Calibri" w:cs="Calibri"/>
          <w:sz w:val="24"/>
          <w:szCs w:val="24"/>
          <w:lang w:eastAsia="en-US"/>
        </w:rPr>
        <w:t>victims</w:t>
      </w:r>
      <w:r w:rsidRPr="00182FF9">
        <w:rPr>
          <w:rFonts w:ascii="Calibri" w:eastAsia="Calibri" w:hAnsi="Calibri" w:cs="Calibri"/>
          <w:sz w:val="24"/>
          <w:szCs w:val="24"/>
          <w:lang w:eastAsia="en-US"/>
        </w:rPr>
        <w:t>, as not all crimes are reported to police</w:t>
      </w:r>
      <w:r>
        <w:rPr>
          <w:rFonts w:ascii="Calibri" w:eastAsia="Calibri" w:hAnsi="Calibri" w:cs="Calibri"/>
          <w:sz w:val="24"/>
          <w:szCs w:val="24"/>
          <w:lang w:eastAsia="en-US"/>
        </w:rPr>
        <w:t>;</w:t>
      </w:r>
      <w:r w:rsidRPr="00182FF9">
        <w:rPr>
          <w:rFonts w:ascii="Calibri" w:eastAsia="Calibri" w:hAnsi="Calibri" w:cs="Calibri"/>
          <w:sz w:val="24"/>
          <w:szCs w:val="24"/>
          <w:lang w:eastAsia="en-US"/>
        </w:rPr>
        <w:t xml:space="preserve"> nor do all incidents which are reported to police get recorded as a crime.</w:t>
      </w:r>
      <w:r w:rsidRPr="00182FF9">
        <w:t xml:space="preserve"> </w:t>
      </w:r>
      <w:r>
        <w:rPr>
          <w:rFonts w:ascii="Calibri" w:eastAsia="Calibri" w:hAnsi="Calibri" w:cs="Calibri"/>
          <w:sz w:val="24"/>
          <w:szCs w:val="24"/>
          <w:lang w:eastAsia="en-US"/>
        </w:rPr>
        <w:t xml:space="preserve">In particular, children </w:t>
      </w:r>
      <w:r w:rsidRPr="00182FF9">
        <w:rPr>
          <w:rFonts w:ascii="Calibri" w:eastAsia="Calibri" w:hAnsi="Calibri" w:cs="Calibri"/>
          <w:sz w:val="24"/>
          <w:szCs w:val="24"/>
          <w:lang w:eastAsia="en-US"/>
        </w:rPr>
        <w:t>may feel intimidated and reluctant to report personal crimes if the perpetrator is known to them or in a position of power</w:t>
      </w:r>
      <w:r>
        <w:rPr>
          <w:rFonts w:ascii="Calibri" w:eastAsia="Calibri" w:hAnsi="Calibri" w:cs="Calibri"/>
          <w:sz w:val="24"/>
          <w:szCs w:val="24"/>
          <w:lang w:eastAsia="en-US"/>
        </w:rPr>
        <w:t xml:space="preserve">. </w:t>
      </w:r>
    </w:p>
    <w:p w:rsidR="00D0122C" w:rsidRDefault="00D0122C" w:rsidP="00D0122C">
      <w:pPr>
        <w:rPr>
          <w:rFonts w:ascii="Calibri" w:eastAsia="Calibri" w:hAnsi="Calibri" w:cs="Calibri"/>
          <w:sz w:val="24"/>
          <w:szCs w:val="24"/>
          <w:lang w:eastAsia="en-US"/>
        </w:rPr>
      </w:pPr>
    </w:p>
    <w:p w:rsidR="00D0122C" w:rsidRDefault="00D0122C" w:rsidP="00D0122C">
      <w:pPr>
        <w:rPr>
          <w:rFonts w:ascii="Calibri" w:eastAsia="Calibri" w:hAnsi="Calibri" w:cs="Calibri"/>
          <w:sz w:val="24"/>
          <w:szCs w:val="24"/>
          <w:lang w:eastAsia="en-US"/>
        </w:rPr>
      </w:pPr>
      <w:r>
        <w:rPr>
          <w:rFonts w:ascii="Calibri" w:eastAsia="Calibri" w:hAnsi="Calibri" w:cs="Calibri"/>
          <w:sz w:val="24"/>
          <w:szCs w:val="24"/>
          <w:lang w:eastAsia="en-US"/>
        </w:rPr>
        <w:t>In 2012, over 6700 children aged 0</w:t>
      </w:r>
      <w:r w:rsidR="00945F81">
        <w:rPr>
          <w:rFonts w:ascii="Calibri" w:eastAsia="Calibri" w:hAnsi="Calibri" w:cs="Calibri"/>
          <w:sz w:val="24"/>
          <w:szCs w:val="24"/>
          <w:lang w:eastAsia="en-US"/>
        </w:rPr>
        <w:t xml:space="preserve"> to </w:t>
      </w:r>
      <w:r>
        <w:rPr>
          <w:rFonts w:ascii="Calibri" w:eastAsia="Calibri" w:hAnsi="Calibri" w:cs="Calibri"/>
          <w:sz w:val="24"/>
          <w:szCs w:val="24"/>
          <w:lang w:eastAsia="en-US"/>
        </w:rPr>
        <w:t>14 years were reported as victims of sexual assault, a victimisation rate of 157 per 100</w:t>
      </w:r>
      <w:r w:rsidR="00352341">
        <w:rPr>
          <w:rFonts w:ascii="Calibri" w:eastAsia="Calibri" w:hAnsi="Calibri" w:cs="Calibri"/>
          <w:sz w:val="24"/>
          <w:szCs w:val="24"/>
          <w:lang w:eastAsia="en-US"/>
        </w:rPr>
        <w:t> </w:t>
      </w:r>
      <w:r>
        <w:rPr>
          <w:rFonts w:ascii="Calibri" w:eastAsia="Calibri" w:hAnsi="Calibri" w:cs="Calibri"/>
          <w:sz w:val="24"/>
          <w:szCs w:val="24"/>
          <w:lang w:eastAsia="en-US"/>
        </w:rPr>
        <w:t xml:space="preserve">000 children. </w:t>
      </w:r>
    </w:p>
    <w:p w:rsidR="00D0122C" w:rsidRDefault="00D0122C" w:rsidP="00D0122C">
      <w:pPr>
        <w:rPr>
          <w:rFonts w:ascii="Calibri" w:eastAsia="Calibri" w:hAnsi="Calibri" w:cs="Calibri"/>
          <w:sz w:val="24"/>
          <w:szCs w:val="24"/>
          <w:lang w:eastAsia="en-US"/>
        </w:rPr>
      </w:pPr>
    </w:p>
    <w:p w:rsidR="00D0122C" w:rsidRDefault="00D0122C" w:rsidP="00D0122C">
      <w:pPr>
        <w:rPr>
          <w:rFonts w:ascii="Calibri" w:eastAsia="Calibri" w:hAnsi="Calibri" w:cs="Calibri"/>
          <w:sz w:val="24"/>
          <w:szCs w:val="24"/>
          <w:lang w:eastAsia="en-US"/>
        </w:rPr>
      </w:pPr>
      <w:r>
        <w:rPr>
          <w:rFonts w:ascii="Calibri" w:eastAsia="Calibri" w:hAnsi="Calibri" w:cs="Calibri"/>
          <w:sz w:val="24"/>
          <w:szCs w:val="24"/>
          <w:lang w:eastAsia="en-US"/>
        </w:rPr>
        <w:t>The rate of reported sexual assault among girls was three times higher than the rate among boys—246 compared to 73 per 100</w:t>
      </w:r>
      <w:r w:rsidR="00352341">
        <w:rPr>
          <w:rFonts w:ascii="Calibri" w:eastAsia="Calibri" w:hAnsi="Calibri" w:cs="Calibri"/>
          <w:sz w:val="24"/>
          <w:szCs w:val="24"/>
          <w:lang w:eastAsia="en-US"/>
        </w:rPr>
        <w:t> </w:t>
      </w:r>
      <w:r>
        <w:rPr>
          <w:rFonts w:ascii="Calibri" w:eastAsia="Calibri" w:hAnsi="Calibri" w:cs="Calibri"/>
          <w:sz w:val="24"/>
          <w:szCs w:val="24"/>
          <w:lang w:eastAsia="en-US"/>
        </w:rPr>
        <w:t>000 in 2012. Similarly, the rate among 10–14 year olds was three times higher than the rate among 0</w:t>
      </w:r>
      <w:r w:rsidRPr="00C32023">
        <w:rPr>
          <w:rFonts w:ascii="Calibri" w:eastAsia="Calibri" w:hAnsi="Calibri" w:cs="Calibri"/>
          <w:sz w:val="24"/>
          <w:szCs w:val="24"/>
          <w:lang w:eastAsia="en-US"/>
        </w:rPr>
        <w:t>–</w:t>
      </w:r>
      <w:r>
        <w:rPr>
          <w:rFonts w:ascii="Calibri" w:eastAsia="Calibri" w:hAnsi="Calibri" w:cs="Calibri"/>
          <w:sz w:val="24"/>
          <w:szCs w:val="24"/>
          <w:lang w:eastAsia="en-US"/>
        </w:rPr>
        <w:t>9</w:t>
      </w:r>
      <w:r w:rsidRPr="00C32023">
        <w:rPr>
          <w:rFonts w:ascii="Calibri" w:eastAsia="Calibri" w:hAnsi="Calibri" w:cs="Calibri"/>
          <w:sz w:val="24"/>
          <w:szCs w:val="24"/>
          <w:lang w:eastAsia="en-US"/>
        </w:rPr>
        <w:t xml:space="preserve"> year</w:t>
      </w:r>
      <w:r>
        <w:rPr>
          <w:rFonts w:ascii="Calibri" w:eastAsia="Calibri" w:hAnsi="Calibri" w:cs="Calibri"/>
          <w:sz w:val="24"/>
          <w:szCs w:val="24"/>
          <w:lang w:eastAsia="en-US"/>
        </w:rPr>
        <w:t xml:space="preserve"> old</w:t>
      </w:r>
      <w:r w:rsidRPr="00C32023">
        <w:rPr>
          <w:rFonts w:ascii="Calibri" w:eastAsia="Calibri" w:hAnsi="Calibri" w:cs="Calibri"/>
          <w:sz w:val="24"/>
          <w:szCs w:val="24"/>
          <w:lang w:eastAsia="en-US"/>
        </w:rPr>
        <w:t>s</w:t>
      </w:r>
      <w:r>
        <w:rPr>
          <w:rFonts w:ascii="Calibri" w:eastAsia="Calibri" w:hAnsi="Calibri" w:cs="Calibri"/>
          <w:sz w:val="24"/>
          <w:szCs w:val="24"/>
          <w:lang w:eastAsia="en-US"/>
        </w:rPr>
        <w:t>—304 compared to 87 per 100</w:t>
      </w:r>
      <w:r w:rsidR="00352341">
        <w:rPr>
          <w:rFonts w:ascii="Calibri" w:eastAsia="Calibri" w:hAnsi="Calibri" w:cs="Calibri"/>
          <w:sz w:val="24"/>
          <w:szCs w:val="24"/>
          <w:lang w:eastAsia="en-US"/>
        </w:rPr>
        <w:t> </w:t>
      </w:r>
      <w:r>
        <w:rPr>
          <w:rFonts w:ascii="Calibri" w:eastAsia="Calibri" w:hAnsi="Calibri" w:cs="Calibri"/>
          <w:sz w:val="24"/>
          <w:szCs w:val="24"/>
          <w:lang w:eastAsia="en-US"/>
        </w:rPr>
        <w:t xml:space="preserve">000 in 2012. Consistent patterns occurred in 2010 and 2011. </w:t>
      </w:r>
    </w:p>
    <w:p w:rsidR="00D0122C" w:rsidRDefault="00D0122C" w:rsidP="00D0122C">
      <w:pPr>
        <w:rPr>
          <w:rFonts w:ascii="Calibri" w:eastAsia="Calibri" w:hAnsi="Calibri" w:cs="Calibri"/>
          <w:sz w:val="24"/>
          <w:szCs w:val="24"/>
          <w:lang w:eastAsia="en-US"/>
        </w:rPr>
      </w:pPr>
    </w:p>
    <w:p w:rsidR="00D0122C" w:rsidRDefault="00D0122C" w:rsidP="00D0122C">
      <w:pPr>
        <w:rPr>
          <w:rFonts w:ascii="Calibri" w:eastAsia="Calibri" w:hAnsi="Calibri" w:cs="Calibri"/>
          <w:sz w:val="24"/>
          <w:szCs w:val="24"/>
          <w:lang w:eastAsia="en-US"/>
        </w:rPr>
      </w:pPr>
      <w:r>
        <w:rPr>
          <w:rFonts w:ascii="Calibri" w:eastAsia="Calibri" w:hAnsi="Calibri" w:cs="Calibri"/>
          <w:sz w:val="24"/>
          <w:szCs w:val="24"/>
          <w:lang w:eastAsia="en-US"/>
        </w:rPr>
        <w:t>In 2012, across all age groups,</w:t>
      </w:r>
      <w:r w:rsidRPr="00F04B3D">
        <w:rPr>
          <w:rFonts w:ascii="Calibri" w:eastAsia="Calibri" w:hAnsi="Calibri" w:cs="Calibri"/>
          <w:sz w:val="24"/>
          <w:szCs w:val="24"/>
          <w:lang w:eastAsia="en-US"/>
        </w:rPr>
        <w:t xml:space="preserve"> 10–14 </w:t>
      </w:r>
      <w:r>
        <w:rPr>
          <w:rFonts w:ascii="Calibri" w:eastAsia="Calibri" w:hAnsi="Calibri" w:cs="Calibri"/>
          <w:sz w:val="24"/>
          <w:szCs w:val="24"/>
          <w:lang w:eastAsia="en-US"/>
        </w:rPr>
        <w:t>year olds had the second-highest sexual assault rate (304 per 100</w:t>
      </w:r>
      <w:r w:rsidR="00352341">
        <w:rPr>
          <w:rFonts w:ascii="Calibri" w:eastAsia="Calibri" w:hAnsi="Calibri" w:cs="Calibri"/>
          <w:sz w:val="24"/>
          <w:szCs w:val="24"/>
          <w:lang w:eastAsia="en-US"/>
        </w:rPr>
        <w:t> </w:t>
      </w:r>
      <w:r>
        <w:rPr>
          <w:rFonts w:ascii="Calibri" w:eastAsia="Calibri" w:hAnsi="Calibri" w:cs="Calibri"/>
          <w:sz w:val="24"/>
          <w:szCs w:val="24"/>
          <w:lang w:eastAsia="en-US"/>
        </w:rPr>
        <w:t xml:space="preserve">000), and </w:t>
      </w:r>
      <w:r w:rsidRPr="00F04B3D">
        <w:rPr>
          <w:rFonts w:ascii="Calibri" w:eastAsia="Calibri" w:hAnsi="Calibri" w:cs="Calibri"/>
          <w:sz w:val="24"/>
          <w:szCs w:val="24"/>
          <w:lang w:eastAsia="en-US"/>
        </w:rPr>
        <w:t>0–9 year olds</w:t>
      </w:r>
      <w:r>
        <w:rPr>
          <w:rFonts w:ascii="Calibri" w:eastAsia="Calibri" w:hAnsi="Calibri" w:cs="Calibri"/>
          <w:sz w:val="24"/>
          <w:szCs w:val="24"/>
          <w:lang w:eastAsia="en-US"/>
        </w:rPr>
        <w:t xml:space="preserve"> had the fourth-highest rate (87). In comparison, 15</w:t>
      </w:r>
      <w:r w:rsidRPr="00F04B3D">
        <w:rPr>
          <w:rFonts w:ascii="Calibri" w:eastAsia="Calibri" w:hAnsi="Calibri" w:cs="Calibri"/>
          <w:sz w:val="24"/>
          <w:szCs w:val="24"/>
          <w:lang w:eastAsia="en-US"/>
        </w:rPr>
        <w:t>–1</w:t>
      </w:r>
      <w:r>
        <w:rPr>
          <w:rFonts w:ascii="Calibri" w:eastAsia="Calibri" w:hAnsi="Calibri" w:cs="Calibri"/>
          <w:sz w:val="24"/>
          <w:szCs w:val="24"/>
          <w:lang w:eastAsia="en-US"/>
        </w:rPr>
        <w:t>9</w:t>
      </w:r>
      <w:r w:rsidRPr="00F04B3D">
        <w:rPr>
          <w:rFonts w:ascii="Calibri" w:eastAsia="Calibri" w:hAnsi="Calibri" w:cs="Calibri"/>
          <w:sz w:val="24"/>
          <w:szCs w:val="24"/>
          <w:lang w:eastAsia="en-US"/>
        </w:rPr>
        <w:t xml:space="preserve"> </w:t>
      </w:r>
      <w:r>
        <w:rPr>
          <w:rFonts w:ascii="Calibri" w:eastAsia="Calibri" w:hAnsi="Calibri" w:cs="Calibri"/>
          <w:sz w:val="24"/>
          <w:szCs w:val="24"/>
          <w:lang w:eastAsia="en-US"/>
        </w:rPr>
        <w:t>year olds had the highest rate (306) and 20</w:t>
      </w:r>
      <w:r w:rsidRPr="00F04B3D">
        <w:rPr>
          <w:rFonts w:ascii="Calibri" w:eastAsia="Calibri" w:hAnsi="Calibri" w:cs="Calibri"/>
          <w:sz w:val="24"/>
          <w:szCs w:val="24"/>
          <w:lang w:eastAsia="en-US"/>
        </w:rPr>
        <w:t>–</w:t>
      </w:r>
      <w:r>
        <w:rPr>
          <w:rFonts w:ascii="Calibri" w:eastAsia="Calibri" w:hAnsi="Calibri" w:cs="Calibri"/>
          <w:sz w:val="24"/>
          <w:szCs w:val="24"/>
          <w:lang w:eastAsia="en-US"/>
        </w:rPr>
        <w:t>24</w:t>
      </w:r>
      <w:r w:rsidRPr="00F04B3D">
        <w:rPr>
          <w:rFonts w:ascii="Calibri" w:eastAsia="Calibri" w:hAnsi="Calibri" w:cs="Calibri"/>
          <w:sz w:val="24"/>
          <w:szCs w:val="24"/>
          <w:lang w:eastAsia="en-US"/>
        </w:rPr>
        <w:t xml:space="preserve"> year olds</w:t>
      </w:r>
      <w:r>
        <w:rPr>
          <w:rFonts w:ascii="Calibri" w:eastAsia="Calibri" w:hAnsi="Calibri" w:cs="Calibri"/>
          <w:sz w:val="24"/>
          <w:szCs w:val="24"/>
          <w:lang w:eastAsia="en-US"/>
        </w:rPr>
        <w:t xml:space="preserve"> had the third-highest rate (118) (ABS 2013</w:t>
      </w:r>
      <w:r w:rsidR="00352341">
        <w:rPr>
          <w:rFonts w:ascii="Calibri" w:eastAsia="Calibri" w:hAnsi="Calibri" w:cs="Calibri"/>
          <w:sz w:val="24"/>
          <w:szCs w:val="24"/>
          <w:lang w:eastAsia="en-US"/>
        </w:rPr>
        <w:t>b</w:t>
      </w:r>
      <w:r>
        <w:rPr>
          <w:rFonts w:ascii="Calibri" w:eastAsia="Calibri" w:hAnsi="Calibri" w:cs="Calibri"/>
          <w:sz w:val="24"/>
          <w:szCs w:val="24"/>
          <w:lang w:eastAsia="en-US"/>
        </w:rPr>
        <w:t xml:space="preserve">). Similar patterns were found in 2010 and 2011. </w:t>
      </w:r>
    </w:p>
    <w:p w:rsidR="00D0122C" w:rsidRDefault="00D0122C" w:rsidP="00D0122C">
      <w:pPr>
        <w:rPr>
          <w:rFonts w:ascii="Calibri" w:eastAsia="Calibri" w:hAnsi="Calibri" w:cs="Calibri"/>
          <w:sz w:val="24"/>
          <w:szCs w:val="24"/>
          <w:lang w:eastAsia="en-US"/>
        </w:rPr>
      </w:pPr>
    </w:p>
    <w:p w:rsidR="00D0122C" w:rsidRDefault="00D0122C" w:rsidP="00D0122C">
      <w:pPr>
        <w:rPr>
          <w:rFonts w:ascii="Calibri" w:eastAsia="Calibri" w:hAnsi="Calibri" w:cs="Calibri"/>
          <w:sz w:val="24"/>
          <w:szCs w:val="24"/>
          <w:lang w:eastAsia="en-US"/>
        </w:rPr>
      </w:pPr>
      <w:r w:rsidRPr="00F2762C">
        <w:rPr>
          <w:rFonts w:ascii="Calibri" w:eastAsia="Calibri" w:hAnsi="Calibri" w:cs="Calibri"/>
          <w:sz w:val="24"/>
          <w:szCs w:val="24"/>
          <w:lang w:eastAsia="en-US"/>
        </w:rPr>
        <w:t xml:space="preserve">Data on the Indigenous status of sexual </w:t>
      </w:r>
      <w:r>
        <w:rPr>
          <w:rFonts w:ascii="Calibri" w:eastAsia="Calibri" w:hAnsi="Calibri" w:cs="Calibri"/>
          <w:sz w:val="24"/>
          <w:szCs w:val="24"/>
          <w:lang w:eastAsia="en-US"/>
        </w:rPr>
        <w:t xml:space="preserve">assault </w:t>
      </w:r>
      <w:r w:rsidRPr="00F319A2">
        <w:rPr>
          <w:rFonts w:ascii="Calibri" w:eastAsia="Calibri" w:hAnsi="Calibri" w:cs="Calibri"/>
          <w:sz w:val="24"/>
          <w:szCs w:val="24"/>
          <w:lang w:eastAsia="en-US"/>
        </w:rPr>
        <w:t xml:space="preserve">victims </w:t>
      </w:r>
      <w:r>
        <w:rPr>
          <w:rFonts w:ascii="Calibri" w:eastAsia="Calibri" w:hAnsi="Calibri" w:cs="Calibri"/>
          <w:sz w:val="24"/>
          <w:szCs w:val="24"/>
          <w:lang w:eastAsia="en-US"/>
        </w:rPr>
        <w:t>we</w:t>
      </w:r>
      <w:r w:rsidRPr="00F319A2">
        <w:rPr>
          <w:rFonts w:ascii="Calibri" w:eastAsia="Calibri" w:hAnsi="Calibri" w:cs="Calibri"/>
          <w:sz w:val="24"/>
          <w:szCs w:val="24"/>
          <w:lang w:eastAsia="en-US"/>
        </w:rPr>
        <w:t xml:space="preserve">re available for </w:t>
      </w:r>
      <w:r w:rsidR="00D400A7">
        <w:rPr>
          <w:rFonts w:ascii="Calibri" w:eastAsia="Calibri" w:hAnsi="Calibri" w:cs="Calibri"/>
          <w:sz w:val="24"/>
          <w:szCs w:val="24"/>
          <w:lang w:eastAsia="en-US"/>
        </w:rPr>
        <w:t xml:space="preserve">four </w:t>
      </w:r>
      <w:r>
        <w:rPr>
          <w:rFonts w:ascii="Calibri" w:eastAsia="Calibri" w:hAnsi="Calibri" w:cs="Calibri"/>
          <w:sz w:val="24"/>
          <w:szCs w:val="24"/>
          <w:lang w:eastAsia="en-US"/>
        </w:rPr>
        <w:t xml:space="preserve">jurisdictions: </w:t>
      </w:r>
      <w:r w:rsidRPr="00F319A2">
        <w:rPr>
          <w:rFonts w:ascii="Calibri" w:eastAsia="Calibri" w:hAnsi="Calibri" w:cs="Calibri"/>
          <w:sz w:val="24"/>
          <w:szCs w:val="24"/>
          <w:lang w:eastAsia="en-US"/>
        </w:rPr>
        <w:t xml:space="preserve">New South Wales, </w:t>
      </w:r>
      <w:r>
        <w:rPr>
          <w:rFonts w:ascii="Calibri" w:eastAsia="Calibri" w:hAnsi="Calibri" w:cs="Calibri"/>
          <w:sz w:val="24"/>
          <w:szCs w:val="24"/>
          <w:lang w:eastAsia="en-US"/>
        </w:rPr>
        <w:t xml:space="preserve">Queensland, </w:t>
      </w:r>
      <w:r w:rsidRPr="00F319A2">
        <w:rPr>
          <w:rFonts w:ascii="Calibri" w:eastAsia="Calibri" w:hAnsi="Calibri" w:cs="Calibri"/>
          <w:sz w:val="24"/>
          <w:szCs w:val="24"/>
          <w:lang w:eastAsia="en-US"/>
        </w:rPr>
        <w:t>South Australia and the Northern Territory.</w:t>
      </w:r>
      <w:r>
        <w:rPr>
          <w:rFonts w:ascii="Calibri" w:eastAsia="Calibri" w:hAnsi="Calibri" w:cs="Calibri"/>
          <w:sz w:val="24"/>
          <w:szCs w:val="24"/>
          <w:lang w:eastAsia="en-US"/>
        </w:rPr>
        <w:t xml:space="preserve"> </w:t>
      </w:r>
      <w:r w:rsidRPr="00F319A2">
        <w:rPr>
          <w:rFonts w:ascii="Calibri" w:eastAsia="Calibri" w:hAnsi="Calibri" w:cs="Calibri"/>
          <w:sz w:val="24"/>
          <w:szCs w:val="24"/>
          <w:lang w:eastAsia="en-US"/>
        </w:rPr>
        <w:t xml:space="preserve">In 2012, </w:t>
      </w:r>
      <w:r>
        <w:rPr>
          <w:rFonts w:ascii="Calibri" w:eastAsia="Calibri" w:hAnsi="Calibri" w:cs="Calibri"/>
          <w:sz w:val="24"/>
          <w:szCs w:val="24"/>
          <w:lang w:eastAsia="en-US"/>
        </w:rPr>
        <w:t xml:space="preserve">the </w:t>
      </w:r>
      <w:r w:rsidRPr="003E1ABB">
        <w:rPr>
          <w:rFonts w:ascii="Calibri" w:eastAsia="Calibri" w:hAnsi="Calibri" w:cs="Calibri"/>
          <w:sz w:val="24"/>
          <w:szCs w:val="24"/>
          <w:lang w:eastAsia="en-US"/>
        </w:rPr>
        <w:t xml:space="preserve">rate </w:t>
      </w:r>
      <w:r>
        <w:rPr>
          <w:rFonts w:ascii="Calibri" w:eastAsia="Calibri" w:hAnsi="Calibri" w:cs="Calibri"/>
          <w:sz w:val="24"/>
          <w:szCs w:val="24"/>
          <w:lang w:eastAsia="en-US"/>
        </w:rPr>
        <w:t xml:space="preserve">of reported sexual assault </w:t>
      </w:r>
      <w:r w:rsidRPr="003E1ABB">
        <w:rPr>
          <w:rFonts w:ascii="Calibri" w:eastAsia="Calibri" w:hAnsi="Calibri" w:cs="Calibri"/>
          <w:sz w:val="24"/>
          <w:szCs w:val="24"/>
          <w:lang w:eastAsia="en-US"/>
        </w:rPr>
        <w:t xml:space="preserve">for Indigenous children </w:t>
      </w:r>
      <w:r w:rsidRPr="00F319A2">
        <w:rPr>
          <w:rFonts w:ascii="Calibri" w:eastAsia="Calibri" w:hAnsi="Calibri" w:cs="Calibri"/>
          <w:sz w:val="24"/>
          <w:szCs w:val="24"/>
          <w:lang w:eastAsia="en-US"/>
        </w:rPr>
        <w:t>in the</w:t>
      </w:r>
      <w:r>
        <w:rPr>
          <w:rFonts w:ascii="Calibri" w:eastAsia="Calibri" w:hAnsi="Calibri" w:cs="Calibri"/>
          <w:sz w:val="24"/>
          <w:szCs w:val="24"/>
          <w:lang w:eastAsia="en-US"/>
        </w:rPr>
        <w:t xml:space="preserve">se jurisdictions </w:t>
      </w:r>
      <w:r w:rsidRPr="003E1ABB">
        <w:rPr>
          <w:rFonts w:ascii="Calibri" w:eastAsia="Calibri" w:hAnsi="Calibri" w:cs="Calibri"/>
          <w:sz w:val="24"/>
          <w:szCs w:val="24"/>
          <w:lang w:eastAsia="en-US"/>
        </w:rPr>
        <w:t xml:space="preserve">was </w:t>
      </w:r>
      <w:r>
        <w:rPr>
          <w:rFonts w:ascii="Calibri" w:eastAsia="Calibri" w:hAnsi="Calibri" w:cs="Calibri"/>
          <w:sz w:val="24"/>
          <w:szCs w:val="24"/>
          <w:lang w:eastAsia="en-US"/>
        </w:rPr>
        <w:t>more than twice</w:t>
      </w:r>
      <w:r w:rsidRPr="003E1ABB">
        <w:rPr>
          <w:rFonts w:ascii="Calibri" w:eastAsia="Calibri" w:hAnsi="Calibri" w:cs="Calibri"/>
          <w:sz w:val="24"/>
          <w:szCs w:val="24"/>
          <w:lang w:eastAsia="en-US"/>
        </w:rPr>
        <w:t xml:space="preserve"> the rat</w:t>
      </w:r>
      <w:r>
        <w:rPr>
          <w:rFonts w:ascii="Calibri" w:eastAsia="Calibri" w:hAnsi="Calibri" w:cs="Calibri"/>
          <w:sz w:val="24"/>
          <w:szCs w:val="24"/>
          <w:lang w:eastAsia="en-US"/>
        </w:rPr>
        <w:t>e for non-Indigenous children (38</w:t>
      </w:r>
      <w:r w:rsidRPr="003E1ABB">
        <w:rPr>
          <w:rFonts w:ascii="Calibri" w:eastAsia="Calibri" w:hAnsi="Calibri" w:cs="Calibri"/>
          <w:sz w:val="24"/>
          <w:szCs w:val="24"/>
          <w:lang w:eastAsia="en-US"/>
        </w:rPr>
        <w:t xml:space="preserve">3 and </w:t>
      </w:r>
      <w:r>
        <w:rPr>
          <w:rFonts w:ascii="Calibri" w:eastAsia="Calibri" w:hAnsi="Calibri" w:cs="Calibri"/>
          <w:sz w:val="24"/>
          <w:szCs w:val="24"/>
          <w:lang w:eastAsia="en-US"/>
        </w:rPr>
        <w:t>149</w:t>
      </w:r>
      <w:r w:rsidRPr="003E1ABB">
        <w:rPr>
          <w:rFonts w:ascii="Calibri" w:eastAsia="Calibri" w:hAnsi="Calibri" w:cs="Calibri"/>
          <w:sz w:val="24"/>
          <w:szCs w:val="24"/>
          <w:lang w:eastAsia="en-US"/>
        </w:rPr>
        <w:t xml:space="preserve"> per 100</w:t>
      </w:r>
      <w:r w:rsidR="00352341">
        <w:rPr>
          <w:rFonts w:ascii="Calibri" w:eastAsia="Calibri" w:hAnsi="Calibri" w:cs="Calibri"/>
          <w:sz w:val="24"/>
          <w:szCs w:val="24"/>
          <w:lang w:eastAsia="en-US"/>
        </w:rPr>
        <w:t> </w:t>
      </w:r>
      <w:r>
        <w:rPr>
          <w:rFonts w:ascii="Calibri" w:eastAsia="Calibri" w:hAnsi="Calibri" w:cs="Calibri"/>
          <w:sz w:val="24"/>
          <w:szCs w:val="24"/>
          <w:lang w:eastAsia="en-US"/>
        </w:rPr>
        <w:t>00</w:t>
      </w:r>
      <w:r w:rsidRPr="003E1ABB">
        <w:rPr>
          <w:rFonts w:ascii="Calibri" w:eastAsia="Calibri" w:hAnsi="Calibri" w:cs="Calibri"/>
          <w:sz w:val="24"/>
          <w:szCs w:val="24"/>
          <w:lang w:eastAsia="en-US"/>
        </w:rPr>
        <w:t>0 children respectively).</w:t>
      </w:r>
    </w:p>
    <w:p w:rsidR="00D0122C" w:rsidRDefault="00D0122C" w:rsidP="00D0122C">
      <w:pPr>
        <w:rPr>
          <w:rFonts w:ascii="Calibri" w:eastAsia="Calibri" w:hAnsi="Calibri" w:cs="Calibri"/>
          <w:sz w:val="24"/>
          <w:szCs w:val="24"/>
          <w:lang w:eastAsia="en-US"/>
        </w:rPr>
      </w:pPr>
    </w:p>
    <w:p w:rsidR="00700CA3" w:rsidRDefault="00700CA3">
      <w:pPr>
        <w:rPr>
          <w:rFonts w:ascii="Arial" w:hAnsi="Arial"/>
          <w:b/>
        </w:rPr>
      </w:pPr>
      <w:r>
        <w:br w:type="page"/>
      </w:r>
    </w:p>
    <w:p w:rsidR="00D0122C" w:rsidRPr="00821556" w:rsidRDefault="0072629A" w:rsidP="00520DEC">
      <w:pPr>
        <w:pStyle w:val="Figure"/>
        <w:ind w:right="2527"/>
      </w:pPr>
      <w:bookmarkStart w:id="222" w:name="_Toc400010310"/>
      <w:r>
        <w:t xml:space="preserve">Table </w:t>
      </w:r>
      <w:fldSimple w:instr=" SEQ Table \* ARABIC ">
        <w:r w:rsidR="00BF1EC9">
          <w:rPr>
            <w:noProof/>
          </w:rPr>
          <w:t>24</w:t>
        </w:r>
      </w:fldSimple>
      <w:r w:rsidR="00E0613F">
        <w:t xml:space="preserve">: Children who were recorded victims of sexual assault, </w:t>
      </w:r>
      <w:r w:rsidR="00E0613F" w:rsidRPr="00182FF9">
        <w:t>2010</w:t>
      </w:r>
      <w:r w:rsidR="00E0613F">
        <w:t xml:space="preserve"> to </w:t>
      </w:r>
      <w:r w:rsidR="00E0613F" w:rsidRPr="00182FF9">
        <w:t>2012</w:t>
      </w:r>
      <w:bookmarkEnd w:id="222"/>
    </w:p>
    <w:tbl>
      <w:tblPr>
        <w:tblW w:w="4031" w:type="pct"/>
        <w:tblLayout w:type="fixed"/>
        <w:tblLook w:val="04A0" w:firstRow="1" w:lastRow="0" w:firstColumn="1" w:lastColumn="0" w:noHBand="0" w:noVBand="1"/>
        <w:tblDescription w:val="Table 24: Children who were recorded victims of sexual assault, 2010 to 2012"/>
      </w:tblPr>
      <w:tblGrid>
        <w:gridCol w:w="1807"/>
        <w:gridCol w:w="1135"/>
        <w:gridCol w:w="1135"/>
        <w:gridCol w:w="1133"/>
        <w:gridCol w:w="1135"/>
        <w:gridCol w:w="1133"/>
        <w:gridCol w:w="1133"/>
      </w:tblGrid>
      <w:tr w:rsidR="00AF60C8" w:rsidRPr="00821556" w:rsidTr="00AF60C8">
        <w:trPr>
          <w:trHeight w:val="288"/>
        </w:trPr>
        <w:tc>
          <w:tcPr>
            <w:tcW w:w="1049" w:type="pct"/>
            <w:tcBorders>
              <w:top w:val="single" w:sz="4" w:space="0" w:color="auto"/>
              <w:bottom w:val="single" w:sz="4" w:space="0" w:color="auto"/>
            </w:tcBorders>
            <w:shd w:val="clear" w:color="000000" w:fill="FFFFFF"/>
            <w:noWrap/>
            <w:vAlign w:val="bottom"/>
            <w:hideMark/>
          </w:tcPr>
          <w:p w:rsidR="00AF60C8" w:rsidRPr="00821556" w:rsidRDefault="00AF60C8" w:rsidP="00135409">
            <w:pPr>
              <w:pStyle w:val="TableFigHeadingtotal"/>
              <w:rPr>
                <w:rFonts w:eastAsia="Calibri" w:cs="Arial"/>
              </w:rPr>
            </w:pPr>
          </w:p>
        </w:tc>
        <w:tc>
          <w:tcPr>
            <w:tcW w:w="659" w:type="pct"/>
            <w:tcBorders>
              <w:top w:val="single" w:sz="4" w:space="0" w:color="auto"/>
              <w:bottom w:val="single" w:sz="4" w:space="0" w:color="auto"/>
            </w:tcBorders>
            <w:shd w:val="clear" w:color="000000" w:fill="FFFFFF"/>
            <w:vAlign w:val="bottom"/>
          </w:tcPr>
          <w:p w:rsidR="00AF60C8" w:rsidRPr="00821556" w:rsidRDefault="00AF60C8" w:rsidP="00BC46CD">
            <w:pPr>
              <w:pStyle w:val="TableFigHeadingtotal"/>
              <w:jc w:val="right"/>
              <w:rPr>
                <w:rFonts w:eastAsia="Calibri" w:cs="Arial"/>
              </w:rPr>
            </w:pPr>
            <w:r>
              <w:rPr>
                <w:rFonts w:eastAsia="Calibri" w:cs="Arial"/>
              </w:rPr>
              <w:t>2010</w:t>
            </w:r>
            <w:r>
              <w:rPr>
                <w:rFonts w:eastAsia="Calibri" w:cs="Arial"/>
              </w:rPr>
              <w:br/>
            </w:r>
            <w:r w:rsidRPr="00821556">
              <w:rPr>
                <w:rFonts w:eastAsia="Calibri" w:cs="Arial"/>
              </w:rPr>
              <w:t>Number</w:t>
            </w:r>
          </w:p>
        </w:tc>
        <w:tc>
          <w:tcPr>
            <w:tcW w:w="659" w:type="pct"/>
            <w:tcBorders>
              <w:top w:val="single" w:sz="4" w:space="0" w:color="auto"/>
              <w:bottom w:val="single" w:sz="4" w:space="0" w:color="auto"/>
            </w:tcBorders>
            <w:shd w:val="clear" w:color="auto" w:fill="auto"/>
            <w:noWrap/>
            <w:vAlign w:val="bottom"/>
          </w:tcPr>
          <w:p w:rsidR="00AF60C8" w:rsidRPr="00821556" w:rsidRDefault="00AF60C8" w:rsidP="00352341">
            <w:pPr>
              <w:pStyle w:val="TableFigHeadingtotal"/>
              <w:jc w:val="right"/>
              <w:rPr>
                <w:rFonts w:eastAsia="Calibri" w:cs="Arial"/>
              </w:rPr>
            </w:pPr>
            <w:r>
              <w:rPr>
                <w:rFonts w:eastAsia="Calibri" w:cs="Arial"/>
              </w:rPr>
              <w:t>2010</w:t>
            </w:r>
            <w:r>
              <w:rPr>
                <w:rFonts w:eastAsia="Calibri" w:cs="Arial"/>
              </w:rPr>
              <w:br/>
              <w:t>Rate per 100,000</w:t>
            </w:r>
          </w:p>
        </w:tc>
        <w:tc>
          <w:tcPr>
            <w:tcW w:w="658" w:type="pct"/>
            <w:tcBorders>
              <w:top w:val="single" w:sz="4" w:space="0" w:color="auto"/>
              <w:bottom w:val="single" w:sz="4" w:space="0" w:color="auto"/>
            </w:tcBorders>
            <w:vAlign w:val="bottom"/>
          </w:tcPr>
          <w:p w:rsidR="00AF60C8" w:rsidRPr="00821556" w:rsidRDefault="00AF60C8" w:rsidP="00135409">
            <w:pPr>
              <w:pStyle w:val="TableFigHeadingtotal"/>
              <w:jc w:val="right"/>
              <w:rPr>
                <w:rFonts w:eastAsia="Calibri" w:cs="Arial"/>
              </w:rPr>
            </w:pPr>
            <w:r>
              <w:rPr>
                <w:rFonts w:eastAsia="Calibri" w:cs="Arial"/>
              </w:rPr>
              <w:t>2011</w:t>
            </w:r>
            <w:r>
              <w:rPr>
                <w:rFonts w:eastAsia="Calibri" w:cs="Arial"/>
              </w:rPr>
              <w:br/>
            </w:r>
            <w:r w:rsidRPr="00821556">
              <w:rPr>
                <w:rFonts w:eastAsia="Calibri" w:cs="Arial"/>
              </w:rPr>
              <w:t>Number</w:t>
            </w:r>
          </w:p>
        </w:tc>
        <w:tc>
          <w:tcPr>
            <w:tcW w:w="659" w:type="pct"/>
            <w:tcBorders>
              <w:top w:val="single" w:sz="4" w:space="0" w:color="auto"/>
              <w:bottom w:val="single" w:sz="4" w:space="0" w:color="auto"/>
            </w:tcBorders>
            <w:vAlign w:val="bottom"/>
          </w:tcPr>
          <w:p w:rsidR="00AF60C8" w:rsidRPr="00821556" w:rsidRDefault="00AF60C8" w:rsidP="00352341">
            <w:pPr>
              <w:pStyle w:val="TableFigHeadingtotal"/>
              <w:jc w:val="right"/>
              <w:rPr>
                <w:rFonts w:eastAsia="Calibri" w:cs="Arial"/>
              </w:rPr>
            </w:pPr>
            <w:r>
              <w:rPr>
                <w:rFonts w:eastAsia="Calibri" w:cs="Arial"/>
              </w:rPr>
              <w:t>2011</w:t>
            </w:r>
            <w:r>
              <w:rPr>
                <w:rFonts w:eastAsia="Calibri" w:cs="Arial"/>
              </w:rPr>
              <w:br/>
              <w:t>Rate per 100,000</w:t>
            </w:r>
          </w:p>
        </w:tc>
        <w:tc>
          <w:tcPr>
            <w:tcW w:w="658" w:type="pct"/>
            <w:tcBorders>
              <w:top w:val="single" w:sz="4" w:space="0" w:color="auto"/>
              <w:bottom w:val="single" w:sz="4" w:space="0" w:color="auto"/>
            </w:tcBorders>
            <w:vAlign w:val="bottom"/>
          </w:tcPr>
          <w:p w:rsidR="00AF60C8" w:rsidRPr="00821556" w:rsidRDefault="00AF60C8" w:rsidP="00135409">
            <w:pPr>
              <w:pStyle w:val="TableFigHeadingtotal"/>
              <w:jc w:val="right"/>
              <w:rPr>
                <w:rFonts w:eastAsia="Calibri" w:cs="Arial"/>
              </w:rPr>
            </w:pPr>
            <w:r>
              <w:rPr>
                <w:rFonts w:eastAsia="Calibri" w:cs="Arial"/>
              </w:rPr>
              <w:t>2012</w:t>
            </w:r>
            <w:r>
              <w:rPr>
                <w:rFonts w:eastAsia="Calibri" w:cs="Arial"/>
              </w:rPr>
              <w:br/>
            </w:r>
            <w:r w:rsidRPr="00821556">
              <w:rPr>
                <w:rFonts w:eastAsia="Calibri" w:cs="Arial"/>
              </w:rPr>
              <w:t>Number</w:t>
            </w:r>
          </w:p>
        </w:tc>
        <w:tc>
          <w:tcPr>
            <w:tcW w:w="658" w:type="pct"/>
            <w:tcBorders>
              <w:top w:val="single" w:sz="4" w:space="0" w:color="auto"/>
              <w:bottom w:val="single" w:sz="4" w:space="0" w:color="auto"/>
            </w:tcBorders>
            <w:vAlign w:val="bottom"/>
          </w:tcPr>
          <w:p w:rsidR="00AF60C8" w:rsidRPr="00821556" w:rsidRDefault="00AF60C8" w:rsidP="00352341">
            <w:pPr>
              <w:pStyle w:val="TableFigHeadingtotal"/>
              <w:jc w:val="right"/>
              <w:rPr>
                <w:rFonts w:eastAsia="Calibri" w:cs="Arial"/>
              </w:rPr>
            </w:pPr>
            <w:r>
              <w:rPr>
                <w:rFonts w:eastAsia="Calibri" w:cs="Arial"/>
              </w:rPr>
              <w:t>2012</w:t>
            </w:r>
            <w:r>
              <w:rPr>
                <w:rFonts w:eastAsia="Calibri" w:cs="Arial"/>
              </w:rPr>
              <w:br/>
              <w:t>Rate per 100,000</w:t>
            </w:r>
          </w:p>
        </w:tc>
      </w:tr>
      <w:tr w:rsidR="00AF60C8" w:rsidRPr="00821556" w:rsidTr="00AF60C8">
        <w:trPr>
          <w:trHeight w:val="288"/>
        </w:trPr>
        <w:tc>
          <w:tcPr>
            <w:tcW w:w="1049" w:type="pct"/>
            <w:tcBorders>
              <w:top w:val="single" w:sz="4" w:space="0" w:color="auto"/>
            </w:tcBorders>
            <w:shd w:val="clear" w:color="000000" w:fill="FFFFFF"/>
            <w:noWrap/>
          </w:tcPr>
          <w:p w:rsidR="00AF60C8" w:rsidRPr="00BA24F4" w:rsidRDefault="00AF60C8" w:rsidP="00135409">
            <w:pPr>
              <w:pStyle w:val="TableFigText"/>
              <w:tabs>
                <w:tab w:val="clear" w:pos="198"/>
              </w:tabs>
              <w:rPr>
                <w:rFonts w:eastAsia="Calibri" w:cs="Arial"/>
              </w:rPr>
            </w:pPr>
            <w:r>
              <w:rPr>
                <w:rFonts w:eastAsia="Calibri" w:cs="Arial"/>
              </w:rPr>
              <w:t>Boys</w:t>
            </w:r>
          </w:p>
        </w:tc>
        <w:tc>
          <w:tcPr>
            <w:tcW w:w="659" w:type="pct"/>
            <w:tcBorders>
              <w:top w:val="single" w:sz="4" w:space="0" w:color="auto"/>
            </w:tcBorders>
            <w:shd w:val="clear" w:color="000000" w:fill="FFFFFF"/>
          </w:tcPr>
          <w:p w:rsidR="00AF60C8" w:rsidRPr="00821556" w:rsidRDefault="00AF60C8" w:rsidP="00135409">
            <w:pPr>
              <w:pStyle w:val="TableFigText"/>
              <w:jc w:val="right"/>
              <w:rPr>
                <w:rFonts w:eastAsia="Calibri" w:cs="Arial"/>
              </w:rPr>
            </w:pPr>
          </w:p>
        </w:tc>
        <w:tc>
          <w:tcPr>
            <w:tcW w:w="659" w:type="pct"/>
            <w:tcBorders>
              <w:top w:val="single" w:sz="4" w:space="0" w:color="auto"/>
            </w:tcBorders>
            <w:shd w:val="clear" w:color="000000" w:fill="FFFFFF"/>
          </w:tcPr>
          <w:p w:rsidR="00AF60C8" w:rsidRPr="00821556" w:rsidRDefault="00AF60C8" w:rsidP="00135409">
            <w:pPr>
              <w:pStyle w:val="TableFigText"/>
              <w:jc w:val="right"/>
              <w:rPr>
                <w:rFonts w:eastAsia="Calibri" w:cs="Arial"/>
              </w:rPr>
            </w:pPr>
          </w:p>
        </w:tc>
        <w:tc>
          <w:tcPr>
            <w:tcW w:w="658" w:type="pct"/>
            <w:tcBorders>
              <w:top w:val="single" w:sz="4" w:space="0" w:color="auto"/>
            </w:tcBorders>
            <w:shd w:val="clear" w:color="000000" w:fill="FFFFFF"/>
          </w:tcPr>
          <w:p w:rsidR="00AF60C8" w:rsidRPr="00821556" w:rsidRDefault="00AF60C8" w:rsidP="00135409">
            <w:pPr>
              <w:pStyle w:val="TableFigText"/>
              <w:jc w:val="right"/>
              <w:rPr>
                <w:rFonts w:eastAsia="Calibri" w:cs="Arial"/>
              </w:rPr>
            </w:pPr>
          </w:p>
        </w:tc>
        <w:tc>
          <w:tcPr>
            <w:tcW w:w="659" w:type="pct"/>
            <w:tcBorders>
              <w:top w:val="single" w:sz="4" w:space="0" w:color="auto"/>
            </w:tcBorders>
            <w:shd w:val="clear" w:color="000000" w:fill="FFFFFF"/>
          </w:tcPr>
          <w:p w:rsidR="00AF60C8" w:rsidRPr="00821556" w:rsidRDefault="00AF60C8" w:rsidP="00135409">
            <w:pPr>
              <w:pStyle w:val="TableFigText"/>
              <w:jc w:val="right"/>
              <w:rPr>
                <w:rFonts w:eastAsia="Calibri" w:cs="Arial"/>
              </w:rPr>
            </w:pPr>
          </w:p>
        </w:tc>
        <w:tc>
          <w:tcPr>
            <w:tcW w:w="658" w:type="pct"/>
            <w:tcBorders>
              <w:top w:val="single" w:sz="4" w:space="0" w:color="auto"/>
            </w:tcBorders>
            <w:shd w:val="clear" w:color="000000" w:fill="FFFFFF"/>
          </w:tcPr>
          <w:p w:rsidR="00AF60C8" w:rsidRPr="00821556" w:rsidRDefault="00AF60C8" w:rsidP="00135409">
            <w:pPr>
              <w:pStyle w:val="TableFigText"/>
              <w:jc w:val="right"/>
              <w:rPr>
                <w:rFonts w:eastAsia="Calibri" w:cs="Arial"/>
              </w:rPr>
            </w:pPr>
          </w:p>
        </w:tc>
        <w:tc>
          <w:tcPr>
            <w:tcW w:w="658" w:type="pct"/>
            <w:tcBorders>
              <w:top w:val="single" w:sz="4" w:space="0" w:color="auto"/>
            </w:tcBorders>
            <w:shd w:val="clear" w:color="000000" w:fill="FFFFFF"/>
          </w:tcPr>
          <w:p w:rsidR="00AF60C8" w:rsidRPr="00821556" w:rsidRDefault="00AF60C8" w:rsidP="00135409">
            <w:pPr>
              <w:pStyle w:val="TableFigText"/>
              <w:jc w:val="right"/>
              <w:rPr>
                <w:rFonts w:eastAsia="Calibri" w:cs="Arial"/>
              </w:rPr>
            </w:pPr>
          </w:p>
        </w:tc>
      </w:tr>
      <w:tr w:rsidR="00AF60C8" w:rsidRPr="00821556" w:rsidTr="00AF60C8">
        <w:trPr>
          <w:trHeight w:val="288"/>
        </w:trPr>
        <w:tc>
          <w:tcPr>
            <w:tcW w:w="1049" w:type="pct"/>
            <w:shd w:val="clear" w:color="000000" w:fill="FFFFFF"/>
            <w:noWrap/>
          </w:tcPr>
          <w:p w:rsidR="00AF60C8" w:rsidRPr="00BA24F4" w:rsidRDefault="00AF60C8" w:rsidP="00135409">
            <w:pPr>
              <w:pStyle w:val="TableFigText"/>
              <w:ind w:firstLine="176"/>
              <w:rPr>
                <w:rFonts w:eastAsia="Calibri" w:cs="Arial"/>
              </w:rPr>
            </w:pPr>
            <w:r w:rsidRPr="00BA24F4">
              <w:rPr>
                <w:rFonts w:eastAsia="Calibri" w:cs="Arial"/>
              </w:rPr>
              <w:t>0–9</w:t>
            </w:r>
            <w:r>
              <w:rPr>
                <w:rFonts w:eastAsia="Calibri" w:cs="Arial"/>
              </w:rPr>
              <w:t xml:space="preserve"> years</w:t>
            </w:r>
          </w:p>
        </w:tc>
        <w:tc>
          <w:tcPr>
            <w:tcW w:w="659" w:type="pct"/>
            <w:shd w:val="clear" w:color="000000" w:fill="FFFFFF"/>
          </w:tcPr>
          <w:p w:rsidR="00AF60C8" w:rsidRPr="00821556" w:rsidRDefault="00AF60C8" w:rsidP="00135409">
            <w:pPr>
              <w:pStyle w:val="TableFigText"/>
              <w:jc w:val="right"/>
              <w:rPr>
                <w:rFonts w:eastAsia="Calibri" w:cs="Arial"/>
              </w:rPr>
            </w:pPr>
            <w:r>
              <w:rPr>
                <w:rFonts w:cs="Arial"/>
                <w:szCs w:val="16"/>
              </w:rPr>
              <w:t>823</w:t>
            </w:r>
          </w:p>
        </w:tc>
        <w:tc>
          <w:tcPr>
            <w:tcW w:w="659" w:type="pct"/>
            <w:shd w:val="clear" w:color="000000" w:fill="FFFFFF"/>
            <w:vAlign w:val="bottom"/>
          </w:tcPr>
          <w:p w:rsidR="00AF60C8" w:rsidRPr="00821556" w:rsidRDefault="00AF60C8" w:rsidP="00135409">
            <w:pPr>
              <w:pStyle w:val="TableFigText"/>
              <w:jc w:val="right"/>
              <w:rPr>
                <w:rFonts w:eastAsia="Calibri" w:cs="Arial"/>
              </w:rPr>
            </w:pPr>
            <w:r>
              <w:rPr>
                <w:rFonts w:cs="Arial"/>
                <w:szCs w:val="16"/>
              </w:rPr>
              <w:t>57.0</w:t>
            </w:r>
          </w:p>
        </w:tc>
        <w:tc>
          <w:tcPr>
            <w:tcW w:w="658" w:type="pct"/>
            <w:shd w:val="clear" w:color="000000" w:fill="FFFFFF"/>
          </w:tcPr>
          <w:p w:rsidR="00AF60C8" w:rsidRPr="00821556" w:rsidRDefault="00AF60C8" w:rsidP="00135409">
            <w:pPr>
              <w:pStyle w:val="TableFigText"/>
              <w:jc w:val="right"/>
              <w:rPr>
                <w:rFonts w:eastAsia="Calibri" w:cs="Arial"/>
              </w:rPr>
            </w:pPr>
            <w:r>
              <w:rPr>
                <w:rFonts w:cs="Arial"/>
                <w:szCs w:val="16"/>
              </w:rPr>
              <w:t>825</w:t>
            </w:r>
          </w:p>
        </w:tc>
        <w:tc>
          <w:tcPr>
            <w:tcW w:w="659" w:type="pct"/>
            <w:shd w:val="clear" w:color="000000" w:fill="FFFFFF"/>
            <w:vAlign w:val="bottom"/>
          </w:tcPr>
          <w:p w:rsidR="00AF60C8" w:rsidRPr="00821556" w:rsidRDefault="00AF60C8" w:rsidP="00135409">
            <w:pPr>
              <w:pStyle w:val="TableFigText"/>
              <w:jc w:val="right"/>
              <w:rPr>
                <w:rFonts w:eastAsia="Calibri" w:cs="Arial"/>
              </w:rPr>
            </w:pPr>
            <w:r>
              <w:rPr>
                <w:rFonts w:cs="Arial"/>
                <w:szCs w:val="16"/>
              </w:rPr>
              <w:t>56.3</w:t>
            </w:r>
          </w:p>
        </w:tc>
        <w:tc>
          <w:tcPr>
            <w:tcW w:w="658" w:type="pct"/>
            <w:shd w:val="clear" w:color="000000" w:fill="FFFFFF"/>
          </w:tcPr>
          <w:p w:rsidR="00AF60C8" w:rsidRPr="00821556" w:rsidRDefault="00AF60C8" w:rsidP="00135409">
            <w:pPr>
              <w:pStyle w:val="TableFigText"/>
              <w:jc w:val="right"/>
              <w:rPr>
                <w:rFonts w:eastAsia="Calibri" w:cs="Arial"/>
              </w:rPr>
            </w:pPr>
            <w:r>
              <w:rPr>
                <w:rFonts w:cs="Arial"/>
                <w:szCs w:val="16"/>
              </w:rPr>
              <w:t>934</w:t>
            </w:r>
          </w:p>
        </w:tc>
        <w:tc>
          <w:tcPr>
            <w:tcW w:w="658" w:type="pct"/>
            <w:shd w:val="clear" w:color="000000" w:fill="FFFFFF"/>
            <w:vAlign w:val="bottom"/>
          </w:tcPr>
          <w:p w:rsidR="00AF60C8" w:rsidRPr="00821556" w:rsidRDefault="00AF60C8" w:rsidP="00135409">
            <w:pPr>
              <w:pStyle w:val="TableFigText"/>
              <w:jc w:val="right"/>
              <w:rPr>
                <w:rFonts w:eastAsia="Calibri" w:cs="Arial"/>
              </w:rPr>
            </w:pPr>
            <w:r>
              <w:rPr>
                <w:rFonts w:cs="Arial"/>
                <w:szCs w:val="16"/>
              </w:rPr>
              <w:t>63.1</w:t>
            </w:r>
          </w:p>
        </w:tc>
      </w:tr>
      <w:tr w:rsidR="00AF60C8" w:rsidRPr="00821556" w:rsidTr="00AF60C8">
        <w:trPr>
          <w:trHeight w:val="288"/>
        </w:trPr>
        <w:tc>
          <w:tcPr>
            <w:tcW w:w="1049" w:type="pct"/>
            <w:shd w:val="clear" w:color="000000" w:fill="FFFFFF"/>
            <w:noWrap/>
          </w:tcPr>
          <w:p w:rsidR="00AF60C8" w:rsidRPr="00BA24F4" w:rsidRDefault="00AF60C8" w:rsidP="00135409">
            <w:pPr>
              <w:pStyle w:val="TableFigText"/>
              <w:tabs>
                <w:tab w:val="clear" w:pos="198"/>
              </w:tabs>
              <w:ind w:firstLine="176"/>
              <w:rPr>
                <w:rFonts w:eastAsia="Calibri" w:cs="Arial"/>
              </w:rPr>
            </w:pPr>
            <w:r w:rsidRPr="00BA24F4">
              <w:rPr>
                <w:rFonts w:eastAsia="Calibri" w:cs="Arial"/>
              </w:rPr>
              <w:t>10–14</w:t>
            </w:r>
            <w:r>
              <w:rPr>
                <w:rFonts w:eastAsia="Calibri" w:cs="Arial"/>
              </w:rPr>
              <w:t xml:space="preserve"> years</w:t>
            </w:r>
          </w:p>
        </w:tc>
        <w:tc>
          <w:tcPr>
            <w:tcW w:w="659" w:type="pct"/>
            <w:shd w:val="clear" w:color="000000" w:fill="FFFFFF"/>
          </w:tcPr>
          <w:p w:rsidR="00AF60C8" w:rsidRPr="00821556" w:rsidRDefault="00AF60C8" w:rsidP="00135409">
            <w:pPr>
              <w:pStyle w:val="TableFigText"/>
              <w:jc w:val="right"/>
              <w:rPr>
                <w:rFonts w:eastAsia="Calibri" w:cs="Arial"/>
              </w:rPr>
            </w:pPr>
            <w:r>
              <w:rPr>
                <w:rFonts w:cs="Arial"/>
                <w:szCs w:val="16"/>
              </w:rPr>
              <w:t>804</w:t>
            </w:r>
          </w:p>
        </w:tc>
        <w:tc>
          <w:tcPr>
            <w:tcW w:w="659" w:type="pct"/>
            <w:shd w:val="clear" w:color="000000" w:fill="FFFFFF"/>
            <w:vAlign w:val="bottom"/>
          </w:tcPr>
          <w:p w:rsidR="00AF60C8" w:rsidRPr="00821556" w:rsidRDefault="00AF60C8" w:rsidP="00135409">
            <w:pPr>
              <w:pStyle w:val="TableFigText"/>
              <w:jc w:val="right"/>
              <w:rPr>
                <w:rFonts w:eastAsia="Calibri" w:cs="Arial"/>
              </w:rPr>
            </w:pPr>
            <w:r>
              <w:rPr>
                <w:rFonts w:cs="Arial"/>
                <w:szCs w:val="16"/>
              </w:rPr>
              <w:t>111.7</w:t>
            </w:r>
          </w:p>
        </w:tc>
        <w:tc>
          <w:tcPr>
            <w:tcW w:w="658" w:type="pct"/>
            <w:shd w:val="clear" w:color="000000" w:fill="FFFFFF"/>
          </w:tcPr>
          <w:p w:rsidR="00AF60C8" w:rsidRPr="00821556" w:rsidRDefault="00AF60C8" w:rsidP="00135409">
            <w:pPr>
              <w:pStyle w:val="TableFigText"/>
              <w:jc w:val="right"/>
              <w:rPr>
                <w:rFonts w:eastAsia="Calibri" w:cs="Arial"/>
              </w:rPr>
            </w:pPr>
            <w:r>
              <w:rPr>
                <w:rFonts w:cs="Arial"/>
                <w:szCs w:val="16"/>
              </w:rPr>
              <w:t>696</w:t>
            </w:r>
          </w:p>
        </w:tc>
        <w:tc>
          <w:tcPr>
            <w:tcW w:w="659" w:type="pct"/>
            <w:shd w:val="clear" w:color="000000" w:fill="FFFFFF"/>
            <w:vAlign w:val="bottom"/>
          </w:tcPr>
          <w:p w:rsidR="00AF60C8" w:rsidRPr="00821556" w:rsidRDefault="00AF60C8" w:rsidP="00135409">
            <w:pPr>
              <w:pStyle w:val="TableFigText"/>
              <w:jc w:val="right"/>
              <w:rPr>
                <w:rFonts w:eastAsia="Calibri" w:cs="Arial"/>
              </w:rPr>
            </w:pPr>
            <w:r>
              <w:rPr>
                <w:rFonts w:cs="Arial"/>
                <w:szCs w:val="16"/>
              </w:rPr>
              <w:t>96.6</w:t>
            </w:r>
          </w:p>
        </w:tc>
        <w:tc>
          <w:tcPr>
            <w:tcW w:w="658" w:type="pct"/>
            <w:shd w:val="clear" w:color="000000" w:fill="FFFFFF"/>
          </w:tcPr>
          <w:p w:rsidR="00AF60C8" w:rsidRPr="00821556" w:rsidRDefault="00AF60C8" w:rsidP="00135409">
            <w:pPr>
              <w:pStyle w:val="TableFigText"/>
              <w:jc w:val="right"/>
              <w:rPr>
                <w:rFonts w:eastAsia="Calibri" w:cs="Arial"/>
              </w:rPr>
            </w:pPr>
            <w:r>
              <w:rPr>
                <w:rFonts w:cs="Arial"/>
                <w:szCs w:val="16"/>
              </w:rPr>
              <w:t>665</w:t>
            </w:r>
          </w:p>
        </w:tc>
        <w:tc>
          <w:tcPr>
            <w:tcW w:w="658" w:type="pct"/>
            <w:shd w:val="clear" w:color="000000" w:fill="FFFFFF"/>
            <w:vAlign w:val="bottom"/>
          </w:tcPr>
          <w:p w:rsidR="00AF60C8" w:rsidRPr="00821556" w:rsidRDefault="00AF60C8" w:rsidP="00135409">
            <w:pPr>
              <w:pStyle w:val="TableFigText"/>
              <w:jc w:val="right"/>
              <w:rPr>
                <w:rFonts w:eastAsia="Calibri" w:cs="Arial"/>
              </w:rPr>
            </w:pPr>
            <w:r>
              <w:rPr>
                <w:rFonts w:cs="Arial"/>
                <w:szCs w:val="16"/>
              </w:rPr>
              <w:t>93.8</w:t>
            </w:r>
          </w:p>
        </w:tc>
      </w:tr>
      <w:tr w:rsidR="00AF60C8" w:rsidRPr="00AF60C8" w:rsidTr="00AF60C8">
        <w:trPr>
          <w:trHeight w:val="288"/>
        </w:trPr>
        <w:tc>
          <w:tcPr>
            <w:tcW w:w="1049" w:type="pct"/>
            <w:shd w:val="clear" w:color="000000" w:fill="FFFFFF"/>
            <w:noWrap/>
          </w:tcPr>
          <w:p w:rsidR="00AF60C8" w:rsidRPr="00AF60C8" w:rsidRDefault="00AF60C8" w:rsidP="00135409">
            <w:pPr>
              <w:pStyle w:val="TableFigText"/>
              <w:ind w:firstLine="176"/>
              <w:rPr>
                <w:rFonts w:eastAsia="Calibri" w:cs="Arial"/>
                <w:iCs/>
              </w:rPr>
            </w:pPr>
            <w:r w:rsidRPr="00AF60C8">
              <w:rPr>
                <w:rFonts w:eastAsia="Calibri" w:cs="Arial"/>
                <w:iCs/>
              </w:rPr>
              <w:t xml:space="preserve">Total </w:t>
            </w:r>
            <w:r w:rsidRPr="00AF60C8">
              <w:rPr>
                <w:rFonts w:eastAsia="Calibri" w:cs="Arial"/>
              </w:rPr>
              <w:t>0–14 years</w:t>
            </w:r>
          </w:p>
        </w:tc>
        <w:tc>
          <w:tcPr>
            <w:tcW w:w="659" w:type="pct"/>
            <w:shd w:val="clear" w:color="000000" w:fill="FFFFFF"/>
          </w:tcPr>
          <w:p w:rsidR="00AF60C8" w:rsidRPr="00AF60C8" w:rsidRDefault="00AF60C8" w:rsidP="00352341">
            <w:pPr>
              <w:pStyle w:val="TableFigText"/>
              <w:jc w:val="right"/>
              <w:rPr>
                <w:rFonts w:eastAsia="Calibri" w:cs="Arial"/>
                <w:iCs/>
              </w:rPr>
            </w:pPr>
            <w:r w:rsidRPr="00AF60C8">
              <w:rPr>
                <w:rFonts w:eastAsia="Calibri" w:cs="Arial"/>
                <w:iCs/>
              </w:rPr>
              <w:t>1627</w:t>
            </w:r>
          </w:p>
        </w:tc>
        <w:tc>
          <w:tcPr>
            <w:tcW w:w="659" w:type="pct"/>
            <w:shd w:val="clear" w:color="000000" w:fill="FFFFFF"/>
          </w:tcPr>
          <w:p w:rsidR="00AF60C8" w:rsidRPr="00AF60C8" w:rsidRDefault="00AF60C8" w:rsidP="00135409">
            <w:pPr>
              <w:pStyle w:val="TableFigText"/>
              <w:jc w:val="right"/>
              <w:rPr>
                <w:rFonts w:eastAsia="Calibri" w:cs="Arial"/>
                <w:iCs/>
              </w:rPr>
            </w:pPr>
            <w:r w:rsidRPr="00AF60C8">
              <w:rPr>
                <w:rFonts w:eastAsia="Calibri" w:cs="Arial"/>
                <w:iCs/>
              </w:rPr>
              <w:t>75.2</w:t>
            </w:r>
          </w:p>
        </w:tc>
        <w:tc>
          <w:tcPr>
            <w:tcW w:w="658" w:type="pct"/>
            <w:shd w:val="clear" w:color="000000" w:fill="FFFFFF"/>
          </w:tcPr>
          <w:p w:rsidR="00AF60C8" w:rsidRPr="00AF60C8" w:rsidRDefault="00AF60C8" w:rsidP="00352341">
            <w:pPr>
              <w:pStyle w:val="TableFigText"/>
              <w:jc w:val="right"/>
              <w:rPr>
                <w:rFonts w:eastAsia="Calibri" w:cs="Arial"/>
                <w:iCs/>
              </w:rPr>
            </w:pPr>
            <w:r w:rsidRPr="00AF60C8">
              <w:rPr>
                <w:rFonts w:eastAsia="Calibri" w:cs="Arial"/>
                <w:iCs/>
              </w:rPr>
              <w:t>1521</w:t>
            </w:r>
          </w:p>
        </w:tc>
        <w:tc>
          <w:tcPr>
            <w:tcW w:w="659" w:type="pct"/>
            <w:shd w:val="clear" w:color="000000" w:fill="FFFFFF"/>
          </w:tcPr>
          <w:p w:rsidR="00AF60C8" w:rsidRPr="00AF60C8" w:rsidRDefault="00AF60C8" w:rsidP="00135409">
            <w:pPr>
              <w:pStyle w:val="TableFigText"/>
              <w:jc w:val="right"/>
              <w:rPr>
                <w:rFonts w:eastAsia="Calibri" w:cs="Arial"/>
                <w:iCs/>
              </w:rPr>
            </w:pPr>
            <w:r w:rsidRPr="00AF60C8">
              <w:rPr>
                <w:rFonts w:eastAsia="Calibri" w:cs="Arial"/>
                <w:iCs/>
              </w:rPr>
              <w:t>69.6</w:t>
            </w:r>
          </w:p>
        </w:tc>
        <w:tc>
          <w:tcPr>
            <w:tcW w:w="658" w:type="pct"/>
            <w:shd w:val="clear" w:color="000000" w:fill="FFFFFF"/>
          </w:tcPr>
          <w:p w:rsidR="00AF60C8" w:rsidRPr="00AF60C8" w:rsidRDefault="00AF60C8" w:rsidP="00352341">
            <w:pPr>
              <w:pStyle w:val="TableFigText"/>
              <w:jc w:val="right"/>
              <w:rPr>
                <w:rFonts w:eastAsia="Calibri" w:cs="Arial"/>
                <w:iCs/>
              </w:rPr>
            </w:pPr>
            <w:r w:rsidRPr="00AF60C8">
              <w:rPr>
                <w:rFonts w:eastAsia="Calibri" w:cs="Arial"/>
                <w:iCs/>
              </w:rPr>
              <w:t>1599</w:t>
            </w:r>
          </w:p>
        </w:tc>
        <w:tc>
          <w:tcPr>
            <w:tcW w:w="658" w:type="pct"/>
            <w:shd w:val="clear" w:color="000000" w:fill="FFFFFF"/>
          </w:tcPr>
          <w:p w:rsidR="00AF60C8" w:rsidRPr="00AF60C8" w:rsidRDefault="00AF60C8" w:rsidP="00135409">
            <w:pPr>
              <w:pStyle w:val="TableFigText"/>
              <w:jc w:val="right"/>
              <w:rPr>
                <w:rFonts w:eastAsia="Calibri" w:cs="Arial"/>
                <w:iCs/>
              </w:rPr>
            </w:pPr>
            <w:r w:rsidRPr="00AF60C8">
              <w:rPr>
                <w:rFonts w:eastAsia="Calibri" w:cs="Arial"/>
                <w:iCs/>
              </w:rPr>
              <w:t>73.0</w:t>
            </w:r>
          </w:p>
        </w:tc>
      </w:tr>
      <w:tr w:rsidR="00AF60C8" w:rsidRPr="00821556" w:rsidTr="00AF60C8">
        <w:trPr>
          <w:trHeight w:val="288"/>
        </w:trPr>
        <w:tc>
          <w:tcPr>
            <w:tcW w:w="1049" w:type="pct"/>
            <w:shd w:val="clear" w:color="000000" w:fill="FFFFFF"/>
            <w:noWrap/>
          </w:tcPr>
          <w:p w:rsidR="00AF60C8" w:rsidRPr="00BA24F4" w:rsidRDefault="00AF60C8" w:rsidP="00135409">
            <w:pPr>
              <w:pStyle w:val="TableFigText"/>
              <w:rPr>
                <w:rFonts w:eastAsia="Calibri" w:cs="Arial"/>
                <w:iCs/>
              </w:rPr>
            </w:pPr>
            <w:r>
              <w:rPr>
                <w:rFonts w:eastAsia="Calibri" w:cs="Arial"/>
                <w:iCs/>
              </w:rPr>
              <w:t>Girls</w:t>
            </w:r>
          </w:p>
        </w:tc>
        <w:tc>
          <w:tcPr>
            <w:tcW w:w="659" w:type="pct"/>
            <w:shd w:val="clear" w:color="000000" w:fill="FFFFFF"/>
          </w:tcPr>
          <w:p w:rsidR="00AF60C8" w:rsidRPr="00821556" w:rsidRDefault="00AF60C8" w:rsidP="00135409">
            <w:pPr>
              <w:pStyle w:val="TableFigText"/>
              <w:jc w:val="right"/>
              <w:rPr>
                <w:rFonts w:eastAsia="Calibri" w:cs="Arial"/>
                <w:i/>
                <w:iCs/>
              </w:rPr>
            </w:pPr>
          </w:p>
        </w:tc>
        <w:tc>
          <w:tcPr>
            <w:tcW w:w="659" w:type="pct"/>
            <w:shd w:val="clear" w:color="000000" w:fill="FFFFFF"/>
          </w:tcPr>
          <w:p w:rsidR="00AF60C8" w:rsidRPr="00821556" w:rsidRDefault="00AF60C8" w:rsidP="00135409">
            <w:pPr>
              <w:pStyle w:val="TableFigText"/>
              <w:jc w:val="right"/>
              <w:rPr>
                <w:rFonts w:eastAsia="Calibri" w:cs="Arial"/>
                <w:i/>
                <w:iCs/>
              </w:rPr>
            </w:pPr>
          </w:p>
        </w:tc>
        <w:tc>
          <w:tcPr>
            <w:tcW w:w="658" w:type="pct"/>
            <w:shd w:val="clear" w:color="000000" w:fill="FFFFFF"/>
          </w:tcPr>
          <w:p w:rsidR="00AF60C8" w:rsidRPr="00821556" w:rsidRDefault="00AF60C8" w:rsidP="00135409">
            <w:pPr>
              <w:pStyle w:val="TableFigText"/>
              <w:jc w:val="right"/>
              <w:rPr>
                <w:rFonts w:eastAsia="Calibri" w:cs="Arial"/>
                <w:i/>
                <w:iCs/>
              </w:rPr>
            </w:pPr>
          </w:p>
        </w:tc>
        <w:tc>
          <w:tcPr>
            <w:tcW w:w="659" w:type="pct"/>
            <w:shd w:val="clear" w:color="000000" w:fill="FFFFFF"/>
          </w:tcPr>
          <w:p w:rsidR="00AF60C8" w:rsidRPr="00821556" w:rsidRDefault="00AF60C8" w:rsidP="00135409">
            <w:pPr>
              <w:pStyle w:val="TableFigText"/>
              <w:jc w:val="right"/>
              <w:rPr>
                <w:rFonts w:eastAsia="Calibri" w:cs="Arial"/>
                <w:i/>
                <w:iCs/>
              </w:rPr>
            </w:pPr>
          </w:p>
        </w:tc>
        <w:tc>
          <w:tcPr>
            <w:tcW w:w="658" w:type="pct"/>
            <w:shd w:val="clear" w:color="000000" w:fill="FFFFFF"/>
          </w:tcPr>
          <w:p w:rsidR="00AF60C8" w:rsidRPr="00821556" w:rsidRDefault="00AF60C8" w:rsidP="00135409">
            <w:pPr>
              <w:pStyle w:val="TableFigText"/>
              <w:jc w:val="right"/>
              <w:rPr>
                <w:rFonts w:eastAsia="Calibri" w:cs="Arial"/>
                <w:i/>
                <w:iCs/>
              </w:rPr>
            </w:pPr>
          </w:p>
        </w:tc>
        <w:tc>
          <w:tcPr>
            <w:tcW w:w="658" w:type="pct"/>
            <w:shd w:val="clear" w:color="000000" w:fill="FFFFFF"/>
          </w:tcPr>
          <w:p w:rsidR="00AF60C8" w:rsidRPr="00821556" w:rsidRDefault="00AF60C8" w:rsidP="00135409">
            <w:pPr>
              <w:pStyle w:val="TableFigText"/>
              <w:jc w:val="right"/>
              <w:rPr>
                <w:rFonts w:eastAsia="Calibri" w:cs="Arial"/>
                <w:i/>
                <w:iCs/>
              </w:rPr>
            </w:pPr>
          </w:p>
        </w:tc>
      </w:tr>
      <w:tr w:rsidR="00AF60C8" w:rsidRPr="00821556" w:rsidTr="00AF60C8">
        <w:trPr>
          <w:trHeight w:val="288"/>
        </w:trPr>
        <w:tc>
          <w:tcPr>
            <w:tcW w:w="1049" w:type="pct"/>
            <w:shd w:val="clear" w:color="000000" w:fill="FFFFFF"/>
            <w:noWrap/>
          </w:tcPr>
          <w:p w:rsidR="00AF60C8" w:rsidRPr="00BA24F4" w:rsidRDefault="00AF60C8" w:rsidP="00135409">
            <w:pPr>
              <w:pStyle w:val="TableFigText"/>
              <w:ind w:firstLine="176"/>
              <w:rPr>
                <w:rFonts w:eastAsia="Calibri" w:cs="Arial"/>
                <w:iCs/>
              </w:rPr>
            </w:pPr>
            <w:r w:rsidRPr="00BA24F4">
              <w:rPr>
                <w:rFonts w:eastAsia="Calibri" w:cs="Arial"/>
              </w:rPr>
              <w:t>0–9</w:t>
            </w:r>
            <w:r>
              <w:rPr>
                <w:rFonts w:eastAsia="Calibri" w:cs="Arial"/>
              </w:rPr>
              <w:t xml:space="preserve"> years</w:t>
            </w:r>
          </w:p>
        </w:tc>
        <w:tc>
          <w:tcPr>
            <w:tcW w:w="659" w:type="pct"/>
            <w:shd w:val="clear" w:color="000000" w:fill="FFFFFF"/>
          </w:tcPr>
          <w:p w:rsidR="00AF60C8" w:rsidRPr="00821556" w:rsidRDefault="00AF60C8" w:rsidP="00352341">
            <w:pPr>
              <w:pStyle w:val="TableFigText"/>
              <w:jc w:val="right"/>
              <w:rPr>
                <w:rFonts w:eastAsia="Calibri" w:cs="Arial"/>
                <w:i/>
                <w:iCs/>
              </w:rPr>
            </w:pPr>
            <w:r>
              <w:t>1</w:t>
            </w:r>
            <w:r w:rsidRPr="007A3CEB">
              <w:t>831</w:t>
            </w:r>
          </w:p>
        </w:tc>
        <w:tc>
          <w:tcPr>
            <w:tcW w:w="659" w:type="pct"/>
            <w:shd w:val="clear" w:color="000000" w:fill="FFFFFF"/>
            <w:vAlign w:val="bottom"/>
          </w:tcPr>
          <w:p w:rsidR="00AF60C8" w:rsidRPr="00821556" w:rsidRDefault="00AF60C8" w:rsidP="00135409">
            <w:pPr>
              <w:pStyle w:val="TableFigText"/>
              <w:jc w:val="right"/>
              <w:rPr>
                <w:rFonts w:eastAsia="Calibri" w:cs="Arial"/>
                <w:i/>
                <w:iCs/>
              </w:rPr>
            </w:pPr>
            <w:r>
              <w:rPr>
                <w:rFonts w:cs="Arial"/>
                <w:szCs w:val="16"/>
              </w:rPr>
              <w:t>133.6</w:t>
            </w:r>
          </w:p>
        </w:tc>
        <w:tc>
          <w:tcPr>
            <w:tcW w:w="658" w:type="pct"/>
            <w:shd w:val="clear" w:color="000000" w:fill="FFFFFF"/>
          </w:tcPr>
          <w:p w:rsidR="00AF60C8" w:rsidRPr="00821556" w:rsidRDefault="00AF60C8" w:rsidP="00352341">
            <w:pPr>
              <w:pStyle w:val="TableFigText"/>
              <w:jc w:val="right"/>
              <w:rPr>
                <w:rFonts w:eastAsia="Calibri" w:cs="Arial"/>
                <w:i/>
                <w:iCs/>
              </w:rPr>
            </w:pPr>
            <w:r>
              <w:t>1</w:t>
            </w:r>
            <w:r w:rsidRPr="007A3CEB">
              <w:t>769</w:t>
            </w:r>
          </w:p>
        </w:tc>
        <w:tc>
          <w:tcPr>
            <w:tcW w:w="659" w:type="pct"/>
            <w:shd w:val="clear" w:color="000000" w:fill="FFFFFF"/>
            <w:vAlign w:val="bottom"/>
          </w:tcPr>
          <w:p w:rsidR="00AF60C8" w:rsidRPr="00821556" w:rsidRDefault="00AF60C8" w:rsidP="00135409">
            <w:pPr>
              <w:pStyle w:val="TableFigText"/>
              <w:jc w:val="right"/>
              <w:rPr>
                <w:rFonts w:eastAsia="Calibri" w:cs="Arial"/>
                <w:i/>
                <w:iCs/>
              </w:rPr>
            </w:pPr>
            <w:r>
              <w:rPr>
                <w:rFonts w:cs="Arial"/>
                <w:szCs w:val="16"/>
              </w:rPr>
              <w:t>127.3</w:t>
            </w:r>
          </w:p>
        </w:tc>
        <w:tc>
          <w:tcPr>
            <w:tcW w:w="658" w:type="pct"/>
            <w:shd w:val="clear" w:color="000000" w:fill="FFFFFF"/>
          </w:tcPr>
          <w:p w:rsidR="00AF60C8" w:rsidRPr="00821556" w:rsidRDefault="00AF60C8" w:rsidP="00352341">
            <w:pPr>
              <w:pStyle w:val="TableFigText"/>
              <w:jc w:val="right"/>
              <w:rPr>
                <w:rFonts w:eastAsia="Calibri" w:cs="Arial"/>
                <w:i/>
                <w:iCs/>
              </w:rPr>
            </w:pPr>
            <w:r>
              <w:t>1</w:t>
            </w:r>
            <w:r w:rsidRPr="007A3CEB">
              <w:t>578</w:t>
            </w:r>
          </w:p>
        </w:tc>
        <w:tc>
          <w:tcPr>
            <w:tcW w:w="658" w:type="pct"/>
            <w:shd w:val="clear" w:color="000000" w:fill="FFFFFF"/>
            <w:vAlign w:val="bottom"/>
          </w:tcPr>
          <w:p w:rsidR="00AF60C8" w:rsidRPr="00821556" w:rsidRDefault="00AF60C8" w:rsidP="00135409">
            <w:pPr>
              <w:pStyle w:val="TableFigText"/>
              <w:jc w:val="right"/>
              <w:rPr>
                <w:rFonts w:eastAsia="Calibri" w:cs="Arial"/>
                <w:i/>
                <w:iCs/>
              </w:rPr>
            </w:pPr>
            <w:r>
              <w:rPr>
                <w:rFonts w:cs="Arial"/>
                <w:szCs w:val="16"/>
              </w:rPr>
              <w:t>112.4</w:t>
            </w:r>
          </w:p>
        </w:tc>
      </w:tr>
      <w:tr w:rsidR="00AF60C8" w:rsidRPr="00821556" w:rsidTr="00AF60C8">
        <w:trPr>
          <w:trHeight w:val="288"/>
        </w:trPr>
        <w:tc>
          <w:tcPr>
            <w:tcW w:w="1049" w:type="pct"/>
            <w:shd w:val="clear" w:color="000000" w:fill="FFFFFF"/>
            <w:noWrap/>
          </w:tcPr>
          <w:p w:rsidR="00AF60C8" w:rsidRPr="00BA24F4" w:rsidRDefault="00AF60C8" w:rsidP="00135409">
            <w:pPr>
              <w:pStyle w:val="TableFigText"/>
              <w:ind w:firstLine="176"/>
              <w:rPr>
                <w:rFonts w:eastAsia="Calibri" w:cs="Arial"/>
                <w:iCs/>
              </w:rPr>
            </w:pPr>
            <w:r w:rsidRPr="00BA24F4">
              <w:rPr>
                <w:rFonts w:eastAsia="Calibri" w:cs="Arial"/>
              </w:rPr>
              <w:t>10–14</w:t>
            </w:r>
            <w:r>
              <w:rPr>
                <w:rFonts w:eastAsia="Calibri" w:cs="Arial"/>
              </w:rPr>
              <w:t xml:space="preserve"> years</w:t>
            </w:r>
          </w:p>
        </w:tc>
        <w:tc>
          <w:tcPr>
            <w:tcW w:w="659" w:type="pct"/>
            <w:shd w:val="clear" w:color="000000" w:fill="FFFFFF"/>
          </w:tcPr>
          <w:p w:rsidR="00AF60C8" w:rsidRPr="00821556" w:rsidRDefault="00AF60C8" w:rsidP="00352341">
            <w:pPr>
              <w:pStyle w:val="TableFigText"/>
              <w:jc w:val="right"/>
              <w:rPr>
                <w:rFonts w:eastAsia="Calibri" w:cs="Arial"/>
                <w:i/>
                <w:iCs/>
              </w:rPr>
            </w:pPr>
            <w:r>
              <w:t>3</w:t>
            </w:r>
            <w:r w:rsidRPr="007A3CEB">
              <w:t>707</w:t>
            </w:r>
          </w:p>
        </w:tc>
        <w:tc>
          <w:tcPr>
            <w:tcW w:w="659" w:type="pct"/>
            <w:shd w:val="clear" w:color="000000" w:fill="FFFFFF"/>
            <w:vAlign w:val="bottom"/>
          </w:tcPr>
          <w:p w:rsidR="00AF60C8" w:rsidRPr="00821556" w:rsidRDefault="00AF60C8" w:rsidP="00135409">
            <w:pPr>
              <w:pStyle w:val="TableFigText"/>
              <w:jc w:val="right"/>
              <w:rPr>
                <w:rFonts w:eastAsia="Calibri" w:cs="Arial"/>
                <w:i/>
                <w:iCs/>
              </w:rPr>
            </w:pPr>
            <w:r>
              <w:rPr>
                <w:rFonts w:cs="Arial"/>
                <w:szCs w:val="16"/>
              </w:rPr>
              <w:t>542.1</w:t>
            </w:r>
          </w:p>
        </w:tc>
        <w:tc>
          <w:tcPr>
            <w:tcW w:w="658" w:type="pct"/>
            <w:shd w:val="clear" w:color="000000" w:fill="FFFFFF"/>
          </w:tcPr>
          <w:p w:rsidR="00AF60C8" w:rsidRPr="00821556" w:rsidRDefault="00AF60C8" w:rsidP="00352341">
            <w:pPr>
              <w:pStyle w:val="TableFigText"/>
              <w:jc w:val="right"/>
              <w:rPr>
                <w:rFonts w:eastAsia="Calibri" w:cs="Arial"/>
                <w:i/>
                <w:iCs/>
              </w:rPr>
            </w:pPr>
            <w:r>
              <w:t>3</w:t>
            </w:r>
            <w:r w:rsidRPr="007A3CEB">
              <w:t>460</w:t>
            </w:r>
          </w:p>
        </w:tc>
        <w:tc>
          <w:tcPr>
            <w:tcW w:w="659" w:type="pct"/>
            <w:shd w:val="clear" w:color="000000" w:fill="FFFFFF"/>
            <w:vAlign w:val="bottom"/>
          </w:tcPr>
          <w:p w:rsidR="00AF60C8" w:rsidRPr="00821556" w:rsidRDefault="00AF60C8" w:rsidP="00135409">
            <w:pPr>
              <w:pStyle w:val="TableFigText"/>
              <w:jc w:val="right"/>
              <w:rPr>
                <w:rFonts w:eastAsia="Calibri" w:cs="Arial"/>
                <w:i/>
                <w:iCs/>
              </w:rPr>
            </w:pPr>
            <w:r>
              <w:rPr>
                <w:rFonts w:cs="Arial"/>
                <w:szCs w:val="16"/>
              </w:rPr>
              <w:t>505.2</w:t>
            </w:r>
          </w:p>
        </w:tc>
        <w:tc>
          <w:tcPr>
            <w:tcW w:w="658" w:type="pct"/>
            <w:shd w:val="clear" w:color="000000" w:fill="FFFFFF"/>
          </w:tcPr>
          <w:p w:rsidR="00AF60C8" w:rsidRPr="00821556" w:rsidRDefault="00AF60C8" w:rsidP="00352341">
            <w:pPr>
              <w:pStyle w:val="TableFigText"/>
              <w:jc w:val="right"/>
              <w:rPr>
                <w:rFonts w:eastAsia="Calibri" w:cs="Arial"/>
                <w:i/>
                <w:iCs/>
              </w:rPr>
            </w:pPr>
            <w:r>
              <w:t>3</w:t>
            </w:r>
            <w:r w:rsidRPr="007A3CEB">
              <w:t>535</w:t>
            </w:r>
          </w:p>
        </w:tc>
        <w:tc>
          <w:tcPr>
            <w:tcW w:w="658" w:type="pct"/>
            <w:shd w:val="clear" w:color="000000" w:fill="FFFFFF"/>
            <w:vAlign w:val="bottom"/>
          </w:tcPr>
          <w:p w:rsidR="00AF60C8" w:rsidRPr="00821556" w:rsidRDefault="00AF60C8" w:rsidP="00135409">
            <w:pPr>
              <w:pStyle w:val="TableFigText"/>
              <w:jc w:val="right"/>
              <w:rPr>
                <w:rFonts w:eastAsia="Calibri" w:cs="Arial"/>
                <w:i/>
                <w:iCs/>
              </w:rPr>
            </w:pPr>
            <w:r>
              <w:rPr>
                <w:rFonts w:cs="Arial"/>
                <w:szCs w:val="16"/>
              </w:rPr>
              <w:t>524.7</w:t>
            </w:r>
          </w:p>
        </w:tc>
      </w:tr>
      <w:tr w:rsidR="00AF60C8" w:rsidRPr="00AF60C8" w:rsidTr="00AF60C8">
        <w:trPr>
          <w:trHeight w:val="288"/>
        </w:trPr>
        <w:tc>
          <w:tcPr>
            <w:tcW w:w="1049" w:type="pct"/>
            <w:shd w:val="clear" w:color="000000" w:fill="FFFFFF"/>
            <w:noWrap/>
          </w:tcPr>
          <w:p w:rsidR="00AF60C8" w:rsidRPr="00AF60C8" w:rsidRDefault="00AF60C8" w:rsidP="00135409">
            <w:pPr>
              <w:pStyle w:val="TableFigText"/>
              <w:ind w:firstLine="176"/>
              <w:rPr>
                <w:rFonts w:eastAsia="Calibri" w:cs="Arial"/>
                <w:iCs/>
              </w:rPr>
            </w:pPr>
            <w:r w:rsidRPr="00AF60C8">
              <w:rPr>
                <w:rFonts w:eastAsia="Calibri" w:cs="Arial"/>
                <w:iCs/>
              </w:rPr>
              <w:t xml:space="preserve">Total </w:t>
            </w:r>
            <w:r w:rsidRPr="00AF60C8">
              <w:rPr>
                <w:rFonts w:eastAsia="Calibri" w:cs="Arial"/>
              </w:rPr>
              <w:t>0–14 years</w:t>
            </w:r>
          </w:p>
        </w:tc>
        <w:tc>
          <w:tcPr>
            <w:tcW w:w="659" w:type="pct"/>
            <w:shd w:val="clear" w:color="000000" w:fill="FFFFFF"/>
          </w:tcPr>
          <w:p w:rsidR="00AF60C8" w:rsidRPr="00AF60C8" w:rsidRDefault="00AF60C8" w:rsidP="00352341">
            <w:pPr>
              <w:pStyle w:val="TableFigText"/>
              <w:jc w:val="right"/>
              <w:rPr>
                <w:rFonts w:eastAsia="Calibri" w:cs="Arial"/>
                <w:iCs/>
              </w:rPr>
            </w:pPr>
            <w:r w:rsidRPr="00AF60C8">
              <w:rPr>
                <w:rFonts w:eastAsia="Calibri" w:cs="Arial"/>
                <w:iCs/>
              </w:rPr>
              <w:t>5538</w:t>
            </w:r>
          </w:p>
        </w:tc>
        <w:tc>
          <w:tcPr>
            <w:tcW w:w="659" w:type="pct"/>
            <w:shd w:val="clear" w:color="000000" w:fill="FFFFFF"/>
          </w:tcPr>
          <w:p w:rsidR="00AF60C8" w:rsidRPr="00AF60C8" w:rsidRDefault="00AF60C8" w:rsidP="00135409">
            <w:pPr>
              <w:pStyle w:val="TableFigText"/>
              <w:jc w:val="right"/>
              <w:rPr>
                <w:rFonts w:eastAsia="Calibri" w:cs="Arial"/>
                <w:iCs/>
              </w:rPr>
            </w:pPr>
            <w:r w:rsidRPr="00AF60C8">
              <w:rPr>
                <w:rFonts w:eastAsia="Calibri" w:cs="Arial"/>
                <w:iCs/>
              </w:rPr>
              <w:t>269.6</w:t>
            </w:r>
          </w:p>
        </w:tc>
        <w:tc>
          <w:tcPr>
            <w:tcW w:w="658" w:type="pct"/>
            <w:shd w:val="clear" w:color="000000" w:fill="FFFFFF"/>
          </w:tcPr>
          <w:p w:rsidR="00AF60C8" w:rsidRPr="00AF60C8" w:rsidRDefault="00AF60C8" w:rsidP="00352341">
            <w:pPr>
              <w:pStyle w:val="TableFigText"/>
              <w:jc w:val="right"/>
              <w:rPr>
                <w:rFonts w:eastAsia="Calibri" w:cs="Arial"/>
                <w:iCs/>
              </w:rPr>
            </w:pPr>
            <w:r w:rsidRPr="00AF60C8">
              <w:rPr>
                <w:rFonts w:eastAsia="Calibri" w:cs="Arial"/>
                <w:iCs/>
              </w:rPr>
              <w:t>5229</w:t>
            </w:r>
          </w:p>
        </w:tc>
        <w:tc>
          <w:tcPr>
            <w:tcW w:w="659" w:type="pct"/>
            <w:shd w:val="clear" w:color="000000" w:fill="FFFFFF"/>
          </w:tcPr>
          <w:p w:rsidR="00AF60C8" w:rsidRPr="00AF60C8" w:rsidRDefault="00AF60C8" w:rsidP="00135409">
            <w:pPr>
              <w:pStyle w:val="TableFigText"/>
              <w:jc w:val="right"/>
              <w:rPr>
                <w:rFonts w:eastAsia="Calibri" w:cs="Arial"/>
                <w:iCs/>
              </w:rPr>
            </w:pPr>
            <w:r w:rsidRPr="00AF60C8">
              <w:rPr>
                <w:rFonts w:eastAsia="Calibri" w:cs="Arial"/>
                <w:iCs/>
              </w:rPr>
              <w:t>252.1</w:t>
            </w:r>
          </w:p>
        </w:tc>
        <w:tc>
          <w:tcPr>
            <w:tcW w:w="658" w:type="pct"/>
            <w:shd w:val="clear" w:color="000000" w:fill="FFFFFF"/>
          </w:tcPr>
          <w:p w:rsidR="00AF60C8" w:rsidRPr="00AF60C8" w:rsidRDefault="00AF60C8" w:rsidP="00352341">
            <w:pPr>
              <w:pStyle w:val="TableFigText"/>
              <w:jc w:val="right"/>
              <w:rPr>
                <w:rFonts w:eastAsia="Calibri" w:cs="Arial"/>
                <w:iCs/>
              </w:rPr>
            </w:pPr>
            <w:r w:rsidRPr="00AF60C8">
              <w:rPr>
                <w:rFonts w:eastAsia="Calibri" w:cs="Arial"/>
                <w:iCs/>
              </w:rPr>
              <w:t>5113</w:t>
            </w:r>
          </w:p>
        </w:tc>
        <w:tc>
          <w:tcPr>
            <w:tcW w:w="658" w:type="pct"/>
            <w:shd w:val="clear" w:color="000000" w:fill="FFFFFF"/>
          </w:tcPr>
          <w:p w:rsidR="00AF60C8" w:rsidRPr="00AF60C8" w:rsidRDefault="00AF60C8" w:rsidP="00135409">
            <w:pPr>
              <w:pStyle w:val="TableFigText"/>
              <w:jc w:val="right"/>
              <w:rPr>
                <w:rFonts w:eastAsia="Calibri" w:cs="Arial"/>
                <w:iCs/>
              </w:rPr>
            </w:pPr>
            <w:r w:rsidRPr="00AF60C8">
              <w:rPr>
                <w:rFonts w:eastAsia="Calibri" w:cs="Arial"/>
                <w:iCs/>
              </w:rPr>
              <w:t>246.1</w:t>
            </w:r>
          </w:p>
        </w:tc>
      </w:tr>
      <w:tr w:rsidR="00AF60C8" w:rsidRPr="00821556" w:rsidTr="00AF60C8">
        <w:trPr>
          <w:trHeight w:val="288"/>
        </w:trPr>
        <w:tc>
          <w:tcPr>
            <w:tcW w:w="1049" w:type="pct"/>
            <w:shd w:val="clear" w:color="000000" w:fill="FFFFFF"/>
            <w:noWrap/>
          </w:tcPr>
          <w:p w:rsidR="00AF60C8" w:rsidRPr="00BA24F4" w:rsidRDefault="00AF60C8" w:rsidP="00135409">
            <w:pPr>
              <w:pStyle w:val="TableFigText"/>
              <w:rPr>
                <w:rFonts w:eastAsia="Calibri" w:cs="Arial"/>
                <w:iCs/>
              </w:rPr>
            </w:pPr>
            <w:r>
              <w:rPr>
                <w:rFonts w:eastAsia="Calibri" w:cs="Arial"/>
                <w:iCs/>
              </w:rPr>
              <w:t>All children</w:t>
            </w:r>
            <w:r w:rsidRPr="001352B2">
              <w:rPr>
                <w:rFonts w:eastAsia="Calibri" w:cs="Arial"/>
                <w:iCs/>
                <w:vertAlign w:val="superscript"/>
              </w:rPr>
              <w:t xml:space="preserve"> (a)</w:t>
            </w:r>
          </w:p>
        </w:tc>
        <w:tc>
          <w:tcPr>
            <w:tcW w:w="659" w:type="pct"/>
            <w:shd w:val="clear" w:color="000000" w:fill="FFFFFF"/>
          </w:tcPr>
          <w:p w:rsidR="00AF60C8" w:rsidRPr="00821556" w:rsidRDefault="00AF60C8" w:rsidP="00135409">
            <w:pPr>
              <w:pStyle w:val="TableFigText"/>
              <w:jc w:val="right"/>
              <w:rPr>
                <w:rFonts w:eastAsia="Calibri" w:cs="Arial"/>
                <w:i/>
                <w:iCs/>
              </w:rPr>
            </w:pPr>
          </w:p>
        </w:tc>
        <w:tc>
          <w:tcPr>
            <w:tcW w:w="659" w:type="pct"/>
            <w:shd w:val="clear" w:color="000000" w:fill="FFFFFF"/>
          </w:tcPr>
          <w:p w:rsidR="00AF60C8" w:rsidRPr="00821556" w:rsidRDefault="00AF60C8" w:rsidP="00135409">
            <w:pPr>
              <w:pStyle w:val="TableFigText"/>
              <w:jc w:val="right"/>
              <w:rPr>
                <w:rFonts w:eastAsia="Calibri" w:cs="Arial"/>
                <w:i/>
                <w:iCs/>
              </w:rPr>
            </w:pPr>
          </w:p>
        </w:tc>
        <w:tc>
          <w:tcPr>
            <w:tcW w:w="658" w:type="pct"/>
            <w:shd w:val="clear" w:color="000000" w:fill="FFFFFF"/>
          </w:tcPr>
          <w:p w:rsidR="00AF60C8" w:rsidRPr="00821556" w:rsidRDefault="00AF60C8" w:rsidP="00135409">
            <w:pPr>
              <w:pStyle w:val="TableFigText"/>
              <w:jc w:val="right"/>
              <w:rPr>
                <w:rFonts w:eastAsia="Calibri" w:cs="Arial"/>
                <w:i/>
                <w:iCs/>
              </w:rPr>
            </w:pPr>
          </w:p>
        </w:tc>
        <w:tc>
          <w:tcPr>
            <w:tcW w:w="659" w:type="pct"/>
            <w:shd w:val="clear" w:color="000000" w:fill="FFFFFF"/>
          </w:tcPr>
          <w:p w:rsidR="00AF60C8" w:rsidRPr="00821556" w:rsidRDefault="00AF60C8" w:rsidP="00135409">
            <w:pPr>
              <w:pStyle w:val="TableFigText"/>
              <w:jc w:val="right"/>
              <w:rPr>
                <w:rFonts w:eastAsia="Calibri" w:cs="Arial"/>
                <w:i/>
                <w:iCs/>
              </w:rPr>
            </w:pPr>
          </w:p>
        </w:tc>
        <w:tc>
          <w:tcPr>
            <w:tcW w:w="658" w:type="pct"/>
            <w:shd w:val="clear" w:color="000000" w:fill="FFFFFF"/>
          </w:tcPr>
          <w:p w:rsidR="00AF60C8" w:rsidRPr="00821556" w:rsidRDefault="00AF60C8" w:rsidP="00135409">
            <w:pPr>
              <w:pStyle w:val="TableFigText"/>
              <w:jc w:val="right"/>
              <w:rPr>
                <w:rFonts w:eastAsia="Calibri" w:cs="Arial"/>
                <w:i/>
                <w:iCs/>
              </w:rPr>
            </w:pPr>
          </w:p>
        </w:tc>
        <w:tc>
          <w:tcPr>
            <w:tcW w:w="658" w:type="pct"/>
            <w:shd w:val="clear" w:color="000000" w:fill="FFFFFF"/>
          </w:tcPr>
          <w:p w:rsidR="00AF60C8" w:rsidRPr="00821556" w:rsidRDefault="00AF60C8" w:rsidP="00135409">
            <w:pPr>
              <w:pStyle w:val="TableFigText"/>
              <w:jc w:val="right"/>
              <w:rPr>
                <w:rFonts w:eastAsia="Calibri" w:cs="Arial"/>
                <w:i/>
                <w:iCs/>
              </w:rPr>
            </w:pPr>
          </w:p>
        </w:tc>
      </w:tr>
      <w:tr w:rsidR="00AF60C8" w:rsidRPr="00821556" w:rsidTr="00AF60C8">
        <w:trPr>
          <w:trHeight w:val="300"/>
        </w:trPr>
        <w:tc>
          <w:tcPr>
            <w:tcW w:w="1049" w:type="pct"/>
            <w:shd w:val="clear" w:color="000000" w:fill="FFFFFF"/>
            <w:noWrap/>
            <w:hideMark/>
          </w:tcPr>
          <w:p w:rsidR="00AF60C8" w:rsidRPr="00BA24F4" w:rsidRDefault="00AF60C8" w:rsidP="00135409">
            <w:pPr>
              <w:pStyle w:val="TableFigHeadingtotal"/>
              <w:ind w:firstLine="176"/>
              <w:rPr>
                <w:rFonts w:eastAsia="Calibri" w:cs="Arial"/>
                <w:b w:val="0"/>
              </w:rPr>
            </w:pPr>
            <w:r w:rsidRPr="00BA24F4">
              <w:rPr>
                <w:rFonts w:eastAsia="Calibri" w:cs="Arial"/>
                <w:b w:val="0"/>
              </w:rPr>
              <w:t>0–9 years</w:t>
            </w:r>
          </w:p>
        </w:tc>
        <w:tc>
          <w:tcPr>
            <w:tcW w:w="659" w:type="pct"/>
            <w:shd w:val="clear" w:color="000000" w:fill="FFFFFF"/>
          </w:tcPr>
          <w:p w:rsidR="00AF60C8" w:rsidRPr="00BA24F4" w:rsidRDefault="00AF60C8" w:rsidP="00352341">
            <w:pPr>
              <w:pStyle w:val="TableFigHeadingtotal"/>
              <w:jc w:val="right"/>
              <w:rPr>
                <w:rFonts w:eastAsia="Calibri" w:cs="Arial"/>
                <w:b w:val="0"/>
              </w:rPr>
            </w:pPr>
            <w:r>
              <w:rPr>
                <w:b w:val="0"/>
              </w:rPr>
              <w:t>2</w:t>
            </w:r>
            <w:r w:rsidRPr="00BA24F4">
              <w:rPr>
                <w:b w:val="0"/>
              </w:rPr>
              <w:t>660</w:t>
            </w:r>
          </w:p>
        </w:tc>
        <w:tc>
          <w:tcPr>
            <w:tcW w:w="659" w:type="pct"/>
            <w:shd w:val="clear" w:color="000000" w:fill="FFFFFF"/>
            <w:vAlign w:val="bottom"/>
          </w:tcPr>
          <w:p w:rsidR="00AF60C8" w:rsidRPr="002632F4" w:rsidRDefault="00AF60C8" w:rsidP="00135409">
            <w:pPr>
              <w:pStyle w:val="TableFigHeadingtotal"/>
              <w:jc w:val="right"/>
              <w:rPr>
                <w:rFonts w:eastAsia="Calibri" w:cs="Arial"/>
                <w:b w:val="0"/>
              </w:rPr>
            </w:pPr>
            <w:r w:rsidRPr="002632F4">
              <w:rPr>
                <w:rFonts w:cs="Arial"/>
                <w:b w:val="0"/>
                <w:szCs w:val="16"/>
              </w:rPr>
              <w:t>94.5</w:t>
            </w:r>
          </w:p>
        </w:tc>
        <w:tc>
          <w:tcPr>
            <w:tcW w:w="658" w:type="pct"/>
            <w:shd w:val="clear" w:color="000000" w:fill="FFFFFF"/>
          </w:tcPr>
          <w:p w:rsidR="00AF60C8" w:rsidRPr="002632F4" w:rsidRDefault="00AF60C8" w:rsidP="00352341">
            <w:pPr>
              <w:pStyle w:val="TableFigHeadingtotal"/>
              <w:jc w:val="right"/>
              <w:rPr>
                <w:rFonts w:eastAsia="Calibri" w:cs="Arial"/>
                <w:b w:val="0"/>
              </w:rPr>
            </w:pPr>
            <w:r>
              <w:rPr>
                <w:b w:val="0"/>
              </w:rPr>
              <w:t>2</w:t>
            </w:r>
            <w:r w:rsidRPr="002632F4">
              <w:rPr>
                <w:b w:val="0"/>
              </w:rPr>
              <w:t>599</w:t>
            </w:r>
          </w:p>
        </w:tc>
        <w:tc>
          <w:tcPr>
            <w:tcW w:w="659" w:type="pct"/>
            <w:shd w:val="clear" w:color="000000" w:fill="FFFFFF"/>
            <w:vAlign w:val="bottom"/>
          </w:tcPr>
          <w:p w:rsidR="00AF60C8" w:rsidRPr="002632F4" w:rsidRDefault="00AF60C8" w:rsidP="00135409">
            <w:pPr>
              <w:pStyle w:val="TableFigHeadingtotal"/>
              <w:jc w:val="right"/>
              <w:rPr>
                <w:rFonts w:eastAsia="Calibri" w:cs="Arial"/>
                <w:b w:val="0"/>
              </w:rPr>
            </w:pPr>
            <w:r w:rsidRPr="002632F4">
              <w:rPr>
                <w:rFonts w:cs="Arial"/>
                <w:b w:val="0"/>
                <w:szCs w:val="16"/>
              </w:rPr>
              <w:t>91.0</w:t>
            </w:r>
          </w:p>
        </w:tc>
        <w:tc>
          <w:tcPr>
            <w:tcW w:w="658" w:type="pct"/>
            <w:shd w:val="clear" w:color="000000" w:fill="FFFFFF"/>
          </w:tcPr>
          <w:p w:rsidR="00AF60C8" w:rsidRPr="002632F4" w:rsidRDefault="00AF60C8" w:rsidP="00352341">
            <w:pPr>
              <w:pStyle w:val="TableFigHeadingtotal"/>
              <w:jc w:val="right"/>
              <w:rPr>
                <w:rFonts w:eastAsia="Calibri" w:cs="Arial"/>
                <w:b w:val="0"/>
              </w:rPr>
            </w:pPr>
            <w:r>
              <w:rPr>
                <w:b w:val="0"/>
              </w:rPr>
              <w:t>2</w:t>
            </w:r>
            <w:r w:rsidRPr="002632F4">
              <w:rPr>
                <w:b w:val="0"/>
              </w:rPr>
              <w:t>512</w:t>
            </w:r>
          </w:p>
        </w:tc>
        <w:tc>
          <w:tcPr>
            <w:tcW w:w="658" w:type="pct"/>
            <w:shd w:val="clear" w:color="000000" w:fill="FFFFFF"/>
            <w:vAlign w:val="bottom"/>
          </w:tcPr>
          <w:p w:rsidR="00AF60C8" w:rsidRPr="002632F4" w:rsidRDefault="00AF60C8" w:rsidP="00135409">
            <w:pPr>
              <w:pStyle w:val="TableFigHeadingtotal"/>
              <w:jc w:val="right"/>
              <w:rPr>
                <w:rFonts w:eastAsia="Calibri" w:cs="Arial"/>
                <w:b w:val="0"/>
              </w:rPr>
            </w:pPr>
            <w:r w:rsidRPr="002632F4">
              <w:rPr>
                <w:rFonts w:cs="Arial"/>
                <w:b w:val="0"/>
                <w:szCs w:val="16"/>
              </w:rPr>
              <w:t>87.1</w:t>
            </w:r>
          </w:p>
        </w:tc>
      </w:tr>
      <w:tr w:rsidR="00AF60C8" w:rsidRPr="00821556" w:rsidTr="00AF60C8">
        <w:trPr>
          <w:trHeight w:val="300"/>
        </w:trPr>
        <w:tc>
          <w:tcPr>
            <w:tcW w:w="1049" w:type="pct"/>
            <w:shd w:val="clear" w:color="000000" w:fill="FFFFFF"/>
            <w:noWrap/>
          </w:tcPr>
          <w:p w:rsidR="00AF60C8" w:rsidRPr="00BA24F4" w:rsidRDefault="00AF60C8" w:rsidP="00135409">
            <w:pPr>
              <w:pStyle w:val="TableFigHeadingtotal"/>
              <w:ind w:firstLine="176"/>
              <w:rPr>
                <w:rFonts w:eastAsia="Calibri" w:cs="Arial"/>
                <w:b w:val="0"/>
              </w:rPr>
            </w:pPr>
            <w:r w:rsidRPr="00BA24F4">
              <w:rPr>
                <w:rFonts w:eastAsia="Calibri" w:cs="Arial"/>
                <w:b w:val="0"/>
              </w:rPr>
              <w:t>10–14 years</w:t>
            </w:r>
          </w:p>
        </w:tc>
        <w:tc>
          <w:tcPr>
            <w:tcW w:w="659" w:type="pct"/>
            <w:shd w:val="clear" w:color="000000" w:fill="FFFFFF"/>
          </w:tcPr>
          <w:p w:rsidR="00AF60C8" w:rsidRPr="00BA24F4" w:rsidRDefault="00AF60C8" w:rsidP="00352341">
            <w:pPr>
              <w:pStyle w:val="TableFigHeadingtotal"/>
              <w:jc w:val="right"/>
              <w:rPr>
                <w:rFonts w:eastAsia="Calibri" w:cs="Arial"/>
                <w:b w:val="0"/>
              </w:rPr>
            </w:pPr>
            <w:r>
              <w:rPr>
                <w:b w:val="0"/>
              </w:rPr>
              <w:t>4</w:t>
            </w:r>
            <w:r w:rsidRPr="00BA24F4">
              <w:rPr>
                <w:b w:val="0"/>
              </w:rPr>
              <w:t>514</w:t>
            </w:r>
          </w:p>
        </w:tc>
        <w:tc>
          <w:tcPr>
            <w:tcW w:w="659" w:type="pct"/>
            <w:shd w:val="clear" w:color="000000" w:fill="FFFFFF"/>
            <w:vAlign w:val="bottom"/>
          </w:tcPr>
          <w:p w:rsidR="00AF60C8" w:rsidRPr="002632F4" w:rsidRDefault="00AF60C8" w:rsidP="00135409">
            <w:pPr>
              <w:pStyle w:val="TableFigHeadingtotal"/>
              <w:jc w:val="right"/>
              <w:rPr>
                <w:rFonts w:eastAsia="Calibri" w:cs="Arial"/>
                <w:b w:val="0"/>
              </w:rPr>
            </w:pPr>
            <w:r w:rsidRPr="002632F4">
              <w:rPr>
                <w:rFonts w:cs="Arial"/>
                <w:b w:val="0"/>
                <w:szCs w:val="16"/>
              </w:rPr>
              <w:t>321.6</w:t>
            </w:r>
          </w:p>
        </w:tc>
        <w:tc>
          <w:tcPr>
            <w:tcW w:w="658" w:type="pct"/>
            <w:shd w:val="clear" w:color="000000" w:fill="FFFFFF"/>
          </w:tcPr>
          <w:p w:rsidR="00AF60C8" w:rsidRPr="002632F4" w:rsidRDefault="00AF60C8" w:rsidP="00352341">
            <w:pPr>
              <w:pStyle w:val="TableFigHeadingtotal"/>
              <w:jc w:val="right"/>
              <w:rPr>
                <w:rFonts w:eastAsia="Calibri" w:cs="Arial"/>
                <w:b w:val="0"/>
              </w:rPr>
            </w:pPr>
            <w:r>
              <w:rPr>
                <w:b w:val="0"/>
              </w:rPr>
              <w:t>4</w:t>
            </w:r>
            <w:r w:rsidRPr="002632F4">
              <w:rPr>
                <w:b w:val="0"/>
              </w:rPr>
              <w:t>159</w:t>
            </w:r>
          </w:p>
        </w:tc>
        <w:tc>
          <w:tcPr>
            <w:tcW w:w="659" w:type="pct"/>
            <w:shd w:val="clear" w:color="000000" w:fill="FFFFFF"/>
            <w:vAlign w:val="bottom"/>
          </w:tcPr>
          <w:p w:rsidR="00AF60C8" w:rsidRPr="002632F4" w:rsidRDefault="00AF60C8" w:rsidP="00135409">
            <w:pPr>
              <w:pStyle w:val="TableFigHeadingtotal"/>
              <w:jc w:val="right"/>
              <w:rPr>
                <w:rFonts w:eastAsia="Calibri" w:cs="Arial"/>
                <w:b w:val="0"/>
              </w:rPr>
            </w:pPr>
            <w:r w:rsidRPr="002632F4">
              <w:rPr>
                <w:rFonts w:cs="Arial"/>
                <w:b w:val="0"/>
                <w:szCs w:val="16"/>
              </w:rPr>
              <w:t>296.0</w:t>
            </w:r>
          </w:p>
        </w:tc>
        <w:tc>
          <w:tcPr>
            <w:tcW w:w="658" w:type="pct"/>
            <w:shd w:val="clear" w:color="000000" w:fill="FFFFFF"/>
          </w:tcPr>
          <w:p w:rsidR="00AF60C8" w:rsidRPr="002632F4" w:rsidRDefault="00AF60C8" w:rsidP="00352341">
            <w:pPr>
              <w:pStyle w:val="TableFigHeadingtotal"/>
              <w:jc w:val="right"/>
              <w:rPr>
                <w:rFonts w:eastAsia="Calibri" w:cs="Arial"/>
                <w:b w:val="0"/>
              </w:rPr>
            </w:pPr>
            <w:r>
              <w:rPr>
                <w:b w:val="0"/>
              </w:rPr>
              <w:t>4</w:t>
            </w:r>
            <w:r w:rsidRPr="002632F4">
              <w:rPr>
                <w:b w:val="0"/>
              </w:rPr>
              <w:t>204</w:t>
            </w:r>
          </w:p>
        </w:tc>
        <w:tc>
          <w:tcPr>
            <w:tcW w:w="658" w:type="pct"/>
            <w:shd w:val="clear" w:color="000000" w:fill="FFFFFF"/>
            <w:vAlign w:val="bottom"/>
          </w:tcPr>
          <w:p w:rsidR="00AF60C8" w:rsidRPr="002632F4" w:rsidRDefault="00AF60C8" w:rsidP="00135409">
            <w:pPr>
              <w:pStyle w:val="TableFigHeadingtotal"/>
              <w:jc w:val="right"/>
              <w:rPr>
                <w:rFonts w:eastAsia="Calibri" w:cs="Arial"/>
                <w:b w:val="0"/>
              </w:rPr>
            </w:pPr>
            <w:r w:rsidRPr="002632F4">
              <w:rPr>
                <w:rFonts w:cs="Arial"/>
                <w:b w:val="0"/>
                <w:szCs w:val="16"/>
              </w:rPr>
              <w:t>304.1</w:t>
            </w:r>
          </w:p>
        </w:tc>
      </w:tr>
      <w:tr w:rsidR="00AF60C8" w:rsidRPr="00821556" w:rsidTr="00AF60C8">
        <w:trPr>
          <w:trHeight w:val="300"/>
        </w:trPr>
        <w:tc>
          <w:tcPr>
            <w:tcW w:w="1049" w:type="pct"/>
            <w:tcBorders>
              <w:bottom w:val="single" w:sz="4" w:space="0" w:color="auto"/>
            </w:tcBorders>
            <w:shd w:val="clear" w:color="000000" w:fill="FFFFFF"/>
            <w:noWrap/>
          </w:tcPr>
          <w:p w:rsidR="00AF60C8" w:rsidRPr="007C6A9D" w:rsidRDefault="00AF60C8" w:rsidP="00135409">
            <w:pPr>
              <w:pStyle w:val="TableFigHeadingtotal"/>
              <w:ind w:firstLine="176"/>
              <w:rPr>
                <w:rFonts w:eastAsia="Calibri" w:cs="Arial"/>
              </w:rPr>
            </w:pPr>
            <w:r w:rsidRPr="007C6A9D">
              <w:rPr>
                <w:rFonts w:eastAsia="Calibri" w:cs="Arial"/>
                <w:iCs/>
              </w:rPr>
              <w:t xml:space="preserve">Total </w:t>
            </w:r>
            <w:r w:rsidRPr="007C6A9D">
              <w:rPr>
                <w:rFonts w:eastAsia="Calibri" w:cs="Arial"/>
              </w:rPr>
              <w:t>0–14 years</w:t>
            </w:r>
          </w:p>
        </w:tc>
        <w:tc>
          <w:tcPr>
            <w:tcW w:w="659" w:type="pct"/>
            <w:tcBorders>
              <w:bottom w:val="single" w:sz="4" w:space="0" w:color="auto"/>
            </w:tcBorders>
            <w:shd w:val="clear" w:color="000000" w:fill="FFFFFF"/>
          </w:tcPr>
          <w:p w:rsidR="00AF60C8" w:rsidRPr="007C6A9D" w:rsidRDefault="00AF60C8" w:rsidP="00352341">
            <w:pPr>
              <w:pStyle w:val="TableFigHeadingtotal"/>
              <w:jc w:val="right"/>
              <w:rPr>
                <w:rFonts w:eastAsia="Calibri" w:cs="Arial"/>
              </w:rPr>
            </w:pPr>
            <w:r>
              <w:t>7</w:t>
            </w:r>
            <w:r w:rsidRPr="007C6A9D">
              <w:t>174</w:t>
            </w:r>
          </w:p>
        </w:tc>
        <w:tc>
          <w:tcPr>
            <w:tcW w:w="659" w:type="pct"/>
            <w:tcBorders>
              <w:bottom w:val="single" w:sz="4" w:space="0" w:color="auto"/>
            </w:tcBorders>
            <w:shd w:val="clear" w:color="000000" w:fill="FFFFFF"/>
          </w:tcPr>
          <w:p w:rsidR="00AF60C8" w:rsidRPr="007C6A9D" w:rsidRDefault="00AF60C8" w:rsidP="00135409">
            <w:pPr>
              <w:pStyle w:val="TableFigHeadingtotal"/>
              <w:jc w:val="right"/>
              <w:rPr>
                <w:rFonts w:eastAsia="Calibri" w:cs="Arial"/>
              </w:rPr>
            </w:pPr>
            <w:r w:rsidRPr="00182FF9">
              <w:rPr>
                <w:rFonts w:eastAsia="Calibri" w:cs="Arial"/>
              </w:rPr>
              <w:t>170.1</w:t>
            </w:r>
          </w:p>
        </w:tc>
        <w:tc>
          <w:tcPr>
            <w:tcW w:w="658" w:type="pct"/>
            <w:tcBorders>
              <w:bottom w:val="single" w:sz="4" w:space="0" w:color="auto"/>
            </w:tcBorders>
            <w:shd w:val="clear" w:color="000000" w:fill="FFFFFF"/>
          </w:tcPr>
          <w:p w:rsidR="00AF60C8" w:rsidRPr="007C6A9D" w:rsidRDefault="00AF60C8" w:rsidP="00352341">
            <w:pPr>
              <w:pStyle w:val="TableFigHeadingtotal"/>
              <w:jc w:val="right"/>
              <w:rPr>
                <w:rFonts w:eastAsia="Calibri" w:cs="Arial"/>
              </w:rPr>
            </w:pPr>
            <w:r w:rsidRPr="007C6A9D">
              <w:t>6758</w:t>
            </w:r>
          </w:p>
        </w:tc>
        <w:tc>
          <w:tcPr>
            <w:tcW w:w="659" w:type="pct"/>
            <w:tcBorders>
              <w:bottom w:val="single" w:sz="4" w:space="0" w:color="auto"/>
            </w:tcBorders>
            <w:shd w:val="clear" w:color="000000" w:fill="FFFFFF"/>
          </w:tcPr>
          <w:p w:rsidR="00AF60C8" w:rsidRPr="007C6A9D" w:rsidRDefault="00AF60C8" w:rsidP="00135409">
            <w:pPr>
              <w:pStyle w:val="TableFigHeadingtotal"/>
              <w:jc w:val="right"/>
              <w:rPr>
                <w:rFonts w:eastAsia="Calibri" w:cs="Arial"/>
              </w:rPr>
            </w:pPr>
            <w:r w:rsidRPr="00182FF9">
              <w:rPr>
                <w:rFonts w:eastAsia="Calibri" w:cs="Arial"/>
              </w:rPr>
              <w:t>158.6</w:t>
            </w:r>
          </w:p>
        </w:tc>
        <w:tc>
          <w:tcPr>
            <w:tcW w:w="658" w:type="pct"/>
            <w:tcBorders>
              <w:bottom w:val="single" w:sz="4" w:space="0" w:color="auto"/>
            </w:tcBorders>
            <w:shd w:val="clear" w:color="000000" w:fill="FFFFFF"/>
          </w:tcPr>
          <w:p w:rsidR="00AF60C8" w:rsidRPr="007C6A9D" w:rsidRDefault="00AF60C8" w:rsidP="00352341">
            <w:pPr>
              <w:pStyle w:val="TableFigHeadingtotal"/>
              <w:jc w:val="right"/>
              <w:rPr>
                <w:rFonts w:eastAsia="Calibri" w:cs="Arial"/>
              </w:rPr>
            </w:pPr>
            <w:r>
              <w:t>6</w:t>
            </w:r>
            <w:r w:rsidRPr="007C6A9D">
              <w:t>716</w:t>
            </w:r>
          </w:p>
        </w:tc>
        <w:tc>
          <w:tcPr>
            <w:tcW w:w="658" w:type="pct"/>
            <w:tcBorders>
              <w:bottom w:val="single" w:sz="4" w:space="0" w:color="auto"/>
            </w:tcBorders>
            <w:shd w:val="clear" w:color="000000" w:fill="FFFFFF"/>
          </w:tcPr>
          <w:p w:rsidR="00AF60C8" w:rsidRPr="007C6A9D" w:rsidRDefault="00AF60C8" w:rsidP="00135409">
            <w:pPr>
              <w:pStyle w:val="TableFigHeadingtotal"/>
              <w:jc w:val="right"/>
              <w:rPr>
                <w:rFonts w:eastAsia="Calibri" w:cs="Arial"/>
              </w:rPr>
            </w:pPr>
            <w:r w:rsidRPr="00182FF9">
              <w:rPr>
                <w:rFonts w:eastAsia="Calibri" w:cs="Arial"/>
              </w:rPr>
              <w:t>157.4</w:t>
            </w:r>
          </w:p>
        </w:tc>
      </w:tr>
    </w:tbl>
    <w:p w:rsidR="00D0122C" w:rsidRDefault="00D0122C" w:rsidP="00D0122C">
      <w:pPr>
        <w:rPr>
          <w:rFonts w:ascii="Arial" w:hAnsi="Arial" w:cs="Arial"/>
          <w:sz w:val="14"/>
          <w:lang w:eastAsia="en-US"/>
        </w:rPr>
      </w:pPr>
    </w:p>
    <w:p w:rsidR="00CD446B" w:rsidRPr="005812D2" w:rsidRDefault="00CD446B" w:rsidP="00AF29C6">
      <w:pPr>
        <w:pStyle w:val="StyleArial7ptLeft0cmHanging05cmBefore6pt"/>
        <w:ind w:left="284" w:hanging="284"/>
      </w:pPr>
      <w:r w:rsidRPr="005812D2">
        <w:t xml:space="preserve">(a) </w:t>
      </w:r>
      <w:r w:rsidRPr="005812D2">
        <w:tab/>
        <w:t xml:space="preserve">‘All children’ includes victims whose sex was not specified. </w:t>
      </w:r>
      <w:proofErr w:type="gramStart"/>
      <w:r w:rsidRPr="005812D2">
        <w:t>As such, the sum of</w:t>
      </w:r>
      <w:r w:rsidR="00A43557" w:rsidRPr="005812D2">
        <w:t xml:space="preserve"> </w:t>
      </w:r>
      <w:r w:rsidRPr="005812D2">
        <w:t>‘Boys’ and ‘Girls’ may not equal ‘All children’.</w:t>
      </w:r>
      <w:proofErr w:type="gramEnd"/>
      <w:r w:rsidR="00A43557" w:rsidRPr="005812D2">
        <w:t xml:space="preserve"> </w:t>
      </w:r>
    </w:p>
    <w:p w:rsidR="00D0122C" w:rsidRPr="005812D2" w:rsidRDefault="00D0122C" w:rsidP="00AF29C6">
      <w:pPr>
        <w:pStyle w:val="StyleArial7ptLeft0cmHanging05cmBefore6pt"/>
        <w:ind w:left="284" w:hanging="284"/>
      </w:pPr>
      <w:r w:rsidRPr="005812D2">
        <w:t>Notes</w:t>
      </w:r>
      <w:r w:rsidRPr="005812D2">
        <w:tab/>
      </w:r>
    </w:p>
    <w:p w:rsidR="00D0122C" w:rsidRPr="005812D2" w:rsidRDefault="00D0122C" w:rsidP="00AF29C6">
      <w:pPr>
        <w:pStyle w:val="StyleArial7ptLeft0cmHanging05cmBefore6pt"/>
        <w:ind w:left="284" w:hanging="284"/>
      </w:pPr>
      <w:r w:rsidRPr="005812D2">
        <w:t xml:space="preserve">1. </w:t>
      </w:r>
      <w:r w:rsidRPr="005812D2">
        <w:tab/>
        <w:t>These data capture sexual assault offences that have been recorded by police. These offences may have been reported by a victim, witness or other person, or they may have been detected by police. The statistics do not provide a total picture of victims, as not all crimes are reported to police, nor do all incidents which are reported to police get recorded as a crime. Victims may be double-counted where multiple offences have occurred.</w:t>
      </w:r>
    </w:p>
    <w:p w:rsidR="00D0122C" w:rsidRPr="005812D2" w:rsidRDefault="00D0122C" w:rsidP="00AF29C6">
      <w:pPr>
        <w:pStyle w:val="StyleArial7ptLeft0cmHanging05cmBefore6pt"/>
        <w:ind w:left="284" w:hanging="284"/>
      </w:pPr>
      <w:r w:rsidRPr="005812D2">
        <w:t xml:space="preserve">2. </w:t>
      </w:r>
      <w:r w:rsidRPr="005812D2">
        <w:tab/>
        <w:t xml:space="preserve">The age information collected about a victim relates to the age of the victim at the time </w:t>
      </w:r>
      <w:r w:rsidR="00D400A7" w:rsidRPr="005812D2">
        <w:t>he or she becomes</w:t>
      </w:r>
      <w:r w:rsidRPr="005812D2">
        <w:t xml:space="preserve"> known to police rather than the age that the person became a victim. For example, if a victim was sexually assaulted at age 14 years but did not report the offence until </w:t>
      </w:r>
      <w:r w:rsidR="003C7B98" w:rsidRPr="005812D2">
        <w:t>she or he was</w:t>
      </w:r>
      <w:r w:rsidRPr="005812D2">
        <w:t xml:space="preserve"> 18 years old, </w:t>
      </w:r>
      <w:r w:rsidR="003C7B98" w:rsidRPr="005812D2">
        <w:t>the</w:t>
      </w:r>
      <w:r w:rsidRPr="005812D2">
        <w:t xml:space="preserve"> </w:t>
      </w:r>
      <w:r w:rsidR="003C7B98" w:rsidRPr="005812D2">
        <w:t xml:space="preserve">victim’s </w:t>
      </w:r>
      <w:r w:rsidRPr="005812D2">
        <w:t>age would be recorded as 18 years. Therefore, it is not possible to derive an accurate count of victims at the age when they were victimised.</w:t>
      </w:r>
      <w:r w:rsidR="007764A2" w:rsidRPr="005812D2">
        <w:t xml:space="preserve"> </w:t>
      </w:r>
    </w:p>
    <w:p w:rsidR="00D0122C" w:rsidRPr="005812D2" w:rsidRDefault="00D0122C" w:rsidP="00AF29C6">
      <w:pPr>
        <w:pStyle w:val="StyleArial7ptLeft0cmHanging05cmBefore6pt"/>
        <w:ind w:left="284" w:hanging="284"/>
      </w:pPr>
      <w:r w:rsidRPr="005812D2">
        <w:t xml:space="preserve">3. </w:t>
      </w:r>
      <w:r w:rsidRPr="005812D2">
        <w:tab/>
        <w:t>ABS advises caution in interpreting police statistics</w:t>
      </w:r>
      <w:r w:rsidR="00D400A7" w:rsidRPr="005812D2">
        <w:t>,</w:t>
      </w:r>
      <w:r w:rsidRPr="005812D2">
        <w:t xml:space="preserve"> as fluctuations in recorded crime may be a reflection of changes in community attitudes in reporting crime, changes in police procedures or changes in crime reporting systems, rather than a change in the incidence of criminal behaviour.</w:t>
      </w:r>
      <w:r w:rsidRPr="005812D2">
        <w:tab/>
      </w:r>
    </w:p>
    <w:p w:rsidR="00F13829" w:rsidRPr="00821556" w:rsidRDefault="00D0122C" w:rsidP="00A46AFE">
      <w:pPr>
        <w:spacing w:before="120"/>
        <w:rPr>
          <w:rFonts w:ascii="Arial" w:hAnsi="Arial" w:cs="Arial"/>
          <w:sz w:val="18"/>
          <w:szCs w:val="18"/>
        </w:rPr>
      </w:pPr>
      <w:r>
        <w:rPr>
          <w:rFonts w:ascii="Arial" w:hAnsi="Arial" w:cs="Arial"/>
          <w:sz w:val="14"/>
          <w:lang w:eastAsia="en-US"/>
        </w:rPr>
        <w:t>Source: AIHW analysis of ABS 2013</w:t>
      </w:r>
      <w:r w:rsidR="00352341">
        <w:rPr>
          <w:rFonts w:ascii="Arial" w:hAnsi="Arial" w:cs="Arial"/>
          <w:sz w:val="14"/>
          <w:lang w:eastAsia="en-US"/>
        </w:rPr>
        <w:t>b</w:t>
      </w:r>
      <w:r>
        <w:rPr>
          <w:rFonts w:ascii="Arial" w:hAnsi="Arial" w:cs="Arial"/>
          <w:sz w:val="14"/>
          <w:lang w:eastAsia="en-US"/>
        </w:rPr>
        <w:t>.</w:t>
      </w:r>
    </w:p>
    <w:p w:rsidR="00A46AFE" w:rsidRDefault="00A46AFE" w:rsidP="00F84962">
      <w:pPr>
        <w:sectPr w:rsidR="00A46AFE" w:rsidSect="006E144E">
          <w:headerReference w:type="even" r:id="rId31"/>
          <w:headerReference w:type="default" r:id="rId32"/>
          <w:footerReference w:type="default" r:id="rId33"/>
          <w:headerReference w:type="first" r:id="rId34"/>
          <w:pgSz w:w="11905" w:h="16837" w:code="9"/>
          <w:pgMar w:top="720" w:right="720" w:bottom="720" w:left="720" w:header="567" w:footer="397" w:gutter="0"/>
          <w:pgNumType w:start="1"/>
          <w:cols w:space="720"/>
          <w:noEndnote/>
          <w:docGrid w:linePitch="272"/>
        </w:sectPr>
      </w:pPr>
    </w:p>
    <w:p w:rsidR="00F046DD" w:rsidRDefault="00F046DD" w:rsidP="00682912">
      <w:pPr>
        <w:pStyle w:val="Heading1"/>
        <w:rPr>
          <w:rFonts w:cs="Arial"/>
          <w:spacing w:val="-4"/>
          <w:w w:val="89"/>
          <w:szCs w:val="52"/>
        </w:rPr>
      </w:pPr>
      <w:bookmarkStart w:id="223" w:name="_Toc400007790"/>
      <w:bookmarkStart w:id="224" w:name="_Toc400711496"/>
      <w:r>
        <w:t>Appendix A: National Framework Section Action Plan 2012-2015</w:t>
      </w:r>
      <w:r>
        <w:noBreakHyphen/>
        <w:t>Status of National Priority Actions</w:t>
      </w:r>
      <w:bookmarkEnd w:id="223"/>
      <w:bookmarkEnd w:id="224"/>
    </w:p>
    <w:p w:rsidR="00682912" w:rsidRDefault="00682912" w:rsidP="008C4D63">
      <w:pPr>
        <w:rPr>
          <w:rFonts w:ascii="Arial" w:hAnsi="Arial" w:cs="Arial"/>
          <w:color w:val="00755E"/>
          <w:spacing w:val="-4"/>
          <w:w w:val="89"/>
          <w:sz w:val="52"/>
          <w:szCs w:val="52"/>
        </w:rPr>
      </w:pPr>
    </w:p>
    <w:p w:rsidR="00682912" w:rsidRDefault="00682912" w:rsidP="00682912">
      <w:pPr>
        <w:sectPr w:rsidR="00682912" w:rsidSect="00F92AAD">
          <w:headerReference w:type="even" r:id="rId35"/>
          <w:headerReference w:type="default" r:id="rId36"/>
          <w:headerReference w:type="first" r:id="rId37"/>
          <w:type w:val="continuous"/>
          <w:pgSz w:w="16837" w:h="11905" w:orient="landscape" w:code="9"/>
          <w:pgMar w:top="1701" w:right="1418" w:bottom="567" w:left="510" w:header="1021" w:footer="720" w:gutter="0"/>
          <w:cols w:space="720"/>
          <w:noEndnote/>
          <w:docGrid w:linePitch="272"/>
        </w:sectPr>
      </w:pPr>
    </w:p>
    <w:tbl>
      <w:tblPr>
        <w:tblStyle w:val="TableGrid"/>
        <w:tblW w:w="0" w:type="auto"/>
        <w:tblLook w:val="04A0" w:firstRow="1" w:lastRow="0" w:firstColumn="1" w:lastColumn="0" w:noHBand="0" w:noVBand="1"/>
        <w:tblDescription w:val="Appendix A: National Frameowrk Second Action Plan 2012 to 2015, status of national priority actions. "/>
      </w:tblPr>
      <w:tblGrid>
        <w:gridCol w:w="3227"/>
        <w:gridCol w:w="4819"/>
        <w:gridCol w:w="6237"/>
        <w:gridCol w:w="1418"/>
      </w:tblGrid>
      <w:tr w:rsidR="0053123E" w:rsidRPr="00F837E7" w:rsidTr="00AB5F68">
        <w:trPr>
          <w:tblHeader/>
        </w:trPr>
        <w:tc>
          <w:tcPr>
            <w:tcW w:w="3227" w:type="dxa"/>
          </w:tcPr>
          <w:p w:rsidR="0053123E" w:rsidRPr="00AB5F68" w:rsidRDefault="00AB5F68" w:rsidP="00AB5F68">
            <w:pPr>
              <w:spacing w:before="60" w:after="120"/>
              <w:rPr>
                <w:rFonts w:ascii="Arial" w:hAnsi="Arial" w:cs="Arial"/>
                <w:b/>
              </w:rPr>
            </w:pPr>
            <w:r>
              <w:rPr>
                <w:rFonts w:ascii="Arial" w:hAnsi="Arial" w:cs="Arial"/>
                <w:b/>
              </w:rPr>
              <w:t>National Priority</w:t>
            </w:r>
          </w:p>
        </w:tc>
        <w:tc>
          <w:tcPr>
            <w:tcW w:w="4819" w:type="dxa"/>
          </w:tcPr>
          <w:p w:rsidR="0053123E" w:rsidRPr="00F837E7" w:rsidRDefault="0053123E" w:rsidP="00AB5F68">
            <w:pPr>
              <w:spacing w:before="60" w:after="120"/>
              <w:rPr>
                <w:rFonts w:ascii="Arial" w:hAnsi="Arial" w:cs="Arial"/>
                <w:b/>
              </w:rPr>
            </w:pPr>
            <w:r w:rsidRPr="00F837E7">
              <w:rPr>
                <w:rFonts w:ascii="Arial" w:hAnsi="Arial" w:cs="Arial"/>
                <w:b/>
              </w:rPr>
              <w:t>Action</w:t>
            </w:r>
          </w:p>
        </w:tc>
        <w:tc>
          <w:tcPr>
            <w:tcW w:w="6237" w:type="dxa"/>
          </w:tcPr>
          <w:p w:rsidR="0053123E" w:rsidRPr="00F837E7" w:rsidRDefault="0053123E" w:rsidP="00AB5F68">
            <w:pPr>
              <w:spacing w:before="60" w:after="120"/>
              <w:rPr>
                <w:rFonts w:ascii="Arial" w:hAnsi="Arial" w:cs="Arial"/>
                <w:b/>
              </w:rPr>
            </w:pPr>
            <w:r w:rsidRPr="00F837E7">
              <w:rPr>
                <w:rFonts w:ascii="Arial" w:hAnsi="Arial" w:cs="Arial"/>
                <w:b/>
              </w:rPr>
              <w:t>Progress</w:t>
            </w:r>
          </w:p>
        </w:tc>
        <w:tc>
          <w:tcPr>
            <w:tcW w:w="1418" w:type="dxa"/>
          </w:tcPr>
          <w:p w:rsidR="0053123E" w:rsidRPr="00F837E7" w:rsidRDefault="0053123E" w:rsidP="00AB5F68">
            <w:pPr>
              <w:spacing w:before="60" w:after="120"/>
              <w:rPr>
                <w:rFonts w:ascii="Arial" w:hAnsi="Arial" w:cs="Arial"/>
                <w:b/>
              </w:rPr>
            </w:pPr>
            <w:r w:rsidRPr="00F837E7">
              <w:rPr>
                <w:rFonts w:ascii="Arial" w:hAnsi="Arial" w:cs="Arial"/>
                <w:b/>
              </w:rPr>
              <w:t>Status</w:t>
            </w:r>
          </w:p>
        </w:tc>
      </w:tr>
      <w:tr w:rsidR="0053123E" w:rsidRPr="00F837E7" w:rsidTr="00AB5F68">
        <w:tc>
          <w:tcPr>
            <w:tcW w:w="3227" w:type="dxa"/>
          </w:tcPr>
          <w:p w:rsidR="0053123E" w:rsidRPr="00AB5F68" w:rsidRDefault="0053123E" w:rsidP="00AB5F68">
            <w:pPr>
              <w:spacing w:after="120"/>
              <w:rPr>
                <w:rFonts w:ascii="Arial" w:eastAsia="Calibri" w:hAnsi="Arial" w:cs="Arial"/>
                <w:b/>
              </w:rPr>
            </w:pPr>
            <w:bookmarkStart w:id="225" w:name="_Toc400007791"/>
            <w:r w:rsidRPr="00AB5F68">
              <w:rPr>
                <w:rFonts w:ascii="Arial" w:hAnsi="Arial" w:cs="Arial"/>
                <w:b/>
              </w:rPr>
              <w:t>Advocating Nationally for Children and Young People</w:t>
            </w:r>
            <w:bookmarkEnd w:id="225"/>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Supporting the establishment of the National Children’s Commissioner and acknowledging the Commissioner’s role as an advocate for children at the national level, in addition to State and Territory government Commissioners</w:t>
            </w:r>
          </w:p>
        </w:tc>
        <w:tc>
          <w:tcPr>
            <w:tcW w:w="6237" w:type="dxa"/>
          </w:tcPr>
          <w:p w:rsidR="0053123E" w:rsidRPr="00F837E7" w:rsidRDefault="0053123E" w:rsidP="00AB5F68">
            <w:pPr>
              <w:spacing w:after="120"/>
              <w:rPr>
                <w:rFonts w:ascii="Arial" w:hAnsi="Arial" w:cs="Arial"/>
              </w:rPr>
            </w:pPr>
            <w:r w:rsidRPr="00F837E7">
              <w:rPr>
                <w:rFonts w:ascii="Arial" w:hAnsi="Arial" w:cs="Arial"/>
              </w:rPr>
              <w:t>Ms Megan Mitchell was announced as the first National Children’s Commissioner on 25 February 2013 and commenced her five year term on 25 March 2013.</w:t>
            </w:r>
          </w:p>
        </w:tc>
        <w:tc>
          <w:tcPr>
            <w:tcW w:w="1418" w:type="dxa"/>
          </w:tcPr>
          <w:p w:rsidR="0053123E" w:rsidRPr="00F837E7" w:rsidRDefault="0053123E" w:rsidP="00AB5F68">
            <w:pPr>
              <w:spacing w:after="120"/>
              <w:rPr>
                <w:rFonts w:ascii="Arial" w:hAnsi="Arial" w:cs="Arial"/>
              </w:rPr>
            </w:pPr>
            <w:r w:rsidRPr="00F837E7">
              <w:rPr>
                <w:rFonts w:ascii="Arial" w:hAnsi="Arial" w:cs="Arial"/>
              </w:rPr>
              <w:t>Completed</w:t>
            </w:r>
          </w:p>
          <w:p w:rsidR="0053123E" w:rsidRPr="00F837E7" w:rsidRDefault="0053123E" w:rsidP="00AB5F68">
            <w:pPr>
              <w:spacing w:after="120"/>
              <w:rPr>
                <w:rFonts w:ascii="Arial" w:hAnsi="Arial" w:cs="Arial"/>
              </w:rPr>
            </w:pPr>
          </w:p>
        </w:tc>
      </w:tr>
      <w:tr w:rsidR="0053123E" w:rsidRPr="00F837E7" w:rsidTr="00AB5F68">
        <w:tc>
          <w:tcPr>
            <w:tcW w:w="3227" w:type="dxa"/>
          </w:tcPr>
          <w:p w:rsidR="0053123E" w:rsidRPr="00AB5F68" w:rsidRDefault="0053123E" w:rsidP="00AB5F68">
            <w:pPr>
              <w:spacing w:after="120"/>
              <w:rPr>
                <w:rFonts w:ascii="Arial" w:eastAsia="Calibri" w:hAnsi="Arial" w:cs="Arial"/>
                <w:b/>
              </w:rPr>
            </w:pPr>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Continuing to support education initiatives to improve awareness amongst the broader community of children’s rights</w:t>
            </w:r>
          </w:p>
        </w:tc>
        <w:tc>
          <w:tcPr>
            <w:tcW w:w="6237" w:type="dxa"/>
          </w:tcPr>
          <w:p w:rsidR="0053123E" w:rsidRPr="00F837E7" w:rsidRDefault="0053123E" w:rsidP="00AB5F68">
            <w:pPr>
              <w:spacing w:after="120"/>
              <w:rPr>
                <w:rFonts w:ascii="Arial" w:hAnsi="Arial" w:cs="Arial"/>
              </w:rPr>
            </w:pPr>
            <w:r w:rsidRPr="00F837E7">
              <w:rPr>
                <w:rFonts w:ascii="Arial" w:hAnsi="Arial" w:cs="Arial"/>
              </w:rPr>
              <w:t>The National Children’s Commissioner launched the national Big Banter listening tour in June 2013, to understand what is important to children and young people across Australia and help to identify relevant priorities.</w:t>
            </w:r>
          </w:p>
        </w:tc>
        <w:tc>
          <w:tcPr>
            <w:tcW w:w="1418" w:type="dxa"/>
          </w:tcPr>
          <w:p w:rsidR="0053123E" w:rsidRPr="00F837E7" w:rsidRDefault="0053123E" w:rsidP="00AB5F68">
            <w:pPr>
              <w:spacing w:after="120"/>
              <w:rPr>
                <w:rFonts w:ascii="Arial" w:hAnsi="Arial" w:cs="Arial"/>
              </w:rPr>
            </w:pPr>
            <w:r w:rsidRPr="00F837E7">
              <w:rPr>
                <w:rFonts w:ascii="Arial" w:hAnsi="Arial" w:cs="Arial"/>
              </w:rPr>
              <w:t>On track</w:t>
            </w:r>
          </w:p>
          <w:p w:rsidR="0053123E" w:rsidRPr="00F837E7" w:rsidRDefault="0053123E" w:rsidP="00AB5F68">
            <w:pPr>
              <w:spacing w:after="120"/>
              <w:rPr>
                <w:rFonts w:ascii="Arial" w:hAnsi="Arial" w:cs="Arial"/>
              </w:rPr>
            </w:pPr>
          </w:p>
        </w:tc>
      </w:tr>
      <w:tr w:rsidR="0053123E" w:rsidRPr="00F837E7" w:rsidTr="00AB5F68">
        <w:tc>
          <w:tcPr>
            <w:tcW w:w="3227" w:type="dxa"/>
          </w:tcPr>
          <w:p w:rsidR="0053123E" w:rsidRPr="00AB5F68" w:rsidRDefault="0053123E" w:rsidP="00AB5F68">
            <w:pPr>
              <w:spacing w:after="120"/>
              <w:rPr>
                <w:rFonts w:ascii="Arial" w:eastAsia="Calibri" w:hAnsi="Arial" w:cs="Arial"/>
                <w:b/>
              </w:rPr>
            </w:pPr>
            <w:bookmarkStart w:id="226" w:name="_Toc400007792"/>
            <w:r w:rsidRPr="00AB5F68">
              <w:rPr>
                <w:rFonts w:ascii="Arial" w:hAnsi="Arial" w:cs="Arial"/>
                <w:b/>
              </w:rPr>
              <w:t>Sharing Information</w:t>
            </w:r>
            <w:bookmarkEnd w:id="226"/>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Continuing to explore and improve information sharing protocols across levels of government, including between State and Territory governments, the Australian Government Department of Human Services, the Department of Immigration and Citizenship and the Attorney-General’s Department</w:t>
            </w:r>
          </w:p>
        </w:tc>
        <w:tc>
          <w:tcPr>
            <w:tcW w:w="6237" w:type="dxa"/>
          </w:tcPr>
          <w:p w:rsidR="0053123E" w:rsidRPr="00F837E7" w:rsidRDefault="0053123E" w:rsidP="00AB5F68">
            <w:pPr>
              <w:spacing w:after="120"/>
              <w:rPr>
                <w:rFonts w:ascii="Arial" w:hAnsi="Arial" w:cs="Arial"/>
              </w:rPr>
            </w:pPr>
            <w:r w:rsidRPr="00F837E7">
              <w:rPr>
                <w:rFonts w:ascii="Arial" w:hAnsi="Arial" w:cs="Arial"/>
              </w:rPr>
              <w:t>The development of information sharing protocols continues to be monitored through the National Child Protection and Family Law Collaboration meetings between state and territory officers involved in the child protection and family law systems. These meetings facilitate discussions on initiatives underway to improve collaboration between these systems. </w:t>
            </w:r>
          </w:p>
        </w:tc>
        <w:tc>
          <w:tcPr>
            <w:tcW w:w="1418" w:type="dxa"/>
          </w:tcPr>
          <w:p w:rsidR="0053123E" w:rsidRPr="00F837E7" w:rsidRDefault="0053123E" w:rsidP="00AB5F68">
            <w:pPr>
              <w:spacing w:after="120"/>
              <w:rPr>
                <w:rFonts w:ascii="Arial" w:hAnsi="Arial" w:cs="Arial"/>
              </w:rPr>
            </w:pPr>
            <w:r w:rsidRPr="00F837E7">
              <w:rPr>
                <w:rFonts w:ascii="Arial" w:hAnsi="Arial" w:cs="Arial"/>
              </w:rPr>
              <w:t>On track</w:t>
            </w:r>
          </w:p>
        </w:tc>
      </w:tr>
      <w:tr w:rsidR="0053123E" w:rsidRPr="00F837E7" w:rsidTr="00AB5F68">
        <w:tc>
          <w:tcPr>
            <w:tcW w:w="3227" w:type="dxa"/>
          </w:tcPr>
          <w:p w:rsidR="0053123E" w:rsidRPr="00AB5F68" w:rsidRDefault="0053123E" w:rsidP="00AB5F68">
            <w:pPr>
              <w:spacing w:after="120"/>
              <w:rPr>
                <w:rFonts w:ascii="Arial" w:eastAsia="Calibri" w:hAnsi="Arial" w:cs="Arial"/>
                <w:b/>
              </w:rPr>
            </w:pPr>
            <w:bookmarkStart w:id="227" w:name="_Toc400007793"/>
            <w:r w:rsidRPr="00AB5F68">
              <w:rPr>
                <w:rFonts w:ascii="Arial" w:hAnsi="Arial" w:cs="Arial"/>
                <w:b/>
              </w:rPr>
              <w:t>Building Workforce Capacity and Expertise</w:t>
            </w:r>
            <w:bookmarkEnd w:id="227"/>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Exploring options to broaden child and family sensitive practice through increased access to training</w:t>
            </w:r>
          </w:p>
        </w:tc>
        <w:tc>
          <w:tcPr>
            <w:tcW w:w="6237" w:type="dxa"/>
          </w:tcPr>
          <w:p w:rsidR="0053123E" w:rsidRPr="00F837E7" w:rsidRDefault="0053123E" w:rsidP="00AB5F68">
            <w:pPr>
              <w:spacing w:after="120"/>
              <w:rPr>
                <w:rFonts w:ascii="Arial" w:hAnsi="Arial" w:cs="Arial"/>
              </w:rPr>
            </w:pPr>
            <w:r w:rsidRPr="00F837E7">
              <w:rPr>
                <w:rFonts w:ascii="Arial" w:hAnsi="Arial" w:cs="Arial"/>
              </w:rPr>
              <w:t>The BCBB program is currently delivering child and family-sensitive practice training in adult services. An evaluation report on this training is due at the end of 2013.</w:t>
            </w:r>
          </w:p>
        </w:tc>
        <w:tc>
          <w:tcPr>
            <w:tcW w:w="1418" w:type="dxa"/>
          </w:tcPr>
          <w:p w:rsidR="0053123E" w:rsidRPr="00F837E7" w:rsidRDefault="0053123E" w:rsidP="00AB5F68">
            <w:pPr>
              <w:spacing w:after="120"/>
              <w:rPr>
                <w:rFonts w:ascii="Arial" w:hAnsi="Arial" w:cs="Arial"/>
              </w:rPr>
            </w:pPr>
            <w:r w:rsidRPr="00F837E7">
              <w:rPr>
                <w:rFonts w:ascii="Arial" w:hAnsi="Arial" w:cs="Arial"/>
              </w:rPr>
              <w:t>Completed</w:t>
            </w:r>
          </w:p>
        </w:tc>
      </w:tr>
      <w:tr w:rsidR="0053123E" w:rsidRPr="00F837E7" w:rsidTr="00AB5F68">
        <w:tc>
          <w:tcPr>
            <w:tcW w:w="3227" w:type="dxa"/>
          </w:tcPr>
          <w:p w:rsidR="0053123E" w:rsidRPr="00AB5F68" w:rsidRDefault="0053123E" w:rsidP="00AB5F68">
            <w:pPr>
              <w:spacing w:after="120"/>
              <w:rPr>
                <w:rFonts w:ascii="Arial" w:eastAsia="Calibri" w:hAnsi="Arial" w:cs="Arial"/>
                <w:b/>
              </w:rPr>
            </w:pPr>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Findings of the Community Service Workforce Profile Project final report have provided the foundations for proposed work to support Australia’s statutory child protection workforce</w:t>
            </w:r>
          </w:p>
        </w:tc>
        <w:tc>
          <w:tcPr>
            <w:tcW w:w="6237" w:type="dxa"/>
          </w:tcPr>
          <w:p w:rsidR="0053123E" w:rsidRPr="00F837E7" w:rsidRDefault="0053123E" w:rsidP="00AB5F68">
            <w:pPr>
              <w:spacing w:after="120"/>
              <w:rPr>
                <w:rFonts w:ascii="Arial" w:hAnsi="Arial" w:cs="Arial"/>
              </w:rPr>
            </w:pPr>
            <w:r w:rsidRPr="00F837E7">
              <w:rPr>
                <w:rFonts w:ascii="Arial" w:hAnsi="Arial" w:cs="Arial"/>
              </w:rPr>
              <w:t>The Community Services Workforce Profile project has been completed. Findings from the project will be used to scope options for future work under the Second Action Plan.</w:t>
            </w:r>
          </w:p>
          <w:p w:rsidR="0053123E" w:rsidRPr="00F837E7" w:rsidRDefault="0053123E" w:rsidP="00AB5F68">
            <w:pPr>
              <w:spacing w:after="120"/>
              <w:rPr>
                <w:rFonts w:ascii="Arial" w:hAnsi="Arial" w:cs="Arial"/>
              </w:rPr>
            </w:pPr>
            <w:r w:rsidRPr="00F837E7">
              <w:rPr>
                <w:rFonts w:ascii="Arial" w:hAnsi="Arial" w:cs="Arial"/>
              </w:rPr>
              <w:t xml:space="preserve">The </w:t>
            </w:r>
            <w:r w:rsidRPr="00AB5F68">
              <w:rPr>
                <w:rFonts w:ascii="Arial" w:hAnsi="Arial" w:cs="Arial"/>
                <w:i/>
              </w:rPr>
              <w:t>National Analysis of Workforce Trends in Statutory Child Protection</w:t>
            </w:r>
            <w:r w:rsidRPr="00F837E7">
              <w:rPr>
                <w:rFonts w:ascii="Arial" w:hAnsi="Arial" w:cs="Arial"/>
              </w:rPr>
              <w:t xml:space="preserve"> (McArthur &amp; Thomson 2012) was released on 12 December 2012 and is being considered as part of ongoing work to progress sector development under the Second Action Plan.</w:t>
            </w:r>
          </w:p>
        </w:tc>
        <w:tc>
          <w:tcPr>
            <w:tcW w:w="1418" w:type="dxa"/>
          </w:tcPr>
          <w:p w:rsidR="0053123E" w:rsidRPr="00F837E7" w:rsidRDefault="0053123E" w:rsidP="00AB5F68">
            <w:pPr>
              <w:spacing w:after="120"/>
              <w:rPr>
                <w:rFonts w:ascii="Arial" w:hAnsi="Arial" w:cs="Arial"/>
              </w:rPr>
            </w:pPr>
            <w:r w:rsidRPr="00F837E7">
              <w:rPr>
                <w:rFonts w:ascii="Arial" w:hAnsi="Arial" w:cs="Arial"/>
              </w:rPr>
              <w:t>Completed</w:t>
            </w:r>
          </w:p>
          <w:p w:rsidR="0053123E" w:rsidRPr="00F837E7" w:rsidRDefault="0053123E" w:rsidP="00AB5F68">
            <w:pPr>
              <w:spacing w:after="120"/>
              <w:rPr>
                <w:rFonts w:ascii="Arial" w:hAnsi="Arial" w:cs="Arial"/>
              </w:rPr>
            </w:pPr>
          </w:p>
        </w:tc>
      </w:tr>
      <w:tr w:rsidR="0053123E" w:rsidRPr="00F837E7" w:rsidTr="00AB5F68">
        <w:tc>
          <w:tcPr>
            <w:tcW w:w="3227" w:type="dxa"/>
          </w:tcPr>
          <w:p w:rsidR="0053123E" w:rsidRPr="00AB5F68" w:rsidRDefault="0053123E" w:rsidP="00AB5F68">
            <w:pPr>
              <w:spacing w:after="120"/>
              <w:rPr>
                <w:rFonts w:ascii="Arial" w:eastAsia="Calibri" w:hAnsi="Arial" w:cs="Arial"/>
                <w:b/>
              </w:rPr>
            </w:pPr>
            <w:bookmarkStart w:id="228" w:name="_Toc400007794"/>
            <w:r w:rsidRPr="00AB5F68">
              <w:rPr>
                <w:rFonts w:ascii="Arial" w:hAnsi="Arial" w:cs="Arial"/>
                <w:b/>
              </w:rPr>
              <w:t>Working with Children Checks</w:t>
            </w:r>
            <w:bookmarkEnd w:id="228"/>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Continuing to improve the effectiveness of Working with Children Checks across jurisdictions</w:t>
            </w:r>
          </w:p>
        </w:tc>
        <w:tc>
          <w:tcPr>
            <w:tcW w:w="6237" w:type="dxa"/>
          </w:tcPr>
          <w:p w:rsidR="0053123E" w:rsidRPr="00F837E7" w:rsidRDefault="0053123E" w:rsidP="00AB5F68">
            <w:pPr>
              <w:spacing w:after="120"/>
              <w:rPr>
                <w:rFonts w:ascii="Arial" w:hAnsi="Arial" w:cs="Arial"/>
              </w:rPr>
            </w:pPr>
            <w:r w:rsidRPr="00F837E7">
              <w:rPr>
                <w:rFonts w:ascii="Arial" w:hAnsi="Arial" w:cs="Arial"/>
              </w:rPr>
              <w:t>National exemption arrangements have been finalised and are being implemented by states and territories.</w:t>
            </w:r>
          </w:p>
          <w:p w:rsidR="0053123E" w:rsidRPr="00F837E7" w:rsidRDefault="0053123E" w:rsidP="00AB5F68">
            <w:pPr>
              <w:spacing w:after="120"/>
              <w:rPr>
                <w:rFonts w:ascii="Arial" w:hAnsi="Arial" w:cs="Arial"/>
              </w:rPr>
            </w:pPr>
            <w:r w:rsidRPr="00F837E7">
              <w:rPr>
                <w:rFonts w:ascii="Arial" w:hAnsi="Arial" w:cs="Arial"/>
              </w:rPr>
              <w:t>States and territories are also delivering consistent communication messages on exemption arrangements for people crossing state borders for work-related purposes.</w:t>
            </w:r>
          </w:p>
          <w:p w:rsidR="0053123E" w:rsidRPr="00F837E7" w:rsidRDefault="0053123E" w:rsidP="00AB5F68">
            <w:pPr>
              <w:spacing w:after="120"/>
              <w:rPr>
                <w:rFonts w:ascii="Arial" w:hAnsi="Arial" w:cs="Arial"/>
              </w:rPr>
            </w:pPr>
            <w:r w:rsidRPr="00F837E7">
              <w:rPr>
                <w:rFonts w:ascii="Arial" w:hAnsi="Arial" w:cs="Arial"/>
              </w:rPr>
              <w:t xml:space="preserve">The Australian Government has commenced discussions on the identification and scope of further projects with states and territories. </w:t>
            </w:r>
          </w:p>
        </w:tc>
        <w:tc>
          <w:tcPr>
            <w:tcW w:w="1418" w:type="dxa"/>
          </w:tcPr>
          <w:p w:rsidR="0053123E" w:rsidRPr="00F837E7" w:rsidRDefault="0053123E" w:rsidP="00AB5F68">
            <w:pPr>
              <w:spacing w:after="120"/>
              <w:rPr>
                <w:rFonts w:ascii="Arial" w:hAnsi="Arial" w:cs="Arial"/>
              </w:rPr>
            </w:pPr>
            <w:r w:rsidRPr="00F837E7">
              <w:rPr>
                <w:rFonts w:ascii="Arial" w:hAnsi="Arial" w:cs="Arial"/>
              </w:rPr>
              <w:t>On track</w:t>
            </w:r>
          </w:p>
          <w:p w:rsidR="0053123E" w:rsidRPr="00F837E7" w:rsidRDefault="0053123E" w:rsidP="00AB5F68">
            <w:pPr>
              <w:spacing w:after="120"/>
              <w:rPr>
                <w:rFonts w:ascii="Arial" w:hAnsi="Arial" w:cs="Arial"/>
              </w:rPr>
            </w:pPr>
          </w:p>
        </w:tc>
      </w:tr>
      <w:tr w:rsidR="0053123E" w:rsidRPr="00F837E7" w:rsidTr="00AB5F68">
        <w:tc>
          <w:tcPr>
            <w:tcW w:w="3227" w:type="dxa"/>
          </w:tcPr>
          <w:p w:rsidR="0053123E" w:rsidRPr="00AB5F68" w:rsidRDefault="0053123E" w:rsidP="00AB5F68">
            <w:pPr>
              <w:spacing w:after="120"/>
              <w:rPr>
                <w:rFonts w:ascii="Arial" w:eastAsia="Calibri" w:hAnsi="Arial" w:cs="Arial"/>
                <w:b/>
              </w:rPr>
            </w:pPr>
            <w:bookmarkStart w:id="229" w:name="_Toc400007795"/>
            <w:r w:rsidRPr="00AB5F68">
              <w:rPr>
                <w:rFonts w:ascii="Arial" w:hAnsi="Arial" w:cs="Arial"/>
                <w:b/>
              </w:rPr>
              <w:t>Enhancing the Evidence Base</w:t>
            </w:r>
            <w:bookmarkEnd w:id="229"/>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Improving the evidence base about Indigenous children, culturally and linguistically diverse children and children with disability, including disaggregating indicators by these statuses wherever possible</w:t>
            </w:r>
          </w:p>
        </w:tc>
        <w:tc>
          <w:tcPr>
            <w:tcW w:w="6237" w:type="dxa"/>
          </w:tcPr>
          <w:p w:rsidR="0053123E" w:rsidRPr="00F837E7" w:rsidRDefault="0053123E" w:rsidP="00AB5F68">
            <w:pPr>
              <w:spacing w:after="120"/>
              <w:rPr>
                <w:rFonts w:ascii="Arial" w:hAnsi="Arial" w:cs="Arial"/>
              </w:rPr>
            </w:pPr>
            <w:r w:rsidRPr="00F837E7">
              <w:rPr>
                <w:rFonts w:ascii="Arial" w:hAnsi="Arial" w:cs="Arial"/>
              </w:rPr>
              <w:t xml:space="preserve">The CP NMDS was implemented on 1 July 2013, and initial data will be available in late 2013. </w:t>
            </w:r>
          </w:p>
          <w:p w:rsidR="0053123E" w:rsidRPr="00F837E7" w:rsidRDefault="0053123E" w:rsidP="00AB5F68">
            <w:pPr>
              <w:spacing w:after="120"/>
              <w:rPr>
                <w:rFonts w:ascii="Arial" w:hAnsi="Arial" w:cs="Arial"/>
              </w:rPr>
            </w:pPr>
            <w:r w:rsidRPr="00F837E7">
              <w:rPr>
                <w:rFonts w:ascii="Arial" w:hAnsi="Arial" w:cs="Arial"/>
              </w:rPr>
              <w:t>The first complete data against the CP NMDS will be reported in 2014.</w:t>
            </w:r>
          </w:p>
        </w:tc>
        <w:tc>
          <w:tcPr>
            <w:tcW w:w="1418" w:type="dxa"/>
          </w:tcPr>
          <w:p w:rsidR="0053123E" w:rsidRPr="00F837E7" w:rsidRDefault="0053123E" w:rsidP="00AB5F68">
            <w:pPr>
              <w:spacing w:after="120"/>
              <w:rPr>
                <w:rFonts w:ascii="Arial" w:hAnsi="Arial" w:cs="Arial"/>
              </w:rPr>
            </w:pPr>
            <w:r w:rsidRPr="00F837E7">
              <w:rPr>
                <w:rFonts w:ascii="Arial" w:hAnsi="Arial" w:cs="Arial"/>
              </w:rPr>
              <w:t>On track</w:t>
            </w:r>
          </w:p>
        </w:tc>
      </w:tr>
      <w:tr w:rsidR="0053123E" w:rsidRPr="00F837E7" w:rsidTr="00AB5F68">
        <w:tc>
          <w:tcPr>
            <w:tcW w:w="3227" w:type="dxa"/>
          </w:tcPr>
          <w:p w:rsidR="0053123E" w:rsidRPr="00AB5F68" w:rsidRDefault="0053123E" w:rsidP="00AB5F68">
            <w:pPr>
              <w:spacing w:after="120"/>
              <w:rPr>
                <w:rFonts w:ascii="Arial" w:eastAsia="Calibri" w:hAnsi="Arial" w:cs="Arial"/>
                <w:b/>
              </w:rPr>
            </w:pPr>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Continuing to embed the consistency and quality of data collections through improving the National Minimum Data Sets, and the collection of data about implementation of the National Standards for Out-of-Home Care</w:t>
            </w:r>
          </w:p>
        </w:tc>
        <w:tc>
          <w:tcPr>
            <w:tcW w:w="6237" w:type="dxa"/>
          </w:tcPr>
          <w:p w:rsidR="0053123E" w:rsidRPr="00F837E7" w:rsidRDefault="0053123E" w:rsidP="00AB5F68">
            <w:pPr>
              <w:spacing w:after="120"/>
              <w:rPr>
                <w:rFonts w:ascii="Arial" w:hAnsi="Arial" w:cs="Arial"/>
              </w:rPr>
            </w:pPr>
            <w:r w:rsidRPr="00F837E7">
              <w:rPr>
                <w:rFonts w:ascii="Arial" w:hAnsi="Arial" w:cs="Arial"/>
              </w:rPr>
              <w:t>See comments above.</w:t>
            </w:r>
          </w:p>
          <w:p w:rsidR="0053123E" w:rsidRPr="00F837E7" w:rsidRDefault="0053123E" w:rsidP="00AB5F68">
            <w:pPr>
              <w:spacing w:after="120"/>
              <w:rPr>
                <w:rFonts w:ascii="Arial" w:hAnsi="Arial" w:cs="Arial"/>
              </w:rPr>
            </w:pPr>
            <w:r w:rsidRPr="00F837E7">
              <w:rPr>
                <w:rFonts w:ascii="Arial" w:hAnsi="Arial" w:cs="Arial"/>
              </w:rPr>
              <w:t xml:space="preserve">Ministers agreed to a progressive timeframe through to 2015 for reporting on the measures of the National Standards for Out-of-Home Care. Seven of these measures are reported against in this Annual Report. </w:t>
            </w:r>
          </w:p>
        </w:tc>
        <w:tc>
          <w:tcPr>
            <w:tcW w:w="1418" w:type="dxa"/>
          </w:tcPr>
          <w:p w:rsidR="0053123E" w:rsidRPr="00F837E7" w:rsidRDefault="0053123E" w:rsidP="00AB5F68">
            <w:pPr>
              <w:spacing w:after="120"/>
              <w:rPr>
                <w:rFonts w:ascii="Arial" w:hAnsi="Arial" w:cs="Arial"/>
              </w:rPr>
            </w:pPr>
            <w:r w:rsidRPr="00F837E7">
              <w:rPr>
                <w:rFonts w:ascii="Arial" w:hAnsi="Arial" w:cs="Arial"/>
              </w:rPr>
              <w:t>On track</w:t>
            </w:r>
          </w:p>
        </w:tc>
      </w:tr>
      <w:tr w:rsidR="0053123E" w:rsidRPr="00F837E7" w:rsidTr="00AB5F68">
        <w:tc>
          <w:tcPr>
            <w:tcW w:w="3227" w:type="dxa"/>
          </w:tcPr>
          <w:p w:rsidR="0053123E" w:rsidRPr="00AB5F68" w:rsidRDefault="0053123E" w:rsidP="00AB5F68">
            <w:pPr>
              <w:spacing w:after="120"/>
              <w:rPr>
                <w:rFonts w:ascii="Arial" w:eastAsia="Calibri" w:hAnsi="Arial" w:cs="Arial"/>
                <w:b/>
              </w:rPr>
            </w:pPr>
            <w:bookmarkStart w:id="230" w:name="_Toc400007796"/>
            <w:r w:rsidRPr="00AB5F68">
              <w:rPr>
                <w:rFonts w:ascii="Arial" w:hAnsi="Arial" w:cs="Arial"/>
                <w:b/>
              </w:rPr>
              <w:t>Filling Research Gaps</w:t>
            </w:r>
            <w:bookmarkEnd w:id="230"/>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Undertaking research in the priority areas of community awareness, including diverse communities and Indigenous children and young people</w:t>
            </w:r>
          </w:p>
        </w:tc>
        <w:tc>
          <w:tcPr>
            <w:tcW w:w="6237" w:type="dxa"/>
          </w:tcPr>
          <w:p w:rsidR="0053123E" w:rsidRPr="00F837E7" w:rsidRDefault="0053123E" w:rsidP="00AB5F68">
            <w:pPr>
              <w:spacing w:after="120"/>
              <w:rPr>
                <w:rFonts w:ascii="Arial" w:hAnsi="Arial" w:cs="Arial"/>
              </w:rPr>
            </w:pPr>
            <w:r w:rsidRPr="00F837E7">
              <w:rPr>
                <w:rFonts w:ascii="Arial" w:hAnsi="Arial" w:cs="Arial"/>
              </w:rPr>
              <w:t>Successful projects under the National Research Agenda were announced in May 2013 and will be completed by April 2015. These projects are</w:t>
            </w:r>
          </w:p>
          <w:p w:rsidR="0053123E" w:rsidRPr="00F837E7" w:rsidRDefault="00AB5F68" w:rsidP="00AB5F68">
            <w:pPr>
              <w:spacing w:after="120"/>
              <w:rPr>
                <w:rFonts w:ascii="Arial" w:hAnsi="Arial" w:cs="Arial"/>
              </w:rPr>
            </w:pPr>
            <w:r>
              <w:rPr>
                <w:rFonts w:ascii="Arial" w:hAnsi="Arial" w:cs="Arial"/>
              </w:rPr>
              <w:t xml:space="preserve">(a) </w:t>
            </w:r>
            <w:r w:rsidR="0053123E" w:rsidRPr="00F837E7">
              <w:rPr>
                <w:rFonts w:ascii="Arial" w:hAnsi="Arial" w:cs="Arial"/>
              </w:rPr>
              <w:t xml:space="preserve">SNAICC, Moving to Prevention—exploring outcomes for Aboriginal and Torres Strait Islander children through IFS services </w:t>
            </w:r>
          </w:p>
          <w:p w:rsidR="0053123E" w:rsidRPr="00F837E7" w:rsidRDefault="00AB5F68" w:rsidP="00AB5F68">
            <w:pPr>
              <w:spacing w:after="120"/>
              <w:rPr>
                <w:rFonts w:ascii="Arial" w:hAnsi="Arial" w:cs="Arial"/>
              </w:rPr>
            </w:pPr>
            <w:r>
              <w:rPr>
                <w:rFonts w:ascii="Arial" w:hAnsi="Arial" w:cs="Arial"/>
              </w:rPr>
              <w:t xml:space="preserve">(b) </w:t>
            </w:r>
            <w:r w:rsidR="0053123E" w:rsidRPr="00F837E7">
              <w:rPr>
                <w:rFonts w:ascii="Arial" w:hAnsi="Arial" w:cs="Arial"/>
              </w:rPr>
              <w:t>Social Policy Research Centre, Making a community safe and supportive for its children—understanding the conditions necessary to create a child safe and child friendly community.</w:t>
            </w:r>
          </w:p>
          <w:p w:rsidR="0053123E" w:rsidRPr="00F837E7" w:rsidRDefault="00AB5F68" w:rsidP="00AB5F68">
            <w:pPr>
              <w:spacing w:after="120"/>
              <w:rPr>
                <w:rFonts w:ascii="Arial" w:hAnsi="Arial" w:cs="Arial"/>
              </w:rPr>
            </w:pPr>
            <w:r>
              <w:rPr>
                <w:rFonts w:ascii="Arial" w:hAnsi="Arial" w:cs="Arial"/>
              </w:rPr>
              <w:t xml:space="preserve">(c) </w:t>
            </w:r>
            <w:r w:rsidR="0053123E" w:rsidRPr="00F837E7">
              <w:rPr>
                <w:rFonts w:ascii="Arial" w:hAnsi="Arial" w:cs="Arial"/>
              </w:rPr>
              <w:t xml:space="preserve">ACU, Refugee Communities—Intercultural dialogue: Building relationships, building communities. </w:t>
            </w:r>
          </w:p>
        </w:tc>
        <w:tc>
          <w:tcPr>
            <w:tcW w:w="1418" w:type="dxa"/>
          </w:tcPr>
          <w:p w:rsidR="0053123E" w:rsidRPr="00F837E7" w:rsidRDefault="0053123E" w:rsidP="00AB5F68">
            <w:pPr>
              <w:spacing w:after="120"/>
              <w:rPr>
                <w:rFonts w:ascii="Arial" w:hAnsi="Arial" w:cs="Arial"/>
              </w:rPr>
            </w:pPr>
            <w:r w:rsidRPr="00F837E7">
              <w:rPr>
                <w:rFonts w:ascii="Arial" w:hAnsi="Arial" w:cs="Arial"/>
              </w:rPr>
              <w:t>Completed</w:t>
            </w:r>
          </w:p>
          <w:p w:rsidR="0053123E" w:rsidRPr="00F837E7" w:rsidRDefault="0053123E" w:rsidP="00AB5F68">
            <w:pPr>
              <w:spacing w:after="120"/>
              <w:rPr>
                <w:rFonts w:ascii="Arial" w:hAnsi="Arial" w:cs="Arial"/>
              </w:rPr>
            </w:pPr>
          </w:p>
        </w:tc>
      </w:tr>
      <w:tr w:rsidR="0053123E" w:rsidRPr="00F837E7" w:rsidTr="00AB5F68">
        <w:tc>
          <w:tcPr>
            <w:tcW w:w="3227" w:type="dxa"/>
          </w:tcPr>
          <w:p w:rsidR="0053123E" w:rsidRPr="00AB5F68" w:rsidRDefault="0053123E" w:rsidP="00AB5F68">
            <w:pPr>
              <w:spacing w:after="120"/>
              <w:rPr>
                <w:rFonts w:ascii="Arial" w:eastAsia="Calibri" w:hAnsi="Arial" w:cs="Arial"/>
                <w:b/>
              </w:rPr>
            </w:pPr>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Sharing best practice through the Closing the Gap Clearinghouse and the Child Family Community Australia Information Exchange</w:t>
            </w:r>
          </w:p>
        </w:tc>
        <w:tc>
          <w:tcPr>
            <w:tcW w:w="6237" w:type="dxa"/>
          </w:tcPr>
          <w:p w:rsidR="0053123E" w:rsidRPr="00F837E7" w:rsidRDefault="0053123E" w:rsidP="00AB5F68">
            <w:pPr>
              <w:spacing w:after="120"/>
              <w:rPr>
                <w:rFonts w:ascii="Arial" w:hAnsi="Arial" w:cs="Arial"/>
              </w:rPr>
            </w:pPr>
            <w:r w:rsidRPr="00F837E7">
              <w:rPr>
                <w:rFonts w:ascii="Arial" w:hAnsi="Arial" w:cs="Arial"/>
              </w:rPr>
              <w:t>The Aboriginal and Torres Strait Islander Promising Practice Profiles were published by the Australian Institute of Family Studies on the Child Family Community Australia website on 18 March 2013.</w:t>
            </w:r>
          </w:p>
        </w:tc>
        <w:tc>
          <w:tcPr>
            <w:tcW w:w="1418" w:type="dxa"/>
          </w:tcPr>
          <w:p w:rsidR="0053123E" w:rsidRPr="00F837E7" w:rsidRDefault="0053123E" w:rsidP="00AB5F68">
            <w:pPr>
              <w:spacing w:after="120"/>
              <w:rPr>
                <w:rFonts w:ascii="Arial" w:hAnsi="Arial" w:cs="Arial"/>
              </w:rPr>
            </w:pPr>
            <w:r w:rsidRPr="00F837E7">
              <w:rPr>
                <w:rFonts w:ascii="Arial" w:hAnsi="Arial" w:cs="Arial"/>
              </w:rPr>
              <w:t>Completed</w:t>
            </w:r>
          </w:p>
        </w:tc>
      </w:tr>
      <w:tr w:rsidR="0053123E" w:rsidRPr="00F837E7" w:rsidTr="00AB5F68">
        <w:tc>
          <w:tcPr>
            <w:tcW w:w="3227" w:type="dxa"/>
          </w:tcPr>
          <w:p w:rsidR="0053123E" w:rsidRPr="00AB5F68" w:rsidRDefault="0053123E" w:rsidP="00AB5F68">
            <w:pPr>
              <w:spacing w:after="120"/>
              <w:rPr>
                <w:rFonts w:ascii="Arial" w:eastAsia="Calibri" w:hAnsi="Arial" w:cs="Arial"/>
                <w:b/>
              </w:rPr>
            </w:pPr>
            <w:bookmarkStart w:id="231" w:name="_Toc400007797"/>
            <w:r w:rsidRPr="00AB5F68">
              <w:rPr>
                <w:rFonts w:ascii="Arial" w:hAnsi="Arial" w:cs="Arial"/>
                <w:b/>
              </w:rPr>
              <w:t>Seeing Early Warning Signs and Taking Early Action</w:t>
            </w:r>
            <w:bookmarkEnd w:id="231"/>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Testing CAARS’ applicability in different settings—including 13 Family Mental Health Support Services across Australia</w:t>
            </w:r>
          </w:p>
        </w:tc>
        <w:tc>
          <w:tcPr>
            <w:tcW w:w="6237" w:type="dxa"/>
          </w:tcPr>
          <w:p w:rsidR="0053123E" w:rsidRPr="00F837E7" w:rsidRDefault="0053123E" w:rsidP="00AB5F68">
            <w:pPr>
              <w:spacing w:after="120"/>
              <w:rPr>
                <w:rFonts w:ascii="Arial" w:eastAsia="Calibri" w:hAnsi="Arial" w:cs="Arial"/>
              </w:rPr>
            </w:pPr>
            <w:r w:rsidRPr="00F837E7">
              <w:rPr>
                <w:rFonts w:ascii="Arial" w:eastAsia="Calibri" w:hAnsi="Arial" w:cs="Arial"/>
              </w:rPr>
              <w:t xml:space="preserve">CAARS was trialled in 13 FMHSs. </w:t>
            </w:r>
          </w:p>
        </w:tc>
        <w:tc>
          <w:tcPr>
            <w:tcW w:w="1418" w:type="dxa"/>
          </w:tcPr>
          <w:p w:rsidR="0053123E" w:rsidRPr="00F837E7" w:rsidRDefault="0053123E" w:rsidP="00AB5F68">
            <w:pPr>
              <w:spacing w:after="120"/>
              <w:rPr>
                <w:rFonts w:ascii="Arial" w:hAnsi="Arial" w:cs="Arial"/>
              </w:rPr>
            </w:pPr>
            <w:r w:rsidRPr="00F837E7">
              <w:rPr>
                <w:rFonts w:ascii="Arial" w:hAnsi="Arial" w:cs="Arial"/>
              </w:rPr>
              <w:t>Completed</w:t>
            </w:r>
          </w:p>
        </w:tc>
      </w:tr>
      <w:tr w:rsidR="0053123E" w:rsidRPr="00F837E7" w:rsidTr="00AB5F68">
        <w:tc>
          <w:tcPr>
            <w:tcW w:w="3227" w:type="dxa"/>
          </w:tcPr>
          <w:p w:rsidR="0053123E" w:rsidRPr="00AB5F68" w:rsidRDefault="0053123E" w:rsidP="00AB5F68">
            <w:pPr>
              <w:spacing w:after="120"/>
              <w:rPr>
                <w:rFonts w:ascii="Arial" w:eastAsia="Calibri" w:hAnsi="Arial" w:cs="Arial"/>
                <w:b/>
              </w:rPr>
            </w:pPr>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Exploring options to further embed the tool in services</w:t>
            </w:r>
          </w:p>
        </w:tc>
        <w:tc>
          <w:tcPr>
            <w:tcW w:w="6237" w:type="dxa"/>
          </w:tcPr>
          <w:p w:rsidR="0053123E" w:rsidRPr="00F837E7" w:rsidRDefault="0053123E" w:rsidP="00AB5F68">
            <w:pPr>
              <w:spacing w:after="120"/>
              <w:rPr>
                <w:rFonts w:ascii="Arial" w:eastAsia="Calibri" w:hAnsi="Arial" w:cs="Arial"/>
              </w:rPr>
            </w:pPr>
            <w:r w:rsidRPr="00F837E7">
              <w:rPr>
                <w:rFonts w:ascii="Arial" w:eastAsia="Calibri" w:hAnsi="Arial" w:cs="Arial"/>
              </w:rPr>
              <w:t xml:space="preserve">The Australian Research Alliance for Children &amp; Youth (ARACY) is considering the recommendations of the CAARS taskforce on options for embedding the tool in services. </w:t>
            </w:r>
          </w:p>
        </w:tc>
        <w:tc>
          <w:tcPr>
            <w:tcW w:w="1418" w:type="dxa"/>
          </w:tcPr>
          <w:p w:rsidR="0053123E" w:rsidRPr="00F837E7" w:rsidRDefault="0053123E" w:rsidP="00AB5F68">
            <w:pPr>
              <w:spacing w:after="120"/>
              <w:rPr>
                <w:rFonts w:ascii="Arial" w:hAnsi="Arial" w:cs="Arial"/>
              </w:rPr>
            </w:pPr>
            <w:r w:rsidRPr="00F837E7">
              <w:rPr>
                <w:rFonts w:ascii="Arial" w:hAnsi="Arial" w:cs="Arial"/>
              </w:rPr>
              <w:t>Completed</w:t>
            </w:r>
          </w:p>
        </w:tc>
      </w:tr>
      <w:tr w:rsidR="0053123E" w:rsidRPr="00F837E7" w:rsidTr="00AB5F68">
        <w:tc>
          <w:tcPr>
            <w:tcW w:w="3227" w:type="dxa"/>
          </w:tcPr>
          <w:p w:rsidR="0053123E" w:rsidRPr="00AB5F68" w:rsidRDefault="0053123E" w:rsidP="00AB5F68">
            <w:pPr>
              <w:spacing w:after="120"/>
              <w:rPr>
                <w:rFonts w:ascii="Arial" w:eastAsia="Calibri" w:hAnsi="Arial" w:cs="Arial"/>
                <w:b/>
              </w:rPr>
            </w:pPr>
            <w:bookmarkStart w:id="232" w:name="_Toc400007798"/>
            <w:r w:rsidRPr="00AB5F68">
              <w:rPr>
                <w:rFonts w:ascii="Arial" w:hAnsi="Arial" w:cs="Arial"/>
                <w:b/>
              </w:rPr>
              <w:t>National Standards for Out-of-Home Care</w:t>
            </w:r>
            <w:bookmarkEnd w:id="232"/>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Enhance the application and nationally consistent reporting of the Aboriginal and Torres Strait Islander Child Placement Principle (ATSICPP)</w:t>
            </w:r>
          </w:p>
        </w:tc>
        <w:tc>
          <w:tcPr>
            <w:tcW w:w="6237" w:type="dxa"/>
          </w:tcPr>
          <w:p w:rsidR="0053123E" w:rsidRPr="00F837E7" w:rsidRDefault="0053123E" w:rsidP="00AB5F68">
            <w:pPr>
              <w:spacing w:after="120"/>
              <w:rPr>
                <w:rFonts w:ascii="Arial" w:eastAsia="Calibri" w:hAnsi="Arial" w:cs="Arial"/>
              </w:rPr>
            </w:pPr>
            <w:r w:rsidRPr="00F837E7">
              <w:rPr>
                <w:rFonts w:ascii="Arial" w:eastAsia="Calibri" w:hAnsi="Arial" w:cs="Arial"/>
              </w:rPr>
              <w:t>A workshop on the ATSICPP was held in Sydney on 20 May 2013 to identify practical steps to enhance the application of the ATSICPP. SNAICC, the Australian Government and the Queensland and New South Wales Governments worked in partnership to deliver the workshop, which included representation from a number of community sector organisations supporting the interests of Aboriginal and Torres Strait Islander children and young people in out-of-home care. There are currently four indicators under the National Framework specific to the placement of Indigenous children. One of these is reported on in this Annual Report, and the other three are still being developed.</w:t>
            </w:r>
          </w:p>
        </w:tc>
        <w:tc>
          <w:tcPr>
            <w:tcW w:w="1418" w:type="dxa"/>
          </w:tcPr>
          <w:p w:rsidR="0053123E" w:rsidRPr="00F837E7" w:rsidRDefault="0053123E" w:rsidP="00AB5F68">
            <w:pPr>
              <w:spacing w:after="120"/>
              <w:rPr>
                <w:rFonts w:ascii="Arial" w:hAnsi="Arial" w:cs="Arial"/>
              </w:rPr>
            </w:pPr>
            <w:r w:rsidRPr="00F837E7">
              <w:rPr>
                <w:rFonts w:ascii="Arial" w:hAnsi="Arial" w:cs="Arial"/>
              </w:rPr>
              <w:t>On track</w:t>
            </w:r>
          </w:p>
        </w:tc>
      </w:tr>
      <w:tr w:rsidR="0053123E" w:rsidRPr="00F837E7" w:rsidTr="00AB5F68">
        <w:tc>
          <w:tcPr>
            <w:tcW w:w="3227" w:type="dxa"/>
          </w:tcPr>
          <w:p w:rsidR="0053123E" w:rsidRPr="00AB5F68" w:rsidRDefault="0053123E" w:rsidP="00AB5F68">
            <w:pPr>
              <w:spacing w:after="120"/>
              <w:rPr>
                <w:rFonts w:ascii="Arial" w:eastAsia="Calibri" w:hAnsi="Arial" w:cs="Arial"/>
                <w:b/>
              </w:rPr>
            </w:pPr>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Develop minimum quality benchmarks for each of the out-of-home care standards and deliver full reporting on the standards in 2015</w:t>
            </w:r>
          </w:p>
        </w:tc>
        <w:tc>
          <w:tcPr>
            <w:tcW w:w="6237" w:type="dxa"/>
          </w:tcPr>
          <w:p w:rsidR="0053123E" w:rsidRPr="00F837E7" w:rsidRDefault="0053123E" w:rsidP="00AB5F68">
            <w:pPr>
              <w:spacing w:after="120"/>
              <w:rPr>
                <w:rFonts w:ascii="Arial" w:hAnsi="Arial" w:cs="Arial"/>
              </w:rPr>
            </w:pPr>
            <w:r w:rsidRPr="00F837E7">
              <w:rPr>
                <w:rFonts w:ascii="Arial" w:hAnsi="Arial" w:cs="Arial"/>
              </w:rPr>
              <w:t xml:space="preserve">Measures for the Out-of-Home Care Standards are gradually being introduced. Seven measures are reported against in this Annual Report. </w:t>
            </w:r>
          </w:p>
        </w:tc>
        <w:tc>
          <w:tcPr>
            <w:tcW w:w="1418" w:type="dxa"/>
          </w:tcPr>
          <w:p w:rsidR="0053123E" w:rsidRPr="00F837E7" w:rsidRDefault="0053123E" w:rsidP="00AB5F68">
            <w:pPr>
              <w:spacing w:after="120"/>
              <w:rPr>
                <w:rFonts w:ascii="Arial" w:hAnsi="Arial" w:cs="Arial"/>
              </w:rPr>
            </w:pPr>
            <w:r w:rsidRPr="00F837E7">
              <w:rPr>
                <w:rFonts w:ascii="Arial" w:hAnsi="Arial" w:cs="Arial"/>
              </w:rPr>
              <w:t>On track</w:t>
            </w:r>
          </w:p>
        </w:tc>
      </w:tr>
      <w:tr w:rsidR="0053123E" w:rsidRPr="00F837E7" w:rsidTr="00AB5F68">
        <w:tc>
          <w:tcPr>
            <w:tcW w:w="3227" w:type="dxa"/>
          </w:tcPr>
          <w:p w:rsidR="0053123E" w:rsidRPr="00AB5F68" w:rsidRDefault="0053123E" w:rsidP="00AB5F68">
            <w:pPr>
              <w:spacing w:after="120"/>
              <w:rPr>
                <w:rFonts w:ascii="Arial" w:eastAsia="Calibri" w:hAnsi="Arial" w:cs="Arial"/>
                <w:b/>
              </w:rPr>
            </w:pPr>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Conduct the first national survey of children and young people in care under the National Standards for Out-of-Home Care</w:t>
            </w:r>
          </w:p>
        </w:tc>
        <w:tc>
          <w:tcPr>
            <w:tcW w:w="6237" w:type="dxa"/>
          </w:tcPr>
          <w:p w:rsidR="0053123E" w:rsidRPr="00F837E7" w:rsidRDefault="0053123E" w:rsidP="00AB5F68">
            <w:pPr>
              <w:spacing w:after="120"/>
              <w:rPr>
                <w:rFonts w:ascii="Arial" w:hAnsi="Arial" w:cs="Arial"/>
              </w:rPr>
            </w:pPr>
            <w:r w:rsidRPr="00F837E7">
              <w:rPr>
                <w:rFonts w:ascii="Arial" w:hAnsi="Arial" w:cs="Arial"/>
              </w:rPr>
              <w:t xml:space="preserve">A pilot was undertaken in late 2012 to test the process for delivering the National Report into the Views of Children and Young People in Out-of-Home Care, including a trial of a survey tool. </w:t>
            </w:r>
          </w:p>
          <w:p w:rsidR="0053123E" w:rsidRPr="00F837E7" w:rsidRDefault="0053123E" w:rsidP="00AB5F68">
            <w:pPr>
              <w:spacing w:after="120"/>
              <w:rPr>
                <w:rFonts w:ascii="Arial" w:hAnsi="Arial" w:cs="Arial"/>
              </w:rPr>
            </w:pPr>
            <w:r w:rsidRPr="00F837E7">
              <w:rPr>
                <w:rFonts w:ascii="Arial" w:hAnsi="Arial" w:cs="Arial"/>
              </w:rPr>
              <w:t xml:space="preserve">The Australian, state and territory governments and the community sector are working together through a steering group to deliver the first National Report in 2015.   </w:t>
            </w:r>
          </w:p>
        </w:tc>
        <w:tc>
          <w:tcPr>
            <w:tcW w:w="1418" w:type="dxa"/>
          </w:tcPr>
          <w:p w:rsidR="0053123E" w:rsidRPr="00F837E7" w:rsidRDefault="0053123E" w:rsidP="00AB5F68">
            <w:pPr>
              <w:spacing w:after="120"/>
              <w:rPr>
                <w:rFonts w:ascii="Arial" w:hAnsi="Arial" w:cs="Arial"/>
              </w:rPr>
            </w:pPr>
            <w:r w:rsidRPr="00F837E7">
              <w:rPr>
                <w:rFonts w:ascii="Arial" w:hAnsi="Arial" w:cs="Arial"/>
              </w:rPr>
              <w:t>On track</w:t>
            </w:r>
          </w:p>
        </w:tc>
      </w:tr>
      <w:tr w:rsidR="0053123E" w:rsidRPr="00F837E7" w:rsidTr="00AB5F68">
        <w:tc>
          <w:tcPr>
            <w:tcW w:w="3227" w:type="dxa"/>
          </w:tcPr>
          <w:p w:rsidR="0053123E" w:rsidRPr="00AB5F68" w:rsidRDefault="0053123E" w:rsidP="00AB5F68">
            <w:pPr>
              <w:spacing w:after="120"/>
              <w:rPr>
                <w:rFonts w:ascii="Arial" w:eastAsia="Calibri" w:hAnsi="Arial" w:cs="Arial"/>
                <w:b/>
              </w:rPr>
            </w:pPr>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Improve stability of placements for children in out-of-home care, including through permanency planning</w:t>
            </w:r>
          </w:p>
        </w:tc>
        <w:tc>
          <w:tcPr>
            <w:tcW w:w="6237" w:type="dxa"/>
          </w:tcPr>
          <w:p w:rsidR="0053123E" w:rsidRPr="00F837E7" w:rsidRDefault="0053123E" w:rsidP="00AB5F68">
            <w:pPr>
              <w:spacing w:after="120"/>
              <w:rPr>
                <w:rFonts w:ascii="Arial" w:hAnsi="Arial" w:cs="Arial"/>
              </w:rPr>
            </w:pPr>
            <w:r w:rsidRPr="00F837E7">
              <w:rPr>
                <w:rFonts w:ascii="Arial" w:hAnsi="Arial" w:cs="Arial"/>
              </w:rPr>
              <w:t>Actions under this initiative are reported on in this Annual Report.</w:t>
            </w:r>
          </w:p>
        </w:tc>
        <w:tc>
          <w:tcPr>
            <w:tcW w:w="1418" w:type="dxa"/>
          </w:tcPr>
          <w:p w:rsidR="0053123E" w:rsidRPr="00F837E7" w:rsidRDefault="0053123E" w:rsidP="00AB5F68">
            <w:pPr>
              <w:spacing w:after="120"/>
              <w:rPr>
                <w:rFonts w:ascii="Arial" w:hAnsi="Arial" w:cs="Arial"/>
              </w:rPr>
            </w:pPr>
            <w:r w:rsidRPr="00F837E7">
              <w:rPr>
                <w:rFonts w:ascii="Arial" w:hAnsi="Arial" w:cs="Arial"/>
              </w:rPr>
              <w:t xml:space="preserve">On track </w:t>
            </w:r>
          </w:p>
        </w:tc>
      </w:tr>
      <w:tr w:rsidR="0053123E" w:rsidRPr="00F837E7" w:rsidTr="00AB5F68">
        <w:tc>
          <w:tcPr>
            <w:tcW w:w="3227" w:type="dxa"/>
          </w:tcPr>
          <w:p w:rsidR="0053123E" w:rsidRPr="00AB5F68" w:rsidRDefault="0053123E" w:rsidP="00AB5F68">
            <w:pPr>
              <w:spacing w:after="120"/>
              <w:rPr>
                <w:rFonts w:ascii="Arial" w:eastAsia="Calibri" w:hAnsi="Arial" w:cs="Arial"/>
                <w:b/>
              </w:rPr>
            </w:pPr>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Scope options to more effectively manage the transfer of children and young people in child protection who relocate to a different State or Territory</w:t>
            </w:r>
          </w:p>
        </w:tc>
        <w:tc>
          <w:tcPr>
            <w:tcW w:w="6237" w:type="dxa"/>
          </w:tcPr>
          <w:p w:rsidR="0053123E" w:rsidRPr="00F837E7" w:rsidRDefault="0053123E" w:rsidP="00AB5F68">
            <w:pPr>
              <w:spacing w:after="120"/>
              <w:rPr>
                <w:rFonts w:ascii="Arial" w:hAnsi="Arial" w:cs="Arial"/>
              </w:rPr>
            </w:pPr>
            <w:r w:rsidRPr="00F837E7">
              <w:rPr>
                <w:rFonts w:ascii="Arial" w:hAnsi="Arial" w:cs="Arial"/>
              </w:rPr>
              <w:t>A project is currently being scoped to more effectively manage the transfer of children and young people in child protection who relocate to different states or territories. A focus of the project will be on the interface with the revision of the Protocol for the Transfer of Care and Protection Orders and Proceedings and Interstate Assistance.</w:t>
            </w:r>
          </w:p>
        </w:tc>
        <w:tc>
          <w:tcPr>
            <w:tcW w:w="1418" w:type="dxa"/>
          </w:tcPr>
          <w:p w:rsidR="0053123E" w:rsidRPr="00F837E7" w:rsidRDefault="0053123E" w:rsidP="00AB5F68">
            <w:pPr>
              <w:spacing w:after="120"/>
              <w:rPr>
                <w:rFonts w:ascii="Arial" w:hAnsi="Arial" w:cs="Arial"/>
              </w:rPr>
            </w:pPr>
            <w:r w:rsidRPr="00F837E7">
              <w:rPr>
                <w:rFonts w:ascii="Arial" w:hAnsi="Arial" w:cs="Arial"/>
              </w:rPr>
              <w:t>On track</w:t>
            </w:r>
          </w:p>
        </w:tc>
      </w:tr>
      <w:tr w:rsidR="0053123E" w:rsidRPr="00F837E7" w:rsidTr="00AB5F68">
        <w:tc>
          <w:tcPr>
            <w:tcW w:w="3227" w:type="dxa"/>
          </w:tcPr>
          <w:p w:rsidR="0053123E" w:rsidRPr="00AB5F68" w:rsidRDefault="0053123E" w:rsidP="00AB5F68">
            <w:pPr>
              <w:spacing w:after="120"/>
              <w:rPr>
                <w:rFonts w:ascii="Arial" w:hAnsi="Arial" w:cs="Arial"/>
                <w:b/>
              </w:rPr>
            </w:pPr>
            <w:bookmarkStart w:id="233" w:name="_Toc400007799"/>
            <w:r w:rsidRPr="00AB5F68">
              <w:rPr>
                <w:rFonts w:ascii="Arial" w:hAnsi="Arial" w:cs="Arial"/>
                <w:b/>
              </w:rPr>
              <w:t>Transitioning to Independence</w:t>
            </w:r>
            <w:bookmarkEnd w:id="233"/>
          </w:p>
        </w:tc>
        <w:tc>
          <w:tcPr>
            <w:tcW w:w="4819" w:type="dxa"/>
          </w:tcPr>
          <w:p w:rsidR="0053123E" w:rsidRPr="00F837E7" w:rsidRDefault="0053123E" w:rsidP="00AB5F68">
            <w:pPr>
              <w:spacing w:after="120"/>
              <w:rPr>
                <w:rFonts w:ascii="Arial" w:hAnsi="Arial" w:cs="Arial"/>
              </w:rPr>
            </w:pPr>
            <w:r w:rsidRPr="00F837E7">
              <w:rPr>
                <w:rFonts w:ascii="Arial" w:hAnsi="Arial" w:cs="Arial"/>
              </w:rPr>
              <w:t>Integrate support for young people leaving care that is tailored to their individual need and builds on a lifespan approach, including the Transition to Independent Living Allowance and State and Territory leaving care packages for care leavers</w:t>
            </w:r>
          </w:p>
        </w:tc>
        <w:tc>
          <w:tcPr>
            <w:tcW w:w="6237" w:type="dxa"/>
          </w:tcPr>
          <w:p w:rsidR="0053123E" w:rsidRPr="00F837E7" w:rsidRDefault="0053123E" w:rsidP="00AB5F68">
            <w:pPr>
              <w:spacing w:after="120"/>
              <w:rPr>
                <w:rFonts w:ascii="Arial" w:eastAsia="Calibri" w:hAnsi="Arial" w:cs="Arial"/>
              </w:rPr>
            </w:pPr>
            <w:r w:rsidRPr="00F837E7">
              <w:rPr>
                <w:rFonts w:ascii="Arial" w:eastAsia="Calibri" w:hAnsi="Arial" w:cs="Arial"/>
              </w:rPr>
              <w:t>The Australian Government is working closely with states and territories to embed TILA into their leaving care processes from January 2014.</w:t>
            </w:r>
          </w:p>
          <w:p w:rsidR="0053123E" w:rsidRPr="00F837E7" w:rsidRDefault="0053123E" w:rsidP="00AB5F68">
            <w:pPr>
              <w:spacing w:after="120"/>
              <w:rPr>
                <w:rFonts w:ascii="Arial" w:eastAsia="Calibri" w:hAnsi="Arial" w:cs="Arial"/>
              </w:rPr>
            </w:pPr>
            <w:r w:rsidRPr="00F837E7">
              <w:rPr>
                <w:rFonts w:ascii="Arial" w:eastAsia="Calibri" w:hAnsi="Arial" w:cs="Arial"/>
              </w:rPr>
              <w:t>This action will be progressed through the SCCDS Strategic Agenda priority project on service integration for vulnerable young people.</w:t>
            </w:r>
          </w:p>
        </w:tc>
        <w:tc>
          <w:tcPr>
            <w:tcW w:w="1418" w:type="dxa"/>
          </w:tcPr>
          <w:p w:rsidR="0053123E" w:rsidRPr="00F837E7" w:rsidRDefault="0053123E" w:rsidP="00AB5F68">
            <w:pPr>
              <w:spacing w:after="120"/>
              <w:rPr>
                <w:rFonts w:ascii="Arial" w:hAnsi="Arial" w:cs="Arial"/>
              </w:rPr>
            </w:pPr>
            <w:r w:rsidRPr="00F837E7">
              <w:rPr>
                <w:rFonts w:ascii="Arial" w:hAnsi="Arial" w:cs="Arial"/>
              </w:rPr>
              <w:t>On track</w:t>
            </w:r>
          </w:p>
        </w:tc>
      </w:tr>
      <w:tr w:rsidR="0053123E" w:rsidRPr="00F837E7" w:rsidTr="00AB5F68">
        <w:tc>
          <w:tcPr>
            <w:tcW w:w="3227" w:type="dxa"/>
          </w:tcPr>
          <w:p w:rsidR="0053123E" w:rsidRPr="00AB5F68" w:rsidRDefault="0053123E" w:rsidP="00AB5F68">
            <w:pPr>
              <w:spacing w:after="120"/>
              <w:rPr>
                <w:rFonts w:ascii="Arial" w:hAnsi="Arial" w:cs="Arial"/>
                <w:b/>
              </w:rPr>
            </w:pPr>
          </w:p>
        </w:tc>
        <w:tc>
          <w:tcPr>
            <w:tcW w:w="4819" w:type="dxa"/>
          </w:tcPr>
          <w:p w:rsidR="0053123E" w:rsidRPr="00F837E7" w:rsidRDefault="0053123E" w:rsidP="00AB5F68">
            <w:pPr>
              <w:spacing w:after="120"/>
              <w:rPr>
                <w:rFonts w:ascii="Arial" w:hAnsi="Arial" w:cs="Arial"/>
              </w:rPr>
            </w:pPr>
            <w:r w:rsidRPr="00F837E7">
              <w:rPr>
                <w:rFonts w:ascii="Arial" w:hAnsi="Arial" w:cs="Arial"/>
              </w:rPr>
              <w:t>Provide support and incentives that sustain engagement in school, and for young people leaving care, to help them overcome barriers to engaging in further education, employment and training</w:t>
            </w:r>
          </w:p>
        </w:tc>
        <w:tc>
          <w:tcPr>
            <w:tcW w:w="6237" w:type="dxa"/>
          </w:tcPr>
          <w:p w:rsidR="0053123E" w:rsidRPr="00F837E7" w:rsidRDefault="0053123E" w:rsidP="00AB5F68">
            <w:pPr>
              <w:spacing w:after="120"/>
              <w:rPr>
                <w:rFonts w:ascii="Arial" w:eastAsia="Calibri" w:hAnsi="Arial" w:cs="Arial"/>
              </w:rPr>
            </w:pPr>
            <w:r w:rsidRPr="00F837E7">
              <w:rPr>
                <w:rFonts w:ascii="Arial" w:eastAsia="Calibri" w:hAnsi="Arial" w:cs="Arial"/>
              </w:rPr>
              <w:t xml:space="preserve">States and territories have reported on actions under this initiative in this Annual Report. </w:t>
            </w:r>
          </w:p>
        </w:tc>
        <w:tc>
          <w:tcPr>
            <w:tcW w:w="1418" w:type="dxa"/>
          </w:tcPr>
          <w:p w:rsidR="0053123E" w:rsidRPr="00F837E7" w:rsidRDefault="0053123E" w:rsidP="00AB5F68">
            <w:pPr>
              <w:spacing w:after="120"/>
              <w:rPr>
                <w:rFonts w:ascii="Arial" w:hAnsi="Arial" w:cs="Arial"/>
              </w:rPr>
            </w:pPr>
            <w:r w:rsidRPr="00F837E7">
              <w:rPr>
                <w:rFonts w:ascii="Arial" w:hAnsi="Arial" w:cs="Arial"/>
              </w:rPr>
              <w:t>On track</w:t>
            </w:r>
          </w:p>
          <w:p w:rsidR="0053123E" w:rsidRPr="00F837E7" w:rsidRDefault="0053123E" w:rsidP="00AB5F68">
            <w:pPr>
              <w:spacing w:after="120"/>
              <w:rPr>
                <w:rFonts w:ascii="Arial" w:hAnsi="Arial" w:cs="Arial"/>
              </w:rPr>
            </w:pPr>
          </w:p>
        </w:tc>
      </w:tr>
      <w:tr w:rsidR="0053123E" w:rsidRPr="00F837E7" w:rsidTr="00AB5F68">
        <w:tc>
          <w:tcPr>
            <w:tcW w:w="3227" w:type="dxa"/>
          </w:tcPr>
          <w:p w:rsidR="0053123E" w:rsidRPr="00AB5F68" w:rsidRDefault="0053123E" w:rsidP="00AB5F68">
            <w:pPr>
              <w:spacing w:after="120"/>
              <w:rPr>
                <w:rFonts w:ascii="Arial" w:hAnsi="Arial" w:cs="Arial"/>
                <w:b/>
              </w:rPr>
            </w:pPr>
          </w:p>
        </w:tc>
        <w:tc>
          <w:tcPr>
            <w:tcW w:w="4819" w:type="dxa"/>
          </w:tcPr>
          <w:p w:rsidR="0053123E" w:rsidRPr="00F837E7" w:rsidRDefault="0053123E" w:rsidP="00AB5F68">
            <w:pPr>
              <w:spacing w:after="120"/>
              <w:rPr>
                <w:rFonts w:ascii="Arial" w:hAnsi="Arial" w:cs="Arial"/>
              </w:rPr>
            </w:pPr>
            <w:r w:rsidRPr="00F837E7">
              <w:rPr>
                <w:rFonts w:ascii="Arial" w:hAnsi="Arial" w:cs="Arial"/>
              </w:rPr>
              <w:t>Continue to implement practical mechanisms to ensure that there are appropriate housing options and supports for young people leaving care</w:t>
            </w:r>
          </w:p>
        </w:tc>
        <w:tc>
          <w:tcPr>
            <w:tcW w:w="6237" w:type="dxa"/>
          </w:tcPr>
          <w:p w:rsidR="0053123E" w:rsidRPr="00F837E7" w:rsidRDefault="0053123E" w:rsidP="00AB5F68">
            <w:pPr>
              <w:spacing w:after="120"/>
              <w:rPr>
                <w:rFonts w:ascii="Arial" w:eastAsia="Calibri" w:hAnsi="Arial" w:cs="Arial"/>
              </w:rPr>
            </w:pPr>
            <w:r w:rsidRPr="00F837E7">
              <w:rPr>
                <w:rFonts w:ascii="Arial" w:eastAsia="Calibri" w:hAnsi="Arial" w:cs="Arial"/>
              </w:rPr>
              <w:t>Ongoing housing and support services continue to be delivered across states and territories, and these are reported on in Chapter six of this Annual Report.</w:t>
            </w:r>
          </w:p>
          <w:p w:rsidR="0053123E" w:rsidRPr="00F837E7" w:rsidRDefault="0053123E" w:rsidP="00AB5F68">
            <w:pPr>
              <w:spacing w:after="120"/>
              <w:rPr>
                <w:rFonts w:ascii="Arial" w:eastAsia="Calibri" w:hAnsi="Arial" w:cs="Arial"/>
              </w:rPr>
            </w:pPr>
            <w:r w:rsidRPr="00F837E7">
              <w:rPr>
                <w:rFonts w:ascii="Arial" w:eastAsia="Calibri" w:hAnsi="Arial" w:cs="Arial"/>
              </w:rPr>
              <w:t>This action will be progressed through the SCCDS Strategic Agenda priority project on service integration for vulnerable young people.</w:t>
            </w:r>
          </w:p>
        </w:tc>
        <w:tc>
          <w:tcPr>
            <w:tcW w:w="1418" w:type="dxa"/>
          </w:tcPr>
          <w:p w:rsidR="0053123E" w:rsidRPr="00F837E7" w:rsidRDefault="0053123E" w:rsidP="00AB5F68">
            <w:pPr>
              <w:spacing w:after="120"/>
              <w:rPr>
                <w:rFonts w:ascii="Arial" w:hAnsi="Arial" w:cs="Arial"/>
              </w:rPr>
            </w:pPr>
            <w:r w:rsidRPr="00F837E7">
              <w:rPr>
                <w:rFonts w:ascii="Arial" w:hAnsi="Arial" w:cs="Arial"/>
              </w:rPr>
              <w:t>On track</w:t>
            </w:r>
          </w:p>
        </w:tc>
      </w:tr>
      <w:tr w:rsidR="0053123E" w:rsidRPr="00F837E7" w:rsidTr="00AB5F68">
        <w:tc>
          <w:tcPr>
            <w:tcW w:w="3227" w:type="dxa"/>
          </w:tcPr>
          <w:p w:rsidR="0053123E" w:rsidRPr="00AB5F68" w:rsidRDefault="0053123E" w:rsidP="00AB5F68">
            <w:pPr>
              <w:spacing w:after="120"/>
              <w:rPr>
                <w:rFonts w:ascii="Arial" w:hAnsi="Arial" w:cs="Arial"/>
                <w:b/>
              </w:rPr>
            </w:pPr>
          </w:p>
        </w:tc>
        <w:tc>
          <w:tcPr>
            <w:tcW w:w="4819" w:type="dxa"/>
          </w:tcPr>
          <w:p w:rsidR="0053123E" w:rsidRPr="00F837E7" w:rsidRDefault="0053123E" w:rsidP="00AB5F68">
            <w:pPr>
              <w:spacing w:after="120"/>
              <w:rPr>
                <w:rFonts w:ascii="Arial" w:hAnsi="Arial" w:cs="Arial"/>
              </w:rPr>
            </w:pPr>
            <w:r w:rsidRPr="00F837E7">
              <w:rPr>
                <w:rFonts w:ascii="Arial" w:hAnsi="Arial" w:cs="Arial"/>
              </w:rPr>
              <w:t>Identify and disseminate information on best practice housing models for young people leaving care, including through a literature review of current best practice models</w:t>
            </w:r>
          </w:p>
        </w:tc>
        <w:tc>
          <w:tcPr>
            <w:tcW w:w="6237" w:type="dxa"/>
          </w:tcPr>
          <w:p w:rsidR="0053123E" w:rsidRPr="00F837E7" w:rsidRDefault="0053123E" w:rsidP="00AB5F68">
            <w:pPr>
              <w:spacing w:after="120"/>
              <w:rPr>
                <w:rFonts w:ascii="Arial" w:eastAsia="Calibri" w:hAnsi="Arial" w:cs="Arial"/>
              </w:rPr>
            </w:pPr>
            <w:r w:rsidRPr="00F837E7">
              <w:rPr>
                <w:rFonts w:ascii="Arial" w:eastAsia="Calibri" w:hAnsi="Arial" w:cs="Arial"/>
              </w:rPr>
              <w:t>This action will be progressed through the SCCDS Strategic Agenda priority project on service integration for vulnerable young people.</w:t>
            </w:r>
          </w:p>
        </w:tc>
        <w:tc>
          <w:tcPr>
            <w:tcW w:w="1418" w:type="dxa"/>
          </w:tcPr>
          <w:p w:rsidR="0053123E" w:rsidRPr="00F837E7" w:rsidRDefault="0053123E" w:rsidP="00AB5F68">
            <w:pPr>
              <w:spacing w:after="120"/>
              <w:rPr>
                <w:rFonts w:ascii="Arial" w:hAnsi="Arial" w:cs="Arial"/>
              </w:rPr>
            </w:pPr>
            <w:r w:rsidRPr="00F837E7">
              <w:rPr>
                <w:rFonts w:ascii="Arial" w:hAnsi="Arial" w:cs="Arial"/>
              </w:rPr>
              <w:t>On track</w:t>
            </w:r>
          </w:p>
        </w:tc>
      </w:tr>
      <w:tr w:rsidR="0053123E" w:rsidRPr="00F837E7" w:rsidTr="00AB5F68">
        <w:tc>
          <w:tcPr>
            <w:tcW w:w="3227" w:type="dxa"/>
          </w:tcPr>
          <w:p w:rsidR="0053123E" w:rsidRPr="00AB5F68" w:rsidRDefault="0053123E" w:rsidP="00AB5F68">
            <w:pPr>
              <w:spacing w:after="120"/>
              <w:rPr>
                <w:rFonts w:ascii="Arial" w:hAnsi="Arial" w:cs="Arial"/>
                <w:b/>
              </w:rPr>
            </w:pPr>
          </w:p>
        </w:tc>
        <w:tc>
          <w:tcPr>
            <w:tcW w:w="4819" w:type="dxa"/>
          </w:tcPr>
          <w:p w:rsidR="0053123E" w:rsidRPr="00F837E7" w:rsidRDefault="0053123E" w:rsidP="00AB5F68">
            <w:pPr>
              <w:spacing w:after="120"/>
              <w:rPr>
                <w:rFonts w:ascii="Arial" w:hAnsi="Arial" w:cs="Arial"/>
              </w:rPr>
            </w:pPr>
            <w:r w:rsidRPr="00F837E7">
              <w:rPr>
                <w:rFonts w:ascii="Arial" w:hAnsi="Arial" w:cs="Arial"/>
              </w:rPr>
              <w:t>Explore options for community mentoring programs for children and young people who are soon to be transitioning from out-of-home care to build enduring support bases and facilitate ongoing positive engagement in the community</w:t>
            </w:r>
          </w:p>
        </w:tc>
        <w:tc>
          <w:tcPr>
            <w:tcW w:w="6237" w:type="dxa"/>
          </w:tcPr>
          <w:p w:rsidR="0053123E" w:rsidRPr="00F837E7" w:rsidRDefault="0053123E" w:rsidP="00AB5F68">
            <w:pPr>
              <w:spacing w:after="120"/>
              <w:rPr>
                <w:rFonts w:ascii="Arial" w:eastAsia="Calibri" w:hAnsi="Arial" w:cs="Arial"/>
              </w:rPr>
            </w:pPr>
            <w:r w:rsidRPr="00F837E7">
              <w:rPr>
                <w:rFonts w:ascii="Arial" w:eastAsia="Calibri" w:hAnsi="Arial" w:cs="Arial"/>
              </w:rPr>
              <w:t>Work on this action will be progressed in 2014.</w:t>
            </w:r>
          </w:p>
        </w:tc>
        <w:tc>
          <w:tcPr>
            <w:tcW w:w="1418" w:type="dxa"/>
          </w:tcPr>
          <w:p w:rsidR="0053123E" w:rsidRPr="00F837E7" w:rsidRDefault="0053123E" w:rsidP="00AB5F68">
            <w:pPr>
              <w:spacing w:after="120"/>
              <w:rPr>
                <w:rFonts w:ascii="Arial" w:hAnsi="Arial" w:cs="Arial"/>
              </w:rPr>
            </w:pPr>
            <w:r w:rsidRPr="00F837E7">
              <w:rPr>
                <w:rFonts w:ascii="Arial" w:hAnsi="Arial" w:cs="Arial"/>
              </w:rPr>
              <w:t>On track</w:t>
            </w:r>
          </w:p>
        </w:tc>
      </w:tr>
      <w:tr w:rsidR="0053123E" w:rsidRPr="00F837E7" w:rsidTr="00AB5F68">
        <w:tc>
          <w:tcPr>
            <w:tcW w:w="3227" w:type="dxa"/>
          </w:tcPr>
          <w:p w:rsidR="0053123E" w:rsidRPr="00AB5F68" w:rsidRDefault="0053123E" w:rsidP="00AB5F68">
            <w:pPr>
              <w:spacing w:after="120"/>
              <w:rPr>
                <w:rFonts w:ascii="Arial" w:hAnsi="Arial" w:cs="Arial"/>
                <w:b/>
              </w:rPr>
            </w:pPr>
            <w:bookmarkStart w:id="234" w:name="_Toc400007800"/>
            <w:r w:rsidRPr="00AB5F68">
              <w:rPr>
                <w:rFonts w:ascii="Arial" w:hAnsi="Arial" w:cs="Arial"/>
                <w:b/>
              </w:rPr>
              <w:t>Joining up Service Delivery</w:t>
            </w:r>
            <w:bookmarkEnd w:id="234"/>
          </w:p>
        </w:tc>
        <w:tc>
          <w:tcPr>
            <w:tcW w:w="4819" w:type="dxa"/>
          </w:tcPr>
          <w:p w:rsidR="0053123E" w:rsidRPr="00F837E7" w:rsidRDefault="0053123E" w:rsidP="00AB5F68">
            <w:pPr>
              <w:spacing w:after="120"/>
              <w:rPr>
                <w:rFonts w:ascii="Arial" w:hAnsi="Arial" w:cs="Arial"/>
              </w:rPr>
            </w:pPr>
            <w:r w:rsidRPr="00F837E7">
              <w:rPr>
                <w:rFonts w:ascii="Arial" w:hAnsi="Arial" w:cs="Arial"/>
              </w:rPr>
              <w:t xml:space="preserve">Trial locally based strategies for working with households with complex needs with a cost benefit analysis to inform future service models </w:t>
            </w:r>
          </w:p>
        </w:tc>
        <w:tc>
          <w:tcPr>
            <w:tcW w:w="6237" w:type="dxa"/>
          </w:tcPr>
          <w:p w:rsidR="0053123E" w:rsidRPr="00F837E7" w:rsidRDefault="0053123E" w:rsidP="00AB5F68">
            <w:pPr>
              <w:spacing w:after="120"/>
              <w:rPr>
                <w:rFonts w:ascii="Arial" w:hAnsi="Arial" w:cs="Arial"/>
              </w:rPr>
            </w:pPr>
            <w:r w:rsidRPr="00F837E7">
              <w:rPr>
                <w:rFonts w:ascii="Arial" w:hAnsi="Arial" w:cs="Arial"/>
              </w:rPr>
              <w:t xml:space="preserve">States and territories have implemented initiatives, which include Indigenous and CALD communities, under this action. </w:t>
            </w:r>
          </w:p>
        </w:tc>
        <w:tc>
          <w:tcPr>
            <w:tcW w:w="1418" w:type="dxa"/>
          </w:tcPr>
          <w:p w:rsidR="0053123E" w:rsidRPr="00F837E7" w:rsidRDefault="0053123E" w:rsidP="00AB5F68">
            <w:pPr>
              <w:spacing w:after="120"/>
              <w:rPr>
                <w:rFonts w:ascii="Arial" w:hAnsi="Arial" w:cs="Arial"/>
              </w:rPr>
            </w:pPr>
            <w:r w:rsidRPr="00F837E7">
              <w:rPr>
                <w:rFonts w:ascii="Arial" w:hAnsi="Arial" w:cs="Arial"/>
              </w:rPr>
              <w:t>On track</w:t>
            </w:r>
          </w:p>
        </w:tc>
      </w:tr>
      <w:tr w:rsidR="0053123E" w:rsidRPr="00F837E7" w:rsidTr="00AB5F68">
        <w:tc>
          <w:tcPr>
            <w:tcW w:w="3227" w:type="dxa"/>
          </w:tcPr>
          <w:p w:rsidR="0053123E" w:rsidRPr="00AB5F68" w:rsidRDefault="0053123E" w:rsidP="00AB5F68">
            <w:pPr>
              <w:spacing w:after="120"/>
              <w:rPr>
                <w:rFonts w:ascii="Arial" w:eastAsia="Calibri" w:hAnsi="Arial" w:cs="Arial"/>
                <w:b/>
              </w:rPr>
            </w:pPr>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Develop local initiatives based on person-centred approaches through localised pilots of pooled funds</w:t>
            </w:r>
          </w:p>
        </w:tc>
        <w:tc>
          <w:tcPr>
            <w:tcW w:w="6237" w:type="dxa"/>
          </w:tcPr>
          <w:p w:rsidR="0053123E" w:rsidRPr="00F837E7" w:rsidRDefault="0053123E" w:rsidP="00AB5F68">
            <w:pPr>
              <w:spacing w:after="120"/>
              <w:rPr>
                <w:rFonts w:ascii="Arial" w:hAnsi="Arial" w:cs="Arial"/>
              </w:rPr>
            </w:pPr>
            <w:r w:rsidRPr="00F837E7">
              <w:rPr>
                <w:rFonts w:ascii="Arial" w:hAnsi="Arial" w:cs="Arial"/>
              </w:rPr>
              <w:t xml:space="preserve">See comments above. </w:t>
            </w:r>
          </w:p>
        </w:tc>
        <w:tc>
          <w:tcPr>
            <w:tcW w:w="1418" w:type="dxa"/>
          </w:tcPr>
          <w:p w:rsidR="0053123E" w:rsidRPr="00F837E7" w:rsidRDefault="0053123E" w:rsidP="00AB5F68">
            <w:pPr>
              <w:spacing w:after="120"/>
              <w:rPr>
                <w:rFonts w:ascii="Arial" w:hAnsi="Arial" w:cs="Arial"/>
              </w:rPr>
            </w:pPr>
          </w:p>
        </w:tc>
      </w:tr>
      <w:tr w:rsidR="0053123E" w:rsidRPr="00F837E7" w:rsidTr="00AB5F68">
        <w:tc>
          <w:tcPr>
            <w:tcW w:w="3227" w:type="dxa"/>
          </w:tcPr>
          <w:p w:rsidR="0053123E" w:rsidRPr="00AB5F68" w:rsidRDefault="0053123E" w:rsidP="00AB5F68">
            <w:pPr>
              <w:spacing w:after="120"/>
              <w:rPr>
                <w:rFonts w:ascii="Arial" w:eastAsia="Calibri" w:hAnsi="Arial" w:cs="Arial"/>
                <w:b/>
              </w:rPr>
            </w:pPr>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Develop and implement local place-based initiatives to support the safety and wellbeing of children in Indigenous communities in the Northern Territory</w:t>
            </w:r>
          </w:p>
        </w:tc>
        <w:tc>
          <w:tcPr>
            <w:tcW w:w="6237" w:type="dxa"/>
          </w:tcPr>
          <w:p w:rsidR="0053123E" w:rsidRPr="00F837E7" w:rsidRDefault="0053123E" w:rsidP="00AB5F68">
            <w:pPr>
              <w:spacing w:after="120"/>
              <w:rPr>
                <w:rFonts w:ascii="Arial" w:hAnsi="Arial" w:cs="Arial"/>
              </w:rPr>
            </w:pPr>
            <w:r w:rsidRPr="00F837E7">
              <w:rPr>
                <w:rFonts w:ascii="Arial" w:hAnsi="Arial" w:cs="Arial"/>
              </w:rPr>
              <w:t>The rollout of the Child Health and Wellbeing package to the first five Communities for Children sites commenced from July 2013.</w:t>
            </w:r>
          </w:p>
        </w:tc>
        <w:tc>
          <w:tcPr>
            <w:tcW w:w="1418" w:type="dxa"/>
          </w:tcPr>
          <w:p w:rsidR="0053123E" w:rsidRPr="00F837E7" w:rsidRDefault="0053123E" w:rsidP="00AB5F68">
            <w:pPr>
              <w:spacing w:after="120"/>
              <w:rPr>
                <w:rFonts w:ascii="Arial" w:hAnsi="Arial" w:cs="Arial"/>
              </w:rPr>
            </w:pPr>
            <w:r w:rsidRPr="00F837E7">
              <w:rPr>
                <w:rFonts w:ascii="Arial" w:hAnsi="Arial" w:cs="Arial"/>
              </w:rPr>
              <w:t>Completed</w:t>
            </w:r>
          </w:p>
        </w:tc>
      </w:tr>
      <w:tr w:rsidR="0053123E" w:rsidRPr="00F837E7" w:rsidTr="00AB5F68">
        <w:tc>
          <w:tcPr>
            <w:tcW w:w="3227" w:type="dxa"/>
          </w:tcPr>
          <w:p w:rsidR="0053123E" w:rsidRPr="00AB5F68" w:rsidRDefault="0053123E" w:rsidP="00AB5F68">
            <w:pPr>
              <w:spacing w:after="120"/>
              <w:rPr>
                <w:rFonts w:ascii="Arial" w:eastAsia="Calibri" w:hAnsi="Arial" w:cs="Arial"/>
                <w:b/>
              </w:rPr>
            </w:pPr>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Develop approaches and support responses through collaboration with Mental Health, Drug and Alcohol and Domestic and Family Violence Services in a way that focuses on eliminating violence and retaining a vulnerable child at risk within a strengthened family unit </w:t>
            </w:r>
          </w:p>
        </w:tc>
        <w:tc>
          <w:tcPr>
            <w:tcW w:w="6237" w:type="dxa"/>
          </w:tcPr>
          <w:p w:rsidR="0053123E" w:rsidRPr="00F837E7" w:rsidRDefault="0053123E" w:rsidP="00AB5F68">
            <w:pPr>
              <w:spacing w:after="120"/>
              <w:rPr>
                <w:rFonts w:ascii="Arial" w:hAnsi="Arial" w:cs="Arial"/>
              </w:rPr>
            </w:pPr>
            <w:r w:rsidRPr="00F837E7">
              <w:rPr>
                <w:rFonts w:ascii="Arial" w:hAnsi="Arial" w:cs="Arial"/>
              </w:rPr>
              <w:t>Work on establishing collaborative mechanisms with other Ministerial Councils and working groups will begin later in 2013, commencing with the identification of intersecting Ministerial Councils, plans and frameworks.</w:t>
            </w:r>
          </w:p>
          <w:p w:rsidR="0053123E" w:rsidRPr="00F837E7" w:rsidRDefault="0053123E" w:rsidP="00AB5F68">
            <w:pPr>
              <w:spacing w:after="120"/>
              <w:rPr>
                <w:rFonts w:ascii="Arial" w:hAnsi="Arial" w:cs="Arial"/>
              </w:rPr>
            </w:pPr>
            <w:r w:rsidRPr="00F837E7">
              <w:rPr>
                <w:rFonts w:ascii="Arial" w:hAnsi="Arial" w:cs="Arial"/>
              </w:rPr>
              <w:t>The BCBB program currently delivers child and family-sensitive practice training in adult services. Further opportunities to increase the focus of Mental Health, Drug and Alcohol and Domestic and Family Violence Services on supporting children at risk will be progressed later in 2013.</w:t>
            </w:r>
          </w:p>
        </w:tc>
        <w:tc>
          <w:tcPr>
            <w:tcW w:w="1418" w:type="dxa"/>
          </w:tcPr>
          <w:p w:rsidR="0053123E" w:rsidRPr="00F837E7" w:rsidRDefault="0053123E" w:rsidP="00AB5F68">
            <w:pPr>
              <w:spacing w:after="120"/>
              <w:rPr>
                <w:rFonts w:ascii="Arial" w:hAnsi="Arial" w:cs="Arial"/>
              </w:rPr>
            </w:pPr>
            <w:r w:rsidRPr="00F837E7">
              <w:rPr>
                <w:rFonts w:ascii="Arial" w:hAnsi="Arial" w:cs="Arial"/>
              </w:rPr>
              <w:t>On track</w:t>
            </w:r>
          </w:p>
          <w:p w:rsidR="0053123E" w:rsidRPr="00F837E7" w:rsidRDefault="0053123E" w:rsidP="00AB5F68">
            <w:pPr>
              <w:spacing w:after="120"/>
              <w:rPr>
                <w:rFonts w:ascii="Arial" w:hAnsi="Arial" w:cs="Arial"/>
              </w:rPr>
            </w:pPr>
          </w:p>
        </w:tc>
      </w:tr>
      <w:tr w:rsidR="0053123E" w:rsidRPr="00F837E7" w:rsidTr="00AB5F68">
        <w:tc>
          <w:tcPr>
            <w:tcW w:w="3227" w:type="dxa"/>
          </w:tcPr>
          <w:p w:rsidR="0053123E" w:rsidRPr="00AB5F68" w:rsidRDefault="0053123E" w:rsidP="00AB5F68">
            <w:pPr>
              <w:spacing w:after="120"/>
              <w:rPr>
                <w:rFonts w:ascii="Arial" w:eastAsia="Calibri" w:hAnsi="Arial" w:cs="Arial"/>
                <w:b/>
              </w:rPr>
            </w:pPr>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Identify and share best practice in Child Aware Approaches to promote a better understanding of the relationship between the risk factors for child abuse and neglect</w:t>
            </w:r>
          </w:p>
        </w:tc>
        <w:tc>
          <w:tcPr>
            <w:tcW w:w="6237" w:type="dxa"/>
          </w:tcPr>
          <w:p w:rsidR="0053123E" w:rsidRPr="00F837E7" w:rsidRDefault="0053123E" w:rsidP="00AB5F68">
            <w:pPr>
              <w:spacing w:after="120"/>
              <w:rPr>
                <w:rFonts w:ascii="Arial" w:hAnsi="Arial" w:cs="Arial"/>
              </w:rPr>
            </w:pPr>
            <w:r w:rsidRPr="00F837E7">
              <w:rPr>
                <w:rFonts w:ascii="Arial" w:hAnsi="Arial" w:cs="Arial"/>
              </w:rPr>
              <w:t xml:space="preserve">The inaugural Child Aware Approaches Conference was held on 11–12 April 2013. The conference proceedings were disseminated via the </w:t>
            </w:r>
            <w:hyperlink r:id="rId38" w:history="1">
              <w:r w:rsidRPr="00F837E7">
                <w:rPr>
                  <w:rStyle w:val="Hyperlink"/>
                  <w:rFonts w:ascii="Arial" w:hAnsi="Arial" w:cs="Arial"/>
                </w:rPr>
                <w:t>Families Australia</w:t>
              </w:r>
            </w:hyperlink>
            <w:r w:rsidRPr="00F837E7">
              <w:rPr>
                <w:rFonts w:ascii="Arial" w:hAnsi="Arial" w:cs="Arial"/>
              </w:rPr>
              <w:t xml:space="preserve"> website.</w:t>
            </w:r>
          </w:p>
          <w:p w:rsidR="0053123E" w:rsidRPr="00F837E7" w:rsidRDefault="0053123E" w:rsidP="00AB5F68">
            <w:pPr>
              <w:spacing w:after="120"/>
              <w:rPr>
                <w:rFonts w:ascii="Arial" w:hAnsi="Arial" w:cs="Arial"/>
              </w:rPr>
            </w:pPr>
            <w:r w:rsidRPr="00F837E7">
              <w:rPr>
                <w:rFonts w:ascii="Arial" w:hAnsi="Arial" w:cs="Arial"/>
              </w:rPr>
              <w:t>The Child Aware Approaches website was developed, and is maintained, by Families Australia.</w:t>
            </w:r>
          </w:p>
          <w:p w:rsidR="0053123E" w:rsidRPr="00F837E7" w:rsidRDefault="0053123E" w:rsidP="00AB5F68">
            <w:pPr>
              <w:spacing w:after="120"/>
              <w:rPr>
                <w:rFonts w:ascii="Arial" w:hAnsi="Arial" w:cs="Arial"/>
              </w:rPr>
            </w:pPr>
            <w:r w:rsidRPr="00F837E7">
              <w:rPr>
                <w:rFonts w:ascii="Arial" w:hAnsi="Arial" w:cs="Arial"/>
              </w:rPr>
              <w:t>The Australian Institute of Family Studies, Families Australia, the community sector and Australian, state and territory governments are working together to develop a Good Practice Guide to Child Aware Approaches and a set of child-aware principles, to be released in early 2014.</w:t>
            </w:r>
          </w:p>
        </w:tc>
        <w:tc>
          <w:tcPr>
            <w:tcW w:w="1418" w:type="dxa"/>
          </w:tcPr>
          <w:p w:rsidR="0053123E" w:rsidRPr="00F837E7" w:rsidRDefault="0053123E" w:rsidP="00AB5F68">
            <w:pPr>
              <w:spacing w:after="120"/>
              <w:rPr>
                <w:rFonts w:ascii="Arial" w:hAnsi="Arial" w:cs="Arial"/>
              </w:rPr>
            </w:pPr>
            <w:r w:rsidRPr="00F837E7">
              <w:rPr>
                <w:rFonts w:ascii="Arial" w:hAnsi="Arial" w:cs="Arial"/>
              </w:rPr>
              <w:t>Completed</w:t>
            </w:r>
          </w:p>
          <w:p w:rsidR="0053123E" w:rsidRPr="00F837E7" w:rsidRDefault="0053123E" w:rsidP="00AB5F68">
            <w:pPr>
              <w:spacing w:after="120"/>
              <w:rPr>
                <w:rFonts w:ascii="Arial" w:hAnsi="Arial" w:cs="Arial"/>
              </w:rPr>
            </w:pPr>
          </w:p>
        </w:tc>
      </w:tr>
      <w:tr w:rsidR="0053123E" w:rsidRPr="00F837E7" w:rsidTr="00AB5F68">
        <w:tc>
          <w:tcPr>
            <w:tcW w:w="3227" w:type="dxa"/>
          </w:tcPr>
          <w:p w:rsidR="0053123E" w:rsidRPr="00AB5F68" w:rsidRDefault="0053123E" w:rsidP="00AB5F68">
            <w:pPr>
              <w:spacing w:after="120"/>
              <w:rPr>
                <w:rFonts w:ascii="Arial" w:eastAsia="Calibri" w:hAnsi="Arial" w:cs="Arial"/>
                <w:b/>
              </w:rPr>
            </w:pPr>
          </w:p>
        </w:tc>
        <w:tc>
          <w:tcPr>
            <w:tcW w:w="4819" w:type="dxa"/>
          </w:tcPr>
          <w:p w:rsidR="0053123E" w:rsidRPr="00F837E7" w:rsidRDefault="0053123E" w:rsidP="00AB5F68">
            <w:pPr>
              <w:spacing w:after="120"/>
              <w:rPr>
                <w:rFonts w:ascii="Arial" w:eastAsia="Calibri" w:hAnsi="Arial" w:cs="Arial"/>
              </w:rPr>
            </w:pPr>
            <w:r w:rsidRPr="00F837E7">
              <w:rPr>
                <w:rFonts w:ascii="Arial" w:eastAsia="Calibri" w:hAnsi="Arial" w:cs="Arial"/>
              </w:rPr>
              <w:t>Coordinate service supports between the Australian Government Department of Human Services and statutory child protection agencies</w:t>
            </w:r>
          </w:p>
        </w:tc>
        <w:tc>
          <w:tcPr>
            <w:tcW w:w="6237" w:type="dxa"/>
          </w:tcPr>
          <w:p w:rsidR="0053123E" w:rsidRPr="00F837E7" w:rsidRDefault="0053123E" w:rsidP="00AB5F68">
            <w:pPr>
              <w:spacing w:after="120"/>
              <w:rPr>
                <w:rFonts w:ascii="Arial" w:hAnsi="Arial" w:cs="Arial"/>
              </w:rPr>
            </w:pPr>
            <w:r w:rsidRPr="00F837E7">
              <w:rPr>
                <w:rFonts w:ascii="Arial" w:hAnsi="Arial" w:cs="Arial"/>
              </w:rPr>
              <w:t>States and territories have implemented initiatives under this action.</w:t>
            </w:r>
          </w:p>
        </w:tc>
        <w:tc>
          <w:tcPr>
            <w:tcW w:w="1418" w:type="dxa"/>
          </w:tcPr>
          <w:p w:rsidR="0053123E" w:rsidRPr="00F837E7" w:rsidRDefault="0053123E"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eastAsia="Calibri" w:hAnsi="Arial" w:cs="Arial"/>
                <w:b/>
              </w:rPr>
            </w:pPr>
            <w:bookmarkStart w:id="235" w:name="_Toc400007801"/>
            <w:r w:rsidRPr="00AB5F68">
              <w:rPr>
                <w:rFonts w:ascii="Arial" w:hAnsi="Arial" w:cs="Arial"/>
                <w:b/>
              </w:rPr>
              <w:t>Closing the Gap</w:t>
            </w:r>
            <w:bookmarkEnd w:id="235"/>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Explore collaborative approaches to child safety and wellbeing where children and families move between jurisdictions, particularly in Western Australia, South Australia and the Northern Territory</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Scoping work on the Cross Border Project has been completed, and significant progress has been made to implement options to improve collaborative approaches to protecting children across jurisdictions. This work includes establishing a Cross Border Operational Group, reviewing the Interstate Protocols’ Operational Procedures, focusing on the APY Lands practice issues and progressing work to enable cross-border carer assessment recognition and to explore emergency reciprocal delegation arrangements.</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eastAsia="Calibri"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Build the capacity of Aboriginal and Torres Strait Islander organisations through partnerships with mainstream providers</w:t>
            </w:r>
          </w:p>
        </w:tc>
        <w:tc>
          <w:tcPr>
            <w:tcW w:w="6237" w:type="dxa"/>
          </w:tcPr>
          <w:p w:rsidR="007B592A" w:rsidRPr="00F837E7" w:rsidRDefault="007B592A" w:rsidP="00AB5F68">
            <w:pPr>
              <w:spacing w:after="120"/>
              <w:rPr>
                <w:rFonts w:ascii="Arial" w:hAnsi="Arial" w:cs="Arial"/>
              </w:rPr>
            </w:pPr>
            <w:r w:rsidRPr="00F837E7">
              <w:rPr>
                <w:rFonts w:ascii="Arial" w:hAnsi="Arial" w:cs="Arial"/>
              </w:rPr>
              <w:t>Analysis and scoping work has commenced to identify state and territory strategic directions and current or planned initiatives to build the capacity of Aboriginal and Torres Strait Islander organisations through partnerships with mainstream providers.</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eastAsia="Calibri"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Work towards building a community development approach to child protection in remote Indigenous communities</w:t>
            </w:r>
          </w:p>
        </w:tc>
        <w:tc>
          <w:tcPr>
            <w:tcW w:w="6237" w:type="dxa"/>
          </w:tcPr>
          <w:p w:rsidR="007B592A" w:rsidRPr="00F837E7" w:rsidRDefault="007B592A" w:rsidP="00AB5F68">
            <w:pPr>
              <w:spacing w:after="120"/>
              <w:rPr>
                <w:rFonts w:ascii="Arial" w:hAnsi="Arial" w:cs="Arial"/>
              </w:rPr>
            </w:pPr>
            <w:r w:rsidRPr="00F837E7">
              <w:rPr>
                <w:rFonts w:ascii="Arial" w:hAnsi="Arial" w:cs="Arial"/>
              </w:rPr>
              <w:t xml:space="preserve">In February 2013, DSS visited 10 communities in the Northern Territory to discuss potential sites for the </w:t>
            </w:r>
            <w:proofErr w:type="spellStart"/>
            <w:r w:rsidRPr="00F837E7">
              <w:rPr>
                <w:rFonts w:ascii="Arial" w:hAnsi="Arial" w:cs="Arial"/>
              </w:rPr>
              <w:t>SCfC</w:t>
            </w:r>
            <w:proofErr w:type="spellEnd"/>
            <w:r w:rsidRPr="00F837E7">
              <w:rPr>
                <w:rFonts w:ascii="Arial" w:hAnsi="Arial" w:cs="Arial"/>
              </w:rPr>
              <w:t xml:space="preserve"> program. Following these visits, the first five communities to implement the </w:t>
            </w:r>
            <w:proofErr w:type="spellStart"/>
            <w:r w:rsidRPr="00F837E7">
              <w:rPr>
                <w:rFonts w:ascii="Arial" w:hAnsi="Arial" w:cs="Arial"/>
              </w:rPr>
              <w:t>SCfC</w:t>
            </w:r>
            <w:proofErr w:type="spellEnd"/>
            <w:r w:rsidRPr="00F837E7">
              <w:rPr>
                <w:rFonts w:ascii="Arial" w:hAnsi="Arial" w:cs="Arial"/>
              </w:rPr>
              <w:t xml:space="preserve"> program from July 2013 were chosen. These are Ngukurr, Santa Teresa, </w:t>
            </w:r>
            <w:proofErr w:type="spellStart"/>
            <w:r w:rsidRPr="00F837E7">
              <w:rPr>
                <w:rFonts w:ascii="Arial" w:hAnsi="Arial" w:cs="Arial"/>
              </w:rPr>
              <w:t>Ntaria</w:t>
            </w:r>
            <w:proofErr w:type="spellEnd"/>
            <w:r w:rsidRPr="00F837E7">
              <w:rPr>
                <w:rFonts w:ascii="Arial" w:hAnsi="Arial" w:cs="Arial"/>
              </w:rPr>
              <w:t xml:space="preserve">, Wadeye and Galiwinku. The next five communities to implement the </w:t>
            </w:r>
            <w:proofErr w:type="spellStart"/>
            <w:r w:rsidRPr="00F837E7">
              <w:rPr>
                <w:rFonts w:ascii="Arial" w:hAnsi="Arial" w:cs="Arial"/>
              </w:rPr>
              <w:t>SCfC</w:t>
            </w:r>
            <w:proofErr w:type="spellEnd"/>
            <w:r w:rsidRPr="00F837E7">
              <w:rPr>
                <w:rFonts w:ascii="Arial" w:hAnsi="Arial" w:cs="Arial"/>
              </w:rPr>
              <w:t xml:space="preserve"> program, currently scheduled from July 2014, are </w:t>
            </w:r>
            <w:proofErr w:type="spellStart"/>
            <w:r w:rsidRPr="00F837E7">
              <w:rPr>
                <w:rFonts w:ascii="Arial" w:hAnsi="Arial" w:cs="Arial"/>
              </w:rPr>
              <w:t>Gunbalanya</w:t>
            </w:r>
            <w:proofErr w:type="spellEnd"/>
            <w:r w:rsidRPr="00F837E7">
              <w:rPr>
                <w:rFonts w:ascii="Arial" w:hAnsi="Arial" w:cs="Arial"/>
              </w:rPr>
              <w:t xml:space="preserve">, Lajamanu, Maningrida, Utopia Homelands and </w:t>
            </w:r>
            <w:proofErr w:type="spellStart"/>
            <w:r w:rsidRPr="00F837E7">
              <w:rPr>
                <w:rFonts w:ascii="Arial" w:hAnsi="Arial" w:cs="Arial"/>
              </w:rPr>
              <w:t>Engawala</w:t>
            </w:r>
            <w:proofErr w:type="spellEnd"/>
            <w:r w:rsidRPr="00F837E7">
              <w:rPr>
                <w:rFonts w:ascii="Arial" w:hAnsi="Arial" w:cs="Arial"/>
              </w:rPr>
              <w:t>.</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eastAsia="Calibri"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Share strategies to encourage Indigenous people to work in child protection and family support</w:t>
            </w:r>
          </w:p>
        </w:tc>
        <w:tc>
          <w:tcPr>
            <w:tcW w:w="6237" w:type="dxa"/>
          </w:tcPr>
          <w:p w:rsidR="007B592A" w:rsidRPr="00F837E7" w:rsidRDefault="007B592A" w:rsidP="00AB5F68">
            <w:pPr>
              <w:spacing w:after="120"/>
              <w:rPr>
                <w:rFonts w:ascii="Arial" w:hAnsi="Arial" w:cs="Arial"/>
              </w:rPr>
            </w:pPr>
            <w:r w:rsidRPr="00F837E7">
              <w:rPr>
                <w:rFonts w:ascii="Arial" w:hAnsi="Arial" w:cs="Arial"/>
              </w:rPr>
              <w:t>Mapping work has commenced to identify state and territory strategic directions and current or planned initiatives to encourage Aboriginal and Torres Strait Islander people to work in the child protection system.</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hAnsi="Arial" w:cs="Arial"/>
                <w:b/>
              </w:rPr>
            </w:pPr>
            <w:bookmarkStart w:id="236" w:name="_Toc400007802"/>
            <w:r w:rsidRPr="00AB5F68">
              <w:rPr>
                <w:rFonts w:ascii="Arial" w:hAnsi="Arial" w:cs="Arial"/>
                <w:b/>
              </w:rPr>
              <w:t>Improving Support for Carers</w:t>
            </w:r>
            <w:bookmarkEnd w:id="236"/>
          </w:p>
        </w:tc>
        <w:tc>
          <w:tcPr>
            <w:tcW w:w="4819" w:type="dxa"/>
          </w:tcPr>
          <w:p w:rsidR="007B592A" w:rsidRPr="00F837E7" w:rsidRDefault="007B592A" w:rsidP="00AB5F68">
            <w:pPr>
              <w:spacing w:after="120"/>
              <w:rPr>
                <w:rFonts w:ascii="Arial" w:hAnsi="Arial" w:cs="Arial"/>
              </w:rPr>
            </w:pPr>
            <w:r w:rsidRPr="00F837E7">
              <w:rPr>
                <w:rFonts w:ascii="Arial" w:hAnsi="Arial" w:cs="Arial"/>
              </w:rPr>
              <w:t xml:space="preserve">Investigate the barriers and opportunities for developing models of professional carers </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 xml:space="preserve">The Australian Government is working with state and territory governments to explore the barriers and opportunities for developing and implementing models of professional care. </w:t>
            </w:r>
          </w:p>
          <w:p w:rsidR="007B592A" w:rsidRPr="00F837E7" w:rsidRDefault="007B592A" w:rsidP="00AB5F68">
            <w:pPr>
              <w:spacing w:after="120"/>
              <w:rPr>
                <w:rFonts w:ascii="Arial" w:eastAsia="Calibri" w:hAnsi="Arial" w:cs="Arial"/>
              </w:rPr>
            </w:pPr>
            <w:r w:rsidRPr="00F837E7">
              <w:rPr>
                <w:rFonts w:ascii="Arial" w:eastAsia="Calibri" w:hAnsi="Arial" w:cs="Arial"/>
              </w:rPr>
              <w:t>The Australian Government has engaged a consultant to progress this work, and a final report will be delivered in 2013.</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eastAsia="Calibri"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Improve opportunities and remove barriers to enable working families to become carers</w:t>
            </w:r>
          </w:p>
        </w:tc>
        <w:tc>
          <w:tcPr>
            <w:tcW w:w="6237" w:type="dxa"/>
          </w:tcPr>
          <w:p w:rsidR="007B592A" w:rsidRPr="00F837E7" w:rsidRDefault="007B592A" w:rsidP="00AB5F68">
            <w:pPr>
              <w:spacing w:after="120"/>
              <w:rPr>
                <w:rFonts w:ascii="Arial" w:hAnsi="Arial" w:cs="Arial"/>
              </w:rPr>
            </w:pPr>
            <w:r w:rsidRPr="00F837E7">
              <w:rPr>
                <w:rFonts w:ascii="Arial" w:hAnsi="Arial" w:cs="Arial"/>
              </w:rPr>
              <w:t>The Australian Government has commenced initial work on mapping state and territory carer recruitment policies, including developing a template for jurisdictional responses. This work is expected to be completed later in 2013.</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eastAsia="Calibri"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Develop a national carer survey to better understand carer demographics and their support needs</w:t>
            </w:r>
          </w:p>
        </w:tc>
        <w:tc>
          <w:tcPr>
            <w:tcW w:w="6237" w:type="dxa"/>
          </w:tcPr>
          <w:p w:rsidR="007B592A" w:rsidRPr="00F837E7" w:rsidRDefault="007B592A" w:rsidP="00AB5F68">
            <w:pPr>
              <w:spacing w:after="120"/>
              <w:rPr>
                <w:rFonts w:ascii="Arial" w:hAnsi="Arial" w:cs="Arial"/>
              </w:rPr>
            </w:pPr>
            <w:r w:rsidRPr="00F837E7">
              <w:rPr>
                <w:rFonts w:ascii="Arial" w:hAnsi="Arial" w:cs="Arial"/>
              </w:rPr>
              <w:t xml:space="preserve">States and territories have been contacted to determine current approaches to surveying carers, and this is now being documented. </w:t>
            </w:r>
          </w:p>
          <w:p w:rsidR="007B592A" w:rsidRPr="00F837E7" w:rsidRDefault="007B592A" w:rsidP="00AB5F68">
            <w:pPr>
              <w:spacing w:after="120"/>
              <w:rPr>
                <w:rFonts w:ascii="Arial" w:hAnsi="Arial" w:cs="Arial"/>
              </w:rPr>
            </w:pPr>
            <w:r w:rsidRPr="00F837E7">
              <w:rPr>
                <w:rFonts w:ascii="Arial" w:hAnsi="Arial" w:cs="Arial"/>
              </w:rPr>
              <w:t>A project plan, including key milestones, timeframes and consultation methodology, will be developed in 2013–14.</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p w:rsidR="007B592A" w:rsidRPr="00F837E7" w:rsidRDefault="007B592A" w:rsidP="00AB5F68">
            <w:pPr>
              <w:spacing w:after="120"/>
              <w:rPr>
                <w:rFonts w:ascii="Arial" w:hAnsi="Arial" w:cs="Arial"/>
              </w:rPr>
            </w:pPr>
          </w:p>
        </w:tc>
      </w:tr>
      <w:tr w:rsidR="007B592A" w:rsidRPr="00F837E7" w:rsidTr="00AB5F68">
        <w:tc>
          <w:tcPr>
            <w:tcW w:w="3227" w:type="dxa"/>
          </w:tcPr>
          <w:p w:rsidR="007B592A" w:rsidRPr="00AB5F68" w:rsidRDefault="007B592A" w:rsidP="00AB5F68">
            <w:pPr>
              <w:spacing w:after="120"/>
              <w:rPr>
                <w:rFonts w:ascii="Arial" w:eastAsia="Calibri"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Expand training and support for grandparent and kinship carers, including Indigenous and culturally and linguistically diverse kinship carers</w:t>
            </w:r>
          </w:p>
        </w:tc>
        <w:tc>
          <w:tcPr>
            <w:tcW w:w="6237" w:type="dxa"/>
          </w:tcPr>
          <w:p w:rsidR="007B592A" w:rsidRPr="00F837E7" w:rsidRDefault="007B592A" w:rsidP="00AB5F68">
            <w:pPr>
              <w:spacing w:after="120"/>
              <w:rPr>
                <w:rFonts w:ascii="Arial" w:hAnsi="Arial" w:cs="Arial"/>
              </w:rPr>
            </w:pPr>
            <w:r w:rsidRPr="00F837E7">
              <w:rPr>
                <w:rFonts w:ascii="Arial" w:hAnsi="Arial" w:cs="Arial"/>
              </w:rPr>
              <w:t>These initiatives are reported in this Annual Report at Chapter six.</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hAnsi="Arial" w:cs="Arial"/>
                <w:b/>
              </w:rPr>
            </w:pPr>
            <w:bookmarkStart w:id="237" w:name="_Toc400007803"/>
            <w:r w:rsidRPr="00AB5F68">
              <w:rPr>
                <w:rFonts w:ascii="Arial" w:hAnsi="Arial" w:cs="Arial"/>
                <w:b/>
              </w:rPr>
              <w:t>Responding to Sexual Abuse</w:t>
            </w:r>
            <w:bookmarkEnd w:id="237"/>
          </w:p>
        </w:tc>
        <w:tc>
          <w:tcPr>
            <w:tcW w:w="4819" w:type="dxa"/>
          </w:tcPr>
          <w:p w:rsidR="007B592A" w:rsidRPr="00F837E7" w:rsidRDefault="007B592A" w:rsidP="00AB5F68">
            <w:pPr>
              <w:spacing w:after="120"/>
              <w:rPr>
                <w:rFonts w:ascii="Arial" w:hAnsi="Arial" w:cs="Arial"/>
              </w:rPr>
            </w:pPr>
            <w:r w:rsidRPr="00F837E7">
              <w:rPr>
                <w:rFonts w:ascii="Arial" w:hAnsi="Arial" w:cs="Arial"/>
              </w:rPr>
              <w:t>Develop and trial programs to prevent sexual abuse and keep children safe, including specific programs for remote Indigenous communities, such as the cyber smart outreach program</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 xml:space="preserve">The Australian Government, through DSS and the Geraldton Indigenous Coordination Centre, has been working in Western Australia to support Indigenous communities to develop local responses to address </w:t>
            </w:r>
            <w:proofErr w:type="spellStart"/>
            <w:r w:rsidRPr="00F837E7">
              <w:rPr>
                <w:rFonts w:ascii="Arial" w:eastAsia="Calibri" w:hAnsi="Arial" w:cs="Arial"/>
              </w:rPr>
              <w:t>cybersafety</w:t>
            </w:r>
            <w:proofErr w:type="spellEnd"/>
            <w:r w:rsidRPr="00F837E7">
              <w:rPr>
                <w:rFonts w:ascii="Arial" w:eastAsia="Calibri" w:hAnsi="Arial" w:cs="Arial"/>
              </w:rPr>
              <w:t xml:space="preserve"> issues.</w:t>
            </w:r>
          </w:p>
          <w:p w:rsidR="007B592A" w:rsidRPr="00F837E7" w:rsidRDefault="007B592A" w:rsidP="00AB5F68">
            <w:pPr>
              <w:spacing w:after="120"/>
              <w:rPr>
                <w:rFonts w:ascii="Arial" w:eastAsia="Calibri" w:hAnsi="Arial" w:cs="Arial"/>
              </w:rPr>
            </w:pPr>
            <w:r w:rsidRPr="00F837E7">
              <w:rPr>
                <w:rFonts w:ascii="Arial" w:eastAsia="Calibri" w:hAnsi="Arial" w:cs="Arial"/>
              </w:rPr>
              <w:t xml:space="preserve">DSS and ACMA are adapting existing mainstream </w:t>
            </w:r>
            <w:proofErr w:type="spellStart"/>
            <w:r w:rsidRPr="00F837E7">
              <w:rPr>
                <w:rFonts w:ascii="Arial" w:eastAsia="Calibri" w:hAnsi="Arial" w:cs="Arial"/>
              </w:rPr>
              <w:t>cybersafety</w:t>
            </w:r>
            <w:proofErr w:type="spellEnd"/>
            <w:r w:rsidRPr="00F837E7">
              <w:rPr>
                <w:rFonts w:ascii="Arial" w:eastAsia="Calibri" w:hAnsi="Arial" w:cs="Arial"/>
              </w:rPr>
              <w:t xml:space="preserve"> resources to better meet the needs of Indigenous communities.</w:t>
            </w:r>
          </w:p>
          <w:p w:rsidR="007B592A" w:rsidRPr="00F837E7" w:rsidRDefault="007B592A" w:rsidP="00AB5F68">
            <w:pPr>
              <w:spacing w:after="120"/>
              <w:rPr>
                <w:rFonts w:ascii="Arial" w:eastAsia="Calibri" w:hAnsi="Arial" w:cs="Arial"/>
              </w:rPr>
            </w:pPr>
            <w:r w:rsidRPr="00F837E7">
              <w:rPr>
                <w:rFonts w:ascii="Arial" w:eastAsia="Calibri" w:hAnsi="Arial" w:cs="Arial"/>
              </w:rPr>
              <w:t>ACMA delivered ‘train-the-trainer’ presentations in June 2013 to three WA communities—Geraldton, Carnarvon and Meekatharra. The workshops were well attended, and feedback was strongly positive. Two further workshops are planned for 2013–14.</w:t>
            </w:r>
          </w:p>
          <w:p w:rsidR="007B592A" w:rsidRPr="00F837E7" w:rsidRDefault="007B592A" w:rsidP="00AB5F68">
            <w:pPr>
              <w:spacing w:after="120"/>
              <w:rPr>
                <w:rFonts w:ascii="Arial" w:eastAsia="Calibri" w:hAnsi="Arial" w:cs="Arial"/>
              </w:rPr>
            </w:pPr>
            <w:r w:rsidRPr="00F837E7">
              <w:rPr>
                <w:rFonts w:ascii="Arial" w:eastAsia="Calibri" w:hAnsi="Arial" w:cs="Arial"/>
              </w:rPr>
              <w:t>The Australian Institute of Family Studies and PricewaterhouseCoopers have been funded by the Australian Government to jointly research policy and program responses that would have the greatest impact on preventing child sexual assault. A research paper is expected to be completed in February 2014.</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eastAsia="Calibri" w:hAnsi="Arial" w:cs="Arial"/>
                <w:b/>
              </w:rPr>
            </w:pPr>
          </w:p>
        </w:tc>
        <w:tc>
          <w:tcPr>
            <w:tcW w:w="4819" w:type="dxa"/>
          </w:tcPr>
          <w:p w:rsidR="007B592A" w:rsidRPr="00F837E7" w:rsidRDefault="007B592A" w:rsidP="00AB5F68">
            <w:pPr>
              <w:spacing w:after="120"/>
              <w:rPr>
                <w:rFonts w:ascii="Arial" w:hAnsi="Arial" w:cs="Arial"/>
              </w:rPr>
            </w:pPr>
            <w:r w:rsidRPr="00F837E7">
              <w:rPr>
                <w:rFonts w:ascii="Arial" w:hAnsi="Arial" w:cs="Arial"/>
              </w:rPr>
              <w:t>Review and support strategies to assist children, young people and adults who have experienced complex trauma to engage with the service system</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Guidelines to better support the mental health needs of adult survivors of childhood trauma have been completed and are available online at the ASCA website.</w:t>
            </w:r>
          </w:p>
          <w:p w:rsidR="007B592A" w:rsidRPr="00F837E7" w:rsidRDefault="007B592A" w:rsidP="00AB5F68">
            <w:pPr>
              <w:spacing w:after="120"/>
              <w:rPr>
                <w:rFonts w:ascii="Arial" w:eastAsia="Calibri" w:hAnsi="Arial" w:cs="Arial"/>
              </w:rPr>
            </w:pPr>
            <w:r w:rsidRPr="00F837E7">
              <w:rPr>
                <w:rFonts w:ascii="Arial" w:hAnsi="Arial" w:cs="Arial"/>
              </w:rPr>
              <w:t>The Australian Institute of Family Studies has undertaken a desk top review to map support responses for adult survivors of child sexual abuse. This work will inform the process for selecting organisations for the Australian Government’s funding of Royal Commission community-based support services, to be undertaken later in 2013.</w:t>
            </w:r>
          </w:p>
        </w:tc>
        <w:tc>
          <w:tcPr>
            <w:tcW w:w="1418" w:type="dxa"/>
          </w:tcPr>
          <w:p w:rsidR="007B592A" w:rsidRPr="00F837E7" w:rsidRDefault="007B592A" w:rsidP="00AB5F68">
            <w:pPr>
              <w:spacing w:after="120"/>
              <w:rPr>
                <w:rFonts w:ascii="Arial" w:hAnsi="Arial" w:cs="Arial"/>
              </w:rPr>
            </w:pPr>
            <w:r w:rsidRPr="00F837E7">
              <w:rPr>
                <w:rFonts w:ascii="Arial" w:hAnsi="Arial" w:cs="Arial"/>
              </w:rPr>
              <w:t>Completed</w:t>
            </w:r>
          </w:p>
          <w:p w:rsidR="007B592A" w:rsidRPr="00F837E7" w:rsidRDefault="007B592A" w:rsidP="00AB5F68">
            <w:pPr>
              <w:spacing w:after="120"/>
              <w:rPr>
                <w:rFonts w:ascii="Arial" w:hAnsi="Arial" w:cs="Arial"/>
              </w:rPr>
            </w:pPr>
          </w:p>
        </w:tc>
      </w:tr>
      <w:tr w:rsidR="007B592A" w:rsidRPr="00F837E7" w:rsidTr="00AB5F68">
        <w:tc>
          <w:tcPr>
            <w:tcW w:w="3227" w:type="dxa"/>
          </w:tcPr>
          <w:p w:rsidR="007B592A" w:rsidRPr="00AB5F68" w:rsidRDefault="007B592A" w:rsidP="00AB5F68">
            <w:pPr>
              <w:spacing w:after="120"/>
              <w:rPr>
                <w:rFonts w:ascii="Arial" w:eastAsia="Calibri"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Share best practice in therapeutic and trauma-informed care across jurisdictions</w:t>
            </w:r>
          </w:p>
        </w:tc>
        <w:tc>
          <w:tcPr>
            <w:tcW w:w="6237" w:type="dxa"/>
          </w:tcPr>
          <w:p w:rsidR="007B592A" w:rsidRPr="00F837E7" w:rsidRDefault="007B592A" w:rsidP="00AB5F68">
            <w:pPr>
              <w:spacing w:after="120"/>
              <w:rPr>
                <w:rFonts w:ascii="Arial" w:hAnsi="Arial" w:cs="Arial"/>
              </w:rPr>
            </w:pPr>
            <w:r w:rsidRPr="00F837E7">
              <w:rPr>
                <w:rFonts w:ascii="Arial" w:hAnsi="Arial" w:cs="Arial"/>
              </w:rPr>
              <w:t>A workshop was held in October 2012 to share best practice in TRC. The outcomes of this workshop are reported on in Chapter eight of this Annual Report.</w:t>
            </w:r>
          </w:p>
        </w:tc>
        <w:tc>
          <w:tcPr>
            <w:tcW w:w="1418" w:type="dxa"/>
          </w:tcPr>
          <w:p w:rsidR="007B592A" w:rsidRPr="00F837E7" w:rsidRDefault="007B592A" w:rsidP="00AB5F68">
            <w:pPr>
              <w:spacing w:after="120"/>
              <w:rPr>
                <w:rFonts w:ascii="Arial" w:hAnsi="Arial" w:cs="Arial"/>
              </w:rPr>
            </w:pPr>
            <w:r w:rsidRPr="00F837E7">
              <w:rPr>
                <w:rFonts w:ascii="Arial" w:hAnsi="Arial" w:cs="Arial"/>
              </w:rPr>
              <w:t>Completed</w:t>
            </w:r>
          </w:p>
          <w:p w:rsidR="007B592A" w:rsidRPr="00F837E7" w:rsidRDefault="007B592A" w:rsidP="00AB5F68">
            <w:pPr>
              <w:spacing w:after="120"/>
              <w:rPr>
                <w:rFonts w:ascii="Arial" w:hAnsi="Arial" w:cs="Arial"/>
              </w:rPr>
            </w:pPr>
          </w:p>
        </w:tc>
      </w:tr>
      <w:tr w:rsidR="007B592A" w:rsidRPr="00F837E7" w:rsidTr="00AB5F68">
        <w:tc>
          <w:tcPr>
            <w:tcW w:w="3227" w:type="dxa"/>
          </w:tcPr>
          <w:p w:rsidR="007B592A" w:rsidRPr="00AB5F68" w:rsidRDefault="007B592A" w:rsidP="00AB5F68">
            <w:pPr>
              <w:spacing w:after="120"/>
              <w:rPr>
                <w:rFonts w:ascii="Arial" w:eastAsia="Calibri"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Explore ways to respond nationally to the sexualisation of children</w:t>
            </w:r>
          </w:p>
        </w:tc>
        <w:tc>
          <w:tcPr>
            <w:tcW w:w="6237" w:type="dxa"/>
          </w:tcPr>
          <w:p w:rsidR="007B592A" w:rsidRPr="00F837E7" w:rsidRDefault="007B592A" w:rsidP="00AB5F68">
            <w:pPr>
              <w:spacing w:after="120"/>
              <w:rPr>
                <w:rFonts w:ascii="Arial" w:hAnsi="Arial" w:cs="Arial"/>
              </w:rPr>
            </w:pPr>
            <w:r w:rsidRPr="00F837E7">
              <w:rPr>
                <w:rFonts w:ascii="Arial" w:hAnsi="Arial" w:cs="Arial"/>
              </w:rPr>
              <w:t>The Australian Government is developing an issues paper that will inform the development of a national response to the sexualisation of children. A working group, which includes members of the Coalition, has been established to inform the development of this paper. The paper is expected to be completed in early 2014.</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p w:rsidR="007B592A" w:rsidRPr="00F837E7" w:rsidRDefault="007B592A" w:rsidP="00AB5F68">
            <w:pPr>
              <w:spacing w:after="120"/>
              <w:rPr>
                <w:rFonts w:ascii="Arial" w:hAnsi="Arial" w:cs="Arial"/>
              </w:rPr>
            </w:pPr>
          </w:p>
        </w:tc>
      </w:tr>
      <w:tr w:rsidR="007B592A" w:rsidRPr="00F837E7" w:rsidTr="00AB5F68">
        <w:tc>
          <w:tcPr>
            <w:tcW w:w="3227" w:type="dxa"/>
          </w:tcPr>
          <w:p w:rsidR="007B592A" w:rsidRPr="00AB5F68" w:rsidRDefault="007B592A" w:rsidP="00AB5F68">
            <w:pPr>
              <w:spacing w:after="120"/>
              <w:rPr>
                <w:rFonts w:ascii="Arial" w:hAnsi="Arial" w:cs="Arial"/>
                <w:b/>
              </w:rPr>
            </w:pPr>
            <w:bookmarkStart w:id="238" w:name="_Toc400007804"/>
            <w:r w:rsidRPr="00AB5F68">
              <w:rPr>
                <w:rFonts w:ascii="Arial" w:hAnsi="Arial" w:cs="Arial"/>
                <w:b/>
              </w:rPr>
              <w:t>Early Childhood</w:t>
            </w:r>
            <w:bookmarkEnd w:id="238"/>
          </w:p>
        </w:tc>
        <w:tc>
          <w:tcPr>
            <w:tcW w:w="4819" w:type="dxa"/>
          </w:tcPr>
          <w:p w:rsidR="007B592A" w:rsidRPr="00F837E7" w:rsidRDefault="007B592A" w:rsidP="00AB5F68">
            <w:pPr>
              <w:spacing w:after="120"/>
              <w:rPr>
                <w:rFonts w:ascii="Arial" w:hAnsi="Arial" w:cs="Arial"/>
              </w:rPr>
            </w:pPr>
            <w:r w:rsidRPr="00F837E7">
              <w:rPr>
                <w:rFonts w:ascii="Arial" w:hAnsi="Arial" w:cs="Arial"/>
              </w:rPr>
              <w:t>Identify communities where children are at risk through available data (including the Australian Early Development Index)</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 xml:space="preserve">The AEDI results for 2012 were released in April 2013. </w:t>
            </w:r>
          </w:p>
          <w:p w:rsidR="007B592A" w:rsidRPr="00F837E7" w:rsidRDefault="007B592A" w:rsidP="00AB5F68">
            <w:pPr>
              <w:spacing w:after="120"/>
              <w:rPr>
                <w:rFonts w:ascii="Arial" w:eastAsia="Calibri" w:hAnsi="Arial" w:cs="Arial"/>
              </w:rPr>
            </w:pPr>
            <w:r w:rsidRPr="00F837E7">
              <w:rPr>
                <w:rFonts w:ascii="Arial" w:eastAsia="Calibri" w:hAnsi="Arial" w:cs="Arial"/>
              </w:rPr>
              <w:t>Methodology and planning for identifying communities where children are at risk has commenced.</w:t>
            </w:r>
          </w:p>
        </w:tc>
        <w:tc>
          <w:tcPr>
            <w:tcW w:w="1418" w:type="dxa"/>
          </w:tcPr>
          <w:p w:rsidR="007B592A" w:rsidRPr="00F837E7" w:rsidRDefault="007B592A" w:rsidP="00AB5F68">
            <w:pPr>
              <w:spacing w:after="120"/>
              <w:rPr>
                <w:rFonts w:ascii="Arial" w:hAnsi="Arial" w:cs="Arial"/>
              </w:rPr>
            </w:pPr>
            <w:r w:rsidRPr="00F837E7">
              <w:rPr>
                <w:rFonts w:ascii="Arial" w:hAnsi="Arial" w:cs="Arial"/>
              </w:rPr>
              <w:t>Completed</w:t>
            </w:r>
          </w:p>
        </w:tc>
      </w:tr>
      <w:tr w:rsidR="007B592A" w:rsidRPr="00F837E7" w:rsidTr="00AB5F68">
        <w:tc>
          <w:tcPr>
            <w:tcW w:w="3227" w:type="dxa"/>
          </w:tcPr>
          <w:p w:rsidR="007B592A" w:rsidRPr="00AB5F68" w:rsidRDefault="007B592A" w:rsidP="00AB5F68">
            <w:pPr>
              <w:spacing w:after="120"/>
              <w:rPr>
                <w:rFonts w:ascii="Arial" w:hAnsi="Arial" w:cs="Arial"/>
                <w:b/>
              </w:rPr>
            </w:pPr>
          </w:p>
        </w:tc>
        <w:tc>
          <w:tcPr>
            <w:tcW w:w="4819" w:type="dxa"/>
          </w:tcPr>
          <w:p w:rsidR="007B592A" w:rsidRPr="00F837E7" w:rsidRDefault="007B592A" w:rsidP="00AB5F68">
            <w:pPr>
              <w:spacing w:after="120"/>
              <w:rPr>
                <w:rFonts w:ascii="Arial" w:hAnsi="Arial" w:cs="Arial"/>
              </w:rPr>
            </w:pPr>
            <w:r w:rsidRPr="00F837E7">
              <w:rPr>
                <w:rFonts w:ascii="Arial" w:hAnsi="Arial" w:cs="Arial"/>
              </w:rPr>
              <w:t>Review the current supports that encourage hard-to-reach families to engage in early childhood (child care and preschool), including through place-based and joined up approaches</w:t>
            </w:r>
          </w:p>
        </w:tc>
        <w:tc>
          <w:tcPr>
            <w:tcW w:w="6237" w:type="dxa"/>
          </w:tcPr>
          <w:p w:rsidR="007B592A" w:rsidRPr="00F837E7" w:rsidRDefault="007B592A" w:rsidP="00AB5F68">
            <w:pPr>
              <w:spacing w:after="120"/>
              <w:rPr>
                <w:rFonts w:ascii="Arial" w:eastAsia="Calibri" w:hAnsi="Arial" w:cs="Arial"/>
              </w:rPr>
            </w:pPr>
            <w:r w:rsidRPr="00F837E7">
              <w:rPr>
                <w:rFonts w:ascii="Arial" w:hAnsi="Arial" w:cs="Arial"/>
              </w:rPr>
              <w:t>States and territories have implemented initiatives under this action.</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hAnsi="Arial" w:cs="Arial"/>
                <w:b/>
              </w:rPr>
            </w:pPr>
            <w:bookmarkStart w:id="239" w:name="_Toc400007805"/>
            <w:r w:rsidRPr="00AB5F68">
              <w:rPr>
                <w:rFonts w:ascii="Arial" w:hAnsi="Arial" w:cs="Arial"/>
                <w:b/>
              </w:rPr>
              <w:t>Education</w:t>
            </w:r>
            <w:bookmarkEnd w:id="239"/>
          </w:p>
        </w:tc>
        <w:tc>
          <w:tcPr>
            <w:tcW w:w="4819" w:type="dxa"/>
          </w:tcPr>
          <w:p w:rsidR="007B592A" w:rsidRPr="00F837E7" w:rsidRDefault="007B592A" w:rsidP="00AB5F68">
            <w:pPr>
              <w:spacing w:after="120"/>
              <w:rPr>
                <w:rFonts w:ascii="Arial" w:hAnsi="Arial" w:cs="Arial"/>
              </w:rPr>
            </w:pPr>
            <w:r w:rsidRPr="00F837E7">
              <w:rPr>
                <w:rFonts w:ascii="Arial" w:hAnsi="Arial" w:cs="Arial"/>
              </w:rPr>
              <w:t>Improve student performance, attendance and post-school outcomes for children and young people in care, including through exploring alternatives to suspension</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 xml:space="preserve">Undertaking initial research to explore options to improve student performance, attendance and post-school outcomes for children and young people, including effective alternatives to suspension, will be progressed in 2013–14. </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hAnsi="Arial" w:cs="Arial"/>
                <w:b/>
              </w:rPr>
            </w:pPr>
          </w:p>
        </w:tc>
        <w:tc>
          <w:tcPr>
            <w:tcW w:w="4819" w:type="dxa"/>
          </w:tcPr>
          <w:p w:rsidR="007B592A" w:rsidRPr="00F837E7" w:rsidRDefault="007B592A" w:rsidP="00AB5F68">
            <w:pPr>
              <w:spacing w:after="120"/>
              <w:rPr>
                <w:rFonts w:ascii="Arial" w:hAnsi="Arial" w:cs="Arial"/>
              </w:rPr>
            </w:pPr>
            <w:r w:rsidRPr="00F837E7">
              <w:rPr>
                <w:rFonts w:ascii="Arial" w:hAnsi="Arial" w:cs="Arial"/>
              </w:rPr>
              <w:t>Explore options for strengthening the role education plays in early identification and support of children at risk</w:t>
            </w:r>
          </w:p>
        </w:tc>
        <w:tc>
          <w:tcPr>
            <w:tcW w:w="6237" w:type="dxa"/>
          </w:tcPr>
          <w:p w:rsidR="007B592A" w:rsidRPr="00F837E7" w:rsidRDefault="007B592A" w:rsidP="00AB5F68">
            <w:pPr>
              <w:spacing w:after="120"/>
              <w:rPr>
                <w:rFonts w:ascii="Arial" w:eastAsia="Calibri" w:hAnsi="Arial" w:cs="Arial"/>
              </w:rPr>
            </w:pPr>
            <w:r w:rsidRPr="00F837E7">
              <w:rPr>
                <w:rFonts w:ascii="Arial" w:hAnsi="Arial" w:cs="Arial"/>
              </w:rPr>
              <w:t>States and territories have implemented initiatives under this action.</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hAnsi="Arial" w:cs="Arial"/>
                <w:b/>
              </w:rPr>
            </w:pPr>
            <w:bookmarkStart w:id="240" w:name="_Toc400007806"/>
            <w:r w:rsidRPr="00AB5F68">
              <w:rPr>
                <w:rFonts w:ascii="Arial" w:hAnsi="Arial" w:cs="Arial"/>
                <w:b/>
              </w:rPr>
              <w:t>Domestic and Family Violence</w:t>
            </w:r>
            <w:bookmarkEnd w:id="240"/>
          </w:p>
        </w:tc>
        <w:tc>
          <w:tcPr>
            <w:tcW w:w="4819" w:type="dxa"/>
          </w:tcPr>
          <w:p w:rsidR="007B592A" w:rsidRPr="00F837E7" w:rsidRDefault="007B592A" w:rsidP="00AB5F68">
            <w:pPr>
              <w:spacing w:after="120"/>
              <w:rPr>
                <w:rFonts w:ascii="Arial" w:hAnsi="Arial" w:cs="Arial"/>
              </w:rPr>
            </w:pPr>
            <w:r w:rsidRPr="00F837E7">
              <w:rPr>
                <w:rFonts w:ascii="Arial" w:hAnsi="Arial" w:cs="Arial"/>
              </w:rPr>
              <w:t>Identify priority areas to be progressed under the National Plan to Reduce Violence Against Women and their Children that work to address the causes of violence and minimise impact on children</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Work to identify links between the National Plan to Reduce Violence against Women and their Children and the National Framework is being progressed. Current work includes the NCE, Child Aware initiatives and the BCBB project.</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p w:rsidR="007B592A" w:rsidRPr="00F837E7" w:rsidRDefault="007B592A" w:rsidP="00AB5F68">
            <w:pPr>
              <w:spacing w:after="120"/>
              <w:rPr>
                <w:rFonts w:ascii="Arial" w:hAnsi="Arial" w:cs="Arial"/>
              </w:rPr>
            </w:pPr>
          </w:p>
        </w:tc>
      </w:tr>
      <w:tr w:rsidR="007B592A" w:rsidRPr="00F837E7" w:rsidTr="00AB5F68">
        <w:tc>
          <w:tcPr>
            <w:tcW w:w="3227" w:type="dxa"/>
          </w:tcPr>
          <w:p w:rsidR="007B592A" w:rsidRPr="00AB5F68" w:rsidRDefault="007B592A" w:rsidP="00AB5F68">
            <w:pPr>
              <w:spacing w:after="120"/>
              <w:rPr>
                <w:rFonts w:ascii="Arial" w:hAnsi="Arial" w:cs="Arial"/>
                <w:b/>
              </w:rPr>
            </w:pPr>
          </w:p>
        </w:tc>
        <w:tc>
          <w:tcPr>
            <w:tcW w:w="4819" w:type="dxa"/>
          </w:tcPr>
          <w:p w:rsidR="007B592A" w:rsidRPr="00F837E7" w:rsidRDefault="007B592A" w:rsidP="00AB5F68">
            <w:pPr>
              <w:spacing w:after="120"/>
              <w:rPr>
                <w:rFonts w:ascii="Arial" w:hAnsi="Arial" w:cs="Arial"/>
              </w:rPr>
            </w:pPr>
            <w:r w:rsidRPr="00F837E7">
              <w:rPr>
                <w:rFonts w:ascii="Arial" w:hAnsi="Arial" w:cs="Arial"/>
              </w:rPr>
              <w:t xml:space="preserve">Work towards the development of a National Centre for Excellence to Reduce Violence against Women and their Children to coordinate and share research, data collection, analysis and review in the areas of sexual assault and domestic and family violence </w:t>
            </w:r>
          </w:p>
          <w:p w:rsidR="007B592A" w:rsidRPr="00F837E7" w:rsidRDefault="007B592A" w:rsidP="00AB5F68">
            <w:pPr>
              <w:spacing w:after="120"/>
              <w:rPr>
                <w:rFonts w:ascii="Arial" w:hAnsi="Arial" w:cs="Arial"/>
              </w:rPr>
            </w:pP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 xml:space="preserve">The NCE has been established and was registered as an independent company limited by guarantee with the Australian Securities and Investments Commission on 12 February 2013. </w:t>
            </w:r>
          </w:p>
        </w:tc>
        <w:tc>
          <w:tcPr>
            <w:tcW w:w="1418" w:type="dxa"/>
          </w:tcPr>
          <w:p w:rsidR="007B592A" w:rsidRPr="00F837E7" w:rsidRDefault="007B592A" w:rsidP="00AB5F68">
            <w:pPr>
              <w:spacing w:after="120"/>
              <w:rPr>
                <w:rFonts w:ascii="Arial" w:hAnsi="Arial" w:cs="Arial"/>
              </w:rPr>
            </w:pPr>
            <w:r w:rsidRPr="00F837E7">
              <w:rPr>
                <w:rFonts w:ascii="Arial" w:hAnsi="Arial" w:cs="Arial"/>
              </w:rPr>
              <w:t>Completed</w:t>
            </w:r>
          </w:p>
        </w:tc>
      </w:tr>
      <w:tr w:rsidR="007B592A" w:rsidRPr="00F837E7" w:rsidTr="00AB5F68">
        <w:tc>
          <w:tcPr>
            <w:tcW w:w="3227" w:type="dxa"/>
          </w:tcPr>
          <w:p w:rsidR="007B592A" w:rsidRPr="00AB5F68" w:rsidRDefault="007B592A" w:rsidP="00AB5F68">
            <w:pPr>
              <w:spacing w:after="120"/>
              <w:rPr>
                <w:rFonts w:ascii="Arial" w:eastAsia="Calibri" w:hAnsi="Arial" w:cs="Arial"/>
                <w:b/>
              </w:rPr>
            </w:pPr>
            <w:bookmarkStart w:id="241" w:name="_Toc400007807"/>
            <w:r w:rsidRPr="00AB5F68">
              <w:rPr>
                <w:rFonts w:ascii="Arial" w:hAnsi="Arial" w:cs="Arial"/>
                <w:b/>
              </w:rPr>
              <w:t>Health and Mental Health</w:t>
            </w:r>
            <w:bookmarkEnd w:id="241"/>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Review options for ensuring ongoing and substantive health assessments and interventions for children and young people in out-of-home care, including mechanisms to track health histories</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A comprehensive analysis of options to improve the health outcomes of children and young people in out-of-home care has been undertaken. These options will be considered by Ministers.</w:t>
            </w:r>
          </w:p>
          <w:p w:rsidR="007B592A" w:rsidRPr="00F837E7" w:rsidRDefault="007B592A" w:rsidP="00AB5F68">
            <w:pPr>
              <w:spacing w:after="120"/>
              <w:rPr>
                <w:rFonts w:ascii="Arial" w:eastAsia="Calibri" w:hAnsi="Arial" w:cs="Arial"/>
              </w:rPr>
            </w:pPr>
            <w:r w:rsidRPr="00F837E7">
              <w:rPr>
                <w:rFonts w:ascii="Arial" w:eastAsia="Calibri" w:hAnsi="Arial" w:cs="Arial"/>
              </w:rPr>
              <w:t>An ERG with expertise in paediatrics, primary health and child health policy and research has provided input.</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eastAsia="Calibri"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Track outcomes for children in care using available data sets and explore the potential links with the work of the National Mental Health Commission</w:t>
            </w:r>
          </w:p>
        </w:tc>
        <w:tc>
          <w:tcPr>
            <w:tcW w:w="6237" w:type="dxa"/>
          </w:tcPr>
          <w:p w:rsidR="007B592A" w:rsidRPr="00F837E7" w:rsidRDefault="007B592A" w:rsidP="00AB5F68">
            <w:pPr>
              <w:spacing w:after="120"/>
              <w:rPr>
                <w:rFonts w:ascii="Arial" w:eastAsia="Calibri" w:hAnsi="Arial" w:cs="Arial"/>
              </w:rPr>
            </w:pPr>
            <w:r w:rsidRPr="00F837E7">
              <w:rPr>
                <w:rFonts w:ascii="Arial" w:hAnsi="Arial" w:cs="Arial"/>
              </w:rPr>
              <w:t>States and territories have implemented initiatives under this action.</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eastAsia="Calibri"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Implement the expanded Medicare Healthy Kids Check</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 xml:space="preserve">The first part of a staged implementation of the expanded Medicare Healthy Kids Check commenced early 2013. The Australian Medicare Local Alliance has been contracted to undertake this project. </w:t>
            </w:r>
          </w:p>
          <w:p w:rsidR="007B592A" w:rsidRPr="00F837E7" w:rsidRDefault="007B592A" w:rsidP="00AB5F68">
            <w:pPr>
              <w:spacing w:after="120"/>
              <w:rPr>
                <w:rFonts w:ascii="Arial" w:eastAsia="Calibri" w:hAnsi="Arial" w:cs="Arial"/>
              </w:rPr>
            </w:pPr>
            <w:r w:rsidRPr="00F837E7">
              <w:rPr>
                <w:rFonts w:ascii="Arial" w:eastAsia="Calibri" w:hAnsi="Arial" w:cs="Arial"/>
              </w:rPr>
              <w:t>Subject to the outcomes of the first phase of implementation over 2013, it is anticipated that the expanded Medicare Healthy Kids Check will be rolled out nationally in 2014.</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eastAsia="Calibri"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Explore options to better meet the mental health needs of children and young people in out-of-home care</w:t>
            </w:r>
          </w:p>
        </w:tc>
        <w:tc>
          <w:tcPr>
            <w:tcW w:w="6237" w:type="dxa"/>
          </w:tcPr>
          <w:p w:rsidR="007B592A" w:rsidRPr="00F837E7" w:rsidRDefault="007B592A" w:rsidP="00AB5F68">
            <w:pPr>
              <w:spacing w:after="120"/>
              <w:rPr>
                <w:rFonts w:ascii="Arial" w:eastAsia="Calibri" w:hAnsi="Arial" w:cs="Arial"/>
              </w:rPr>
            </w:pPr>
            <w:r w:rsidRPr="00F837E7">
              <w:rPr>
                <w:rFonts w:ascii="Arial" w:hAnsi="Arial" w:cs="Arial"/>
              </w:rPr>
              <w:t>States and territories have implemented initiatives under this action.</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eastAsia="Calibri" w:hAnsi="Arial" w:cs="Arial"/>
                <w:b/>
              </w:rPr>
            </w:pPr>
            <w:bookmarkStart w:id="242" w:name="_Toc400007808"/>
            <w:r w:rsidRPr="00AB5F68">
              <w:rPr>
                <w:rFonts w:ascii="Arial" w:hAnsi="Arial" w:cs="Arial"/>
                <w:b/>
              </w:rPr>
              <w:t>Disability</w:t>
            </w:r>
            <w:bookmarkEnd w:id="242"/>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Explore the interface between disability, child protection, and primary service systems, including through the NDIS trial sites</w:t>
            </w:r>
          </w:p>
        </w:tc>
        <w:tc>
          <w:tcPr>
            <w:tcW w:w="6237" w:type="dxa"/>
          </w:tcPr>
          <w:p w:rsidR="007B592A" w:rsidRPr="00F837E7" w:rsidRDefault="007B592A" w:rsidP="00AB5F68">
            <w:pPr>
              <w:spacing w:after="120"/>
              <w:rPr>
                <w:rFonts w:ascii="Arial" w:hAnsi="Arial" w:cs="Arial"/>
              </w:rPr>
            </w:pPr>
            <w:r w:rsidRPr="00F837E7">
              <w:rPr>
                <w:rFonts w:ascii="Arial" w:hAnsi="Arial" w:cs="Arial"/>
              </w:rPr>
              <w:t>On 19 April 2013, all governments agreed to a set of Principles that will guide the NDIS interface with key mainstream service systems during the launch, including child protection and family support service systems.</w:t>
            </w:r>
          </w:p>
          <w:p w:rsidR="007B592A" w:rsidRPr="00F837E7" w:rsidRDefault="007B592A" w:rsidP="00AB5F68">
            <w:pPr>
              <w:spacing w:after="120"/>
              <w:rPr>
                <w:rFonts w:ascii="Arial" w:eastAsia="Calibri" w:hAnsi="Arial" w:cs="Arial"/>
              </w:rPr>
            </w:pPr>
            <w:r w:rsidRPr="00F837E7">
              <w:rPr>
                <w:rFonts w:ascii="Arial" w:hAnsi="Arial" w:cs="Arial"/>
              </w:rPr>
              <w:t>Two of the NDIS trial sites, which will commence from July 2013 (South Australia and Tasmania), have a particular focus on children and young people.</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Review the service response for children with disability in the out-of-home care system</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Work on this action will be progressed in late 2014.</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Explore evidence-based models of working with families where disability of the child or adult is impacting on the safety and wellbeing of children, including working with adult service providers</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Work on this action will be progressed in late 2014.</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eastAsia="Calibri" w:hAnsi="Arial" w:cs="Arial"/>
                <w:b/>
              </w:rPr>
            </w:pPr>
            <w:bookmarkStart w:id="243" w:name="_Toc400007809"/>
            <w:r w:rsidRPr="00AB5F68">
              <w:rPr>
                <w:rFonts w:ascii="Arial" w:hAnsi="Arial" w:cs="Arial"/>
                <w:b/>
              </w:rPr>
              <w:t>Sector Development</w:t>
            </w:r>
            <w:bookmarkEnd w:id="243"/>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 xml:space="preserve">Explore the development of a </w:t>
            </w:r>
            <w:proofErr w:type="spellStart"/>
            <w:r w:rsidRPr="00F837E7">
              <w:rPr>
                <w:rFonts w:ascii="Arial" w:eastAsia="Calibri" w:hAnsi="Arial" w:cs="Arial"/>
              </w:rPr>
              <w:t>para</w:t>
            </w:r>
            <w:proofErr w:type="spellEnd"/>
            <w:r w:rsidRPr="00F837E7">
              <w:rPr>
                <w:rFonts w:ascii="Arial" w:eastAsia="Calibri" w:hAnsi="Arial" w:cs="Arial"/>
              </w:rPr>
              <w:t>-professional workforce</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 xml:space="preserve">Findings from the National Analysis of Workforce Trends in Statutory Child Protection report (McArthur &amp; Thomson 2012) will inform work to explore the possible development of a </w:t>
            </w:r>
            <w:proofErr w:type="spellStart"/>
            <w:r w:rsidRPr="00F837E7">
              <w:rPr>
                <w:rFonts w:ascii="Arial" w:eastAsia="Calibri" w:hAnsi="Arial" w:cs="Arial"/>
              </w:rPr>
              <w:t>para</w:t>
            </w:r>
            <w:proofErr w:type="spellEnd"/>
            <w:r w:rsidRPr="00F837E7">
              <w:rPr>
                <w:rFonts w:ascii="Arial" w:eastAsia="Calibri" w:hAnsi="Arial" w:cs="Arial"/>
              </w:rPr>
              <w:t>-professional workforce. States and territories are leading this work.</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Explore competency frameworks and professional representation for workers</w:t>
            </w:r>
          </w:p>
        </w:tc>
        <w:tc>
          <w:tcPr>
            <w:tcW w:w="6237" w:type="dxa"/>
          </w:tcPr>
          <w:p w:rsidR="007B592A" w:rsidRPr="00F837E7" w:rsidRDefault="007B592A" w:rsidP="00AB5F68">
            <w:pPr>
              <w:spacing w:after="120"/>
              <w:rPr>
                <w:rFonts w:ascii="Arial" w:eastAsia="Calibri" w:hAnsi="Arial" w:cs="Arial"/>
              </w:rPr>
            </w:pPr>
            <w:r w:rsidRPr="00F837E7">
              <w:rPr>
                <w:rFonts w:ascii="Arial" w:hAnsi="Arial" w:cs="Arial"/>
              </w:rPr>
              <w:t>Initial planning work has commenced on this action.</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Explore options to strengthen vocational and training pathways for Aboriginal and Torres Strait Islander workers</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See comments above.</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Explore options for building professional and cultural expertise in remote service provision</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See comments above.</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Research mandatory reporting schemes in each jurisdiction to identify elements that enhance their success</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This research has commenced with a literature review. It will also include focus groups and the collection of field data, to be completed in June 2014.</w:t>
            </w:r>
          </w:p>
          <w:p w:rsidR="007B592A" w:rsidRPr="00F837E7" w:rsidRDefault="007B592A" w:rsidP="00AB5F68">
            <w:pPr>
              <w:spacing w:after="120"/>
              <w:rPr>
                <w:rFonts w:ascii="Arial" w:eastAsia="Calibri" w:hAnsi="Arial" w:cs="Arial"/>
              </w:rPr>
            </w:pPr>
            <w:r w:rsidRPr="00F837E7">
              <w:rPr>
                <w:rFonts w:ascii="Arial" w:eastAsia="Calibri" w:hAnsi="Arial" w:cs="Arial"/>
              </w:rPr>
              <w:t>States and territories will consider research findings relevant to their own mandatory reporting schemes when the above research is completed.</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p w:rsidR="007B592A" w:rsidRPr="00F837E7" w:rsidRDefault="007B592A" w:rsidP="00AB5F68">
            <w:pPr>
              <w:spacing w:after="120"/>
              <w:rPr>
                <w:rFonts w:ascii="Arial" w:hAnsi="Arial" w:cs="Arial"/>
              </w:rPr>
            </w:pPr>
          </w:p>
        </w:tc>
      </w:tr>
      <w:tr w:rsidR="007B592A" w:rsidRPr="00F837E7" w:rsidTr="00AB5F68">
        <w:tc>
          <w:tcPr>
            <w:tcW w:w="3227" w:type="dxa"/>
          </w:tcPr>
          <w:p w:rsidR="007B592A" w:rsidRPr="00AB5F68" w:rsidRDefault="007B592A" w:rsidP="00AB5F68">
            <w:pPr>
              <w:spacing w:after="120"/>
              <w:rPr>
                <w:rFonts w:ascii="Arial"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Establishing a collaborative approach to industry development and identifying capabilities of high performing non-government organisations</w:t>
            </w:r>
          </w:p>
        </w:tc>
        <w:tc>
          <w:tcPr>
            <w:tcW w:w="6237" w:type="dxa"/>
          </w:tcPr>
          <w:p w:rsidR="007B592A" w:rsidRPr="00F837E7" w:rsidRDefault="007B592A" w:rsidP="00AB5F68">
            <w:pPr>
              <w:spacing w:after="120"/>
              <w:rPr>
                <w:rFonts w:ascii="Arial" w:eastAsia="Calibri" w:hAnsi="Arial" w:cs="Arial"/>
              </w:rPr>
            </w:pPr>
            <w:r w:rsidRPr="00F837E7">
              <w:rPr>
                <w:rFonts w:ascii="Arial" w:hAnsi="Arial" w:cs="Arial"/>
              </w:rPr>
              <w:t>Initial planning work has commenced on this action.</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Explore options for building the capacity of non-government organisations that provide out-of-home care</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See comments above.</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hAnsi="Arial" w:cs="Arial"/>
                <w:b/>
              </w:rPr>
            </w:pPr>
          </w:p>
        </w:tc>
        <w:tc>
          <w:tcPr>
            <w:tcW w:w="4819" w:type="dxa"/>
          </w:tcPr>
          <w:p w:rsidR="007B592A" w:rsidRPr="00F837E7" w:rsidRDefault="007B592A" w:rsidP="00AB5F68">
            <w:pPr>
              <w:spacing w:after="120"/>
              <w:rPr>
                <w:rFonts w:ascii="Arial" w:eastAsia="Calibri" w:hAnsi="Arial" w:cs="Arial"/>
              </w:rPr>
            </w:pPr>
            <w:r w:rsidRPr="00F837E7">
              <w:rPr>
                <w:rFonts w:ascii="Arial" w:eastAsia="Calibri" w:hAnsi="Arial" w:cs="Arial"/>
              </w:rPr>
              <w:t>Share information about what works for statutory child protection workers and the family support workforce</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See comments above.</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hAnsi="Arial" w:cs="Arial"/>
                <w:b/>
              </w:rPr>
            </w:pPr>
            <w:bookmarkStart w:id="244" w:name="_Toc400007810"/>
            <w:r w:rsidRPr="00AB5F68">
              <w:rPr>
                <w:rFonts w:ascii="Arial" w:hAnsi="Arial" w:cs="Arial"/>
                <w:b/>
              </w:rPr>
              <w:t>Community and Business</w:t>
            </w:r>
            <w:bookmarkEnd w:id="244"/>
          </w:p>
        </w:tc>
        <w:tc>
          <w:tcPr>
            <w:tcW w:w="4819" w:type="dxa"/>
          </w:tcPr>
          <w:p w:rsidR="007B592A" w:rsidRPr="00F837E7" w:rsidRDefault="007B592A" w:rsidP="00AB5F68">
            <w:pPr>
              <w:spacing w:after="120"/>
              <w:rPr>
                <w:rFonts w:ascii="Arial" w:hAnsi="Arial" w:cs="Arial"/>
              </w:rPr>
            </w:pPr>
            <w:r w:rsidRPr="00F837E7">
              <w:rPr>
                <w:rFonts w:ascii="Arial" w:hAnsi="Arial" w:cs="Arial"/>
              </w:rPr>
              <w:t>Work with the non-government sector to strengthen community engagement and development of enduring social supports for families, children and young people in, or at risk of entry into, care</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The Australian Government is working with state and territory government representatives and Families Australia to embed a Child Aware approach.</w:t>
            </w:r>
          </w:p>
          <w:p w:rsidR="007B592A" w:rsidRPr="00F837E7" w:rsidRDefault="007B592A" w:rsidP="00AB5F68">
            <w:pPr>
              <w:spacing w:after="120"/>
              <w:rPr>
                <w:rFonts w:ascii="Arial" w:eastAsia="Calibri" w:hAnsi="Arial" w:cs="Arial"/>
              </w:rPr>
            </w:pP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p w:rsidR="007B592A" w:rsidRPr="00F837E7" w:rsidRDefault="007B592A" w:rsidP="00AB5F68">
            <w:pPr>
              <w:spacing w:after="120"/>
              <w:rPr>
                <w:rFonts w:ascii="Arial" w:hAnsi="Arial" w:cs="Arial"/>
              </w:rPr>
            </w:pPr>
          </w:p>
        </w:tc>
      </w:tr>
      <w:tr w:rsidR="007B592A" w:rsidRPr="00F837E7" w:rsidTr="00AB5F68">
        <w:tc>
          <w:tcPr>
            <w:tcW w:w="3227" w:type="dxa"/>
          </w:tcPr>
          <w:p w:rsidR="007B592A" w:rsidRPr="00AB5F68" w:rsidRDefault="007B592A" w:rsidP="00AB5F68">
            <w:pPr>
              <w:spacing w:after="120"/>
              <w:rPr>
                <w:rFonts w:ascii="Arial" w:hAnsi="Arial" w:cs="Arial"/>
                <w:b/>
              </w:rPr>
            </w:pPr>
          </w:p>
        </w:tc>
        <w:tc>
          <w:tcPr>
            <w:tcW w:w="4819" w:type="dxa"/>
          </w:tcPr>
          <w:p w:rsidR="007B592A" w:rsidRPr="00F837E7" w:rsidRDefault="007B592A" w:rsidP="00AB5F68">
            <w:pPr>
              <w:spacing w:after="120"/>
              <w:rPr>
                <w:rFonts w:ascii="Arial" w:hAnsi="Arial" w:cs="Arial"/>
              </w:rPr>
            </w:pPr>
            <w:r w:rsidRPr="00F837E7">
              <w:rPr>
                <w:rFonts w:ascii="Arial" w:hAnsi="Arial" w:cs="Arial"/>
              </w:rPr>
              <w:t>Explore options for developing stronger engagement of culturally and linguistically diverse communities and in particular, newly arrived cultural groups, to enhance their understanding of child wellbeing and available support systems</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Early planning for a national workshop engaging community leaders from CALD communities to explore options for working more closely with newly arrived cultural groups has commenced.</w:t>
            </w:r>
          </w:p>
          <w:p w:rsidR="007B592A" w:rsidRPr="00F837E7" w:rsidRDefault="007B592A" w:rsidP="00AB5F68">
            <w:pPr>
              <w:spacing w:after="120"/>
              <w:rPr>
                <w:rFonts w:ascii="Arial" w:eastAsia="Calibri" w:hAnsi="Arial" w:cs="Arial"/>
              </w:rPr>
            </w:pPr>
            <w:r w:rsidRPr="00F837E7">
              <w:rPr>
                <w:rFonts w:ascii="Arial" w:eastAsia="Calibri" w:hAnsi="Arial" w:cs="Arial"/>
              </w:rPr>
              <w:t>The Australian Government funded the Centre for Refugee Research at the University of New South Wales to translate three booklets into eight community languages. These booklets are part of a training package to assist newly arrived refugees to understand how human rights conventions are applied in Australia and what they mean to family life.</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hAnsi="Arial" w:cs="Arial"/>
                <w:b/>
              </w:rPr>
            </w:pPr>
          </w:p>
        </w:tc>
        <w:tc>
          <w:tcPr>
            <w:tcW w:w="4819" w:type="dxa"/>
          </w:tcPr>
          <w:p w:rsidR="007B592A" w:rsidRPr="00F837E7" w:rsidRDefault="007B592A" w:rsidP="00AB5F68">
            <w:pPr>
              <w:spacing w:after="120"/>
              <w:rPr>
                <w:rFonts w:ascii="Arial" w:hAnsi="Arial" w:cs="Arial"/>
              </w:rPr>
            </w:pPr>
            <w:r w:rsidRPr="00F837E7">
              <w:rPr>
                <w:rFonts w:ascii="Arial" w:hAnsi="Arial" w:cs="Arial"/>
              </w:rPr>
              <w:t>Increase community awareness of, and engagement with, issues affecting the safety and wellbeing of children, to help ensure that the wider community understands the importance of their role in reducing child abuse and neglect</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Initiatives under this action will be progressed through a partnership approach, to ensure that local communities and community organisations are actively engaged and supported to develop local solutions to better protect children and help them flourish.</w:t>
            </w:r>
          </w:p>
          <w:p w:rsidR="007B592A" w:rsidRPr="00F837E7" w:rsidRDefault="007B592A" w:rsidP="00AB5F68">
            <w:pPr>
              <w:spacing w:after="120"/>
              <w:rPr>
                <w:rFonts w:ascii="Arial" w:eastAsia="Calibri" w:hAnsi="Arial" w:cs="Arial"/>
              </w:rPr>
            </w:pPr>
            <w:r w:rsidRPr="00F837E7">
              <w:rPr>
                <w:rFonts w:ascii="Arial" w:eastAsia="Calibri" w:hAnsi="Arial" w:cs="Arial"/>
              </w:rPr>
              <w:t>A Communication Plan for the Second Action Plan is being developed and will include a strategy to implement ongoing community engagement and awareness raising activities.</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r w:rsidR="007B592A" w:rsidRPr="00F837E7" w:rsidTr="00AB5F68">
        <w:tc>
          <w:tcPr>
            <w:tcW w:w="3227" w:type="dxa"/>
          </w:tcPr>
          <w:p w:rsidR="007B592A" w:rsidRPr="00AB5F68" w:rsidRDefault="007B592A" w:rsidP="00AB5F68">
            <w:pPr>
              <w:spacing w:after="120"/>
              <w:rPr>
                <w:rFonts w:ascii="Arial" w:hAnsi="Arial" w:cs="Arial"/>
                <w:b/>
              </w:rPr>
            </w:pPr>
          </w:p>
        </w:tc>
        <w:tc>
          <w:tcPr>
            <w:tcW w:w="4819" w:type="dxa"/>
          </w:tcPr>
          <w:p w:rsidR="007B592A" w:rsidRPr="00F837E7" w:rsidRDefault="007B592A" w:rsidP="00AB5F68">
            <w:pPr>
              <w:spacing w:after="120"/>
              <w:rPr>
                <w:rFonts w:ascii="Arial" w:hAnsi="Arial" w:cs="Arial"/>
              </w:rPr>
            </w:pPr>
            <w:r w:rsidRPr="00F837E7">
              <w:rPr>
                <w:rFonts w:ascii="Arial" w:hAnsi="Arial" w:cs="Arial"/>
              </w:rPr>
              <w:t>Work with the media to foster appropriate reporting of child abuse and neglect in order to protect the interests of the child</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 xml:space="preserve">At the 3 May 2013 SCWI meeting, Ministers agreed for Victoria and the Australian Government to lead the development of media guides and national resources to be undertaken as part of the National Plan. </w:t>
            </w:r>
          </w:p>
          <w:p w:rsidR="007B592A" w:rsidRPr="00F837E7" w:rsidRDefault="007B592A" w:rsidP="00AB5F68">
            <w:pPr>
              <w:spacing w:after="120"/>
              <w:rPr>
                <w:rFonts w:ascii="Arial" w:eastAsia="Calibri" w:hAnsi="Arial" w:cs="Arial"/>
              </w:rPr>
            </w:pPr>
            <w:r w:rsidRPr="00F837E7">
              <w:rPr>
                <w:rFonts w:ascii="Arial" w:eastAsia="Calibri" w:hAnsi="Arial" w:cs="Arial"/>
              </w:rPr>
              <w:t>Media will be a key stakeholder/target audience in the implementation of the Communication Plan for the Second Action Plan of the National Framework.</w:t>
            </w:r>
          </w:p>
        </w:tc>
        <w:tc>
          <w:tcPr>
            <w:tcW w:w="1418" w:type="dxa"/>
          </w:tcPr>
          <w:p w:rsidR="007B592A" w:rsidRPr="00F837E7" w:rsidRDefault="007B592A" w:rsidP="00AB5F68">
            <w:pPr>
              <w:spacing w:after="120"/>
              <w:rPr>
                <w:rFonts w:ascii="Arial" w:hAnsi="Arial" w:cs="Arial"/>
              </w:rPr>
            </w:pPr>
            <w:r w:rsidRPr="00F837E7">
              <w:rPr>
                <w:rFonts w:ascii="Arial" w:hAnsi="Arial" w:cs="Arial"/>
              </w:rPr>
              <w:t>Completed</w:t>
            </w:r>
          </w:p>
          <w:p w:rsidR="007B592A" w:rsidRPr="00F837E7" w:rsidRDefault="007B592A" w:rsidP="00AB5F68">
            <w:pPr>
              <w:spacing w:after="120"/>
              <w:rPr>
                <w:rFonts w:ascii="Arial" w:hAnsi="Arial" w:cs="Arial"/>
              </w:rPr>
            </w:pPr>
          </w:p>
        </w:tc>
      </w:tr>
      <w:tr w:rsidR="007B592A" w:rsidRPr="00F837E7" w:rsidTr="00AB5F68">
        <w:tc>
          <w:tcPr>
            <w:tcW w:w="3227" w:type="dxa"/>
          </w:tcPr>
          <w:p w:rsidR="007B592A" w:rsidRPr="00AB5F68" w:rsidRDefault="007B592A" w:rsidP="00AB5F68">
            <w:pPr>
              <w:spacing w:after="120"/>
              <w:rPr>
                <w:rFonts w:ascii="Arial" w:hAnsi="Arial" w:cs="Arial"/>
                <w:b/>
              </w:rPr>
            </w:pPr>
          </w:p>
        </w:tc>
        <w:tc>
          <w:tcPr>
            <w:tcW w:w="4819" w:type="dxa"/>
          </w:tcPr>
          <w:p w:rsidR="007B592A" w:rsidRPr="00F837E7" w:rsidRDefault="007B592A" w:rsidP="00AB5F68">
            <w:pPr>
              <w:spacing w:after="120"/>
              <w:rPr>
                <w:rFonts w:ascii="Arial" w:hAnsi="Arial" w:cs="Arial"/>
              </w:rPr>
            </w:pPr>
            <w:r w:rsidRPr="00F837E7">
              <w:rPr>
                <w:rFonts w:ascii="Arial" w:hAnsi="Arial" w:cs="Arial"/>
              </w:rPr>
              <w:t>Highlight outstanding work in the field of child protection, early intervention and targeted services</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 xml:space="preserve">The Australian Government is supporting NAPCAN in the delivery of National Child Protection Weeks in 2013 and 2014. A key focus is on strengthening linkages with the Second Action Plan and the actions under the National Priority of Community and Business. </w:t>
            </w:r>
          </w:p>
          <w:p w:rsidR="007B592A" w:rsidRPr="00F837E7" w:rsidRDefault="007B592A" w:rsidP="00AB5F68">
            <w:pPr>
              <w:spacing w:after="120"/>
              <w:rPr>
                <w:rFonts w:ascii="Arial" w:eastAsia="Calibri" w:hAnsi="Arial" w:cs="Arial"/>
              </w:rPr>
            </w:pPr>
            <w:r w:rsidRPr="00F837E7">
              <w:rPr>
                <w:rFonts w:ascii="Arial" w:eastAsia="Calibri" w:hAnsi="Arial" w:cs="Arial"/>
              </w:rPr>
              <w:t>The Communication Plan for the Second Action Plan, currently being developed, will consider leveraging opportunities to strengthen community awareness of, and engagement with, child safety and wellbeing.</w:t>
            </w:r>
          </w:p>
          <w:p w:rsidR="007B592A" w:rsidRPr="00F837E7" w:rsidRDefault="007B592A" w:rsidP="00AB5F68">
            <w:pPr>
              <w:spacing w:after="120"/>
              <w:rPr>
                <w:rFonts w:ascii="Arial" w:eastAsia="Calibri" w:hAnsi="Arial" w:cs="Arial"/>
              </w:rPr>
            </w:pP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p w:rsidR="007B592A" w:rsidRPr="00F837E7" w:rsidRDefault="007B592A" w:rsidP="00AB5F68">
            <w:pPr>
              <w:spacing w:after="120"/>
              <w:rPr>
                <w:rFonts w:ascii="Arial" w:hAnsi="Arial" w:cs="Arial"/>
              </w:rPr>
            </w:pPr>
          </w:p>
        </w:tc>
      </w:tr>
      <w:tr w:rsidR="007B592A" w:rsidRPr="00F837E7" w:rsidTr="00AB5F68">
        <w:tc>
          <w:tcPr>
            <w:tcW w:w="3227" w:type="dxa"/>
          </w:tcPr>
          <w:p w:rsidR="007B592A" w:rsidRPr="00AB5F68" w:rsidRDefault="007B592A" w:rsidP="00AB5F68">
            <w:pPr>
              <w:spacing w:after="120"/>
              <w:rPr>
                <w:rFonts w:ascii="Arial" w:hAnsi="Arial" w:cs="Arial"/>
                <w:b/>
              </w:rPr>
            </w:pPr>
          </w:p>
        </w:tc>
        <w:tc>
          <w:tcPr>
            <w:tcW w:w="4819" w:type="dxa"/>
          </w:tcPr>
          <w:p w:rsidR="007B592A" w:rsidRPr="00F837E7" w:rsidRDefault="007B592A" w:rsidP="00AB5F68">
            <w:pPr>
              <w:spacing w:after="120"/>
              <w:rPr>
                <w:rFonts w:ascii="Arial" w:hAnsi="Arial" w:cs="Arial"/>
              </w:rPr>
            </w:pPr>
            <w:r w:rsidRPr="00F837E7">
              <w:rPr>
                <w:rFonts w:ascii="Arial" w:hAnsi="Arial" w:cs="Arial"/>
              </w:rPr>
              <w:t>Engage community leaders, including leaders from Indigenous and culturally and linguistically diverse communities, to build support for protecting children and young people</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A workshop was held on 7 June 2013 with Indigenous community leaders to explore options to support vulnerable children and young people. Outcomes will be reported back to Ministers in late 2013.</w:t>
            </w:r>
          </w:p>
          <w:p w:rsidR="007B592A" w:rsidRPr="00F837E7" w:rsidRDefault="007B592A" w:rsidP="00AB5F68">
            <w:pPr>
              <w:spacing w:after="120"/>
              <w:rPr>
                <w:rFonts w:ascii="Arial" w:eastAsia="Calibri" w:hAnsi="Arial" w:cs="Arial"/>
              </w:rPr>
            </w:pPr>
            <w:r w:rsidRPr="00F837E7">
              <w:rPr>
                <w:rFonts w:ascii="Arial" w:eastAsia="Calibri" w:hAnsi="Arial" w:cs="Arial"/>
              </w:rPr>
              <w:t>The Australian Government is progressing work to scope options and build on outcomes arising from workshops and conferences. Progress on Child Aware Communities and Child Aware Organisations is occurring in partnership with community sector organisations, including developing a good practice guide, web resource and principles.</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p w:rsidR="007B592A" w:rsidRPr="00F837E7" w:rsidRDefault="007B592A" w:rsidP="00AB5F68">
            <w:pPr>
              <w:spacing w:after="120"/>
              <w:rPr>
                <w:rFonts w:ascii="Arial" w:hAnsi="Arial" w:cs="Arial"/>
              </w:rPr>
            </w:pPr>
          </w:p>
        </w:tc>
      </w:tr>
      <w:tr w:rsidR="007B592A" w:rsidRPr="00F837E7" w:rsidTr="00AB5F68">
        <w:tc>
          <w:tcPr>
            <w:tcW w:w="3227" w:type="dxa"/>
          </w:tcPr>
          <w:p w:rsidR="007B592A" w:rsidRPr="00AB5F68" w:rsidRDefault="007B592A" w:rsidP="00AB5F68">
            <w:pPr>
              <w:spacing w:after="120"/>
              <w:rPr>
                <w:rFonts w:ascii="Arial" w:hAnsi="Arial" w:cs="Arial"/>
                <w:b/>
              </w:rPr>
            </w:pPr>
          </w:p>
        </w:tc>
        <w:tc>
          <w:tcPr>
            <w:tcW w:w="4819" w:type="dxa"/>
          </w:tcPr>
          <w:p w:rsidR="007B592A" w:rsidRPr="00F837E7" w:rsidRDefault="007B592A" w:rsidP="00AB5F68">
            <w:pPr>
              <w:spacing w:after="120"/>
              <w:rPr>
                <w:rFonts w:ascii="Arial" w:hAnsi="Arial" w:cs="Arial"/>
              </w:rPr>
            </w:pPr>
            <w:r w:rsidRPr="00F837E7">
              <w:rPr>
                <w:rFonts w:ascii="Arial" w:hAnsi="Arial" w:cs="Arial"/>
              </w:rPr>
              <w:t>Explore options for engaging business in the protection and wellbeing of children</w:t>
            </w:r>
          </w:p>
        </w:tc>
        <w:tc>
          <w:tcPr>
            <w:tcW w:w="6237" w:type="dxa"/>
          </w:tcPr>
          <w:p w:rsidR="007B592A" w:rsidRPr="00F837E7" w:rsidRDefault="007B592A" w:rsidP="00AB5F68">
            <w:pPr>
              <w:spacing w:after="120"/>
              <w:rPr>
                <w:rFonts w:ascii="Arial" w:eastAsia="Calibri" w:hAnsi="Arial" w:cs="Arial"/>
              </w:rPr>
            </w:pPr>
            <w:r w:rsidRPr="00F837E7">
              <w:rPr>
                <w:rFonts w:ascii="Arial" w:eastAsia="Calibri" w:hAnsi="Arial" w:cs="Arial"/>
              </w:rPr>
              <w:t>The role of business in Child Aware Approaches is being scoped.</w:t>
            </w:r>
          </w:p>
        </w:tc>
        <w:tc>
          <w:tcPr>
            <w:tcW w:w="1418" w:type="dxa"/>
          </w:tcPr>
          <w:p w:rsidR="007B592A" w:rsidRPr="00F837E7" w:rsidRDefault="007B592A" w:rsidP="00AB5F68">
            <w:pPr>
              <w:spacing w:after="120"/>
              <w:rPr>
                <w:rFonts w:ascii="Arial" w:hAnsi="Arial" w:cs="Arial"/>
              </w:rPr>
            </w:pPr>
            <w:r w:rsidRPr="00F837E7">
              <w:rPr>
                <w:rFonts w:ascii="Arial" w:hAnsi="Arial" w:cs="Arial"/>
              </w:rPr>
              <w:t>On track</w:t>
            </w:r>
          </w:p>
        </w:tc>
      </w:tr>
    </w:tbl>
    <w:p w:rsidR="0053123E" w:rsidRDefault="0053123E"/>
    <w:p w:rsidR="0053123E" w:rsidRDefault="0053123E"/>
    <w:p w:rsidR="00F92AAD" w:rsidRDefault="00F92AAD"/>
    <w:p w:rsidR="00450E0C" w:rsidRDefault="00450E0C" w:rsidP="008C4D63">
      <w:pPr>
        <w:rPr>
          <w:rFonts w:ascii="Arial" w:hAnsi="Arial" w:cs="Arial"/>
          <w:color w:val="00755E"/>
          <w:spacing w:val="-4"/>
          <w:w w:val="89"/>
          <w:sz w:val="52"/>
          <w:szCs w:val="52"/>
        </w:rPr>
        <w:sectPr w:rsidR="00450E0C" w:rsidSect="0053123E">
          <w:pgSz w:w="16837" w:h="11905" w:orient="landscape" w:code="9"/>
          <w:pgMar w:top="1134" w:right="567" w:bottom="567" w:left="567" w:header="1021" w:footer="720" w:gutter="0"/>
          <w:cols w:space="720"/>
          <w:noEndnote/>
          <w:docGrid w:linePitch="272"/>
        </w:sectPr>
      </w:pPr>
    </w:p>
    <w:p w:rsidR="0018276D" w:rsidRPr="00356B6E" w:rsidRDefault="0018276D" w:rsidP="00B940CF">
      <w:pPr>
        <w:pStyle w:val="Heading1"/>
      </w:pPr>
      <w:bookmarkStart w:id="245" w:name="_Toc400007811"/>
      <w:bookmarkStart w:id="246" w:name="_Toc400711497"/>
      <w:r>
        <w:t>Appendix B: Status of National Framework indicators of change by supporting outcome</w:t>
      </w:r>
      <w:bookmarkEnd w:id="245"/>
      <w:bookmarkEnd w:id="246"/>
    </w:p>
    <w:p w:rsidR="007D69DB" w:rsidRPr="003665DB" w:rsidRDefault="007D69DB" w:rsidP="003665DB">
      <w:pPr>
        <w:rPr>
          <w:rFonts w:ascii="Arial" w:hAnsi="Arial" w:cs="Arial"/>
          <w:color w:val="00755E"/>
          <w:spacing w:val="-4"/>
          <w:w w:val="89"/>
          <w:sz w:val="52"/>
          <w:szCs w:val="52"/>
        </w:rPr>
      </w:pPr>
      <w:r w:rsidRPr="003665DB">
        <w:rPr>
          <w:rFonts w:ascii="Calibri" w:hAnsi="Calibri" w:cs="Calibri"/>
          <w:bCs/>
          <w:sz w:val="24"/>
          <w:szCs w:val="24"/>
        </w:rPr>
        <w:t xml:space="preserve">The National Framework indicators, as set out in the </w:t>
      </w:r>
      <w:r w:rsidRPr="0029656E">
        <w:rPr>
          <w:rFonts w:ascii="Calibri" w:hAnsi="Calibri" w:cs="Calibri"/>
          <w:bCs/>
          <w:i/>
          <w:sz w:val="24"/>
          <w:szCs w:val="24"/>
        </w:rPr>
        <w:t>Second Three-Year Action Plan 2012</w:t>
      </w:r>
      <w:r w:rsidR="00BC2175" w:rsidRPr="0029656E">
        <w:rPr>
          <w:rFonts w:ascii="Calibri" w:hAnsi="Calibri" w:cs="Calibri"/>
          <w:bCs/>
          <w:i/>
          <w:sz w:val="24"/>
          <w:szCs w:val="24"/>
        </w:rPr>
        <w:t>–</w:t>
      </w:r>
      <w:r w:rsidRPr="0029656E">
        <w:rPr>
          <w:rFonts w:ascii="Calibri" w:hAnsi="Calibri" w:cs="Calibri"/>
          <w:bCs/>
          <w:i/>
          <w:sz w:val="24"/>
          <w:szCs w:val="24"/>
        </w:rPr>
        <w:t>2015</w:t>
      </w:r>
      <w:r w:rsidRPr="003665DB">
        <w:rPr>
          <w:rFonts w:ascii="Calibri" w:hAnsi="Calibri" w:cs="Calibri"/>
          <w:bCs/>
          <w:sz w:val="24"/>
          <w:szCs w:val="24"/>
        </w:rPr>
        <w:t xml:space="preserve">, are listed in </w:t>
      </w:r>
      <w:r w:rsidR="00481EB2" w:rsidRPr="003665DB">
        <w:rPr>
          <w:rFonts w:ascii="Calibri" w:hAnsi="Calibri" w:cs="Calibri"/>
          <w:bCs/>
          <w:sz w:val="24"/>
          <w:szCs w:val="24"/>
        </w:rPr>
        <w:t>T</w:t>
      </w:r>
      <w:r w:rsidRPr="003665DB">
        <w:rPr>
          <w:rFonts w:ascii="Calibri" w:hAnsi="Calibri" w:cs="Calibri"/>
          <w:bCs/>
          <w:sz w:val="24"/>
          <w:szCs w:val="24"/>
        </w:rPr>
        <w:t>able</w:t>
      </w:r>
      <w:r w:rsidR="00481EB2" w:rsidRPr="003665DB">
        <w:rPr>
          <w:rFonts w:ascii="Calibri" w:hAnsi="Calibri" w:cs="Calibri"/>
          <w:bCs/>
          <w:sz w:val="24"/>
          <w:szCs w:val="24"/>
        </w:rPr>
        <w:t xml:space="preserve"> 2</w:t>
      </w:r>
      <w:r w:rsidR="0029656E">
        <w:rPr>
          <w:rFonts w:ascii="Calibri" w:hAnsi="Calibri" w:cs="Calibri"/>
          <w:bCs/>
          <w:sz w:val="24"/>
          <w:szCs w:val="24"/>
        </w:rPr>
        <w:t>5</w:t>
      </w:r>
      <w:r w:rsidRPr="003665DB">
        <w:rPr>
          <w:rFonts w:ascii="Calibri" w:hAnsi="Calibri" w:cs="Calibri"/>
          <w:bCs/>
          <w:sz w:val="24"/>
          <w:szCs w:val="24"/>
        </w:rPr>
        <w:t xml:space="preserve">. Further technical information on the operational definitions and data sources for these indicators is available from AIHW 2013d. </w:t>
      </w:r>
    </w:p>
    <w:p w:rsidR="007D69DB" w:rsidRPr="00C941CE" w:rsidRDefault="007D69DB" w:rsidP="007D69DB">
      <w:pPr>
        <w:rPr>
          <w:lang w:eastAsia="en-US"/>
        </w:rPr>
      </w:pPr>
    </w:p>
    <w:p w:rsidR="007D69DB" w:rsidRDefault="001352B2" w:rsidP="00520DEC">
      <w:pPr>
        <w:pStyle w:val="Figure"/>
        <w:ind w:right="2124"/>
      </w:pPr>
      <w:bookmarkStart w:id="247" w:name="_Toc400010311"/>
      <w:r>
        <w:t xml:space="preserve">Table </w:t>
      </w:r>
      <w:fldSimple w:instr=" SEQ Table \* ARABIC ">
        <w:r w:rsidR="00BF1EC9">
          <w:rPr>
            <w:noProof/>
          </w:rPr>
          <w:t>25</w:t>
        </w:r>
      </w:fldSimple>
      <w:r>
        <w:t xml:space="preserve">: </w:t>
      </w:r>
      <w:r w:rsidR="00E0613F" w:rsidRPr="00801E96">
        <w:t xml:space="preserve">Status of </w:t>
      </w:r>
      <w:r w:rsidR="00E0613F">
        <w:t xml:space="preserve">National Framework </w:t>
      </w:r>
      <w:r w:rsidR="00E0613F" w:rsidRPr="00801E96">
        <w:t>indicators</w:t>
      </w:r>
      <w:r w:rsidR="00E0613F">
        <w:t>, by supporting outcome</w:t>
      </w:r>
      <w:bookmarkEnd w:id="247"/>
    </w:p>
    <w:p w:rsidR="00843549" w:rsidRPr="008564A0" w:rsidRDefault="00843549" w:rsidP="00673CC4">
      <w:pPr>
        <w:spacing w:after="20"/>
        <w:rPr>
          <w:rFonts w:ascii="Arial" w:hAnsi="Arial" w:cs="Arial"/>
          <w:b/>
        </w:rPr>
      </w:pPr>
      <w:r w:rsidRPr="008564A0">
        <w:rPr>
          <w:rFonts w:ascii="Arial" w:hAnsi="Arial" w:cs="Arial"/>
          <w:b/>
        </w:rPr>
        <w:t>High-level outcome: Australia’s children and young people are safe and well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25: Status of National Framework indicators, by supporting outcome.   Source: AIHW 2013d. "/>
      </w:tblPr>
      <w:tblGrid>
        <w:gridCol w:w="2376"/>
        <w:gridCol w:w="5162"/>
        <w:gridCol w:w="2209"/>
      </w:tblGrid>
      <w:tr w:rsidR="00843549" w:rsidTr="00861132">
        <w:trPr>
          <w:tblHeader/>
        </w:trPr>
        <w:tc>
          <w:tcPr>
            <w:tcW w:w="2376" w:type="dxa"/>
            <w:tcBorders>
              <w:top w:val="single" w:sz="4" w:space="0" w:color="auto"/>
              <w:bottom w:val="single" w:sz="4" w:space="0" w:color="auto"/>
            </w:tcBorders>
            <w:shd w:val="clear" w:color="auto" w:fill="auto"/>
          </w:tcPr>
          <w:p w:rsidR="00843549" w:rsidRDefault="00843549" w:rsidP="00861132">
            <w:pPr>
              <w:pStyle w:val="TableFigHeadingtotal"/>
            </w:pPr>
            <w:r>
              <w:t xml:space="preserve">Domain </w:t>
            </w:r>
          </w:p>
        </w:tc>
        <w:tc>
          <w:tcPr>
            <w:tcW w:w="5162" w:type="dxa"/>
            <w:tcBorders>
              <w:top w:val="single" w:sz="4" w:space="0" w:color="auto"/>
              <w:bottom w:val="single" w:sz="4" w:space="0" w:color="auto"/>
            </w:tcBorders>
            <w:shd w:val="clear" w:color="auto" w:fill="auto"/>
          </w:tcPr>
          <w:p w:rsidR="00843549" w:rsidRDefault="00843549" w:rsidP="00861132">
            <w:pPr>
              <w:pStyle w:val="TableFigHeadingtotal"/>
            </w:pPr>
            <w:r>
              <w:t>Indicator</w:t>
            </w:r>
          </w:p>
        </w:tc>
        <w:tc>
          <w:tcPr>
            <w:tcW w:w="2209" w:type="dxa"/>
            <w:tcBorders>
              <w:top w:val="single" w:sz="4" w:space="0" w:color="auto"/>
              <w:bottom w:val="single" w:sz="4" w:space="0" w:color="auto"/>
            </w:tcBorders>
            <w:shd w:val="clear" w:color="auto" w:fill="auto"/>
          </w:tcPr>
          <w:p w:rsidR="00843549" w:rsidRDefault="00843549" w:rsidP="00861132">
            <w:pPr>
              <w:pStyle w:val="TableFigHeadingtotal"/>
            </w:pPr>
            <w:r>
              <w:t>Development status</w:t>
            </w:r>
          </w:p>
        </w:tc>
      </w:tr>
      <w:tr w:rsidR="007D69DB" w:rsidTr="00C56E2E">
        <w:tc>
          <w:tcPr>
            <w:tcW w:w="2376" w:type="dxa"/>
            <w:tcBorders>
              <w:top w:val="single" w:sz="4" w:space="0" w:color="auto"/>
            </w:tcBorders>
          </w:tcPr>
          <w:p w:rsidR="007D69DB" w:rsidRDefault="007D69DB" w:rsidP="00135409">
            <w:pPr>
              <w:pStyle w:val="TableFigText"/>
            </w:pPr>
            <w:r w:rsidRPr="009D7B3E">
              <w:t>Child protection substantiations</w:t>
            </w:r>
          </w:p>
        </w:tc>
        <w:tc>
          <w:tcPr>
            <w:tcW w:w="5162" w:type="dxa"/>
            <w:tcBorders>
              <w:top w:val="single" w:sz="4" w:space="0" w:color="auto"/>
            </w:tcBorders>
          </w:tcPr>
          <w:p w:rsidR="007D69DB" w:rsidRDefault="007D69DB" w:rsidP="00135409">
            <w:pPr>
              <w:pStyle w:val="TableFigText"/>
            </w:pPr>
            <w:r>
              <w:t xml:space="preserve">0.1: </w:t>
            </w:r>
            <w:r w:rsidRPr="00092C13">
              <w:t xml:space="preserve">Rate of children aged 0–17 years who were the subject of child protection substantiation </w:t>
            </w:r>
          </w:p>
        </w:tc>
        <w:tc>
          <w:tcPr>
            <w:tcW w:w="2209" w:type="dxa"/>
            <w:tcBorders>
              <w:top w:val="single" w:sz="4" w:space="0" w:color="auto"/>
            </w:tcBorders>
          </w:tcPr>
          <w:p w:rsidR="007D69DB" w:rsidRPr="00092C13" w:rsidRDefault="007D69DB" w:rsidP="00135409">
            <w:pPr>
              <w:pStyle w:val="TableFigText"/>
            </w:pPr>
            <w:r>
              <w:t>Reportable</w:t>
            </w:r>
          </w:p>
        </w:tc>
      </w:tr>
      <w:tr w:rsidR="007D69DB" w:rsidTr="00C56E2E">
        <w:tc>
          <w:tcPr>
            <w:tcW w:w="2376" w:type="dxa"/>
          </w:tcPr>
          <w:p w:rsidR="007D69DB" w:rsidRDefault="007D69DB" w:rsidP="00135409">
            <w:pPr>
              <w:pStyle w:val="TableFigText"/>
            </w:pPr>
            <w:r w:rsidRPr="00C22492">
              <w:t>Out-of-home care</w:t>
            </w:r>
          </w:p>
        </w:tc>
        <w:tc>
          <w:tcPr>
            <w:tcW w:w="5162" w:type="dxa"/>
          </w:tcPr>
          <w:p w:rsidR="007D69DB" w:rsidRDefault="007D69DB" w:rsidP="00135409">
            <w:pPr>
              <w:pStyle w:val="TableFigText"/>
            </w:pPr>
            <w:r>
              <w:t xml:space="preserve">0.2: </w:t>
            </w:r>
            <w:r w:rsidRPr="00C22492">
              <w:t>Rate of children aged 0–17 years who</w:t>
            </w:r>
            <w:r>
              <w:t xml:space="preserve"> are</w:t>
            </w:r>
            <w:r w:rsidRPr="00C22492">
              <w:t xml:space="preserve"> in out-of-home</w:t>
            </w:r>
            <w:r>
              <w:t xml:space="preserve"> </w:t>
            </w:r>
            <w:r w:rsidRPr="00C22492">
              <w:t xml:space="preserve">care </w:t>
            </w:r>
          </w:p>
        </w:tc>
        <w:tc>
          <w:tcPr>
            <w:tcW w:w="2209" w:type="dxa"/>
          </w:tcPr>
          <w:p w:rsidR="007D69DB" w:rsidRPr="00C22492" w:rsidRDefault="007D69DB" w:rsidP="00135409">
            <w:pPr>
              <w:pStyle w:val="TableFigText"/>
            </w:pPr>
            <w:r>
              <w:t>Reportable</w:t>
            </w:r>
          </w:p>
        </w:tc>
      </w:tr>
      <w:tr w:rsidR="007D69DB" w:rsidTr="00C56E2E">
        <w:tc>
          <w:tcPr>
            <w:tcW w:w="2376" w:type="dxa"/>
          </w:tcPr>
          <w:p w:rsidR="007D69DB" w:rsidRDefault="007D69DB" w:rsidP="00135409">
            <w:pPr>
              <w:pStyle w:val="TableFigText"/>
            </w:pPr>
            <w:r w:rsidRPr="00C22492">
              <w:t>Teenage births</w:t>
            </w:r>
          </w:p>
        </w:tc>
        <w:tc>
          <w:tcPr>
            <w:tcW w:w="5162" w:type="dxa"/>
          </w:tcPr>
          <w:p w:rsidR="007D69DB" w:rsidRDefault="007D69DB" w:rsidP="00135409">
            <w:pPr>
              <w:pStyle w:val="TableFigText"/>
            </w:pPr>
            <w:r>
              <w:t xml:space="preserve">0.3: </w:t>
            </w:r>
            <w:r w:rsidRPr="00120524">
              <w:t xml:space="preserve">Age-specific </w:t>
            </w:r>
            <w:r>
              <w:t>birth</w:t>
            </w:r>
            <w:r w:rsidRPr="00120524">
              <w:t xml:space="preserve"> rate for women aged 15–19 years</w:t>
            </w:r>
          </w:p>
        </w:tc>
        <w:tc>
          <w:tcPr>
            <w:tcW w:w="2209" w:type="dxa"/>
          </w:tcPr>
          <w:p w:rsidR="007D69DB" w:rsidRPr="00C22492" w:rsidRDefault="007D69DB" w:rsidP="00135409">
            <w:pPr>
              <w:pStyle w:val="TableFigText"/>
            </w:pPr>
            <w:r>
              <w:t>Reportable</w:t>
            </w:r>
          </w:p>
        </w:tc>
      </w:tr>
      <w:tr w:rsidR="007D69DB" w:rsidTr="00C56E2E">
        <w:tc>
          <w:tcPr>
            <w:tcW w:w="2376" w:type="dxa"/>
          </w:tcPr>
          <w:p w:rsidR="007D69DB" w:rsidRDefault="007D69DB" w:rsidP="00135409">
            <w:pPr>
              <w:pStyle w:val="TableFigText"/>
            </w:pPr>
            <w:r>
              <w:t xml:space="preserve">Low </w:t>
            </w:r>
            <w:proofErr w:type="spellStart"/>
            <w:r>
              <w:t>birth</w:t>
            </w:r>
            <w:r w:rsidRPr="00473615">
              <w:t>weight</w:t>
            </w:r>
            <w:proofErr w:type="spellEnd"/>
          </w:p>
        </w:tc>
        <w:tc>
          <w:tcPr>
            <w:tcW w:w="5162" w:type="dxa"/>
          </w:tcPr>
          <w:p w:rsidR="007D69DB" w:rsidRDefault="007D69DB" w:rsidP="00135409">
            <w:pPr>
              <w:pStyle w:val="TableFigText"/>
            </w:pPr>
            <w:r>
              <w:t xml:space="preserve">0.4: </w:t>
            </w:r>
            <w:r w:rsidRPr="00473615">
              <w:t xml:space="preserve">Proportion of live born infants of low </w:t>
            </w:r>
            <w:proofErr w:type="spellStart"/>
            <w:r w:rsidRPr="00473615">
              <w:t>birthweight</w:t>
            </w:r>
            <w:proofErr w:type="spellEnd"/>
          </w:p>
        </w:tc>
        <w:tc>
          <w:tcPr>
            <w:tcW w:w="2209" w:type="dxa"/>
          </w:tcPr>
          <w:p w:rsidR="007D69DB" w:rsidRPr="00473615" w:rsidRDefault="007D69DB" w:rsidP="00135409">
            <w:pPr>
              <w:pStyle w:val="TableFigText"/>
            </w:pPr>
            <w:r>
              <w:t>Reportable</w:t>
            </w:r>
          </w:p>
        </w:tc>
      </w:tr>
      <w:tr w:rsidR="007D69DB" w:rsidTr="00C56E2E">
        <w:tc>
          <w:tcPr>
            <w:tcW w:w="2376" w:type="dxa"/>
          </w:tcPr>
          <w:p w:rsidR="007D69DB" w:rsidRDefault="007D69DB" w:rsidP="00135409">
            <w:pPr>
              <w:pStyle w:val="TableFigText"/>
            </w:pPr>
            <w:r w:rsidRPr="00210F9D">
              <w:t xml:space="preserve">Child </w:t>
            </w:r>
            <w:r>
              <w:t>homicide</w:t>
            </w:r>
          </w:p>
        </w:tc>
        <w:tc>
          <w:tcPr>
            <w:tcW w:w="5162" w:type="dxa"/>
          </w:tcPr>
          <w:p w:rsidR="007D69DB" w:rsidRDefault="007D69DB" w:rsidP="00135409">
            <w:pPr>
              <w:pStyle w:val="TableFigText"/>
            </w:pPr>
            <w:r>
              <w:t xml:space="preserve">0.5: </w:t>
            </w:r>
            <w:r w:rsidRPr="00210F9D">
              <w:t>Assault (homicide) death rate for children aged 0–1</w:t>
            </w:r>
            <w:r>
              <w:t>7</w:t>
            </w:r>
            <w:r w:rsidRPr="00210F9D">
              <w:t xml:space="preserve"> years</w:t>
            </w:r>
          </w:p>
        </w:tc>
        <w:tc>
          <w:tcPr>
            <w:tcW w:w="2209" w:type="dxa"/>
          </w:tcPr>
          <w:p w:rsidR="007D69DB" w:rsidRPr="00210F9D" w:rsidRDefault="007D69DB" w:rsidP="00135409">
            <w:pPr>
              <w:pStyle w:val="TableFigText"/>
            </w:pPr>
            <w:r>
              <w:t>Reportable</w:t>
            </w:r>
          </w:p>
        </w:tc>
      </w:tr>
      <w:tr w:rsidR="007D69DB" w:rsidTr="00C56E2E">
        <w:tc>
          <w:tcPr>
            <w:tcW w:w="2376" w:type="dxa"/>
          </w:tcPr>
          <w:p w:rsidR="007D69DB" w:rsidRDefault="007D69DB" w:rsidP="00135409">
            <w:pPr>
              <w:pStyle w:val="TableFigText"/>
            </w:pPr>
            <w:r w:rsidRPr="00B63004">
              <w:t>Early childhood development</w:t>
            </w:r>
          </w:p>
        </w:tc>
        <w:tc>
          <w:tcPr>
            <w:tcW w:w="5162" w:type="dxa"/>
          </w:tcPr>
          <w:p w:rsidR="007D69DB" w:rsidRDefault="007D69DB" w:rsidP="00135409">
            <w:pPr>
              <w:pStyle w:val="TableFigText"/>
            </w:pPr>
            <w:r>
              <w:t xml:space="preserve">0.6: </w:t>
            </w:r>
            <w:r w:rsidRPr="00C22492">
              <w:t xml:space="preserve">Proportion of children </w:t>
            </w:r>
            <w:r>
              <w:t xml:space="preserve">who are </w:t>
            </w:r>
            <w:r w:rsidRPr="00C22492">
              <w:t>developmentally vulnerable on one or more domains of the AEDI</w:t>
            </w:r>
          </w:p>
        </w:tc>
        <w:tc>
          <w:tcPr>
            <w:tcW w:w="2209" w:type="dxa"/>
          </w:tcPr>
          <w:p w:rsidR="007D69DB" w:rsidRPr="00C22492" w:rsidRDefault="007D69DB" w:rsidP="00135409">
            <w:pPr>
              <w:pStyle w:val="TableFigText"/>
            </w:pPr>
            <w:r>
              <w:t>Reportable</w:t>
            </w:r>
          </w:p>
        </w:tc>
      </w:tr>
      <w:tr w:rsidR="007D69DB" w:rsidTr="00843549">
        <w:tc>
          <w:tcPr>
            <w:tcW w:w="2376" w:type="dxa"/>
          </w:tcPr>
          <w:p w:rsidR="007D69DB" w:rsidRDefault="007D69DB" w:rsidP="00135409">
            <w:pPr>
              <w:pStyle w:val="TableFigText"/>
            </w:pPr>
            <w:r w:rsidRPr="008873D0">
              <w:t xml:space="preserve">Child </w:t>
            </w:r>
            <w:r>
              <w:t>social and emotional wellbeing</w:t>
            </w:r>
          </w:p>
        </w:tc>
        <w:tc>
          <w:tcPr>
            <w:tcW w:w="5162" w:type="dxa"/>
          </w:tcPr>
          <w:p w:rsidR="007D69DB" w:rsidRDefault="007D69DB" w:rsidP="00135409">
            <w:pPr>
              <w:pStyle w:val="TableFigText"/>
            </w:pPr>
            <w:r>
              <w:t>0.7: Proportion of children aged 8</w:t>
            </w:r>
            <w:r w:rsidRPr="00E252DF">
              <w:t>–1</w:t>
            </w:r>
            <w:r>
              <w:t>7</w:t>
            </w:r>
            <w:r w:rsidRPr="00E252DF">
              <w:t xml:space="preserve"> years scoring ‘of concern’ on the Strengths and Difficulties Questionnaire</w:t>
            </w:r>
          </w:p>
        </w:tc>
        <w:tc>
          <w:tcPr>
            <w:tcW w:w="2209" w:type="dxa"/>
          </w:tcPr>
          <w:p w:rsidR="007D69DB" w:rsidRDefault="007D69DB" w:rsidP="00135409">
            <w:pPr>
              <w:pStyle w:val="TableFigText"/>
            </w:pPr>
            <w:r>
              <w:t>Not reportable, pending implementation of ABS data source</w:t>
            </w:r>
          </w:p>
        </w:tc>
      </w:tr>
      <w:tr w:rsidR="007D69DB" w:rsidTr="00843549">
        <w:tc>
          <w:tcPr>
            <w:tcW w:w="2376" w:type="dxa"/>
            <w:tcBorders>
              <w:bottom w:val="single" w:sz="4" w:space="0" w:color="auto"/>
            </w:tcBorders>
          </w:tcPr>
          <w:p w:rsidR="007D69DB" w:rsidRDefault="007D69DB" w:rsidP="00135409">
            <w:pPr>
              <w:pStyle w:val="TableFigText"/>
            </w:pPr>
            <w:r w:rsidRPr="0079398F">
              <w:t>Family economic situation</w:t>
            </w:r>
          </w:p>
        </w:tc>
        <w:tc>
          <w:tcPr>
            <w:tcW w:w="5162" w:type="dxa"/>
            <w:tcBorders>
              <w:bottom w:val="single" w:sz="4" w:space="0" w:color="auto"/>
            </w:tcBorders>
          </w:tcPr>
          <w:p w:rsidR="007D69DB" w:rsidRDefault="007D69DB" w:rsidP="00135409">
            <w:pPr>
              <w:pStyle w:val="TableFigText"/>
            </w:pPr>
            <w:r>
              <w:t xml:space="preserve">0.8: </w:t>
            </w:r>
            <w:r w:rsidRPr="00D80FC2">
              <w:t xml:space="preserve">Proportion of </w:t>
            </w:r>
            <w:r w:rsidRPr="00F36C03">
              <w:t xml:space="preserve">households with children aged 0–14 years where at least 50% of </w:t>
            </w:r>
            <w:r w:rsidRPr="00D80FC2">
              <w:t xml:space="preserve">gross household income </w:t>
            </w:r>
            <w:r>
              <w:t xml:space="preserve">is </w:t>
            </w:r>
            <w:r w:rsidRPr="00D80FC2">
              <w:t xml:space="preserve">from government pensions and allowances </w:t>
            </w:r>
          </w:p>
        </w:tc>
        <w:tc>
          <w:tcPr>
            <w:tcW w:w="2209" w:type="dxa"/>
            <w:tcBorders>
              <w:bottom w:val="single" w:sz="4" w:space="0" w:color="auto"/>
            </w:tcBorders>
          </w:tcPr>
          <w:p w:rsidR="007D69DB" w:rsidRPr="00A265DF" w:rsidRDefault="007D69DB" w:rsidP="00135409">
            <w:pPr>
              <w:pStyle w:val="TableFigText"/>
            </w:pPr>
            <w:r>
              <w:t>Reportable</w:t>
            </w:r>
          </w:p>
        </w:tc>
      </w:tr>
    </w:tbl>
    <w:p w:rsidR="00843549" w:rsidRDefault="00843549"/>
    <w:p w:rsidR="00843549" w:rsidRPr="008564A0" w:rsidRDefault="00843549" w:rsidP="00673CC4">
      <w:pPr>
        <w:spacing w:after="20"/>
        <w:rPr>
          <w:rFonts w:ascii="Arial" w:hAnsi="Arial" w:cs="Arial"/>
          <w:b/>
        </w:rPr>
      </w:pPr>
      <w:r w:rsidRPr="008564A0">
        <w:rPr>
          <w:rFonts w:ascii="Arial" w:hAnsi="Arial" w:cs="Arial"/>
          <w:b/>
        </w:rPr>
        <w:t>Supporting outcome 1: Children live in safe and supportive families and communities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25: Status of National Framework indicators, by supporting outcome.   Source: AIHW 2013d. "/>
      </w:tblPr>
      <w:tblGrid>
        <w:gridCol w:w="2376"/>
        <w:gridCol w:w="5162"/>
        <w:gridCol w:w="2209"/>
      </w:tblGrid>
      <w:tr w:rsidR="00843549" w:rsidTr="008564A0">
        <w:trPr>
          <w:tblHeader/>
        </w:trPr>
        <w:tc>
          <w:tcPr>
            <w:tcW w:w="2376" w:type="dxa"/>
            <w:tcBorders>
              <w:top w:val="single" w:sz="4" w:space="0" w:color="auto"/>
              <w:bottom w:val="single" w:sz="4" w:space="0" w:color="auto"/>
            </w:tcBorders>
            <w:shd w:val="clear" w:color="auto" w:fill="auto"/>
          </w:tcPr>
          <w:p w:rsidR="00843549" w:rsidRDefault="00843549" w:rsidP="00861132">
            <w:pPr>
              <w:pStyle w:val="TableFigHeadingtotal"/>
            </w:pPr>
            <w:r>
              <w:t xml:space="preserve">Domain </w:t>
            </w:r>
          </w:p>
        </w:tc>
        <w:tc>
          <w:tcPr>
            <w:tcW w:w="5162" w:type="dxa"/>
            <w:tcBorders>
              <w:top w:val="single" w:sz="4" w:space="0" w:color="auto"/>
              <w:bottom w:val="single" w:sz="4" w:space="0" w:color="auto"/>
            </w:tcBorders>
            <w:shd w:val="clear" w:color="auto" w:fill="auto"/>
          </w:tcPr>
          <w:p w:rsidR="00843549" w:rsidRDefault="00843549" w:rsidP="00861132">
            <w:pPr>
              <w:pStyle w:val="TableFigHeadingtotal"/>
            </w:pPr>
            <w:r>
              <w:t>Indicator</w:t>
            </w:r>
          </w:p>
        </w:tc>
        <w:tc>
          <w:tcPr>
            <w:tcW w:w="2209" w:type="dxa"/>
            <w:tcBorders>
              <w:top w:val="single" w:sz="4" w:space="0" w:color="auto"/>
              <w:bottom w:val="single" w:sz="4" w:space="0" w:color="auto"/>
            </w:tcBorders>
            <w:shd w:val="clear" w:color="auto" w:fill="auto"/>
          </w:tcPr>
          <w:p w:rsidR="00843549" w:rsidRDefault="00843549" w:rsidP="00861132">
            <w:pPr>
              <w:pStyle w:val="TableFigHeadingtotal"/>
            </w:pPr>
            <w:r>
              <w:t>Development status</w:t>
            </w:r>
          </w:p>
        </w:tc>
      </w:tr>
      <w:tr w:rsidR="007D69DB" w:rsidTr="00843549">
        <w:tc>
          <w:tcPr>
            <w:tcW w:w="2376" w:type="dxa"/>
            <w:tcBorders>
              <w:top w:val="single" w:sz="4" w:space="0" w:color="auto"/>
            </w:tcBorders>
          </w:tcPr>
          <w:p w:rsidR="007D69DB" w:rsidRPr="0079398F" w:rsidRDefault="007D69DB" w:rsidP="00135409">
            <w:pPr>
              <w:pStyle w:val="TableFigText"/>
            </w:pPr>
            <w:r>
              <w:t>Family functioning</w:t>
            </w:r>
          </w:p>
        </w:tc>
        <w:tc>
          <w:tcPr>
            <w:tcW w:w="5162" w:type="dxa"/>
            <w:tcBorders>
              <w:top w:val="single" w:sz="4" w:space="0" w:color="auto"/>
            </w:tcBorders>
          </w:tcPr>
          <w:p w:rsidR="007D69DB" w:rsidRPr="00D80FC2" w:rsidRDefault="007D69DB" w:rsidP="00135409">
            <w:pPr>
              <w:pStyle w:val="TableFigText"/>
            </w:pPr>
            <w:r>
              <w:t>1.1: P</w:t>
            </w:r>
            <w:r w:rsidRPr="004372AF">
              <w:t>roportion of families who report ‘good’, ‘very good’ or ‘excellent’ family cohesion</w:t>
            </w:r>
          </w:p>
        </w:tc>
        <w:tc>
          <w:tcPr>
            <w:tcW w:w="2209" w:type="dxa"/>
            <w:tcBorders>
              <w:top w:val="single" w:sz="4" w:space="0" w:color="auto"/>
            </w:tcBorders>
          </w:tcPr>
          <w:p w:rsidR="007D69DB" w:rsidRDefault="007D69DB" w:rsidP="00135409">
            <w:pPr>
              <w:pStyle w:val="TableFigText"/>
            </w:pPr>
            <w:r>
              <w:t>Reportable</w:t>
            </w:r>
          </w:p>
        </w:tc>
      </w:tr>
      <w:tr w:rsidR="007D69DB" w:rsidTr="00843549">
        <w:tc>
          <w:tcPr>
            <w:tcW w:w="2376" w:type="dxa"/>
          </w:tcPr>
          <w:p w:rsidR="007D69DB" w:rsidRPr="0079398F" w:rsidRDefault="007D69DB" w:rsidP="00135409">
            <w:pPr>
              <w:pStyle w:val="TableFigText"/>
            </w:pPr>
            <w:r>
              <w:t>Perceived safety</w:t>
            </w:r>
          </w:p>
        </w:tc>
        <w:tc>
          <w:tcPr>
            <w:tcW w:w="5162" w:type="dxa"/>
          </w:tcPr>
          <w:p w:rsidR="007D69DB" w:rsidRPr="00D80FC2" w:rsidRDefault="007D69DB" w:rsidP="00135409">
            <w:pPr>
              <w:pStyle w:val="TableFigText"/>
            </w:pPr>
            <w:r>
              <w:t xml:space="preserve">1.2: </w:t>
            </w:r>
            <w:r w:rsidRPr="005A0D3A">
              <w:t>P</w:t>
            </w:r>
            <w:r>
              <w:t>roportion</w:t>
            </w:r>
            <w:r w:rsidRPr="005A0D3A">
              <w:t xml:space="preserve"> of households with children aged 0–14 years where their neighbourhood is perceived as safe</w:t>
            </w:r>
          </w:p>
        </w:tc>
        <w:tc>
          <w:tcPr>
            <w:tcW w:w="2209" w:type="dxa"/>
          </w:tcPr>
          <w:p w:rsidR="007D69DB" w:rsidRDefault="007D69DB" w:rsidP="00135409">
            <w:pPr>
              <w:pStyle w:val="TableFigText"/>
            </w:pPr>
            <w:r>
              <w:t>Reportable</w:t>
            </w:r>
          </w:p>
        </w:tc>
      </w:tr>
    </w:tbl>
    <w:p w:rsidR="00843549" w:rsidRDefault="00843549"/>
    <w:p w:rsidR="00843549" w:rsidRPr="008564A0" w:rsidRDefault="00843549" w:rsidP="00673CC4">
      <w:pPr>
        <w:spacing w:after="20"/>
        <w:rPr>
          <w:rFonts w:ascii="Arial" w:hAnsi="Arial" w:cs="Arial"/>
          <w:b/>
        </w:rPr>
      </w:pPr>
      <w:r w:rsidRPr="008564A0">
        <w:rPr>
          <w:rFonts w:ascii="Arial" w:hAnsi="Arial" w:cs="Arial"/>
          <w:b/>
        </w:rPr>
        <w:t>Supporting outcome 2: Children and families access adequate support to promote safety and intervene early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25: Status of National Framework indicators, by supporting outcome.   Source: AIHW 2013d. "/>
      </w:tblPr>
      <w:tblGrid>
        <w:gridCol w:w="2376"/>
        <w:gridCol w:w="5162"/>
        <w:gridCol w:w="2209"/>
      </w:tblGrid>
      <w:tr w:rsidR="00843549" w:rsidTr="008564A0">
        <w:trPr>
          <w:tblHeader/>
        </w:trPr>
        <w:tc>
          <w:tcPr>
            <w:tcW w:w="2376" w:type="dxa"/>
            <w:tcBorders>
              <w:top w:val="single" w:sz="4" w:space="0" w:color="auto"/>
            </w:tcBorders>
          </w:tcPr>
          <w:p w:rsidR="00843549" w:rsidRDefault="00843549" w:rsidP="00861132">
            <w:pPr>
              <w:pStyle w:val="TableFigHeadingtotal"/>
            </w:pPr>
            <w:r>
              <w:t xml:space="preserve">Domain </w:t>
            </w:r>
          </w:p>
        </w:tc>
        <w:tc>
          <w:tcPr>
            <w:tcW w:w="5162" w:type="dxa"/>
            <w:tcBorders>
              <w:top w:val="single" w:sz="4" w:space="0" w:color="auto"/>
            </w:tcBorders>
          </w:tcPr>
          <w:p w:rsidR="00843549" w:rsidRDefault="00843549" w:rsidP="00861132">
            <w:pPr>
              <w:pStyle w:val="TableFigHeadingtotal"/>
            </w:pPr>
            <w:r>
              <w:t>Indicator</w:t>
            </w:r>
          </w:p>
        </w:tc>
        <w:tc>
          <w:tcPr>
            <w:tcW w:w="2209" w:type="dxa"/>
            <w:tcBorders>
              <w:top w:val="single" w:sz="4" w:space="0" w:color="auto"/>
            </w:tcBorders>
          </w:tcPr>
          <w:p w:rsidR="00843549" w:rsidRDefault="00843549" w:rsidP="00861132">
            <w:pPr>
              <w:pStyle w:val="TableFigHeadingtotal"/>
            </w:pPr>
            <w:r>
              <w:t>Development status</w:t>
            </w:r>
          </w:p>
        </w:tc>
      </w:tr>
      <w:tr w:rsidR="00843549" w:rsidTr="00C56E2E">
        <w:tc>
          <w:tcPr>
            <w:tcW w:w="2376" w:type="dxa"/>
            <w:tcBorders>
              <w:top w:val="single" w:sz="4" w:space="0" w:color="auto"/>
            </w:tcBorders>
          </w:tcPr>
          <w:p w:rsidR="00843549" w:rsidRDefault="00843549" w:rsidP="00135409">
            <w:pPr>
              <w:pStyle w:val="TableFigText"/>
            </w:pPr>
            <w:r>
              <w:t>Family support service use</w:t>
            </w:r>
          </w:p>
        </w:tc>
        <w:tc>
          <w:tcPr>
            <w:tcW w:w="5162" w:type="dxa"/>
            <w:tcBorders>
              <w:top w:val="single" w:sz="4" w:space="0" w:color="auto"/>
            </w:tcBorders>
          </w:tcPr>
          <w:p w:rsidR="00843549" w:rsidRDefault="00843549" w:rsidP="00135409">
            <w:pPr>
              <w:pStyle w:val="TableFigText"/>
            </w:pPr>
            <w:r>
              <w:t xml:space="preserve">2.1: </w:t>
            </w:r>
            <w:r w:rsidRPr="00EA32BF">
              <w:t>Number of children aged 0–17 years seeking assistance through treatment and support services</w:t>
            </w:r>
          </w:p>
        </w:tc>
        <w:tc>
          <w:tcPr>
            <w:tcW w:w="2209" w:type="dxa"/>
            <w:tcBorders>
              <w:top w:val="single" w:sz="4" w:space="0" w:color="auto"/>
            </w:tcBorders>
          </w:tcPr>
          <w:p w:rsidR="00843549" w:rsidRPr="00E329BB" w:rsidRDefault="00843549" w:rsidP="00135409">
            <w:pPr>
              <w:pStyle w:val="TableFigText"/>
            </w:pPr>
            <w:r>
              <w:t>Reportable with proxy indicator</w:t>
            </w:r>
          </w:p>
        </w:tc>
      </w:tr>
      <w:tr w:rsidR="00843549" w:rsidTr="00843549">
        <w:tc>
          <w:tcPr>
            <w:tcW w:w="2376" w:type="dxa"/>
          </w:tcPr>
          <w:p w:rsidR="00843549" w:rsidRDefault="00843549" w:rsidP="00135409">
            <w:pPr>
              <w:pStyle w:val="TableFigText"/>
            </w:pPr>
            <w:r>
              <w:t>Early childhood education</w:t>
            </w:r>
          </w:p>
        </w:tc>
        <w:tc>
          <w:tcPr>
            <w:tcW w:w="5162" w:type="dxa"/>
          </w:tcPr>
          <w:p w:rsidR="00843549" w:rsidRDefault="00843549" w:rsidP="00135409">
            <w:pPr>
              <w:pStyle w:val="TableFigText"/>
            </w:pPr>
            <w:r>
              <w:t xml:space="preserve">2.2: Attendance rate </w:t>
            </w:r>
            <w:r w:rsidRPr="00713294">
              <w:t xml:space="preserve">of children aged 4–5 years </w:t>
            </w:r>
            <w:r>
              <w:t>at</w:t>
            </w:r>
            <w:r w:rsidRPr="00713294">
              <w:t xml:space="preserve"> </w:t>
            </w:r>
            <w:r>
              <w:t>preschool</w:t>
            </w:r>
            <w:r w:rsidRPr="00713294">
              <w:t xml:space="preserve"> program</w:t>
            </w:r>
            <w:r>
              <w:t>s</w:t>
            </w:r>
          </w:p>
        </w:tc>
        <w:tc>
          <w:tcPr>
            <w:tcW w:w="2209" w:type="dxa"/>
          </w:tcPr>
          <w:p w:rsidR="00843549" w:rsidRPr="00CD6643" w:rsidRDefault="00843549" w:rsidP="00135409">
            <w:pPr>
              <w:pStyle w:val="TableFigText"/>
            </w:pPr>
            <w:r>
              <w:t>Reportable</w:t>
            </w:r>
          </w:p>
        </w:tc>
      </w:tr>
      <w:tr w:rsidR="00843549" w:rsidTr="00843549">
        <w:tc>
          <w:tcPr>
            <w:tcW w:w="2376" w:type="dxa"/>
            <w:tcBorders>
              <w:bottom w:val="single" w:sz="4" w:space="0" w:color="auto"/>
            </w:tcBorders>
          </w:tcPr>
          <w:p w:rsidR="00843549" w:rsidRDefault="00843549" w:rsidP="00135409">
            <w:pPr>
              <w:pStyle w:val="TableFigText"/>
            </w:pPr>
            <w:r>
              <w:t>Antenatal care</w:t>
            </w:r>
          </w:p>
        </w:tc>
        <w:tc>
          <w:tcPr>
            <w:tcW w:w="5162" w:type="dxa"/>
            <w:tcBorders>
              <w:bottom w:val="single" w:sz="4" w:space="0" w:color="auto"/>
            </w:tcBorders>
          </w:tcPr>
          <w:p w:rsidR="00843549" w:rsidRDefault="00843549" w:rsidP="00135409">
            <w:pPr>
              <w:pStyle w:val="TableFigText"/>
            </w:pPr>
            <w:r>
              <w:t xml:space="preserve">2.3: </w:t>
            </w:r>
            <w:r w:rsidRPr="00EB0050">
              <w:t xml:space="preserve">Proportion of women who </w:t>
            </w:r>
            <w:r>
              <w:t>had at least five</w:t>
            </w:r>
            <w:r w:rsidRPr="00EB0050">
              <w:t xml:space="preserve"> antenatal </w:t>
            </w:r>
            <w:r>
              <w:t>visits during pregnancy</w:t>
            </w:r>
          </w:p>
        </w:tc>
        <w:tc>
          <w:tcPr>
            <w:tcW w:w="2209" w:type="dxa"/>
            <w:tcBorders>
              <w:bottom w:val="single" w:sz="4" w:space="0" w:color="auto"/>
            </w:tcBorders>
          </w:tcPr>
          <w:p w:rsidR="00843549" w:rsidRPr="00CD6643" w:rsidRDefault="00843549" w:rsidP="00135409">
            <w:pPr>
              <w:pStyle w:val="TableFigText"/>
            </w:pPr>
            <w:r>
              <w:t>Reportable</w:t>
            </w:r>
          </w:p>
        </w:tc>
      </w:tr>
    </w:tbl>
    <w:p w:rsidR="00843549" w:rsidRDefault="00843549"/>
    <w:p w:rsidR="00843549" w:rsidRPr="008564A0" w:rsidRDefault="00843549" w:rsidP="00673CC4">
      <w:pPr>
        <w:spacing w:after="20"/>
        <w:rPr>
          <w:rFonts w:ascii="Arial" w:hAnsi="Arial" w:cs="Arial"/>
          <w:b/>
        </w:rPr>
      </w:pPr>
      <w:r w:rsidRPr="008564A0">
        <w:rPr>
          <w:rFonts w:ascii="Arial" w:hAnsi="Arial" w:cs="Arial"/>
          <w:b/>
        </w:rPr>
        <w:t>Supporting outcome 3: Risk factors for abuse and neglect are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25: Status of National Framework indicators, by supporting outcome.   Source: AIHW 2013d. "/>
      </w:tblPr>
      <w:tblGrid>
        <w:gridCol w:w="2376"/>
        <w:gridCol w:w="5162"/>
        <w:gridCol w:w="2209"/>
      </w:tblGrid>
      <w:tr w:rsidR="00843549" w:rsidTr="00843549">
        <w:trPr>
          <w:tblHeader/>
        </w:trPr>
        <w:tc>
          <w:tcPr>
            <w:tcW w:w="2376" w:type="dxa"/>
            <w:tcBorders>
              <w:top w:val="single" w:sz="4" w:space="0" w:color="auto"/>
              <w:bottom w:val="single" w:sz="4" w:space="0" w:color="auto"/>
            </w:tcBorders>
            <w:shd w:val="clear" w:color="auto" w:fill="auto"/>
          </w:tcPr>
          <w:p w:rsidR="00843549" w:rsidRDefault="00843549" w:rsidP="00861132">
            <w:pPr>
              <w:pStyle w:val="TableFigHeadingtotal"/>
            </w:pPr>
            <w:r>
              <w:t xml:space="preserve">Domain </w:t>
            </w:r>
          </w:p>
        </w:tc>
        <w:tc>
          <w:tcPr>
            <w:tcW w:w="5162" w:type="dxa"/>
            <w:tcBorders>
              <w:top w:val="single" w:sz="4" w:space="0" w:color="auto"/>
              <w:bottom w:val="single" w:sz="4" w:space="0" w:color="auto"/>
            </w:tcBorders>
            <w:shd w:val="clear" w:color="auto" w:fill="auto"/>
          </w:tcPr>
          <w:p w:rsidR="00843549" w:rsidRDefault="00843549" w:rsidP="00861132">
            <w:pPr>
              <w:pStyle w:val="TableFigHeadingtotal"/>
            </w:pPr>
            <w:r>
              <w:t>Indicator</w:t>
            </w:r>
          </w:p>
        </w:tc>
        <w:tc>
          <w:tcPr>
            <w:tcW w:w="2209" w:type="dxa"/>
            <w:tcBorders>
              <w:top w:val="single" w:sz="4" w:space="0" w:color="auto"/>
              <w:bottom w:val="single" w:sz="4" w:space="0" w:color="auto"/>
            </w:tcBorders>
            <w:shd w:val="clear" w:color="auto" w:fill="auto"/>
          </w:tcPr>
          <w:p w:rsidR="00843549" w:rsidRDefault="00843549" w:rsidP="00861132">
            <w:pPr>
              <w:pStyle w:val="TableFigHeadingtotal"/>
            </w:pPr>
            <w:r>
              <w:t>Development status</w:t>
            </w:r>
          </w:p>
        </w:tc>
      </w:tr>
      <w:tr w:rsidR="007D69DB" w:rsidTr="00843549">
        <w:tc>
          <w:tcPr>
            <w:tcW w:w="2376" w:type="dxa"/>
            <w:tcBorders>
              <w:top w:val="single" w:sz="4" w:space="0" w:color="auto"/>
            </w:tcBorders>
          </w:tcPr>
          <w:p w:rsidR="007D69DB" w:rsidRDefault="007D69DB" w:rsidP="00135409">
            <w:pPr>
              <w:pStyle w:val="TableFigText"/>
            </w:pPr>
            <w:r w:rsidRPr="00CC0FC3">
              <w:t>Parental substance use</w:t>
            </w:r>
          </w:p>
        </w:tc>
        <w:tc>
          <w:tcPr>
            <w:tcW w:w="5162" w:type="dxa"/>
            <w:tcBorders>
              <w:top w:val="single" w:sz="4" w:space="0" w:color="auto"/>
            </w:tcBorders>
          </w:tcPr>
          <w:p w:rsidR="007D69DB" w:rsidRDefault="007D69DB" w:rsidP="00135409">
            <w:pPr>
              <w:pStyle w:val="TableFigText"/>
            </w:pPr>
            <w:r>
              <w:t xml:space="preserve">3.1: </w:t>
            </w:r>
            <w:r w:rsidRPr="00CC0FC3">
              <w:t>Proportion of parents with children aged 0–14 years who used any illicit drug within the last 12 months</w:t>
            </w:r>
          </w:p>
        </w:tc>
        <w:tc>
          <w:tcPr>
            <w:tcW w:w="2209" w:type="dxa"/>
            <w:tcBorders>
              <w:top w:val="single" w:sz="4" w:space="0" w:color="auto"/>
            </w:tcBorders>
          </w:tcPr>
          <w:p w:rsidR="007D69DB" w:rsidRPr="007934AA" w:rsidRDefault="007D69DB" w:rsidP="00135409">
            <w:pPr>
              <w:pStyle w:val="TableFigText"/>
            </w:pPr>
            <w:r>
              <w:t>Reportable</w:t>
            </w:r>
          </w:p>
        </w:tc>
      </w:tr>
      <w:tr w:rsidR="007D69DB" w:rsidTr="00843549">
        <w:tc>
          <w:tcPr>
            <w:tcW w:w="2376" w:type="dxa"/>
            <w:shd w:val="clear" w:color="auto" w:fill="auto"/>
          </w:tcPr>
          <w:p w:rsidR="007D69DB" w:rsidRDefault="007D69DB" w:rsidP="00135409">
            <w:pPr>
              <w:pStyle w:val="TableFigText"/>
            </w:pPr>
          </w:p>
        </w:tc>
        <w:tc>
          <w:tcPr>
            <w:tcW w:w="5162" w:type="dxa"/>
            <w:shd w:val="clear" w:color="auto" w:fill="auto"/>
          </w:tcPr>
          <w:p w:rsidR="007D69DB" w:rsidRPr="00F36EBA" w:rsidRDefault="007D69DB" w:rsidP="00135409">
            <w:pPr>
              <w:pStyle w:val="TableFigText"/>
            </w:pPr>
            <w:r>
              <w:t xml:space="preserve">3.2: </w:t>
            </w:r>
            <w:r w:rsidRPr="00C7246C">
              <w:t>Proportion of parents with children aged 0–14 years who drank alcohol at risky levels</w:t>
            </w:r>
          </w:p>
        </w:tc>
        <w:tc>
          <w:tcPr>
            <w:tcW w:w="2209" w:type="dxa"/>
            <w:shd w:val="clear" w:color="auto" w:fill="auto"/>
          </w:tcPr>
          <w:p w:rsidR="007D69DB" w:rsidRPr="00CA1616" w:rsidRDefault="007D69DB" w:rsidP="00135409">
            <w:pPr>
              <w:pStyle w:val="TableFigText"/>
            </w:pPr>
            <w:r>
              <w:t>Reportable</w:t>
            </w:r>
          </w:p>
        </w:tc>
      </w:tr>
      <w:tr w:rsidR="007D69DB" w:rsidTr="00843549">
        <w:tc>
          <w:tcPr>
            <w:tcW w:w="2376" w:type="dxa"/>
          </w:tcPr>
          <w:p w:rsidR="007D69DB" w:rsidRDefault="007D69DB" w:rsidP="00135409">
            <w:pPr>
              <w:pStyle w:val="TableFigText"/>
            </w:pPr>
            <w:r>
              <w:t>Parental mental health</w:t>
            </w:r>
          </w:p>
        </w:tc>
        <w:tc>
          <w:tcPr>
            <w:tcW w:w="5162" w:type="dxa"/>
          </w:tcPr>
          <w:p w:rsidR="007D69DB" w:rsidRDefault="007D69DB" w:rsidP="00135409">
            <w:pPr>
              <w:pStyle w:val="TableFigText"/>
            </w:pPr>
            <w:r>
              <w:t xml:space="preserve">3.3: </w:t>
            </w:r>
            <w:r w:rsidRPr="00F36EBA">
              <w:t>Proportion of parents with children aged 0–1</w:t>
            </w:r>
            <w:r>
              <w:t>4</w:t>
            </w:r>
            <w:r w:rsidRPr="00F36EBA">
              <w:t xml:space="preserve"> years who have </w:t>
            </w:r>
            <w:r>
              <w:t xml:space="preserve">a </w:t>
            </w:r>
            <w:r w:rsidRPr="00F36EBA">
              <w:t xml:space="preserve">mental health problem </w:t>
            </w:r>
          </w:p>
        </w:tc>
        <w:tc>
          <w:tcPr>
            <w:tcW w:w="2209" w:type="dxa"/>
          </w:tcPr>
          <w:p w:rsidR="007D69DB" w:rsidRDefault="007D69DB" w:rsidP="00135409">
            <w:pPr>
              <w:pStyle w:val="TableFigText"/>
            </w:pPr>
            <w:r>
              <w:t xml:space="preserve">Reportable </w:t>
            </w:r>
          </w:p>
        </w:tc>
      </w:tr>
      <w:tr w:rsidR="007D69DB" w:rsidTr="00843549">
        <w:tc>
          <w:tcPr>
            <w:tcW w:w="2376" w:type="dxa"/>
          </w:tcPr>
          <w:p w:rsidR="007D69DB" w:rsidRDefault="007D69DB" w:rsidP="00135409">
            <w:pPr>
              <w:pStyle w:val="TableFigText"/>
            </w:pPr>
            <w:r>
              <w:t>Homelessness</w:t>
            </w:r>
          </w:p>
        </w:tc>
        <w:tc>
          <w:tcPr>
            <w:tcW w:w="5162" w:type="dxa"/>
          </w:tcPr>
          <w:p w:rsidR="007D69DB" w:rsidRDefault="007D69DB" w:rsidP="00135409">
            <w:pPr>
              <w:pStyle w:val="TableFigText"/>
            </w:pPr>
            <w:r>
              <w:t xml:space="preserve">3.4: </w:t>
            </w:r>
            <w:r w:rsidRPr="00F36EBA">
              <w:t xml:space="preserve">Rate of children aged 0–17 years </w:t>
            </w:r>
            <w:r>
              <w:t xml:space="preserve">who receive </w:t>
            </w:r>
            <w:r w:rsidRPr="00F36EBA">
              <w:t xml:space="preserve">assistance through homelessness services (accompanied and unaccompanied) </w:t>
            </w:r>
          </w:p>
        </w:tc>
        <w:tc>
          <w:tcPr>
            <w:tcW w:w="2209" w:type="dxa"/>
          </w:tcPr>
          <w:p w:rsidR="007D69DB" w:rsidRPr="00F36EBA" w:rsidRDefault="007D69DB" w:rsidP="00135409">
            <w:pPr>
              <w:pStyle w:val="TableFigText"/>
            </w:pPr>
            <w:r>
              <w:t>Reportable</w:t>
            </w:r>
          </w:p>
        </w:tc>
      </w:tr>
      <w:tr w:rsidR="007D69DB" w:rsidTr="00843549">
        <w:tc>
          <w:tcPr>
            <w:tcW w:w="2376" w:type="dxa"/>
            <w:tcBorders>
              <w:bottom w:val="single" w:sz="4" w:space="0" w:color="auto"/>
            </w:tcBorders>
          </w:tcPr>
          <w:p w:rsidR="007D69DB" w:rsidRDefault="007D69DB" w:rsidP="00135409">
            <w:pPr>
              <w:pStyle w:val="TableFigText"/>
            </w:pPr>
            <w:r>
              <w:t>Domestic violence</w:t>
            </w:r>
          </w:p>
        </w:tc>
        <w:tc>
          <w:tcPr>
            <w:tcW w:w="5162" w:type="dxa"/>
            <w:tcBorders>
              <w:bottom w:val="single" w:sz="4" w:space="0" w:color="auto"/>
            </w:tcBorders>
          </w:tcPr>
          <w:p w:rsidR="007D69DB" w:rsidRPr="009B7E15" w:rsidRDefault="007D69DB" w:rsidP="00135409">
            <w:pPr>
              <w:pStyle w:val="TableFigText"/>
            </w:pPr>
            <w:r>
              <w:t xml:space="preserve">3.5: </w:t>
            </w:r>
            <w:r w:rsidRPr="00DF1B40">
              <w:t xml:space="preserve">Proportion of adults who experienced </w:t>
            </w:r>
            <w:r>
              <w:t xml:space="preserve">current </w:t>
            </w:r>
            <w:r w:rsidRPr="00DF1B40">
              <w:t xml:space="preserve">partner violence </w:t>
            </w:r>
            <w:r w:rsidRPr="00E02436">
              <w:t xml:space="preserve">and their children saw or heard the violence </w:t>
            </w:r>
            <w:r w:rsidRPr="00DF1B40">
              <w:t xml:space="preserve">in the previous 12 months </w:t>
            </w:r>
          </w:p>
        </w:tc>
        <w:tc>
          <w:tcPr>
            <w:tcW w:w="2209" w:type="dxa"/>
            <w:tcBorders>
              <w:bottom w:val="single" w:sz="4" w:space="0" w:color="auto"/>
            </w:tcBorders>
          </w:tcPr>
          <w:p w:rsidR="007D69DB" w:rsidRPr="00DF1B40" w:rsidRDefault="007D69DB" w:rsidP="00135409">
            <w:pPr>
              <w:pStyle w:val="TableFigText"/>
            </w:pPr>
            <w:r>
              <w:t xml:space="preserve">Not reportable, pending release of results from ABS data source </w:t>
            </w:r>
          </w:p>
        </w:tc>
      </w:tr>
    </w:tbl>
    <w:p w:rsidR="00843549" w:rsidRDefault="00843549"/>
    <w:p w:rsidR="00843549" w:rsidRPr="008564A0" w:rsidRDefault="00843549" w:rsidP="00673CC4">
      <w:pPr>
        <w:spacing w:after="20"/>
        <w:rPr>
          <w:rFonts w:ascii="Arial" w:hAnsi="Arial" w:cs="Arial"/>
          <w:b/>
        </w:rPr>
      </w:pPr>
      <w:r w:rsidRPr="008564A0">
        <w:rPr>
          <w:rFonts w:ascii="Arial" w:hAnsi="Arial" w:cs="Arial"/>
          <w:b/>
        </w:rPr>
        <w:t>Supporting outcome 4: Children who have been abused or neglected receive the support and care they need for their safety and wellbeing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25: Status of National Framework indicators, by supporting outcome.   Source: AIHW 2013d. "/>
      </w:tblPr>
      <w:tblGrid>
        <w:gridCol w:w="2376"/>
        <w:gridCol w:w="5162"/>
        <w:gridCol w:w="2209"/>
      </w:tblGrid>
      <w:tr w:rsidR="00843549" w:rsidTr="00843549">
        <w:trPr>
          <w:tblHeader/>
        </w:trPr>
        <w:tc>
          <w:tcPr>
            <w:tcW w:w="2376" w:type="dxa"/>
            <w:tcBorders>
              <w:top w:val="single" w:sz="4" w:space="0" w:color="auto"/>
              <w:bottom w:val="single" w:sz="4" w:space="0" w:color="auto"/>
            </w:tcBorders>
            <w:shd w:val="clear" w:color="auto" w:fill="auto"/>
          </w:tcPr>
          <w:p w:rsidR="00843549" w:rsidRDefault="00843549" w:rsidP="00861132">
            <w:pPr>
              <w:pStyle w:val="TableFigHeadingtotal"/>
            </w:pPr>
            <w:r>
              <w:t xml:space="preserve">Domain </w:t>
            </w:r>
          </w:p>
        </w:tc>
        <w:tc>
          <w:tcPr>
            <w:tcW w:w="5162" w:type="dxa"/>
            <w:tcBorders>
              <w:top w:val="single" w:sz="4" w:space="0" w:color="auto"/>
              <w:bottom w:val="single" w:sz="4" w:space="0" w:color="auto"/>
            </w:tcBorders>
            <w:shd w:val="clear" w:color="auto" w:fill="auto"/>
          </w:tcPr>
          <w:p w:rsidR="00843549" w:rsidRDefault="00843549" w:rsidP="00861132">
            <w:pPr>
              <w:pStyle w:val="TableFigHeadingtotal"/>
            </w:pPr>
            <w:r>
              <w:t>Indicator</w:t>
            </w:r>
          </w:p>
        </w:tc>
        <w:tc>
          <w:tcPr>
            <w:tcW w:w="2209" w:type="dxa"/>
            <w:tcBorders>
              <w:top w:val="single" w:sz="4" w:space="0" w:color="auto"/>
              <w:bottom w:val="single" w:sz="4" w:space="0" w:color="auto"/>
            </w:tcBorders>
            <w:shd w:val="clear" w:color="auto" w:fill="auto"/>
          </w:tcPr>
          <w:p w:rsidR="00843549" w:rsidRDefault="00843549" w:rsidP="00861132">
            <w:pPr>
              <w:pStyle w:val="TableFigHeadingtotal"/>
            </w:pPr>
            <w:r>
              <w:t>Development status</w:t>
            </w:r>
          </w:p>
        </w:tc>
      </w:tr>
      <w:tr w:rsidR="007D69DB" w:rsidTr="00843549">
        <w:tc>
          <w:tcPr>
            <w:tcW w:w="2376" w:type="dxa"/>
          </w:tcPr>
          <w:p w:rsidR="007D69DB" w:rsidRDefault="007D69DB" w:rsidP="00135409">
            <w:pPr>
              <w:pStyle w:val="TableFigText"/>
            </w:pPr>
            <w:r w:rsidRPr="00EF242E">
              <w:t xml:space="preserve">Child protection </w:t>
            </w:r>
            <w:proofErr w:type="spellStart"/>
            <w:r w:rsidRPr="00EF242E">
              <w:t>resubstantiations</w:t>
            </w:r>
            <w:proofErr w:type="spellEnd"/>
          </w:p>
        </w:tc>
        <w:tc>
          <w:tcPr>
            <w:tcW w:w="5162" w:type="dxa"/>
          </w:tcPr>
          <w:p w:rsidR="007D69DB" w:rsidRDefault="007D69DB" w:rsidP="00135409">
            <w:pPr>
              <w:pStyle w:val="TableFigText"/>
            </w:pPr>
            <w:r>
              <w:t xml:space="preserve">4.1: </w:t>
            </w:r>
            <w:r w:rsidRPr="00EF242E">
              <w:t xml:space="preserve">Rate of children aged 0–17 years who were the subject of a child protection </w:t>
            </w:r>
            <w:proofErr w:type="spellStart"/>
            <w:r w:rsidRPr="00EF242E">
              <w:t>resubstantiation</w:t>
            </w:r>
            <w:proofErr w:type="spellEnd"/>
            <w:r w:rsidRPr="00EF242E">
              <w:t xml:space="preserve"> in a given year</w:t>
            </w:r>
          </w:p>
        </w:tc>
        <w:tc>
          <w:tcPr>
            <w:tcW w:w="2209" w:type="dxa"/>
          </w:tcPr>
          <w:p w:rsidR="007D69DB" w:rsidRPr="00EF242E" w:rsidRDefault="007D69DB" w:rsidP="00135409">
            <w:pPr>
              <w:pStyle w:val="TableFigText"/>
            </w:pPr>
            <w:r w:rsidRPr="00457A99">
              <w:t>Reportable</w:t>
            </w:r>
          </w:p>
        </w:tc>
      </w:tr>
      <w:tr w:rsidR="007D69DB" w:rsidTr="00843549">
        <w:tc>
          <w:tcPr>
            <w:tcW w:w="2376" w:type="dxa"/>
          </w:tcPr>
          <w:p w:rsidR="007D69DB" w:rsidRDefault="007D69DB" w:rsidP="00135409">
            <w:pPr>
              <w:pStyle w:val="TableFigText"/>
            </w:pPr>
            <w:r>
              <w:t>Placement stability</w:t>
            </w:r>
          </w:p>
        </w:tc>
        <w:tc>
          <w:tcPr>
            <w:tcW w:w="5162" w:type="dxa"/>
          </w:tcPr>
          <w:p w:rsidR="007D69DB" w:rsidRDefault="007D69DB" w:rsidP="00135409">
            <w:pPr>
              <w:pStyle w:val="TableFigText"/>
            </w:pPr>
            <w:r>
              <w:t>4.2: P</w:t>
            </w:r>
            <w:r w:rsidRPr="00EF242E">
              <w:t>roportion of children aged 0–17 years exiting out-of-home care during the year who had 1 or 2 placements</w:t>
            </w:r>
          </w:p>
        </w:tc>
        <w:tc>
          <w:tcPr>
            <w:tcW w:w="2209" w:type="dxa"/>
          </w:tcPr>
          <w:p w:rsidR="007D69DB" w:rsidRPr="00EF242E" w:rsidRDefault="007D69DB" w:rsidP="00135409">
            <w:pPr>
              <w:pStyle w:val="TableFigText"/>
            </w:pPr>
            <w:r>
              <w:t>Reportable</w:t>
            </w:r>
          </w:p>
        </w:tc>
      </w:tr>
      <w:tr w:rsidR="007D69DB" w:rsidTr="00843549">
        <w:tc>
          <w:tcPr>
            <w:tcW w:w="2376" w:type="dxa"/>
          </w:tcPr>
          <w:p w:rsidR="007D69DB" w:rsidRPr="00F21182" w:rsidRDefault="007D69DB" w:rsidP="00135409">
            <w:pPr>
              <w:pStyle w:val="TableFigText"/>
            </w:pPr>
            <w:r>
              <w:t>Carer retention</w:t>
            </w:r>
          </w:p>
        </w:tc>
        <w:tc>
          <w:tcPr>
            <w:tcW w:w="5162" w:type="dxa"/>
          </w:tcPr>
          <w:p w:rsidR="007D69DB" w:rsidRPr="00384C24" w:rsidRDefault="007D69DB" w:rsidP="00135409">
            <w:pPr>
              <w:pStyle w:val="TableFigText"/>
            </w:pPr>
            <w:r>
              <w:t xml:space="preserve">4.3: </w:t>
            </w:r>
            <w:r w:rsidRPr="00241A90">
              <w:t>Proportion of out-of-home carer households that were retained in a given year</w:t>
            </w:r>
          </w:p>
        </w:tc>
        <w:tc>
          <w:tcPr>
            <w:tcW w:w="2209" w:type="dxa"/>
          </w:tcPr>
          <w:p w:rsidR="007D69DB" w:rsidRPr="00F21182" w:rsidRDefault="007D69DB" w:rsidP="00135409">
            <w:pPr>
              <w:pStyle w:val="TableFigText"/>
            </w:pPr>
            <w:r>
              <w:t>Not reportable, development underway by AIHW</w:t>
            </w:r>
          </w:p>
        </w:tc>
      </w:tr>
      <w:tr w:rsidR="007D69DB" w:rsidTr="00843549">
        <w:tc>
          <w:tcPr>
            <w:tcW w:w="2376" w:type="dxa"/>
          </w:tcPr>
          <w:p w:rsidR="007D69DB" w:rsidRDefault="007D69DB" w:rsidP="00135409">
            <w:pPr>
              <w:pStyle w:val="TableFigText"/>
            </w:pPr>
            <w:r w:rsidRPr="00F21182">
              <w:t>Rebuilding resilience of abuse survivors</w:t>
            </w:r>
          </w:p>
        </w:tc>
        <w:tc>
          <w:tcPr>
            <w:tcW w:w="5162" w:type="dxa"/>
          </w:tcPr>
          <w:p w:rsidR="007D69DB" w:rsidRDefault="007D69DB" w:rsidP="00135409">
            <w:pPr>
              <w:pStyle w:val="TableFigText"/>
            </w:pPr>
            <w:r>
              <w:t xml:space="preserve">4.4: </w:t>
            </w:r>
            <w:r w:rsidRPr="00384C24">
              <w:t>Proportion of children aged 15–1</w:t>
            </w:r>
            <w:r>
              <w:t>7</w:t>
            </w:r>
            <w:r w:rsidRPr="00384C24">
              <w:t xml:space="preserve"> years leaving care and scoring ‘of concern’ on the Strengths and Difficulties Questionnaire</w:t>
            </w:r>
          </w:p>
        </w:tc>
        <w:tc>
          <w:tcPr>
            <w:tcW w:w="2209" w:type="dxa"/>
          </w:tcPr>
          <w:p w:rsidR="007D69DB" w:rsidRDefault="007D69DB" w:rsidP="00135409">
            <w:pPr>
              <w:pStyle w:val="TableFigText"/>
            </w:pPr>
            <w:r w:rsidRPr="00CE32F4">
              <w:t>Not reportable, development required</w:t>
            </w:r>
            <w:r>
              <w:t>, no data source identified</w:t>
            </w:r>
          </w:p>
        </w:tc>
      </w:tr>
      <w:tr w:rsidR="007D69DB" w:rsidTr="00843549">
        <w:tc>
          <w:tcPr>
            <w:tcW w:w="2376" w:type="dxa"/>
          </w:tcPr>
          <w:p w:rsidR="007D69DB" w:rsidRDefault="007D69DB" w:rsidP="00135409">
            <w:pPr>
              <w:pStyle w:val="TableFigText"/>
            </w:pPr>
            <w:r>
              <w:t>Literacy and numeracy</w:t>
            </w:r>
          </w:p>
        </w:tc>
        <w:tc>
          <w:tcPr>
            <w:tcW w:w="5162" w:type="dxa"/>
          </w:tcPr>
          <w:p w:rsidR="007D69DB" w:rsidRDefault="007D69DB" w:rsidP="00135409">
            <w:pPr>
              <w:pStyle w:val="TableFigText"/>
            </w:pPr>
            <w:r>
              <w:t xml:space="preserve">4.5: </w:t>
            </w:r>
            <w:r w:rsidRPr="00AB2DCC">
              <w:t>Proportion of children on guardianship and custody orders achieving at or above the national minimum standards for literacy and numeracy</w:t>
            </w:r>
          </w:p>
        </w:tc>
        <w:tc>
          <w:tcPr>
            <w:tcW w:w="2209" w:type="dxa"/>
          </w:tcPr>
          <w:p w:rsidR="007D69DB" w:rsidRDefault="007D69DB" w:rsidP="00135409">
            <w:pPr>
              <w:pStyle w:val="TableFigText"/>
            </w:pPr>
            <w:r w:rsidRPr="00CE32F4">
              <w:t xml:space="preserve">Not reportable, development </w:t>
            </w:r>
            <w:r>
              <w:t>underway by AIHW</w:t>
            </w:r>
          </w:p>
        </w:tc>
      </w:tr>
      <w:tr w:rsidR="007D69DB" w:rsidTr="00843549">
        <w:tc>
          <w:tcPr>
            <w:tcW w:w="2376" w:type="dxa"/>
          </w:tcPr>
          <w:p w:rsidR="007D69DB" w:rsidRDefault="007D69DB" w:rsidP="00135409">
            <w:pPr>
              <w:pStyle w:val="TableFigText"/>
            </w:pPr>
            <w:r>
              <w:t>Leaving care plans</w:t>
            </w:r>
          </w:p>
        </w:tc>
        <w:tc>
          <w:tcPr>
            <w:tcW w:w="5162" w:type="dxa"/>
          </w:tcPr>
          <w:p w:rsidR="007D69DB" w:rsidRDefault="007D69DB" w:rsidP="00135409">
            <w:pPr>
              <w:pStyle w:val="TableFigText"/>
            </w:pPr>
            <w:r>
              <w:t xml:space="preserve">4.6: </w:t>
            </w:r>
            <w:r w:rsidRPr="00A14FC0">
              <w:t xml:space="preserve">Proportion of </w:t>
            </w:r>
            <w:r>
              <w:t>children</w:t>
            </w:r>
            <w:r w:rsidRPr="00A14FC0">
              <w:t xml:space="preserve"> aged 15</w:t>
            </w:r>
            <w:r>
              <w:t>–17</w:t>
            </w:r>
            <w:r w:rsidRPr="00A14FC0">
              <w:t xml:space="preserve"> years who have a leaving care plan</w:t>
            </w:r>
          </w:p>
        </w:tc>
        <w:tc>
          <w:tcPr>
            <w:tcW w:w="2209" w:type="dxa"/>
          </w:tcPr>
          <w:p w:rsidR="007D69DB" w:rsidRPr="00EF242E" w:rsidRDefault="007D69DB" w:rsidP="00135409">
            <w:pPr>
              <w:pStyle w:val="TableFigText"/>
            </w:pPr>
            <w:r>
              <w:t xml:space="preserve">Reportable </w:t>
            </w:r>
          </w:p>
        </w:tc>
      </w:tr>
      <w:tr w:rsidR="007D69DB" w:rsidTr="00843549">
        <w:tc>
          <w:tcPr>
            <w:tcW w:w="2376" w:type="dxa"/>
            <w:tcBorders>
              <w:bottom w:val="single" w:sz="4" w:space="0" w:color="auto"/>
            </w:tcBorders>
          </w:tcPr>
          <w:p w:rsidR="007D69DB" w:rsidRDefault="007D69DB" w:rsidP="00135409">
            <w:pPr>
              <w:pStyle w:val="TableFigText"/>
            </w:pPr>
            <w:r>
              <w:t>Cross-sector clients</w:t>
            </w:r>
          </w:p>
        </w:tc>
        <w:tc>
          <w:tcPr>
            <w:tcW w:w="5162" w:type="dxa"/>
            <w:tcBorders>
              <w:bottom w:val="single" w:sz="4" w:space="0" w:color="auto"/>
            </w:tcBorders>
          </w:tcPr>
          <w:p w:rsidR="007D69DB" w:rsidRPr="00054927" w:rsidRDefault="007D69DB" w:rsidP="00135409">
            <w:pPr>
              <w:pStyle w:val="TableFigText"/>
            </w:pPr>
            <w:r>
              <w:t xml:space="preserve">4.7: </w:t>
            </w:r>
            <w:r w:rsidRPr="00054927">
              <w:t xml:space="preserve">Proportion of child protection clients </w:t>
            </w:r>
            <w:r w:rsidRPr="00E7006B">
              <w:t xml:space="preserve">aged 0–17 years </w:t>
            </w:r>
            <w:r w:rsidRPr="00054927">
              <w:t xml:space="preserve">who enter juvenile corrective services or </w:t>
            </w:r>
            <w:r>
              <w:t xml:space="preserve">seek assistance from </w:t>
            </w:r>
            <w:r w:rsidRPr="00054927">
              <w:t>homeless</w:t>
            </w:r>
            <w:r>
              <w:t>ness services</w:t>
            </w:r>
          </w:p>
        </w:tc>
        <w:tc>
          <w:tcPr>
            <w:tcW w:w="2209" w:type="dxa"/>
            <w:tcBorders>
              <w:bottom w:val="single" w:sz="4" w:space="0" w:color="auto"/>
            </w:tcBorders>
          </w:tcPr>
          <w:p w:rsidR="007D69DB" w:rsidRPr="00EF242E" w:rsidRDefault="007D69DB" w:rsidP="00135409">
            <w:pPr>
              <w:pStyle w:val="TableFigText"/>
            </w:pPr>
            <w:r w:rsidRPr="00CE32F4">
              <w:t xml:space="preserve">Not reportable, development </w:t>
            </w:r>
            <w:r>
              <w:t>underway by AIHW</w:t>
            </w:r>
          </w:p>
        </w:tc>
      </w:tr>
    </w:tbl>
    <w:p w:rsidR="00843549" w:rsidRDefault="00843549"/>
    <w:p w:rsidR="00843549" w:rsidRPr="008564A0" w:rsidRDefault="00843549" w:rsidP="00673CC4">
      <w:pPr>
        <w:spacing w:after="20"/>
        <w:rPr>
          <w:rFonts w:ascii="Arial" w:hAnsi="Arial" w:cs="Arial"/>
          <w:b/>
        </w:rPr>
      </w:pPr>
      <w:r w:rsidRPr="008564A0">
        <w:rPr>
          <w:rFonts w:ascii="Arial" w:hAnsi="Arial" w:cs="Arial"/>
          <w:b/>
        </w:rPr>
        <w:t xml:space="preserve">Supporting outcome 5: Indigenous children are supported and safe in their </w:t>
      </w:r>
      <w:proofErr w:type="spellStart"/>
      <w:r w:rsidRPr="008564A0">
        <w:rPr>
          <w:rFonts w:ascii="Arial" w:hAnsi="Arial" w:cs="Arial"/>
          <w:b/>
        </w:rPr>
        <w:t>familie</w:t>
      </w:r>
      <w:proofErr w:type="spellEnd"/>
      <w:r w:rsidRPr="008564A0">
        <w:rPr>
          <w:rFonts w:ascii="Arial" w:hAnsi="Arial" w:cs="Arial"/>
          <w:b/>
        </w:rPr>
        <w:t xml:space="preserve"> and communities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25: Status of National Framework indicators, by supporting outcome.   Source: AIHW 2013d. "/>
      </w:tblPr>
      <w:tblGrid>
        <w:gridCol w:w="2376"/>
        <w:gridCol w:w="5162"/>
        <w:gridCol w:w="2209"/>
      </w:tblGrid>
      <w:tr w:rsidR="00843549" w:rsidTr="008564A0">
        <w:trPr>
          <w:tblHeader/>
        </w:trPr>
        <w:tc>
          <w:tcPr>
            <w:tcW w:w="2376" w:type="dxa"/>
            <w:tcBorders>
              <w:top w:val="single" w:sz="4" w:space="0" w:color="auto"/>
              <w:bottom w:val="single" w:sz="4" w:space="0" w:color="auto"/>
            </w:tcBorders>
            <w:shd w:val="clear" w:color="auto" w:fill="auto"/>
          </w:tcPr>
          <w:p w:rsidR="00843549" w:rsidRDefault="00843549" w:rsidP="00861132">
            <w:pPr>
              <w:pStyle w:val="TableFigHeadingtotal"/>
            </w:pPr>
            <w:r>
              <w:t xml:space="preserve">Domain </w:t>
            </w:r>
          </w:p>
        </w:tc>
        <w:tc>
          <w:tcPr>
            <w:tcW w:w="5162" w:type="dxa"/>
            <w:tcBorders>
              <w:top w:val="single" w:sz="4" w:space="0" w:color="auto"/>
              <w:bottom w:val="single" w:sz="4" w:space="0" w:color="auto"/>
            </w:tcBorders>
            <w:shd w:val="clear" w:color="auto" w:fill="auto"/>
          </w:tcPr>
          <w:p w:rsidR="00843549" w:rsidRDefault="00843549" w:rsidP="00861132">
            <w:pPr>
              <w:pStyle w:val="TableFigHeadingtotal"/>
            </w:pPr>
            <w:r>
              <w:t>Indicator</w:t>
            </w:r>
          </w:p>
        </w:tc>
        <w:tc>
          <w:tcPr>
            <w:tcW w:w="2209" w:type="dxa"/>
            <w:tcBorders>
              <w:top w:val="single" w:sz="4" w:space="0" w:color="auto"/>
              <w:bottom w:val="single" w:sz="4" w:space="0" w:color="auto"/>
            </w:tcBorders>
            <w:shd w:val="clear" w:color="auto" w:fill="auto"/>
          </w:tcPr>
          <w:p w:rsidR="00843549" w:rsidRDefault="00843549" w:rsidP="00861132">
            <w:pPr>
              <w:pStyle w:val="TableFigHeadingtotal"/>
            </w:pPr>
            <w:r>
              <w:t>Development status</w:t>
            </w:r>
          </w:p>
        </w:tc>
      </w:tr>
      <w:tr w:rsidR="007D69DB" w:rsidTr="00843549">
        <w:tc>
          <w:tcPr>
            <w:tcW w:w="2376" w:type="dxa"/>
          </w:tcPr>
          <w:p w:rsidR="007D69DB" w:rsidRDefault="007D69DB" w:rsidP="00135409">
            <w:pPr>
              <w:pStyle w:val="TableFigText"/>
            </w:pPr>
            <w:r>
              <w:t>Placement of Indigenous children</w:t>
            </w:r>
          </w:p>
        </w:tc>
        <w:tc>
          <w:tcPr>
            <w:tcW w:w="5162" w:type="dxa"/>
          </w:tcPr>
          <w:p w:rsidR="007D69DB" w:rsidRDefault="007D69DB" w:rsidP="00135409">
            <w:pPr>
              <w:pStyle w:val="TableFigText"/>
            </w:pPr>
            <w:r>
              <w:t xml:space="preserve">5.1: Indicator to be </w:t>
            </w:r>
            <w:r w:rsidRPr="00CE32F4">
              <w:t>developed</w:t>
            </w:r>
            <w:r>
              <w:t xml:space="preserve"> (Indigenous Child Placement</w:t>
            </w:r>
            <w:r w:rsidRPr="00317C44">
              <w:t xml:space="preserve"> Principle</w:t>
            </w:r>
            <w:r>
              <w:t xml:space="preserve"> compliance indicator)</w:t>
            </w:r>
          </w:p>
        </w:tc>
        <w:tc>
          <w:tcPr>
            <w:tcW w:w="2209" w:type="dxa"/>
          </w:tcPr>
          <w:p w:rsidR="007D69DB" w:rsidRDefault="007D69DB" w:rsidP="00135409">
            <w:pPr>
              <w:pStyle w:val="TableFigText"/>
            </w:pPr>
            <w:r w:rsidRPr="00CE32F4">
              <w:t xml:space="preserve">Not reportable, development </w:t>
            </w:r>
            <w:r>
              <w:t xml:space="preserve">underway by </w:t>
            </w:r>
            <w:r w:rsidRPr="00901AB8">
              <w:t>NFIWG</w:t>
            </w:r>
          </w:p>
        </w:tc>
      </w:tr>
      <w:tr w:rsidR="007D69DB" w:rsidTr="00843549">
        <w:tc>
          <w:tcPr>
            <w:tcW w:w="2376" w:type="dxa"/>
          </w:tcPr>
          <w:p w:rsidR="007D69DB" w:rsidRDefault="007D69DB" w:rsidP="00135409">
            <w:pPr>
              <w:pStyle w:val="TableFigText"/>
            </w:pPr>
          </w:p>
        </w:tc>
        <w:tc>
          <w:tcPr>
            <w:tcW w:w="5162" w:type="dxa"/>
          </w:tcPr>
          <w:p w:rsidR="007D69DB" w:rsidRDefault="007D69DB" w:rsidP="00135409">
            <w:pPr>
              <w:pStyle w:val="TableFigText"/>
            </w:pPr>
            <w:r>
              <w:t>5.2: P</w:t>
            </w:r>
            <w:r w:rsidRPr="00566B06">
              <w:t>roportion of Indigenous children aged 0–17 years in out-of-home care placed with extended family or other Indigenous caregivers</w:t>
            </w:r>
          </w:p>
        </w:tc>
        <w:tc>
          <w:tcPr>
            <w:tcW w:w="2209" w:type="dxa"/>
          </w:tcPr>
          <w:p w:rsidR="007D69DB" w:rsidRPr="00566B06" w:rsidRDefault="007D69DB" w:rsidP="00135409">
            <w:pPr>
              <w:pStyle w:val="TableFigText"/>
            </w:pPr>
            <w:r>
              <w:t xml:space="preserve">Reportable </w:t>
            </w:r>
          </w:p>
        </w:tc>
      </w:tr>
      <w:tr w:rsidR="007D69DB" w:rsidTr="00843549">
        <w:tc>
          <w:tcPr>
            <w:tcW w:w="2376" w:type="dxa"/>
          </w:tcPr>
          <w:p w:rsidR="007D69DB" w:rsidRDefault="007D69DB" w:rsidP="00135409">
            <w:pPr>
              <w:pStyle w:val="TableFigText"/>
            </w:pPr>
          </w:p>
        </w:tc>
        <w:tc>
          <w:tcPr>
            <w:tcW w:w="5162" w:type="dxa"/>
          </w:tcPr>
          <w:p w:rsidR="007D69DB" w:rsidRDefault="007D69DB" w:rsidP="00135409">
            <w:pPr>
              <w:pStyle w:val="TableFigText"/>
            </w:pPr>
            <w:r>
              <w:t xml:space="preserve">5.3: </w:t>
            </w:r>
            <w:r w:rsidRPr="00317C44">
              <w:t xml:space="preserve">Proportion of Indigenous children </w:t>
            </w:r>
            <w:r w:rsidRPr="00874E55">
              <w:t xml:space="preserve">aged 0–17 years </w:t>
            </w:r>
            <w:r w:rsidRPr="00317C44">
              <w:t>placed through Indigenous-specific out-of-home care agencies</w:t>
            </w:r>
          </w:p>
        </w:tc>
        <w:tc>
          <w:tcPr>
            <w:tcW w:w="2209" w:type="dxa"/>
          </w:tcPr>
          <w:p w:rsidR="007D69DB" w:rsidRPr="00566B06" w:rsidRDefault="007D69DB" w:rsidP="00135409">
            <w:pPr>
              <w:pStyle w:val="TableFigText"/>
            </w:pPr>
            <w:r w:rsidRPr="00CE32F4">
              <w:t>Not reportable, development required</w:t>
            </w:r>
            <w:r>
              <w:t xml:space="preserve"> following outcomes of indicator 5.1 development</w:t>
            </w:r>
          </w:p>
        </w:tc>
      </w:tr>
      <w:tr w:rsidR="007D69DB" w:rsidTr="00843549">
        <w:tc>
          <w:tcPr>
            <w:tcW w:w="2376" w:type="dxa"/>
            <w:tcBorders>
              <w:bottom w:val="single" w:sz="4" w:space="0" w:color="auto"/>
            </w:tcBorders>
          </w:tcPr>
          <w:p w:rsidR="007D69DB" w:rsidRDefault="007D69DB" w:rsidP="00135409">
            <w:pPr>
              <w:pStyle w:val="TableFigText"/>
            </w:pPr>
            <w:r>
              <w:t>Cultural support plans</w:t>
            </w:r>
          </w:p>
        </w:tc>
        <w:tc>
          <w:tcPr>
            <w:tcW w:w="5162" w:type="dxa"/>
            <w:tcBorders>
              <w:bottom w:val="single" w:sz="4" w:space="0" w:color="auto"/>
            </w:tcBorders>
          </w:tcPr>
          <w:p w:rsidR="007D69DB" w:rsidRDefault="007D69DB" w:rsidP="00135409">
            <w:pPr>
              <w:pStyle w:val="TableFigText"/>
            </w:pPr>
            <w:r>
              <w:t xml:space="preserve">5.4: </w:t>
            </w:r>
            <w:r w:rsidRPr="000110E4">
              <w:t xml:space="preserve">Proportion of Indigenous children </w:t>
            </w:r>
            <w:r w:rsidRPr="007E2E44">
              <w:t xml:space="preserve">aged 0–17 years </w:t>
            </w:r>
            <w:r w:rsidRPr="000110E4">
              <w:t>in care who have a cultural support plan</w:t>
            </w:r>
          </w:p>
        </w:tc>
        <w:tc>
          <w:tcPr>
            <w:tcW w:w="2209" w:type="dxa"/>
            <w:tcBorders>
              <w:bottom w:val="single" w:sz="4" w:space="0" w:color="auto"/>
            </w:tcBorders>
          </w:tcPr>
          <w:p w:rsidR="007D69DB" w:rsidRPr="00566B06" w:rsidRDefault="007D69DB" w:rsidP="00135409">
            <w:pPr>
              <w:pStyle w:val="TableFigText"/>
            </w:pPr>
            <w:r w:rsidRPr="00CE32F4">
              <w:t xml:space="preserve">Not reportable, development </w:t>
            </w:r>
            <w:r>
              <w:t>underway by AIHW</w:t>
            </w:r>
          </w:p>
        </w:tc>
      </w:tr>
    </w:tbl>
    <w:p w:rsidR="00843549" w:rsidRDefault="00843549"/>
    <w:p w:rsidR="00843549" w:rsidRPr="008564A0" w:rsidRDefault="00843549" w:rsidP="00673CC4">
      <w:pPr>
        <w:spacing w:after="20"/>
        <w:rPr>
          <w:rFonts w:ascii="Arial" w:hAnsi="Arial" w:cs="Arial"/>
          <w:b/>
        </w:rPr>
      </w:pPr>
      <w:r w:rsidRPr="008564A0">
        <w:rPr>
          <w:rFonts w:ascii="Arial" w:hAnsi="Arial" w:cs="Arial"/>
          <w:b/>
        </w:rPr>
        <w:t>Supporting outcome 6: Child sexual abuse and exploitation is prevented and survivors receive adequate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25: Status of National Framework indicators, by supporting outcome.   Source: AIHW 2013d. "/>
      </w:tblPr>
      <w:tblGrid>
        <w:gridCol w:w="2376"/>
        <w:gridCol w:w="5162"/>
        <w:gridCol w:w="2209"/>
      </w:tblGrid>
      <w:tr w:rsidR="00843549" w:rsidTr="00861132">
        <w:trPr>
          <w:tblHeader/>
        </w:trPr>
        <w:tc>
          <w:tcPr>
            <w:tcW w:w="2376" w:type="dxa"/>
            <w:tcBorders>
              <w:top w:val="single" w:sz="4" w:space="0" w:color="auto"/>
              <w:bottom w:val="single" w:sz="4" w:space="0" w:color="auto"/>
            </w:tcBorders>
            <w:shd w:val="clear" w:color="auto" w:fill="auto"/>
          </w:tcPr>
          <w:p w:rsidR="00843549" w:rsidRDefault="00843549" w:rsidP="00861132">
            <w:pPr>
              <w:pStyle w:val="TableFigHeadingtotal"/>
            </w:pPr>
            <w:r>
              <w:t xml:space="preserve">Domain </w:t>
            </w:r>
          </w:p>
        </w:tc>
        <w:tc>
          <w:tcPr>
            <w:tcW w:w="5162" w:type="dxa"/>
            <w:tcBorders>
              <w:top w:val="single" w:sz="4" w:space="0" w:color="auto"/>
              <w:bottom w:val="single" w:sz="4" w:space="0" w:color="auto"/>
            </w:tcBorders>
            <w:shd w:val="clear" w:color="auto" w:fill="auto"/>
          </w:tcPr>
          <w:p w:rsidR="00843549" w:rsidRDefault="00843549" w:rsidP="00861132">
            <w:pPr>
              <w:pStyle w:val="TableFigHeadingtotal"/>
            </w:pPr>
            <w:r>
              <w:t>Indicator</w:t>
            </w:r>
          </w:p>
        </w:tc>
        <w:tc>
          <w:tcPr>
            <w:tcW w:w="2209" w:type="dxa"/>
            <w:tcBorders>
              <w:top w:val="single" w:sz="4" w:space="0" w:color="auto"/>
              <w:bottom w:val="single" w:sz="4" w:space="0" w:color="auto"/>
            </w:tcBorders>
            <w:shd w:val="clear" w:color="auto" w:fill="auto"/>
          </w:tcPr>
          <w:p w:rsidR="00843549" w:rsidRDefault="00843549" w:rsidP="00861132">
            <w:pPr>
              <w:pStyle w:val="TableFigHeadingtotal"/>
            </w:pPr>
            <w:r>
              <w:t>Development status</w:t>
            </w:r>
          </w:p>
        </w:tc>
      </w:tr>
      <w:tr w:rsidR="007D69DB" w:rsidTr="00843549">
        <w:tc>
          <w:tcPr>
            <w:tcW w:w="2376" w:type="dxa"/>
            <w:tcBorders>
              <w:top w:val="single" w:sz="4" w:space="0" w:color="auto"/>
            </w:tcBorders>
          </w:tcPr>
          <w:p w:rsidR="007D69DB" w:rsidRDefault="007D69DB" w:rsidP="00135409">
            <w:pPr>
              <w:pStyle w:val="TableFigText"/>
            </w:pPr>
            <w:r w:rsidRPr="00794E0B">
              <w:t>Sexual abuse substantiations</w:t>
            </w:r>
          </w:p>
        </w:tc>
        <w:tc>
          <w:tcPr>
            <w:tcW w:w="5162" w:type="dxa"/>
            <w:tcBorders>
              <w:top w:val="single" w:sz="4" w:space="0" w:color="auto"/>
            </w:tcBorders>
          </w:tcPr>
          <w:p w:rsidR="007D69DB" w:rsidRDefault="007D69DB" w:rsidP="00135409">
            <w:pPr>
              <w:pStyle w:val="TableFigText"/>
            </w:pPr>
            <w:r>
              <w:t xml:space="preserve">6.1: </w:t>
            </w:r>
            <w:r w:rsidRPr="00BA692E">
              <w:t>Proportion of children aged 0–17 years who were the subject of a child protection substantiation for sexual abuse</w:t>
            </w:r>
          </w:p>
        </w:tc>
        <w:tc>
          <w:tcPr>
            <w:tcW w:w="2209" w:type="dxa"/>
            <w:tcBorders>
              <w:top w:val="single" w:sz="4" w:space="0" w:color="auto"/>
            </w:tcBorders>
          </w:tcPr>
          <w:p w:rsidR="007D69DB" w:rsidRPr="009C2A6F" w:rsidRDefault="007D69DB" w:rsidP="00135409">
            <w:pPr>
              <w:pStyle w:val="TableFigText"/>
            </w:pPr>
            <w:r>
              <w:t xml:space="preserve">Reportable </w:t>
            </w:r>
          </w:p>
        </w:tc>
      </w:tr>
      <w:tr w:rsidR="007D69DB" w:rsidTr="00843549">
        <w:tc>
          <w:tcPr>
            <w:tcW w:w="2376" w:type="dxa"/>
            <w:tcBorders>
              <w:bottom w:val="single" w:sz="4" w:space="0" w:color="auto"/>
            </w:tcBorders>
          </w:tcPr>
          <w:p w:rsidR="007D69DB" w:rsidRDefault="007D69DB" w:rsidP="00135409">
            <w:pPr>
              <w:pStyle w:val="TableFigText"/>
            </w:pPr>
            <w:r w:rsidRPr="000B6564">
              <w:t>Child sexual assault</w:t>
            </w:r>
          </w:p>
        </w:tc>
        <w:tc>
          <w:tcPr>
            <w:tcW w:w="5162" w:type="dxa"/>
            <w:tcBorders>
              <w:bottom w:val="single" w:sz="4" w:space="0" w:color="auto"/>
            </w:tcBorders>
          </w:tcPr>
          <w:p w:rsidR="007D69DB" w:rsidRDefault="007D69DB" w:rsidP="00135409">
            <w:pPr>
              <w:pStyle w:val="TableFigText"/>
            </w:pPr>
            <w:r>
              <w:t xml:space="preserve">6.2: </w:t>
            </w:r>
            <w:r w:rsidRPr="000B6564">
              <w:t>Rate of children aged 0–14 years who have been the victim of sexual assault</w:t>
            </w:r>
          </w:p>
        </w:tc>
        <w:tc>
          <w:tcPr>
            <w:tcW w:w="2209" w:type="dxa"/>
            <w:tcBorders>
              <w:bottom w:val="single" w:sz="4" w:space="0" w:color="auto"/>
            </w:tcBorders>
          </w:tcPr>
          <w:p w:rsidR="007D69DB" w:rsidRPr="009C2A6F" w:rsidRDefault="007D69DB" w:rsidP="00135409">
            <w:pPr>
              <w:pStyle w:val="TableFigText"/>
            </w:pPr>
            <w:r>
              <w:t xml:space="preserve">Reportable </w:t>
            </w:r>
          </w:p>
        </w:tc>
      </w:tr>
    </w:tbl>
    <w:p w:rsidR="007D69DB" w:rsidRDefault="007D69DB" w:rsidP="007D69DB">
      <w:pPr>
        <w:rPr>
          <w:lang w:eastAsia="en-US"/>
        </w:rPr>
      </w:pPr>
    </w:p>
    <w:p w:rsidR="007D69DB" w:rsidRPr="00F24008" w:rsidRDefault="007D69DB" w:rsidP="007D69DB">
      <w:pPr>
        <w:rPr>
          <w:rFonts w:ascii="Arial" w:hAnsi="Arial" w:cs="Arial"/>
          <w:sz w:val="14"/>
          <w:lang w:eastAsia="en-US"/>
        </w:rPr>
      </w:pPr>
      <w:r w:rsidRPr="00F24008">
        <w:rPr>
          <w:rFonts w:ascii="Arial" w:hAnsi="Arial" w:cs="Arial"/>
          <w:sz w:val="14"/>
          <w:lang w:eastAsia="en-US"/>
        </w:rPr>
        <w:t xml:space="preserve">Source: </w:t>
      </w:r>
      <w:r w:rsidRPr="00C941CE">
        <w:rPr>
          <w:rFonts w:ascii="Arial" w:hAnsi="Arial" w:cs="Arial"/>
          <w:sz w:val="14"/>
          <w:lang w:eastAsia="en-US"/>
        </w:rPr>
        <w:t>AIHW 2</w:t>
      </w:r>
      <w:r>
        <w:rPr>
          <w:rFonts w:ascii="Arial" w:hAnsi="Arial" w:cs="Arial"/>
          <w:sz w:val="14"/>
          <w:lang w:eastAsia="en-US"/>
        </w:rPr>
        <w:t>013d</w:t>
      </w:r>
      <w:r w:rsidRPr="00F24008">
        <w:rPr>
          <w:rFonts w:ascii="Arial" w:hAnsi="Arial" w:cs="Arial"/>
          <w:sz w:val="14"/>
          <w:lang w:eastAsia="en-US"/>
        </w:rPr>
        <w:t xml:space="preserve">. </w:t>
      </w:r>
    </w:p>
    <w:p w:rsidR="0018276D" w:rsidRPr="0018276D" w:rsidRDefault="0018276D" w:rsidP="0018276D">
      <w:r>
        <w:rPr>
          <w:w w:val="90"/>
          <w:lang w:val="en-GB" w:eastAsia="en-AU"/>
        </w:rPr>
        <w:br w:type="page"/>
      </w:r>
    </w:p>
    <w:p w:rsidR="0018276D" w:rsidRPr="00356B6E" w:rsidRDefault="0018276D" w:rsidP="00B940CF">
      <w:pPr>
        <w:pStyle w:val="Heading1"/>
      </w:pPr>
      <w:bookmarkStart w:id="248" w:name="_Toc400007812"/>
      <w:bookmarkStart w:id="249" w:name="_Toc400711498"/>
      <w:r>
        <w:t>Appendix C: National Standards for Out-of-Home Care</w:t>
      </w:r>
      <w:bookmarkEnd w:id="248"/>
      <w:bookmarkEnd w:id="249"/>
    </w:p>
    <w:p w:rsidR="008E0DBD" w:rsidRPr="007847B7" w:rsidRDefault="008E0DBD" w:rsidP="007847B7">
      <w:pPr>
        <w:pStyle w:val="Heading2"/>
      </w:pPr>
      <w:bookmarkStart w:id="250" w:name="_Toc400007813"/>
      <w:bookmarkStart w:id="251" w:name="_Toc400711499"/>
      <w:r w:rsidRPr="007847B7">
        <w:t xml:space="preserve">National Standards for </w:t>
      </w:r>
      <w:r w:rsidR="00A33FD8" w:rsidRPr="007847B7">
        <w:t>O</w:t>
      </w:r>
      <w:r w:rsidRPr="007847B7">
        <w:t>ut-of-</w:t>
      </w:r>
      <w:r w:rsidR="00A33FD8" w:rsidRPr="007847B7">
        <w:t>Home C</w:t>
      </w:r>
      <w:r w:rsidRPr="007847B7">
        <w:t>are</w:t>
      </w:r>
      <w:bookmarkEnd w:id="250"/>
      <w:bookmarkEnd w:id="251"/>
    </w:p>
    <w:p w:rsidR="007D69DB" w:rsidRPr="00821556" w:rsidRDefault="007D69DB" w:rsidP="007D69DB">
      <w:pPr>
        <w:rPr>
          <w:rFonts w:ascii="Calibri" w:hAnsi="Calibri"/>
          <w:sz w:val="24"/>
          <w:szCs w:val="24"/>
        </w:rPr>
      </w:pPr>
      <w:r w:rsidRPr="00821556">
        <w:rPr>
          <w:rFonts w:ascii="Calibri" w:hAnsi="Calibri"/>
          <w:sz w:val="24"/>
          <w:szCs w:val="24"/>
        </w:rPr>
        <w:t xml:space="preserve">The Australian Government, state and territory governments and the </w:t>
      </w:r>
      <w:r w:rsidR="00C8305C">
        <w:rPr>
          <w:rFonts w:ascii="Calibri" w:hAnsi="Calibri"/>
          <w:sz w:val="24"/>
          <w:szCs w:val="24"/>
        </w:rPr>
        <w:t>community</w:t>
      </w:r>
      <w:r w:rsidRPr="00821556">
        <w:rPr>
          <w:rFonts w:ascii="Calibri" w:hAnsi="Calibri"/>
          <w:sz w:val="24"/>
          <w:szCs w:val="24"/>
        </w:rPr>
        <w:t xml:space="preserve"> sector are developing National Standards to ensure </w:t>
      </w:r>
      <w:r>
        <w:rPr>
          <w:rFonts w:ascii="Calibri" w:hAnsi="Calibri"/>
          <w:sz w:val="24"/>
          <w:szCs w:val="24"/>
        </w:rPr>
        <w:t xml:space="preserve">that </w:t>
      </w:r>
      <w:r w:rsidRPr="00821556">
        <w:rPr>
          <w:rFonts w:ascii="Calibri" w:hAnsi="Calibri"/>
          <w:sz w:val="24"/>
          <w:szCs w:val="24"/>
        </w:rPr>
        <w:t>children in need of out-of-home care are given consistent, best</w:t>
      </w:r>
      <w:r w:rsidR="00B30B95">
        <w:rPr>
          <w:rFonts w:ascii="Calibri" w:hAnsi="Calibri"/>
          <w:sz w:val="24"/>
          <w:szCs w:val="24"/>
        </w:rPr>
        <w:t>-</w:t>
      </w:r>
      <w:r w:rsidRPr="00821556">
        <w:rPr>
          <w:rFonts w:ascii="Calibri" w:hAnsi="Calibri"/>
          <w:sz w:val="24"/>
          <w:szCs w:val="24"/>
        </w:rPr>
        <w:t>practice care, no matter where they live.</w:t>
      </w:r>
    </w:p>
    <w:p w:rsidR="007D69DB" w:rsidRDefault="007D69DB" w:rsidP="007D69DB">
      <w:pPr>
        <w:rPr>
          <w:rFonts w:ascii="Calibri" w:hAnsi="Calibri"/>
          <w:sz w:val="24"/>
          <w:szCs w:val="24"/>
        </w:rPr>
      </w:pPr>
    </w:p>
    <w:p w:rsidR="007D69DB" w:rsidRPr="00821556" w:rsidRDefault="007D69DB" w:rsidP="007D69DB">
      <w:pPr>
        <w:rPr>
          <w:rFonts w:ascii="Calibri" w:hAnsi="Calibri"/>
          <w:sz w:val="24"/>
          <w:szCs w:val="24"/>
        </w:rPr>
      </w:pPr>
      <w:r w:rsidRPr="00821556">
        <w:rPr>
          <w:rFonts w:ascii="Calibri" w:hAnsi="Calibri"/>
          <w:sz w:val="24"/>
          <w:szCs w:val="24"/>
        </w:rPr>
        <w:t>The National Standards seek to drive improvements in the quality of care</w:t>
      </w:r>
      <w:r>
        <w:rPr>
          <w:rFonts w:ascii="Calibri" w:hAnsi="Calibri"/>
          <w:sz w:val="24"/>
          <w:szCs w:val="24"/>
        </w:rPr>
        <w:t>,</w:t>
      </w:r>
      <w:r w:rsidRPr="00821556">
        <w:rPr>
          <w:rFonts w:ascii="Calibri" w:hAnsi="Calibri"/>
          <w:sz w:val="24"/>
          <w:szCs w:val="24"/>
        </w:rPr>
        <w:t xml:space="preserve"> so that children and young people in out-of-home care have the same opportunities as other children and young people to reach their potential in life</w:t>
      </w:r>
      <w:r>
        <w:rPr>
          <w:rFonts w:ascii="Calibri" w:hAnsi="Calibri"/>
          <w:sz w:val="24"/>
          <w:szCs w:val="24"/>
        </w:rPr>
        <w:t>,</w:t>
      </w:r>
      <w:r w:rsidRPr="00821556">
        <w:rPr>
          <w:rFonts w:ascii="Calibri" w:hAnsi="Calibri"/>
          <w:sz w:val="24"/>
          <w:szCs w:val="24"/>
        </w:rPr>
        <w:t xml:space="preserve"> wherever they live in Australia.</w:t>
      </w:r>
    </w:p>
    <w:p w:rsidR="007D69DB" w:rsidRDefault="007D69DB" w:rsidP="007D69DB">
      <w:pPr>
        <w:rPr>
          <w:rFonts w:ascii="Calibri" w:hAnsi="Calibri"/>
          <w:sz w:val="24"/>
          <w:szCs w:val="24"/>
        </w:rPr>
      </w:pPr>
    </w:p>
    <w:p w:rsidR="007D69DB" w:rsidRPr="00821556" w:rsidRDefault="007D69DB" w:rsidP="007D69DB">
      <w:pPr>
        <w:rPr>
          <w:rFonts w:ascii="Calibri" w:hAnsi="Calibri"/>
          <w:sz w:val="24"/>
          <w:szCs w:val="24"/>
        </w:rPr>
      </w:pPr>
      <w:r w:rsidRPr="00821556">
        <w:rPr>
          <w:rFonts w:ascii="Calibri" w:hAnsi="Calibri"/>
          <w:sz w:val="24"/>
          <w:szCs w:val="24"/>
        </w:rPr>
        <w:t>The National Standards focus on those children and young people whose care arrangements have been ordered by the Children’s Court, where the parental responsibility for the child or young person has been transferred to the Minister/Chief Executive.</w:t>
      </w:r>
    </w:p>
    <w:p w:rsidR="007D69DB" w:rsidRDefault="007D69DB" w:rsidP="007D69DB">
      <w:pPr>
        <w:rPr>
          <w:rFonts w:ascii="Calibri" w:hAnsi="Calibri"/>
          <w:sz w:val="24"/>
          <w:szCs w:val="24"/>
        </w:rPr>
      </w:pPr>
    </w:p>
    <w:p w:rsidR="007D69DB" w:rsidRPr="00821556" w:rsidRDefault="007D69DB" w:rsidP="007D69DB">
      <w:pPr>
        <w:rPr>
          <w:rFonts w:ascii="Calibri" w:hAnsi="Calibri"/>
          <w:sz w:val="24"/>
          <w:szCs w:val="24"/>
        </w:rPr>
      </w:pPr>
      <w:r w:rsidRPr="00821556">
        <w:rPr>
          <w:rFonts w:ascii="Calibri" w:hAnsi="Calibri"/>
          <w:sz w:val="24"/>
          <w:szCs w:val="24"/>
        </w:rPr>
        <w:t xml:space="preserve">The overall aim of the National Standards is to deliver a more integrated response </w:t>
      </w:r>
      <w:r>
        <w:rPr>
          <w:rFonts w:ascii="Calibri" w:hAnsi="Calibri"/>
          <w:sz w:val="24"/>
          <w:szCs w:val="24"/>
        </w:rPr>
        <w:t>among</w:t>
      </w:r>
      <w:r w:rsidRPr="00821556">
        <w:rPr>
          <w:rFonts w:ascii="Calibri" w:hAnsi="Calibri"/>
          <w:sz w:val="24"/>
          <w:szCs w:val="24"/>
        </w:rPr>
        <w:t xml:space="preserve"> all governments, but they do not change core governance arrangements. The states and territories retain responsibility for statutory child protection, while the Australian Government retains responsibility for providing income support payments.</w:t>
      </w:r>
    </w:p>
    <w:p w:rsidR="007D69DB" w:rsidRPr="00821556" w:rsidRDefault="007D69DB" w:rsidP="00EC7A4E">
      <w:pPr>
        <w:pStyle w:val="Heading2"/>
      </w:pPr>
      <w:bookmarkStart w:id="252" w:name="_Toc400007814"/>
      <w:bookmarkStart w:id="253" w:name="_Toc400711500"/>
      <w:r w:rsidRPr="00821556">
        <w:t>Measuring and reporting on the National Standards</w:t>
      </w:r>
      <w:bookmarkEnd w:id="252"/>
      <w:bookmarkEnd w:id="253"/>
    </w:p>
    <w:p w:rsidR="007D69DB" w:rsidRPr="00821556" w:rsidRDefault="007D69DB" w:rsidP="007D69DB">
      <w:pPr>
        <w:rPr>
          <w:rFonts w:ascii="Calibri" w:hAnsi="Calibri"/>
          <w:sz w:val="24"/>
          <w:szCs w:val="24"/>
        </w:rPr>
      </w:pPr>
      <w:r w:rsidRPr="00821556">
        <w:rPr>
          <w:rFonts w:ascii="Calibri" w:hAnsi="Calibri"/>
          <w:sz w:val="24"/>
          <w:szCs w:val="24"/>
        </w:rPr>
        <w:t xml:space="preserve">The aim of reporting on the National Standards for </w:t>
      </w:r>
      <w:r w:rsidR="00162426">
        <w:rPr>
          <w:rFonts w:ascii="Calibri" w:hAnsi="Calibri"/>
          <w:sz w:val="24"/>
          <w:szCs w:val="24"/>
        </w:rPr>
        <w:t>Out-of-Home Care</w:t>
      </w:r>
      <w:r w:rsidRPr="00821556">
        <w:rPr>
          <w:rFonts w:ascii="Calibri" w:hAnsi="Calibri"/>
          <w:sz w:val="24"/>
          <w:szCs w:val="24"/>
        </w:rPr>
        <w:t xml:space="preserve"> is to provide, for the first time, a nationally comparable picture of the outcomes for children and young people in out-of-home care across Australia. To do this in a meaningful way, a set of robust and valid national measures </w:t>
      </w:r>
      <w:r>
        <w:rPr>
          <w:rFonts w:ascii="Calibri" w:hAnsi="Calibri"/>
          <w:sz w:val="24"/>
          <w:szCs w:val="24"/>
        </w:rPr>
        <w:t>is</w:t>
      </w:r>
      <w:r w:rsidRPr="00821556">
        <w:rPr>
          <w:rFonts w:ascii="Calibri" w:hAnsi="Calibri"/>
          <w:sz w:val="24"/>
          <w:szCs w:val="24"/>
        </w:rPr>
        <w:t xml:space="preserve"> being developed that accurately reflect</w:t>
      </w:r>
      <w:r>
        <w:rPr>
          <w:rFonts w:ascii="Calibri" w:hAnsi="Calibri"/>
          <w:sz w:val="24"/>
          <w:szCs w:val="24"/>
        </w:rPr>
        <w:t>s</w:t>
      </w:r>
      <w:r w:rsidRPr="00821556">
        <w:rPr>
          <w:rFonts w:ascii="Calibri" w:hAnsi="Calibri"/>
          <w:sz w:val="24"/>
          <w:szCs w:val="24"/>
        </w:rPr>
        <w:t xml:space="preserve"> the achievement of outcomes and progress against the National Standards.</w:t>
      </w:r>
    </w:p>
    <w:p w:rsidR="007D69DB" w:rsidRPr="00821556" w:rsidRDefault="007D69DB" w:rsidP="007D69DB">
      <w:pPr>
        <w:rPr>
          <w:rFonts w:ascii="Calibri" w:hAnsi="Calibri"/>
          <w:sz w:val="24"/>
          <w:szCs w:val="24"/>
        </w:rPr>
      </w:pPr>
    </w:p>
    <w:p w:rsidR="007D69DB" w:rsidRDefault="007D69DB" w:rsidP="007D69DB">
      <w:pPr>
        <w:rPr>
          <w:rFonts w:ascii="Calibri" w:hAnsi="Calibri"/>
          <w:sz w:val="24"/>
          <w:szCs w:val="24"/>
        </w:rPr>
      </w:pPr>
      <w:r w:rsidRPr="00821556">
        <w:rPr>
          <w:rFonts w:ascii="Calibri" w:hAnsi="Calibri"/>
          <w:sz w:val="24"/>
          <w:szCs w:val="24"/>
        </w:rPr>
        <w:t xml:space="preserve">A schedule of national measurement and reporting arrangements for the National Standards for </w:t>
      </w:r>
      <w:r w:rsidR="00162426">
        <w:rPr>
          <w:rFonts w:ascii="Calibri" w:hAnsi="Calibri"/>
          <w:sz w:val="24"/>
          <w:szCs w:val="24"/>
        </w:rPr>
        <w:t>Out-of-Home C</w:t>
      </w:r>
      <w:r w:rsidRPr="00821556">
        <w:rPr>
          <w:rFonts w:ascii="Calibri" w:hAnsi="Calibri"/>
          <w:sz w:val="24"/>
          <w:szCs w:val="24"/>
        </w:rPr>
        <w:t xml:space="preserve">are was agreed by Community and Disability Services Ministers in April 2011. A full list of the 22 measures and reporting timeframe can be found </w:t>
      </w:r>
      <w:r w:rsidR="00EC7A4E">
        <w:rPr>
          <w:rFonts w:ascii="Calibri" w:hAnsi="Calibri"/>
          <w:sz w:val="24"/>
          <w:szCs w:val="24"/>
        </w:rPr>
        <w:t>on</w:t>
      </w:r>
      <w:r w:rsidRPr="00821556">
        <w:rPr>
          <w:rFonts w:ascii="Calibri" w:hAnsi="Calibri"/>
          <w:sz w:val="24"/>
          <w:szCs w:val="24"/>
        </w:rPr>
        <w:t xml:space="preserve"> the </w:t>
      </w:r>
      <w:hyperlink r:id="rId39" w:history="1">
        <w:r w:rsidR="00EC7A4E">
          <w:rPr>
            <w:rStyle w:val="Hyperlink"/>
            <w:rFonts w:ascii="Calibri" w:hAnsi="Calibri"/>
            <w:sz w:val="24"/>
            <w:szCs w:val="24"/>
          </w:rPr>
          <w:t>Department of Social Services</w:t>
        </w:r>
      </w:hyperlink>
      <w:r w:rsidR="00EC7A4E">
        <w:rPr>
          <w:rFonts w:ascii="Calibri" w:hAnsi="Calibri"/>
          <w:sz w:val="24"/>
          <w:szCs w:val="24"/>
        </w:rPr>
        <w:t xml:space="preserve"> website.</w:t>
      </w:r>
    </w:p>
    <w:p w:rsidR="007D69DB" w:rsidRPr="00821556" w:rsidRDefault="007D69DB" w:rsidP="007D69DB">
      <w:pPr>
        <w:rPr>
          <w:rFonts w:ascii="Calibri" w:hAnsi="Calibri"/>
          <w:sz w:val="24"/>
          <w:szCs w:val="24"/>
        </w:rPr>
      </w:pPr>
    </w:p>
    <w:p w:rsidR="007D69DB" w:rsidRPr="005A197A" w:rsidRDefault="00E0613F" w:rsidP="00520DEC">
      <w:pPr>
        <w:pStyle w:val="Figure"/>
        <w:ind w:right="2124"/>
      </w:pPr>
      <w:bookmarkStart w:id="254" w:name="_Toc400010312"/>
      <w:r>
        <w:t xml:space="preserve">Table </w:t>
      </w:r>
      <w:fldSimple w:instr=" SEQ Table \* ARABIC ">
        <w:r w:rsidR="00BF1EC9">
          <w:rPr>
            <w:noProof/>
          </w:rPr>
          <w:t>26</w:t>
        </w:r>
      </w:fldSimple>
      <w:r>
        <w:t xml:space="preserve">: </w:t>
      </w:r>
      <w:r w:rsidR="007D69DB" w:rsidRPr="005A197A">
        <w:t>National Standards for Out-of-Home Care, and related measures</w:t>
      </w:r>
      <w:bookmarkEnd w:id="2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26: National Standards for Out-of-Home Care, and related measures"/>
      </w:tblPr>
      <w:tblGrid>
        <w:gridCol w:w="3795"/>
        <w:gridCol w:w="6483"/>
      </w:tblGrid>
      <w:tr w:rsidR="007D69DB" w:rsidRPr="00A332D1" w:rsidTr="00690BE1">
        <w:tc>
          <w:tcPr>
            <w:tcW w:w="1846" w:type="pct"/>
            <w:shd w:val="clear" w:color="auto" w:fill="auto"/>
          </w:tcPr>
          <w:p w:rsidR="007D69DB" w:rsidRPr="00A332D1" w:rsidRDefault="007D69DB" w:rsidP="00690BE1">
            <w:pPr>
              <w:pStyle w:val="TableFigHeadingtotal"/>
              <w:tabs>
                <w:tab w:val="clear" w:pos="198"/>
                <w:tab w:val="left" w:pos="284"/>
              </w:tabs>
              <w:ind w:left="284" w:hanging="284"/>
              <w:rPr>
                <w:rFonts w:cs="Arial"/>
                <w:sz w:val="18"/>
                <w:szCs w:val="18"/>
              </w:rPr>
            </w:pPr>
            <w:r w:rsidRPr="00A332D1">
              <w:rPr>
                <w:rFonts w:cs="Arial"/>
                <w:sz w:val="18"/>
                <w:szCs w:val="18"/>
              </w:rPr>
              <w:t xml:space="preserve">Standard </w:t>
            </w:r>
          </w:p>
        </w:tc>
        <w:tc>
          <w:tcPr>
            <w:tcW w:w="3154" w:type="pct"/>
            <w:shd w:val="clear" w:color="auto" w:fill="auto"/>
          </w:tcPr>
          <w:p w:rsidR="007D69DB" w:rsidRPr="00A332D1" w:rsidRDefault="007D69DB" w:rsidP="00A332D1">
            <w:pPr>
              <w:pStyle w:val="TableFigHeadingtotal"/>
              <w:tabs>
                <w:tab w:val="clear" w:pos="198"/>
                <w:tab w:val="left" w:pos="431"/>
              </w:tabs>
              <w:ind w:left="431" w:hanging="425"/>
              <w:rPr>
                <w:rFonts w:cs="Arial"/>
                <w:sz w:val="18"/>
                <w:szCs w:val="18"/>
              </w:rPr>
            </w:pPr>
            <w:r w:rsidRPr="00A332D1">
              <w:rPr>
                <w:rFonts w:cs="Arial"/>
                <w:sz w:val="18"/>
                <w:szCs w:val="18"/>
              </w:rPr>
              <w:t>Measures (existing or for future development))</w:t>
            </w:r>
          </w:p>
        </w:tc>
      </w:tr>
      <w:tr w:rsidR="007D69DB" w:rsidRPr="00A332D1" w:rsidTr="00690BE1">
        <w:trPr>
          <w:trHeight w:val="126"/>
        </w:trPr>
        <w:tc>
          <w:tcPr>
            <w:tcW w:w="1846" w:type="pct"/>
            <w:shd w:val="clear" w:color="auto" w:fill="auto"/>
          </w:tcPr>
          <w:p w:rsidR="007D69DB" w:rsidRPr="00A332D1" w:rsidRDefault="00690BE1" w:rsidP="00690BE1">
            <w:pPr>
              <w:pStyle w:val="TableFigText"/>
              <w:tabs>
                <w:tab w:val="clear" w:pos="198"/>
                <w:tab w:val="left" w:pos="284"/>
              </w:tabs>
              <w:ind w:left="284" w:hanging="284"/>
              <w:rPr>
                <w:rFonts w:eastAsia="Calibri" w:cs="Arial"/>
                <w:sz w:val="18"/>
                <w:szCs w:val="18"/>
              </w:rPr>
            </w:pPr>
            <w:r>
              <w:rPr>
                <w:rFonts w:eastAsia="Calibri" w:cs="Arial"/>
                <w:sz w:val="18"/>
                <w:szCs w:val="18"/>
              </w:rPr>
              <w:t>1.</w:t>
            </w:r>
            <w:r>
              <w:rPr>
                <w:rFonts w:eastAsia="Calibri" w:cs="Arial"/>
                <w:sz w:val="18"/>
                <w:szCs w:val="18"/>
              </w:rPr>
              <w:tab/>
            </w:r>
            <w:r w:rsidR="007D69DB" w:rsidRPr="00A332D1">
              <w:rPr>
                <w:rFonts w:eastAsia="Calibri" w:cs="Arial"/>
                <w:sz w:val="18"/>
                <w:szCs w:val="18"/>
              </w:rPr>
              <w:t>Children and young people will be provided with stability and security during their time in care.</w:t>
            </w:r>
          </w:p>
          <w:p w:rsidR="007D69DB" w:rsidRPr="00A332D1" w:rsidRDefault="007D69DB" w:rsidP="00690BE1">
            <w:pPr>
              <w:pStyle w:val="TableFigText"/>
              <w:tabs>
                <w:tab w:val="clear" w:pos="198"/>
                <w:tab w:val="left" w:pos="284"/>
              </w:tabs>
              <w:ind w:left="284" w:hanging="284"/>
              <w:rPr>
                <w:rFonts w:eastAsia="Calibri" w:cs="Arial"/>
                <w:sz w:val="18"/>
                <w:szCs w:val="18"/>
              </w:rPr>
            </w:pPr>
          </w:p>
        </w:tc>
        <w:tc>
          <w:tcPr>
            <w:tcW w:w="3154" w:type="pct"/>
            <w:shd w:val="clear" w:color="auto" w:fill="auto"/>
          </w:tcPr>
          <w:p w:rsidR="007D69DB" w:rsidRPr="00A332D1" w:rsidRDefault="00A332D1" w:rsidP="00A332D1">
            <w:pPr>
              <w:pStyle w:val="TableFigText"/>
              <w:tabs>
                <w:tab w:val="clear" w:pos="198"/>
                <w:tab w:val="left" w:pos="290"/>
                <w:tab w:val="left" w:pos="431"/>
              </w:tabs>
              <w:ind w:left="431" w:hanging="425"/>
              <w:rPr>
                <w:rFonts w:eastAsia="Calibri" w:cs="Arial"/>
                <w:sz w:val="18"/>
                <w:szCs w:val="18"/>
              </w:rPr>
            </w:pPr>
            <w:r>
              <w:rPr>
                <w:rFonts w:eastAsia="Calibri" w:cs="Arial"/>
                <w:sz w:val="18"/>
                <w:szCs w:val="18"/>
              </w:rPr>
              <w:t>1.1</w:t>
            </w:r>
            <w:r>
              <w:rPr>
                <w:rFonts w:eastAsia="Calibri" w:cs="Arial"/>
                <w:sz w:val="18"/>
                <w:szCs w:val="18"/>
              </w:rPr>
              <w:tab/>
            </w:r>
            <w:r w:rsidR="007D69DB" w:rsidRPr="00A332D1">
              <w:rPr>
                <w:rFonts w:eastAsia="Calibri" w:cs="Arial"/>
                <w:sz w:val="18"/>
                <w:szCs w:val="18"/>
              </w:rPr>
              <w:t xml:space="preserve">The proportion of children and young people exiting out-of-home care during the year who had 1 or 2 placements, by length of time in continuous care preceding exit </w:t>
            </w:r>
          </w:p>
          <w:p w:rsidR="007D69DB" w:rsidRPr="00A332D1" w:rsidRDefault="00A332D1" w:rsidP="00A332D1">
            <w:pPr>
              <w:pStyle w:val="TableFigText"/>
              <w:tabs>
                <w:tab w:val="clear" w:pos="198"/>
                <w:tab w:val="left" w:pos="431"/>
              </w:tabs>
              <w:ind w:left="431" w:hanging="425"/>
              <w:rPr>
                <w:rFonts w:eastAsia="Calibri" w:cs="Arial"/>
                <w:sz w:val="18"/>
                <w:szCs w:val="18"/>
              </w:rPr>
            </w:pPr>
            <w:r>
              <w:rPr>
                <w:rFonts w:eastAsia="Calibri" w:cs="Arial"/>
                <w:sz w:val="18"/>
                <w:szCs w:val="18"/>
              </w:rPr>
              <w:t>1.2</w:t>
            </w:r>
            <w:r>
              <w:rPr>
                <w:rFonts w:eastAsia="Calibri" w:cs="Arial"/>
                <w:sz w:val="18"/>
                <w:szCs w:val="18"/>
              </w:rPr>
              <w:tab/>
            </w:r>
            <w:r w:rsidR="007D69DB" w:rsidRPr="00A332D1">
              <w:rPr>
                <w:rFonts w:eastAsia="Calibri" w:cs="Arial"/>
                <w:sz w:val="18"/>
                <w:szCs w:val="18"/>
              </w:rPr>
              <w:t xml:space="preserve">The rate and number of children in out-of-home care who were the subject of child protection substantiation and the person believed responsible was living in the household providing out-of-home care </w:t>
            </w:r>
          </w:p>
          <w:p w:rsidR="007D69DB" w:rsidRPr="00A332D1" w:rsidRDefault="00A332D1" w:rsidP="00A332D1">
            <w:pPr>
              <w:pStyle w:val="TableFigText"/>
              <w:tabs>
                <w:tab w:val="clear" w:pos="198"/>
                <w:tab w:val="left" w:pos="431"/>
              </w:tabs>
              <w:ind w:left="431" w:hanging="425"/>
              <w:rPr>
                <w:rFonts w:eastAsia="Calibri" w:cs="Arial"/>
                <w:sz w:val="18"/>
                <w:szCs w:val="18"/>
              </w:rPr>
            </w:pPr>
            <w:r>
              <w:rPr>
                <w:rFonts w:eastAsia="Calibri" w:cs="Arial"/>
                <w:sz w:val="18"/>
                <w:szCs w:val="18"/>
              </w:rPr>
              <w:t>1.3</w:t>
            </w:r>
            <w:r>
              <w:rPr>
                <w:rFonts w:eastAsia="Calibri" w:cs="Arial"/>
                <w:sz w:val="18"/>
                <w:szCs w:val="18"/>
              </w:rPr>
              <w:tab/>
            </w:r>
            <w:r w:rsidR="007D69DB" w:rsidRPr="00A332D1">
              <w:rPr>
                <w:rFonts w:eastAsia="Calibri" w:cs="Arial"/>
                <w:sz w:val="18"/>
                <w:szCs w:val="18"/>
              </w:rPr>
              <w:t>The proportion of children and young people in out-of-home care who report feeling safe in and secure in their current placement</w:t>
            </w:r>
          </w:p>
        </w:tc>
      </w:tr>
      <w:tr w:rsidR="007D69DB" w:rsidRPr="00A332D1" w:rsidTr="00690BE1">
        <w:tc>
          <w:tcPr>
            <w:tcW w:w="1846" w:type="pct"/>
            <w:shd w:val="clear" w:color="auto" w:fill="auto"/>
          </w:tcPr>
          <w:p w:rsidR="007D69DB" w:rsidRPr="00A332D1" w:rsidRDefault="00690BE1" w:rsidP="00690BE1">
            <w:pPr>
              <w:pStyle w:val="TableFigText"/>
              <w:tabs>
                <w:tab w:val="clear" w:pos="198"/>
                <w:tab w:val="left" w:pos="284"/>
              </w:tabs>
              <w:ind w:left="284" w:hanging="284"/>
              <w:rPr>
                <w:rFonts w:eastAsia="Calibri" w:cs="Arial"/>
                <w:sz w:val="18"/>
                <w:szCs w:val="18"/>
              </w:rPr>
            </w:pPr>
            <w:r>
              <w:rPr>
                <w:rFonts w:eastAsia="Calibri" w:cs="Arial"/>
                <w:sz w:val="18"/>
                <w:szCs w:val="18"/>
              </w:rPr>
              <w:t>2.</w:t>
            </w:r>
            <w:r>
              <w:rPr>
                <w:rFonts w:eastAsia="Calibri" w:cs="Arial"/>
                <w:sz w:val="18"/>
                <w:szCs w:val="18"/>
              </w:rPr>
              <w:tab/>
            </w:r>
            <w:r w:rsidR="007D69DB" w:rsidRPr="00A332D1">
              <w:rPr>
                <w:rFonts w:eastAsia="Calibri" w:cs="Arial"/>
                <w:sz w:val="18"/>
                <w:szCs w:val="18"/>
              </w:rPr>
              <w:t>Children and young people participate in decisions that have an impact on their lives.</w:t>
            </w:r>
          </w:p>
          <w:p w:rsidR="007D69DB" w:rsidRPr="00A332D1" w:rsidRDefault="007D69DB" w:rsidP="00690BE1">
            <w:pPr>
              <w:pStyle w:val="TableFigText"/>
              <w:tabs>
                <w:tab w:val="clear" w:pos="198"/>
                <w:tab w:val="left" w:pos="284"/>
              </w:tabs>
              <w:ind w:left="284" w:hanging="284"/>
              <w:rPr>
                <w:rFonts w:eastAsia="Calibri" w:cs="Arial"/>
                <w:sz w:val="18"/>
                <w:szCs w:val="18"/>
              </w:rPr>
            </w:pPr>
          </w:p>
        </w:tc>
        <w:tc>
          <w:tcPr>
            <w:tcW w:w="3154" w:type="pct"/>
            <w:shd w:val="clear" w:color="auto" w:fill="auto"/>
          </w:tcPr>
          <w:p w:rsidR="007D69DB" w:rsidRPr="00A332D1" w:rsidRDefault="00A332D1" w:rsidP="00A332D1">
            <w:pPr>
              <w:pStyle w:val="TableFigText"/>
              <w:tabs>
                <w:tab w:val="clear" w:pos="198"/>
                <w:tab w:val="left" w:pos="431"/>
              </w:tabs>
              <w:ind w:left="431" w:hanging="425"/>
              <w:rPr>
                <w:rFonts w:eastAsia="Calibri" w:cs="Arial"/>
                <w:sz w:val="18"/>
                <w:szCs w:val="18"/>
              </w:rPr>
            </w:pPr>
            <w:r>
              <w:rPr>
                <w:rFonts w:eastAsia="Calibri" w:cs="Arial"/>
                <w:sz w:val="18"/>
                <w:szCs w:val="18"/>
              </w:rPr>
              <w:t>2.1</w:t>
            </w:r>
            <w:r>
              <w:rPr>
                <w:rFonts w:eastAsia="Calibri" w:cs="Arial"/>
                <w:sz w:val="18"/>
                <w:szCs w:val="18"/>
              </w:rPr>
              <w:tab/>
            </w:r>
            <w:r w:rsidR="007D69DB" w:rsidRPr="00A332D1">
              <w:rPr>
                <w:rFonts w:eastAsia="Calibri" w:cs="Arial"/>
                <w:sz w:val="18"/>
                <w:szCs w:val="18"/>
              </w:rPr>
              <w:t>The proportion of children and young people who report that they have opportunities to have a say in relation to decisions that have an impact on their lives and that they feel listened to</w:t>
            </w:r>
          </w:p>
        </w:tc>
      </w:tr>
      <w:tr w:rsidR="007D69DB" w:rsidRPr="00A332D1" w:rsidTr="00690BE1">
        <w:trPr>
          <w:trHeight w:val="1334"/>
        </w:trPr>
        <w:tc>
          <w:tcPr>
            <w:tcW w:w="1846" w:type="pct"/>
            <w:shd w:val="clear" w:color="auto" w:fill="auto"/>
          </w:tcPr>
          <w:p w:rsidR="007D69DB" w:rsidRPr="00A332D1" w:rsidRDefault="00690BE1" w:rsidP="00690BE1">
            <w:pPr>
              <w:pStyle w:val="TableFigText"/>
              <w:tabs>
                <w:tab w:val="clear" w:pos="198"/>
                <w:tab w:val="left" w:pos="284"/>
              </w:tabs>
              <w:ind w:left="284" w:hanging="284"/>
              <w:rPr>
                <w:rFonts w:eastAsia="Calibri" w:cs="Arial"/>
                <w:sz w:val="18"/>
                <w:szCs w:val="18"/>
              </w:rPr>
            </w:pPr>
            <w:r>
              <w:rPr>
                <w:rFonts w:eastAsia="Calibri" w:cs="Arial"/>
                <w:sz w:val="18"/>
                <w:szCs w:val="18"/>
              </w:rPr>
              <w:t>3.</w:t>
            </w:r>
            <w:r>
              <w:rPr>
                <w:rFonts w:eastAsia="Calibri" w:cs="Arial"/>
                <w:sz w:val="18"/>
                <w:szCs w:val="18"/>
              </w:rPr>
              <w:tab/>
            </w:r>
            <w:r w:rsidR="007D69DB" w:rsidRPr="00A332D1">
              <w:rPr>
                <w:rFonts w:eastAsia="Calibri" w:cs="Arial"/>
                <w:sz w:val="18"/>
                <w:szCs w:val="18"/>
              </w:rPr>
              <w:t xml:space="preserve">Aboriginal and Torres Strait Islander communities participate in decisions concerning the care and placement of their children and young people. </w:t>
            </w:r>
          </w:p>
        </w:tc>
        <w:tc>
          <w:tcPr>
            <w:tcW w:w="3154" w:type="pct"/>
            <w:shd w:val="clear" w:color="auto" w:fill="auto"/>
          </w:tcPr>
          <w:p w:rsidR="007D69DB" w:rsidRPr="00A332D1" w:rsidRDefault="00A332D1" w:rsidP="00A332D1">
            <w:pPr>
              <w:pStyle w:val="TableFigText"/>
              <w:tabs>
                <w:tab w:val="clear" w:pos="198"/>
                <w:tab w:val="left" w:pos="431"/>
              </w:tabs>
              <w:ind w:left="431" w:hanging="425"/>
              <w:rPr>
                <w:rFonts w:eastAsia="Calibri" w:cs="Arial"/>
                <w:sz w:val="18"/>
                <w:szCs w:val="18"/>
              </w:rPr>
            </w:pPr>
            <w:r>
              <w:rPr>
                <w:rFonts w:eastAsia="Calibri" w:cs="Arial"/>
                <w:sz w:val="18"/>
                <w:szCs w:val="18"/>
              </w:rPr>
              <w:t>3.1</w:t>
            </w:r>
            <w:r>
              <w:rPr>
                <w:rFonts w:eastAsia="Calibri" w:cs="Arial"/>
                <w:sz w:val="18"/>
                <w:szCs w:val="18"/>
              </w:rPr>
              <w:tab/>
            </w:r>
            <w:r w:rsidR="007D69DB" w:rsidRPr="00A332D1">
              <w:rPr>
                <w:rFonts w:eastAsia="Calibri" w:cs="Arial"/>
                <w:sz w:val="18"/>
                <w:szCs w:val="18"/>
              </w:rPr>
              <w:t xml:space="preserve">The proportion of Indigenous children and young people in out-of-home care placed with the child's extended family, with the child's Indigenous community, or with other Indigenous people, by carer type </w:t>
            </w:r>
            <w:r w:rsidR="007D69DB" w:rsidRPr="00A332D1">
              <w:rPr>
                <w:rFonts w:eastAsia="Calibri" w:cs="Arial"/>
                <w:sz w:val="18"/>
                <w:szCs w:val="18"/>
              </w:rPr>
              <w:br/>
            </w:r>
            <w:r w:rsidR="007D69DB" w:rsidRPr="00A332D1">
              <w:rPr>
                <w:rFonts w:eastAsia="Calibri" w:cs="Arial"/>
                <w:i/>
                <w:sz w:val="18"/>
                <w:szCs w:val="18"/>
              </w:rPr>
              <w:t>See also Measure 10.1 The proportion of Aboriginal and Torres Strait Islander children and young people who have a current cultural support plan</w:t>
            </w:r>
          </w:p>
        </w:tc>
      </w:tr>
      <w:tr w:rsidR="007D69DB" w:rsidRPr="00A332D1" w:rsidTr="00690BE1">
        <w:tc>
          <w:tcPr>
            <w:tcW w:w="1846" w:type="pct"/>
            <w:shd w:val="clear" w:color="auto" w:fill="auto"/>
          </w:tcPr>
          <w:p w:rsidR="007D69DB" w:rsidRPr="00A332D1" w:rsidRDefault="00690BE1" w:rsidP="00690BE1">
            <w:pPr>
              <w:pStyle w:val="TableFigText"/>
              <w:tabs>
                <w:tab w:val="clear" w:pos="198"/>
                <w:tab w:val="left" w:pos="284"/>
              </w:tabs>
              <w:ind w:left="284" w:hanging="284"/>
              <w:rPr>
                <w:rFonts w:cs="Arial"/>
                <w:sz w:val="18"/>
                <w:szCs w:val="18"/>
              </w:rPr>
            </w:pPr>
            <w:r>
              <w:rPr>
                <w:rFonts w:cs="Arial"/>
                <w:sz w:val="18"/>
                <w:szCs w:val="18"/>
              </w:rPr>
              <w:t>4.</w:t>
            </w:r>
            <w:r>
              <w:rPr>
                <w:rFonts w:cs="Arial"/>
                <w:sz w:val="18"/>
                <w:szCs w:val="18"/>
              </w:rPr>
              <w:tab/>
            </w:r>
            <w:r w:rsidR="007D69DB" w:rsidRPr="00A332D1">
              <w:rPr>
                <w:rFonts w:cs="Arial"/>
                <w:sz w:val="18"/>
                <w:szCs w:val="18"/>
              </w:rPr>
              <w:t xml:space="preserve">Each child and young person has an individualised plan that details their health, education and other needs. </w:t>
            </w:r>
          </w:p>
        </w:tc>
        <w:tc>
          <w:tcPr>
            <w:tcW w:w="3154" w:type="pct"/>
            <w:shd w:val="clear" w:color="auto" w:fill="auto"/>
          </w:tcPr>
          <w:p w:rsidR="007D69DB" w:rsidRPr="00A332D1" w:rsidRDefault="00A332D1" w:rsidP="00A332D1">
            <w:pPr>
              <w:pStyle w:val="TableFigText"/>
              <w:tabs>
                <w:tab w:val="clear" w:pos="198"/>
                <w:tab w:val="left" w:pos="431"/>
              </w:tabs>
              <w:ind w:left="431" w:hanging="425"/>
              <w:rPr>
                <w:rFonts w:eastAsia="Calibri" w:cs="Arial"/>
                <w:sz w:val="18"/>
                <w:szCs w:val="18"/>
              </w:rPr>
            </w:pPr>
            <w:r>
              <w:rPr>
                <w:rFonts w:eastAsia="Calibri" w:cs="Arial"/>
                <w:sz w:val="18"/>
                <w:szCs w:val="18"/>
              </w:rPr>
              <w:t>4.1</w:t>
            </w:r>
            <w:r>
              <w:rPr>
                <w:rFonts w:eastAsia="Calibri" w:cs="Arial"/>
                <w:sz w:val="18"/>
                <w:szCs w:val="18"/>
              </w:rPr>
              <w:tab/>
            </w:r>
            <w:r w:rsidR="007D69DB" w:rsidRPr="00A332D1">
              <w:rPr>
                <w:rFonts w:eastAsia="Calibri" w:cs="Arial"/>
                <w:sz w:val="18"/>
                <w:szCs w:val="18"/>
              </w:rPr>
              <w:t>The proportion of children and young people who have a current documented case plan</w:t>
            </w:r>
          </w:p>
        </w:tc>
      </w:tr>
      <w:tr w:rsidR="007D69DB" w:rsidRPr="00A332D1" w:rsidTr="00690BE1">
        <w:tc>
          <w:tcPr>
            <w:tcW w:w="1846" w:type="pct"/>
            <w:shd w:val="clear" w:color="auto" w:fill="auto"/>
          </w:tcPr>
          <w:p w:rsidR="007D69DB" w:rsidRPr="00A332D1" w:rsidRDefault="00690BE1" w:rsidP="00690BE1">
            <w:pPr>
              <w:pStyle w:val="TableFigText"/>
              <w:tabs>
                <w:tab w:val="clear" w:pos="198"/>
                <w:tab w:val="left" w:pos="284"/>
              </w:tabs>
              <w:ind w:left="284" w:hanging="284"/>
              <w:rPr>
                <w:rFonts w:cs="Arial"/>
                <w:sz w:val="18"/>
                <w:szCs w:val="18"/>
              </w:rPr>
            </w:pPr>
            <w:r>
              <w:rPr>
                <w:rFonts w:cs="Arial"/>
                <w:sz w:val="18"/>
                <w:szCs w:val="18"/>
              </w:rPr>
              <w:t>5.</w:t>
            </w:r>
            <w:r>
              <w:rPr>
                <w:rFonts w:cs="Arial"/>
                <w:sz w:val="18"/>
                <w:szCs w:val="18"/>
              </w:rPr>
              <w:tab/>
            </w:r>
            <w:r w:rsidR="007D69DB" w:rsidRPr="00A332D1">
              <w:rPr>
                <w:rFonts w:cs="Arial"/>
                <w:sz w:val="18"/>
                <w:szCs w:val="18"/>
              </w:rPr>
              <w:t xml:space="preserve">Children and young people have their physical, developmental, psychosocial and mental health needs assessed and attended to in a timely way. </w:t>
            </w:r>
          </w:p>
        </w:tc>
        <w:tc>
          <w:tcPr>
            <w:tcW w:w="3154" w:type="pct"/>
            <w:shd w:val="clear" w:color="auto" w:fill="auto"/>
          </w:tcPr>
          <w:p w:rsidR="007D69DB" w:rsidRPr="00A332D1" w:rsidRDefault="00A332D1" w:rsidP="00A332D1">
            <w:pPr>
              <w:pStyle w:val="TableFigText"/>
              <w:tabs>
                <w:tab w:val="clear" w:pos="198"/>
                <w:tab w:val="left" w:pos="431"/>
              </w:tabs>
              <w:ind w:left="431" w:hanging="425"/>
              <w:rPr>
                <w:rFonts w:eastAsia="Calibri" w:cs="Arial"/>
                <w:sz w:val="18"/>
                <w:szCs w:val="18"/>
              </w:rPr>
            </w:pPr>
            <w:r>
              <w:rPr>
                <w:rFonts w:eastAsia="Calibri" w:cs="Arial"/>
                <w:sz w:val="18"/>
                <w:szCs w:val="18"/>
              </w:rPr>
              <w:t>5.1</w:t>
            </w:r>
            <w:r>
              <w:rPr>
                <w:rFonts w:eastAsia="Calibri" w:cs="Arial"/>
                <w:sz w:val="18"/>
                <w:szCs w:val="18"/>
              </w:rPr>
              <w:tab/>
            </w:r>
            <w:r w:rsidR="007D69DB" w:rsidRPr="00A332D1">
              <w:rPr>
                <w:rFonts w:eastAsia="Calibri" w:cs="Arial"/>
                <w:sz w:val="18"/>
                <w:szCs w:val="18"/>
              </w:rPr>
              <w:t xml:space="preserve">The number and proportion of children and young people who have an initial health check of their physical, developmental, psychosocial and mental health needs within a specified period of entering out-of-home care </w:t>
            </w:r>
          </w:p>
        </w:tc>
      </w:tr>
      <w:tr w:rsidR="007D69DB" w:rsidRPr="00A332D1" w:rsidTr="00690BE1">
        <w:tc>
          <w:tcPr>
            <w:tcW w:w="1846" w:type="pct"/>
            <w:shd w:val="clear" w:color="auto" w:fill="auto"/>
          </w:tcPr>
          <w:p w:rsidR="007D69DB" w:rsidRPr="00A332D1" w:rsidRDefault="00690BE1" w:rsidP="00690BE1">
            <w:pPr>
              <w:pStyle w:val="TableFigText"/>
              <w:tabs>
                <w:tab w:val="clear" w:pos="198"/>
                <w:tab w:val="left" w:pos="284"/>
              </w:tabs>
              <w:ind w:left="284" w:hanging="284"/>
              <w:rPr>
                <w:rFonts w:cs="Arial"/>
                <w:sz w:val="18"/>
                <w:szCs w:val="18"/>
              </w:rPr>
            </w:pPr>
            <w:r>
              <w:rPr>
                <w:rFonts w:cs="Arial"/>
                <w:sz w:val="18"/>
                <w:szCs w:val="18"/>
              </w:rPr>
              <w:t>6.</w:t>
            </w:r>
            <w:r>
              <w:rPr>
                <w:rFonts w:cs="Arial"/>
                <w:sz w:val="18"/>
                <w:szCs w:val="18"/>
              </w:rPr>
              <w:tab/>
            </w:r>
            <w:r w:rsidR="007D69DB" w:rsidRPr="00A332D1">
              <w:rPr>
                <w:rFonts w:cs="Arial"/>
                <w:sz w:val="18"/>
                <w:szCs w:val="18"/>
              </w:rPr>
              <w:t>Children and young people in care access and participate in education and early childhood services to maximise their educational outcomes.</w:t>
            </w:r>
          </w:p>
        </w:tc>
        <w:tc>
          <w:tcPr>
            <w:tcW w:w="3154" w:type="pct"/>
            <w:shd w:val="clear" w:color="auto" w:fill="auto"/>
          </w:tcPr>
          <w:p w:rsidR="007D69DB" w:rsidRPr="00A332D1" w:rsidRDefault="00A332D1" w:rsidP="00A332D1">
            <w:pPr>
              <w:pStyle w:val="TableFigText"/>
              <w:tabs>
                <w:tab w:val="clear" w:pos="198"/>
                <w:tab w:val="left" w:pos="431"/>
              </w:tabs>
              <w:ind w:left="431" w:hanging="425"/>
              <w:rPr>
                <w:rFonts w:eastAsia="Calibri" w:cs="Arial"/>
                <w:sz w:val="18"/>
                <w:szCs w:val="18"/>
              </w:rPr>
            </w:pPr>
            <w:r>
              <w:rPr>
                <w:rFonts w:eastAsia="Calibri" w:cs="Arial"/>
                <w:sz w:val="18"/>
                <w:szCs w:val="18"/>
              </w:rPr>
              <w:t>6.1</w:t>
            </w:r>
            <w:r>
              <w:rPr>
                <w:rFonts w:eastAsia="Calibri" w:cs="Arial"/>
                <w:sz w:val="18"/>
                <w:szCs w:val="18"/>
              </w:rPr>
              <w:tab/>
            </w:r>
            <w:r w:rsidR="007D69DB" w:rsidRPr="00A332D1">
              <w:rPr>
                <w:rFonts w:eastAsia="Calibri" w:cs="Arial"/>
                <w:sz w:val="18"/>
                <w:szCs w:val="18"/>
              </w:rPr>
              <w:t xml:space="preserve">The proportion of children and young people achieving national reading and numeracy benchmarks </w:t>
            </w:r>
          </w:p>
          <w:p w:rsidR="007D69DB" w:rsidRPr="00A332D1" w:rsidRDefault="00A332D1" w:rsidP="00A332D1">
            <w:pPr>
              <w:pStyle w:val="TableFigText"/>
              <w:tabs>
                <w:tab w:val="clear" w:pos="198"/>
                <w:tab w:val="left" w:pos="431"/>
              </w:tabs>
              <w:ind w:left="431" w:hanging="425"/>
              <w:rPr>
                <w:rFonts w:eastAsia="Calibri" w:cs="Arial"/>
                <w:sz w:val="18"/>
                <w:szCs w:val="18"/>
              </w:rPr>
            </w:pPr>
            <w:r>
              <w:rPr>
                <w:rFonts w:eastAsia="Calibri" w:cs="Arial"/>
                <w:sz w:val="18"/>
                <w:szCs w:val="18"/>
              </w:rPr>
              <w:t>6.2</w:t>
            </w:r>
            <w:r>
              <w:rPr>
                <w:rFonts w:eastAsia="Calibri" w:cs="Arial"/>
                <w:sz w:val="18"/>
                <w:szCs w:val="18"/>
              </w:rPr>
              <w:tab/>
            </w:r>
            <w:r w:rsidR="007D69DB" w:rsidRPr="00A332D1">
              <w:rPr>
                <w:rFonts w:eastAsia="Calibri" w:cs="Arial"/>
                <w:sz w:val="18"/>
                <w:szCs w:val="18"/>
              </w:rPr>
              <w:t xml:space="preserve">The number and proportion of 3 and 4 year old children who participate in quality early childhood education and child care services </w:t>
            </w:r>
          </w:p>
        </w:tc>
      </w:tr>
      <w:tr w:rsidR="007D69DB" w:rsidRPr="00A332D1" w:rsidTr="00690BE1">
        <w:tc>
          <w:tcPr>
            <w:tcW w:w="1846" w:type="pct"/>
            <w:shd w:val="clear" w:color="auto" w:fill="auto"/>
          </w:tcPr>
          <w:p w:rsidR="007D69DB" w:rsidRPr="00A332D1" w:rsidRDefault="00690BE1" w:rsidP="00690BE1">
            <w:pPr>
              <w:pStyle w:val="TableFigText"/>
              <w:tabs>
                <w:tab w:val="clear" w:pos="198"/>
                <w:tab w:val="left" w:pos="284"/>
              </w:tabs>
              <w:ind w:left="284" w:hanging="284"/>
              <w:rPr>
                <w:rFonts w:cs="Arial"/>
                <w:sz w:val="18"/>
                <w:szCs w:val="18"/>
              </w:rPr>
            </w:pPr>
            <w:r>
              <w:rPr>
                <w:rFonts w:cs="Arial"/>
                <w:sz w:val="18"/>
                <w:szCs w:val="18"/>
              </w:rPr>
              <w:t>7.</w:t>
            </w:r>
            <w:r>
              <w:rPr>
                <w:rFonts w:cs="Arial"/>
                <w:sz w:val="18"/>
                <w:szCs w:val="18"/>
              </w:rPr>
              <w:tab/>
            </w:r>
            <w:r w:rsidR="007D69DB" w:rsidRPr="00A332D1">
              <w:rPr>
                <w:rFonts w:cs="Arial"/>
                <w:sz w:val="18"/>
                <w:szCs w:val="18"/>
              </w:rPr>
              <w:t>Children and young people up to at least 18 years are supported to be engaged in appropriate education, training and/or employment.</w:t>
            </w:r>
          </w:p>
        </w:tc>
        <w:tc>
          <w:tcPr>
            <w:tcW w:w="3154" w:type="pct"/>
            <w:shd w:val="clear" w:color="auto" w:fill="auto"/>
          </w:tcPr>
          <w:p w:rsidR="007D69DB" w:rsidRPr="00A332D1" w:rsidRDefault="00A332D1" w:rsidP="00A332D1">
            <w:pPr>
              <w:pStyle w:val="TableFigText"/>
              <w:tabs>
                <w:tab w:val="clear" w:pos="198"/>
                <w:tab w:val="left" w:pos="431"/>
              </w:tabs>
              <w:ind w:left="431" w:hanging="425"/>
              <w:rPr>
                <w:rFonts w:eastAsia="Calibri" w:cs="Arial"/>
                <w:sz w:val="18"/>
                <w:szCs w:val="18"/>
              </w:rPr>
            </w:pPr>
            <w:r>
              <w:rPr>
                <w:rFonts w:eastAsia="Calibri" w:cs="Arial"/>
                <w:sz w:val="18"/>
                <w:szCs w:val="18"/>
              </w:rPr>
              <w:t>7.1</w:t>
            </w:r>
            <w:r>
              <w:rPr>
                <w:rFonts w:eastAsia="Calibri" w:cs="Arial"/>
                <w:sz w:val="18"/>
                <w:szCs w:val="18"/>
              </w:rPr>
              <w:tab/>
            </w:r>
            <w:r w:rsidR="007D69DB" w:rsidRPr="00A332D1">
              <w:rPr>
                <w:rFonts w:eastAsia="Calibri" w:cs="Arial"/>
                <w:sz w:val="18"/>
                <w:szCs w:val="18"/>
              </w:rPr>
              <w:t>The proportion of young people who complete Year 10 and the proportion who complete Year 12 or equivalent Vocational Education and Training</w:t>
            </w:r>
          </w:p>
        </w:tc>
      </w:tr>
      <w:tr w:rsidR="007D69DB" w:rsidRPr="00A332D1" w:rsidTr="00690BE1">
        <w:tc>
          <w:tcPr>
            <w:tcW w:w="1846" w:type="pct"/>
            <w:shd w:val="clear" w:color="auto" w:fill="auto"/>
          </w:tcPr>
          <w:p w:rsidR="007D69DB" w:rsidRPr="00A332D1" w:rsidRDefault="00690BE1" w:rsidP="00690BE1">
            <w:pPr>
              <w:pStyle w:val="TableFigText"/>
              <w:tabs>
                <w:tab w:val="clear" w:pos="198"/>
                <w:tab w:val="left" w:pos="284"/>
              </w:tabs>
              <w:ind w:left="284" w:hanging="284"/>
              <w:rPr>
                <w:rFonts w:cs="Arial"/>
                <w:sz w:val="18"/>
                <w:szCs w:val="18"/>
              </w:rPr>
            </w:pPr>
            <w:r>
              <w:rPr>
                <w:rFonts w:cs="Arial"/>
                <w:sz w:val="18"/>
                <w:szCs w:val="18"/>
              </w:rPr>
              <w:t>8.</w:t>
            </w:r>
            <w:r>
              <w:rPr>
                <w:rFonts w:cs="Arial"/>
                <w:sz w:val="18"/>
                <w:szCs w:val="18"/>
              </w:rPr>
              <w:tab/>
            </w:r>
            <w:r w:rsidR="007D69DB" w:rsidRPr="00A332D1">
              <w:rPr>
                <w:rFonts w:cs="Arial"/>
                <w:sz w:val="18"/>
                <w:szCs w:val="18"/>
              </w:rPr>
              <w:t xml:space="preserve">Children and young people in care are supported to participate in social and/or recreational activities of their choice, such as sporting, cultural or community activity. </w:t>
            </w:r>
          </w:p>
        </w:tc>
        <w:tc>
          <w:tcPr>
            <w:tcW w:w="3154" w:type="pct"/>
            <w:shd w:val="clear" w:color="auto" w:fill="auto"/>
          </w:tcPr>
          <w:p w:rsidR="007D69DB" w:rsidRPr="00A332D1" w:rsidRDefault="00A332D1" w:rsidP="00A332D1">
            <w:pPr>
              <w:pStyle w:val="TableFigText"/>
              <w:tabs>
                <w:tab w:val="clear" w:pos="198"/>
                <w:tab w:val="left" w:pos="431"/>
              </w:tabs>
              <w:ind w:left="431" w:hanging="425"/>
              <w:rPr>
                <w:rFonts w:eastAsia="Calibri" w:cs="Arial"/>
                <w:sz w:val="18"/>
                <w:szCs w:val="18"/>
              </w:rPr>
            </w:pPr>
            <w:r>
              <w:rPr>
                <w:rFonts w:eastAsia="Calibri" w:cs="Arial"/>
                <w:sz w:val="18"/>
                <w:szCs w:val="18"/>
              </w:rPr>
              <w:t>8.1</w:t>
            </w:r>
            <w:r>
              <w:rPr>
                <w:rFonts w:eastAsia="Calibri" w:cs="Arial"/>
                <w:sz w:val="18"/>
                <w:szCs w:val="18"/>
              </w:rPr>
              <w:tab/>
            </w:r>
            <w:r w:rsidR="007D69DB" w:rsidRPr="00A332D1">
              <w:rPr>
                <w:rFonts w:eastAsia="Calibri" w:cs="Arial"/>
                <w:sz w:val="18"/>
                <w:szCs w:val="18"/>
              </w:rPr>
              <w:t>The proportion of children and young people who report they may choose to do the same sorts of things (sporting, cultural or community activities) that children and young people their age who aren't in care do</w:t>
            </w:r>
          </w:p>
        </w:tc>
      </w:tr>
      <w:tr w:rsidR="007D69DB" w:rsidRPr="00A332D1" w:rsidTr="00690BE1">
        <w:tc>
          <w:tcPr>
            <w:tcW w:w="1846" w:type="pct"/>
            <w:shd w:val="clear" w:color="auto" w:fill="auto"/>
          </w:tcPr>
          <w:p w:rsidR="007D69DB" w:rsidRPr="00A332D1" w:rsidRDefault="00690BE1" w:rsidP="00690BE1">
            <w:pPr>
              <w:pStyle w:val="TableFigText"/>
              <w:tabs>
                <w:tab w:val="clear" w:pos="198"/>
                <w:tab w:val="left" w:pos="284"/>
              </w:tabs>
              <w:ind w:left="284" w:hanging="284"/>
              <w:rPr>
                <w:rFonts w:cs="Arial"/>
                <w:sz w:val="18"/>
                <w:szCs w:val="18"/>
              </w:rPr>
            </w:pPr>
            <w:r>
              <w:rPr>
                <w:rFonts w:cs="Arial"/>
                <w:sz w:val="18"/>
                <w:szCs w:val="18"/>
              </w:rPr>
              <w:t>9.</w:t>
            </w:r>
            <w:r>
              <w:rPr>
                <w:rFonts w:cs="Arial"/>
                <w:sz w:val="18"/>
                <w:szCs w:val="18"/>
              </w:rPr>
              <w:tab/>
            </w:r>
            <w:r w:rsidR="007D69DB" w:rsidRPr="00A332D1">
              <w:rPr>
                <w:rFonts w:cs="Arial"/>
                <w:sz w:val="18"/>
                <w:szCs w:val="18"/>
              </w:rPr>
              <w:t>Children and young people are supported to safely and appropriately maintain connection with family, be they birth parents, siblings or other family members.</w:t>
            </w:r>
          </w:p>
          <w:p w:rsidR="007D69DB" w:rsidRPr="00A332D1" w:rsidRDefault="007D69DB" w:rsidP="00690BE1">
            <w:pPr>
              <w:pStyle w:val="TableFigText"/>
              <w:tabs>
                <w:tab w:val="clear" w:pos="198"/>
                <w:tab w:val="left" w:pos="284"/>
              </w:tabs>
              <w:ind w:left="284" w:hanging="284"/>
              <w:rPr>
                <w:rFonts w:cs="Arial"/>
                <w:sz w:val="18"/>
                <w:szCs w:val="18"/>
              </w:rPr>
            </w:pPr>
          </w:p>
        </w:tc>
        <w:tc>
          <w:tcPr>
            <w:tcW w:w="3154" w:type="pct"/>
            <w:shd w:val="clear" w:color="auto" w:fill="auto"/>
          </w:tcPr>
          <w:p w:rsidR="007D69DB" w:rsidRPr="00A332D1" w:rsidRDefault="00A332D1" w:rsidP="00A332D1">
            <w:pPr>
              <w:pStyle w:val="TableFigText"/>
              <w:tabs>
                <w:tab w:val="clear" w:pos="198"/>
                <w:tab w:val="left" w:pos="431"/>
              </w:tabs>
              <w:ind w:left="431" w:hanging="425"/>
              <w:rPr>
                <w:rFonts w:eastAsia="Calibri" w:cs="Arial"/>
                <w:sz w:val="18"/>
                <w:szCs w:val="18"/>
              </w:rPr>
            </w:pPr>
            <w:r>
              <w:rPr>
                <w:rFonts w:eastAsia="Calibri" w:cs="Arial"/>
                <w:sz w:val="18"/>
                <w:szCs w:val="18"/>
              </w:rPr>
              <w:t>9.1</w:t>
            </w:r>
            <w:r>
              <w:rPr>
                <w:rFonts w:eastAsia="Calibri" w:cs="Arial"/>
                <w:sz w:val="18"/>
                <w:szCs w:val="18"/>
              </w:rPr>
              <w:tab/>
            </w:r>
            <w:r w:rsidR="007D69DB" w:rsidRPr="00A332D1">
              <w:rPr>
                <w:rFonts w:eastAsia="Calibri" w:cs="Arial"/>
                <w:sz w:val="18"/>
                <w:szCs w:val="18"/>
              </w:rPr>
              <w:t xml:space="preserve">The proportion of children and young people in out-of-home care who are placed with relatives and kin </w:t>
            </w:r>
          </w:p>
          <w:p w:rsidR="007D69DB" w:rsidRPr="00A332D1" w:rsidRDefault="00A332D1" w:rsidP="00A332D1">
            <w:pPr>
              <w:pStyle w:val="TableFigText"/>
              <w:tabs>
                <w:tab w:val="clear" w:pos="198"/>
                <w:tab w:val="left" w:pos="431"/>
              </w:tabs>
              <w:ind w:left="431" w:hanging="425"/>
              <w:rPr>
                <w:rFonts w:eastAsia="Calibri" w:cs="Arial"/>
                <w:sz w:val="18"/>
                <w:szCs w:val="18"/>
              </w:rPr>
            </w:pPr>
            <w:r>
              <w:rPr>
                <w:rFonts w:eastAsia="Calibri" w:cs="Arial"/>
                <w:sz w:val="18"/>
                <w:szCs w:val="18"/>
              </w:rPr>
              <w:t>9.2</w:t>
            </w:r>
            <w:r>
              <w:rPr>
                <w:rFonts w:eastAsia="Calibri" w:cs="Arial"/>
                <w:sz w:val="18"/>
                <w:szCs w:val="18"/>
              </w:rPr>
              <w:tab/>
            </w:r>
            <w:r w:rsidR="007D69DB" w:rsidRPr="00A332D1">
              <w:rPr>
                <w:rFonts w:eastAsia="Calibri" w:cs="Arial"/>
                <w:sz w:val="18"/>
                <w:szCs w:val="18"/>
              </w:rPr>
              <w:t xml:space="preserve">The proportion of children and young people who report they have an existing connection with at least one family member which they expect to maintain </w:t>
            </w:r>
          </w:p>
          <w:p w:rsidR="007D69DB" w:rsidRPr="00A332D1" w:rsidRDefault="007D69DB" w:rsidP="00A332D1">
            <w:pPr>
              <w:pStyle w:val="TableFigText"/>
              <w:tabs>
                <w:tab w:val="clear" w:pos="198"/>
                <w:tab w:val="left" w:pos="431"/>
              </w:tabs>
              <w:ind w:left="431" w:hanging="425"/>
              <w:rPr>
                <w:rFonts w:eastAsia="Calibri" w:cs="Arial"/>
                <w:sz w:val="18"/>
                <w:szCs w:val="18"/>
              </w:rPr>
            </w:pPr>
            <w:r w:rsidRPr="00A332D1">
              <w:rPr>
                <w:rFonts w:eastAsia="Calibri" w:cs="Arial"/>
                <w:sz w:val="18"/>
                <w:szCs w:val="18"/>
              </w:rPr>
              <w:t>9.3</w:t>
            </w:r>
            <w:r w:rsidR="00A332D1">
              <w:rPr>
                <w:rFonts w:eastAsia="Calibri" w:cs="Arial"/>
                <w:sz w:val="18"/>
                <w:szCs w:val="18"/>
              </w:rPr>
              <w:tab/>
            </w:r>
            <w:r w:rsidRPr="00A332D1">
              <w:rPr>
                <w:rFonts w:eastAsia="Calibri" w:cs="Arial"/>
                <w:sz w:val="18"/>
                <w:szCs w:val="18"/>
              </w:rPr>
              <w:t>The proportion of children (as age-appropriate) and young people who report having contact with family members, by the reported frequency of contact, by their reported satisfaction with contact arrangements</w:t>
            </w:r>
          </w:p>
        </w:tc>
      </w:tr>
      <w:tr w:rsidR="007D69DB" w:rsidRPr="00A332D1" w:rsidTr="00690BE1">
        <w:tc>
          <w:tcPr>
            <w:tcW w:w="1846" w:type="pct"/>
            <w:shd w:val="clear" w:color="auto" w:fill="auto"/>
          </w:tcPr>
          <w:p w:rsidR="007D69DB" w:rsidRPr="00A332D1" w:rsidRDefault="00690BE1" w:rsidP="00690BE1">
            <w:pPr>
              <w:pStyle w:val="TableFigText"/>
              <w:tabs>
                <w:tab w:val="clear" w:pos="198"/>
                <w:tab w:val="left" w:pos="284"/>
              </w:tabs>
              <w:ind w:left="284" w:hanging="284"/>
              <w:rPr>
                <w:rFonts w:cs="Arial"/>
                <w:sz w:val="18"/>
                <w:szCs w:val="18"/>
              </w:rPr>
            </w:pPr>
            <w:r>
              <w:rPr>
                <w:rFonts w:cs="Arial"/>
                <w:sz w:val="18"/>
                <w:szCs w:val="18"/>
              </w:rPr>
              <w:t>10.</w:t>
            </w:r>
            <w:r>
              <w:rPr>
                <w:rFonts w:cs="Arial"/>
                <w:sz w:val="18"/>
                <w:szCs w:val="18"/>
              </w:rPr>
              <w:tab/>
            </w:r>
            <w:r w:rsidR="007D69DB" w:rsidRPr="00A332D1">
              <w:rPr>
                <w:rFonts w:cs="Arial"/>
                <w:sz w:val="18"/>
                <w:szCs w:val="18"/>
              </w:rPr>
              <w:t xml:space="preserve">Children and young people in care are supported to develop their identity, safely and appropriately, through contact with their families, friends, culture, spiritual sources and communities and have their life history recorded as they grow up. </w:t>
            </w:r>
          </w:p>
        </w:tc>
        <w:tc>
          <w:tcPr>
            <w:tcW w:w="3154" w:type="pct"/>
            <w:shd w:val="clear" w:color="auto" w:fill="auto"/>
          </w:tcPr>
          <w:p w:rsidR="007D69DB" w:rsidRPr="00A332D1" w:rsidRDefault="00A332D1" w:rsidP="00A332D1">
            <w:pPr>
              <w:pStyle w:val="TableFigText"/>
              <w:tabs>
                <w:tab w:val="clear" w:pos="198"/>
                <w:tab w:val="left" w:pos="431"/>
              </w:tabs>
              <w:ind w:left="431" w:hanging="425"/>
              <w:rPr>
                <w:rFonts w:eastAsia="Calibri" w:cs="Arial"/>
                <w:sz w:val="18"/>
                <w:szCs w:val="18"/>
              </w:rPr>
            </w:pPr>
            <w:r>
              <w:rPr>
                <w:rFonts w:eastAsia="Calibri" w:cs="Arial"/>
                <w:sz w:val="18"/>
                <w:szCs w:val="18"/>
              </w:rPr>
              <w:t>10.1</w:t>
            </w:r>
            <w:r>
              <w:rPr>
                <w:rFonts w:eastAsia="Calibri" w:cs="Arial"/>
                <w:sz w:val="18"/>
                <w:szCs w:val="18"/>
              </w:rPr>
              <w:tab/>
            </w:r>
            <w:r w:rsidR="007D69DB" w:rsidRPr="00A332D1">
              <w:rPr>
                <w:rFonts w:eastAsia="Calibri" w:cs="Arial"/>
                <w:sz w:val="18"/>
                <w:szCs w:val="18"/>
              </w:rPr>
              <w:t xml:space="preserve">The proportion of Aboriginal and Torres Strait Islander children and young people who have a current cultural support plan </w:t>
            </w:r>
          </w:p>
          <w:p w:rsidR="007D69DB" w:rsidRPr="00A332D1" w:rsidRDefault="00A332D1" w:rsidP="00A332D1">
            <w:pPr>
              <w:pStyle w:val="TableFigText"/>
              <w:tabs>
                <w:tab w:val="clear" w:pos="198"/>
                <w:tab w:val="left" w:pos="431"/>
              </w:tabs>
              <w:ind w:left="431" w:hanging="425"/>
              <w:rPr>
                <w:rFonts w:eastAsia="Calibri" w:cs="Arial"/>
                <w:sz w:val="18"/>
                <w:szCs w:val="18"/>
              </w:rPr>
            </w:pPr>
            <w:r>
              <w:rPr>
                <w:rFonts w:eastAsia="Calibri" w:cs="Arial"/>
                <w:sz w:val="18"/>
                <w:szCs w:val="18"/>
              </w:rPr>
              <w:t>10.2</w:t>
            </w:r>
            <w:r>
              <w:rPr>
                <w:rFonts w:eastAsia="Calibri" w:cs="Arial"/>
                <w:sz w:val="18"/>
                <w:szCs w:val="18"/>
              </w:rPr>
              <w:tab/>
            </w:r>
            <w:r w:rsidR="007D69DB" w:rsidRPr="00A332D1">
              <w:rPr>
                <w:rFonts w:eastAsia="Calibri" w:cs="Arial"/>
                <w:sz w:val="18"/>
                <w:szCs w:val="18"/>
              </w:rPr>
              <w:t xml:space="preserve">The proportion of children (as age-appropriate) and young people who demonstrate having a sense of connection with the community in which they live </w:t>
            </w:r>
          </w:p>
        </w:tc>
      </w:tr>
      <w:tr w:rsidR="007D69DB" w:rsidRPr="00A332D1" w:rsidTr="00690BE1">
        <w:tc>
          <w:tcPr>
            <w:tcW w:w="1846" w:type="pct"/>
            <w:shd w:val="clear" w:color="auto" w:fill="auto"/>
          </w:tcPr>
          <w:p w:rsidR="007D69DB" w:rsidRPr="00A332D1" w:rsidRDefault="00690BE1" w:rsidP="00690BE1">
            <w:pPr>
              <w:pStyle w:val="TableFigText"/>
              <w:tabs>
                <w:tab w:val="clear" w:pos="198"/>
                <w:tab w:val="left" w:pos="284"/>
              </w:tabs>
              <w:ind w:left="284" w:hanging="284"/>
              <w:rPr>
                <w:rFonts w:cs="Arial"/>
                <w:sz w:val="18"/>
                <w:szCs w:val="18"/>
              </w:rPr>
            </w:pPr>
            <w:r>
              <w:rPr>
                <w:rFonts w:cs="Arial"/>
                <w:sz w:val="18"/>
                <w:szCs w:val="18"/>
              </w:rPr>
              <w:t>11.</w:t>
            </w:r>
            <w:r>
              <w:rPr>
                <w:rFonts w:cs="Arial"/>
                <w:sz w:val="18"/>
                <w:szCs w:val="18"/>
              </w:rPr>
              <w:tab/>
            </w:r>
            <w:r w:rsidR="007D69DB" w:rsidRPr="00A332D1">
              <w:rPr>
                <w:rFonts w:cs="Arial"/>
                <w:sz w:val="18"/>
                <w:szCs w:val="18"/>
              </w:rPr>
              <w:t xml:space="preserve">Children and young people in care are supported to safely and appropriately identify and stay in touch, with at least one other person who cares about their future, who they can turn to for support and advice. </w:t>
            </w:r>
          </w:p>
        </w:tc>
        <w:tc>
          <w:tcPr>
            <w:tcW w:w="3154" w:type="pct"/>
            <w:shd w:val="clear" w:color="auto" w:fill="auto"/>
          </w:tcPr>
          <w:p w:rsidR="007D69DB" w:rsidRPr="00A332D1" w:rsidRDefault="00A332D1" w:rsidP="00A332D1">
            <w:pPr>
              <w:pStyle w:val="TableFigText"/>
              <w:tabs>
                <w:tab w:val="clear" w:pos="198"/>
                <w:tab w:val="left" w:pos="431"/>
              </w:tabs>
              <w:ind w:left="431" w:hanging="425"/>
              <w:rPr>
                <w:rFonts w:cs="Arial"/>
                <w:sz w:val="18"/>
                <w:szCs w:val="18"/>
              </w:rPr>
            </w:pPr>
            <w:r>
              <w:rPr>
                <w:rFonts w:cs="Arial"/>
                <w:sz w:val="18"/>
                <w:szCs w:val="18"/>
              </w:rPr>
              <w:t>11.1</w:t>
            </w:r>
            <w:r>
              <w:rPr>
                <w:rFonts w:cs="Arial"/>
                <w:sz w:val="18"/>
                <w:szCs w:val="18"/>
              </w:rPr>
              <w:tab/>
            </w:r>
            <w:r w:rsidR="007D69DB" w:rsidRPr="00A332D1">
              <w:rPr>
                <w:rFonts w:cs="Arial"/>
                <w:sz w:val="18"/>
                <w:szCs w:val="18"/>
              </w:rPr>
              <w:t>The proportion of children and young people who are able to nominate at least one significant adult who cares about them and who they believe they will be able to depend upon throughout their childhood or young adulthood</w:t>
            </w:r>
          </w:p>
        </w:tc>
      </w:tr>
      <w:tr w:rsidR="007D69DB" w:rsidRPr="00A332D1" w:rsidTr="00690BE1">
        <w:tc>
          <w:tcPr>
            <w:tcW w:w="1846" w:type="pct"/>
            <w:shd w:val="clear" w:color="auto" w:fill="auto"/>
          </w:tcPr>
          <w:p w:rsidR="007D69DB" w:rsidRPr="00A332D1" w:rsidRDefault="00690BE1" w:rsidP="00690BE1">
            <w:pPr>
              <w:pStyle w:val="TableFigText"/>
              <w:tabs>
                <w:tab w:val="clear" w:pos="198"/>
                <w:tab w:val="left" w:pos="284"/>
              </w:tabs>
              <w:ind w:left="284" w:hanging="284"/>
              <w:rPr>
                <w:rFonts w:cs="Arial"/>
                <w:sz w:val="18"/>
                <w:szCs w:val="18"/>
              </w:rPr>
            </w:pPr>
            <w:r>
              <w:rPr>
                <w:rFonts w:cs="Arial"/>
                <w:sz w:val="18"/>
                <w:szCs w:val="18"/>
              </w:rPr>
              <w:t>12.</w:t>
            </w:r>
            <w:r>
              <w:rPr>
                <w:rFonts w:cs="Arial"/>
                <w:sz w:val="18"/>
                <w:szCs w:val="18"/>
              </w:rPr>
              <w:tab/>
            </w:r>
            <w:r w:rsidR="007D69DB" w:rsidRPr="00A332D1">
              <w:rPr>
                <w:rFonts w:cs="Arial"/>
                <w:sz w:val="18"/>
                <w:szCs w:val="18"/>
              </w:rPr>
              <w:t xml:space="preserve">Carers are assessed and receive relevant ongoing training, development and support, in order to provide quality care. </w:t>
            </w:r>
          </w:p>
        </w:tc>
        <w:tc>
          <w:tcPr>
            <w:tcW w:w="3154" w:type="pct"/>
            <w:shd w:val="clear" w:color="auto" w:fill="auto"/>
          </w:tcPr>
          <w:p w:rsidR="007D69DB" w:rsidRPr="00A332D1" w:rsidRDefault="00A332D1" w:rsidP="00A332D1">
            <w:pPr>
              <w:pStyle w:val="TableFigText"/>
              <w:tabs>
                <w:tab w:val="clear" w:pos="198"/>
                <w:tab w:val="left" w:pos="431"/>
              </w:tabs>
              <w:ind w:left="431" w:hanging="425"/>
              <w:rPr>
                <w:rFonts w:eastAsia="Calibri" w:cs="Arial"/>
                <w:sz w:val="18"/>
                <w:szCs w:val="18"/>
              </w:rPr>
            </w:pPr>
            <w:r>
              <w:rPr>
                <w:rFonts w:eastAsia="Calibri" w:cs="Arial"/>
                <w:sz w:val="18"/>
                <w:szCs w:val="18"/>
              </w:rPr>
              <w:t>12.1</w:t>
            </w:r>
            <w:r>
              <w:rPr>
                <w:rFonts w:eastAsia="Calibri" w:cs="Arial"/>
                <w:sz w:val="18"/>
                <w:szCs w:val="18"/>
              </w:rPr>
              <w:tab/>
            </w:r>
            <w:r w:rsidR="007D69DB" w:rsidRPr="00A332D1">
              <w:rPr>
                <w:rFonts w:eastAsia="Calibri" w:cs="Arial"/>
                <w:sz w:val="18"/>
                <w:szCs w:val="18"/>
              </w:rPr>
              <w:t xml:space="preserve">The number of foster carer households with a placement at 30 June, by number of foster children placed, and number of foster carer households with a placement during the year </w:t>
            </w:r>
          </w:p>
          <w:p w:rsidR="007D69DB" w:rsidRPr="00A332D1" w:rsidRDefault="00A332D1" w:rsidP="00A332D1">
            <w:pPr>
              <w:pStyle w:val="TableFigText"/>
              <w:tabs>
                <w:tab w:val="clear" w:pos="198"/>
                <w:tab w:val="left" w:pos="431"/>
              </w:tabs>
              <w:ind w:left="431" w:hanging="425"/>
              <w:rPr>
                <w:rFonts w:eastAsia="Calibri" w:cs="Arial"/>
                <w:sz w:val="18"/>
                <w:szCs w:val="18"/>
              </w:rPr>
            </w:pPr>
            <w:r>
              <w:rPr>
                <w:rFonts w:eastAsia="Calibri" w:cs="Arial"/>
                <w:sz w:val="18"/>
                <w:szCs w:val="18"/>
              </w:rPr>
              <w:t>12.2</w:t>
            </w:r>
            <w:r>
              <w:rPr>
                <w:rFonts w:eastAsia="Calibri" w:cs="Arial"/>
                <w:sz w:val="18"/>
                <w:szCs w:val="18"/>
              </w:rPr>
              <w:tab/>
            </w:r>
            <w:r w:rsidR="007D69DB" w:rsidRPr="00A332D1">
              <w:rPr>
                <w:rFonts w:eastAsia="Calibri" w:cs="Arial"/>
                <w:sz w:val="18"/>
                <w:szCs w:val="18"/>
              </w:rPr>
              <w:t xml:space="preserve">The number of foster carers at 30 June, and the number of new approvals of persons as foster carers and the number of persons who cease to be approved foster carers during the twelve months to 30 June </w:t>
            </w:r>
          </w:p>
          <w:p w:rsidR="007D69DB" w:rsidRPr="00A332D1" w:rsidRDefault="00A332D1" w:rsidP="00A332D1">
            <w:pPr>
              <w:pStyle w:val="TableFigText"/>
              <w:tabs>
                <w:tab w:val="clear" w:pos="198"/>
                <w:tab w:val="left" w:pos="431"/>
              </w:tabs>
              <w:ind w:left="431" w:hanging="425"/>
              <w:rPr>
                <w:rFonts w:cs="Arial"/>
                <w:sz w:val="18"/>
                <w:szCs w:val="18"/>
              </w:rPr>
            </w:pPr>
            <w:r>
              <w:rPr>
                <w:rFonts w:cs="Arial"/>
                <w:sz w:val="18"/>
                <w:szCs w:val="18"/>
              </w:rPr>
              <w:t>12.3</w:t>
            </w:r>
            <w:r>
              <w:rPr>
                <w:rFonts w:cs="Arial"/>
                <w:sz w:val="18"/>
                <w:szCs w:val="18"/>
              </w:rPr>
              <w:tab/>
            </w:r>
            <w:r w:rsidR="007D69DB" w:rsidRPr="00A332D1">
              <w:rPr>
                <w:rFonts w:cs="Arial"/>
                <w:sz w:val="18"/>
                <w:szCs w:val="18"/>
              </w:rPr>
              <w:t>The proportion of foster carers and kinship carers (who had at least one placement during the year) who report feeling supported in their role and who feel their developmental needs relevant to their role are catered for</w:t>
            </w:r>
          </w:p>
        </w:tc>
      </w:tr>
      <w:tr w:rsidR="007D69DB" w:rsidRPr="00A332D1" w:rsidTr="00690BE1">
        <w:tc>
          <w:tcPr>
            <w:tcW w:w="1846" w:type="pct"/>
            <w:shd w:val="clear" w:color="auto" w:fill="auto"/>
          </w:tcPr>
          <w:p w:rsidR="007D69DB" w:rsidRPr="00A332D1" w:rsidRDefault="00690BE1" w:rsidP="00690BE1">
            <w:pPr>
              <w:pStyle w:val="TableFigText"/>
              <w:tabs>
                <w:tab w:val="clear" w:pos="198"/>
                <w:tab w:val="left" w:pos="284"/>
              </w:tabs>
              <w:ind w:left="284" w:hanging="284"/>
              <w:rPr>
                <w:rFonts w:cs="Arial"/>
                <w:sz w:val="18"/>
                <w:szCs w:val="18"/>
              </w:rPr>
            </w:pPr>
            <w:r>
              <w:rPr>
                <w:rFonts w:cs="Arial"/>
                <w:sz w:val="18"/>
                <w:szCs w:val="18"/>
              </w:rPr>
              <w:t>13.</w:t>
            </w:r>
            <w:r>
              <w:rPr>
                <w:rFonts w:cs="Arial"/>
                <w:sz w:val="18"/>
                <w:szCs w:val="18"/>
              </w:rPr>
              <w:tab/>
            </w:r>
            <w:r w:rsidR="007D69DB" w:rsidRPr="00A332D1">
              <w:rPr>
                <w:rFonts w:cs="Arial"/>
                <w:sz w:val="18"/>
                <w:szCs w:val="18"/>
              </w:rPr>
              <w:t>Children and young people have a transition from care plan commencing at 15 years old which details support to be provided after leaving care.</w:t>
            </w:r>
          </w:p>
        </w:tc>
        <w:tc>
          <w:tcPr>
            <w:tcW w:w="3154" w:type="pct"/>
            <w:shd w:val="clear" w:color="auto" w:fill="auto"/>
          </w:tcPr>
          <w:p w:rsidR="007D69DB" w:rsidRPr="00A332D1" w:rsidRDefault="00A332D1" w:rsidP="00A332D1">
            <w:pPr>
              <w:pStyle w:val="TableFigText"/>
              <w:tabs>
                <w:tab w:val="clear" w:pos="198"/>
                <w:tab w:val="left" w:pos="431"/>
              </w:tabs>
              <w:ind w:left="431" w:hanging="425"/>
              <w:rPr>
                <w:rFonts w:eastAsia="Calibri" w:cs="Arial"/>
                <w:sz w:val="18"/>
                <w:szCs w:val="18"/>
              </w:rPr>
            </w:pPr>
            <w:r>
              <w:rPr>
                <w:rFonts w:eastAsia="Calibri" w:cs="Arial"/>
                <w:sz w:val="18"/>
                <w:szCs w:val="18"/>
              </w:rPr>
              <w:t>13.1</w:t>
            </w:r>
            <w:r>
              <w:rPr>
                <w:rFonts w:eastAsia="Calibri" w:cs="Arial"/>
                <w:sz w:val="18"/>
                <w:szCs w:val="18"/>
              </w:rPr>
              <w:tab/>
            </w:r>
            <w:r w:rsidR="007D69DB" w:rsidRPr="00A332D1">
              <w:rPr>
                <w:rFonts w:eastAsia="Calibri" w:cs="Arial"/>
                <w:sz w:val="18"/>
                <w:szCs w:val="18"/>
              </w:rPr>
              <w:t xml:space="preserve">The proportion of young people aged 15 years and over who have a current leaving care plan </w:t>
            </w:r>
          </w:p>
          <w:p w:rsidR="007D69DB" w:rsidRPr="00A332D1" w:rsidRDefault="00A332D1" w:rsidP="00A332D1">
            <w:pPr>
              <w:pStyle w:val="TableFigText"/>
              <w:tabs>
                <w:tab w:val="clear" w:pos="198"/>
                <w:tab w:val="left" w:pos="431"/>
              </w:tabs>
              <w:ind w:left="431" w:hanging="425"/>
              <w:rPr>
                <w:rFonts w:eastAsia="Calibri" w:cs="Arial"/>
                <w:sz w:val="18"/>
                <w:szCs w:val="18"/>
              </w:rPr>
            </w:pPr>
            <w:r>
              <w:rPr>
                <w:rFonts w:eastAsia="Calibri" w:cs="Arial"/>
                <w:sz w:val="18"/>
                <w:szCs w:val="18"/>
              </w:rPr>
              <w:t>13.2</w:t>
            </w:r>
            <w:r>
              <w:rPr>
                <w:rFonts w:eastAsia="Calibri" w:cs="Arial"/>
                <w:sz w:val="18"/>
                <w:szCs w:val="18"/>
              </w:rPr>
              <w:tab/>
            </w:r>
            <w:r w:rsidR="007D69DB" w:rsidRPr="00A332D1">
              <w:rPr>
                <w:rFonts w:eastAsia="Calibri" w:cs="Arial"/>
                <w:sz w:val="18"/>
                <w:szCs w:val="18"/>
              </w:rPr>
              <w:t xml:space="preserve">The proportion of young people who, at the time of exit from out-of-home care, report they are receiving adequate assistance to prepare for adult life </w:t>
            </w:r>
          </w:p>
        </w:tc>
      </w:tr>
    </w:tbl>
    <w:p w:rsidR="007D69DB" w:rsidRPr="00821556" w:rsidRDefault="007D69DB" w:rsidP="007847B7">
      <w:pPr>
        <w:pStyle w:val="Heading2"/>
      </w:pPr>
      <w:bookmarkStart w:id="255" w:name="_Toc400007815"/>
      <w:bookmarkStart w:id="256" w:name="_Toc400711501"/>
      <w:r w:rsidRPr="00821556">
        <w:t>2011–12 reporting</w:t>
      </w:r>
      <w:bookmarkEnd w:id="255"/>
      <w:bookmarkEnd w:id="256"/>
    </w:p>
    <w:p w:rsidR="007D69DB" w:rsidRPr="006E4C3D" w:rsidRDefault="007D69DB" w:rsidP="007D69DB">
      <w:pPr>
        <w:rPr>
          <w:rFonts w:ascii="Calibri" w:hAnsi="Calibri"/>
        </w:rPr>
      </w:pPr>
      <w:r w:rsidRPr="00821556">
        <w:rPr>
          <w:rFonts w:ascii="Calibri" w:hAnsi="Calibri"/>
          <w:sz w:val="24"/>
          <w:szCs w:val="24"/>
        </w:rPr>
        <w:t xml:space="preserve">In 2011–12, seven of the </w:t>
      </w:r>
      <w:r>
        <w:rPr>
          <w:rFonts w:ascii="Calibri" w:hAnsi="Calibri"/>
          <w:sz w:val="24"/>
          <w:szCs w:val="24"/>
        </w:rPr>
        <w:t>above 22 measures we</w:t>
      </w:r>
      <w:r w:rsidRPr="00821556">
        <w:rPr>
          <w:rFonts w:ascii="Calibri" w:hAnsi="Calibri"/>
          <w:sz w:val="24"/>
          <w:szCs w:val="24"/>
        </w:rPr>
        <w:t>re able to be reported: 1.1, 1.2, 3.1, 4.1, 9.1, 12.1 and 13.1.</w:t>
      </w:r>
    </w:p>
    <w:p w:rsidR="007D69DB" w:rsidRPr="00821556" w:rsidRDefault="007D69DB" w:rsidP="007847B7">
      <w:pPr>
        <w:pStyle w:val="Heading3"/>
      </w:pPr>
      <w:bookmarkStart w:id="257" w:name="_Toc400007816"/>
      <w:r w:rsidRPr="00821556">
        <w:t>Standard 1: Children and young people will be provided with stability and security during their time in care</w:t>
      </w:r>
      <w:bookmarkEnd w:id="257"/>
    </w:p>
    <w:p w:rsidR="007D69DB" w:rsidRDefault="007D69DB" w:rsidP="004B3342">
      <w:pPr>
        <w:pStyle w:val="Heading4a"/>
      </w:pPr>
      <w:r w:rsidRPr="00821556">
        <w:t>Measure 1.1: The proportion of children and young people exiting out-of-home care during the year who had 1 or 2 placements, by length of time in continuous care preceding exit</w:t>
      </w:r>
    </w:p>
    <w:p w:rsidR="007D69DB" w:rsidRPr="006E4C3D" w:rsidRDefault="007D69DB" w:rsidP="007D69DB">
      <w:pPr>
        <w:rPr>
          <w:lang w:eastAsia="en-AU"/>
        </w:rPr>
      </w:pPr>
    </w:p>
    <w:p w:rsidR="007D69DB" w:rsidRPr="00821556" w:rsidRDefault="007D69DB" w:rsidP="007D69DB">
      <w:pPr>
        <w:rPr>
          <w:rFonts w:ascii="Calibri" w:hAnsi="Calibri"/>
          <w:sz w:val="24"/>
          <w:szCs w:val="24"/>
        </w:rPr>
      </w:pPr>
      <w:r w:rsidRPr="00821556">
        <w:rPr>
          <w:rFonts w:ascii="Calibri" w:hAnsi="Calibri"/>
          <w:sz w:val="24"/>
          <w:szCs w:val="24"/>
        </w:rPr>
        <w:t>In 2011–12, nearly two</w:t>
      </w:r>
      <w:r>
        <w:rPr>
          <w:rFonts w:ascii="Calibri" w:hAnsi="Calibri"/>
          <w:sz w:val="24"/>
          <w:szCs w:val="24"/>
        </w:rPr>
        <w:t>-</w:t>
      </w:r>
      <w:r w:rsidRPr="00821556">
        <w:rPr>
          <w:rFonts w:ascii="Calibri" w:hAnsi="Calibri"/>
          <w:sz w:val="24"/>
          <w:szCs w:val="24"/>
        </w:rPr>
        <w:t>thirds (63</w:t>
      </w:r>
      <w:r>
        <w:rPr>
          <w:rFonts w:ascii="Calibri" w:hAnsi="Calibri"/>
          <w:sz w:val="24"/>
          <w:szCs w:val="24"/>
        </w:rPr>
        <w:t xml:space="preserve"> per cent</w:t>
      </w:r>
      <w:r w:rsidRPr="00821556">
        <w:rPr>
          <w:rFonts w:ascii="Calibri" w:hAnsi="Calibri"/>
          <w:sz w:val="24"/>
          <w:szCs w:val="24"/>
        </w:rPr>
        <w:t>) of children exiting out-of-home care had one or two placements during the time they were in care, and most (85</w:t>
      </w:r>
      <w:r>
        <w:rPr>
          <w:rFonts w:ascii="Calibri" w:hAnsi="Calibri"/>
          <w:sz w:val="24"/>
          <w:szCs w:val="24"/>
        </w:rPr>
        <w:t xml:space="preserve"> per cent</w:t>
      </w:r>
      <w:r w:rsidRPr="00821556">
        <w:rPr>
          <w:rFonts w:ascii="Calibri" w:hAnsi="Calibri"/>
          <w:sz w:val="24"/>
          <w:szCs w:val="24"/>
        </w:rPr>
        <w:t>) had four or fewer placements. The out-of-home care experience was less stable for the 15</w:t>
      </w:r>
      <w:r>
        <w:rPr>
          <w:rFonts w:ascii="Calibri" w:hAnsi="Calibri"/>
          <w:sz w:val="24"/>
          <w:szCs w:val="24"/>
        </w:rPr>
        <w:t xml:space="preserve"> per cent</w:t>
      </w:r>
      <w:r w:rsidRPr="00821556">
        <w:rPr>
          <w:rFonts w:ascii="Calibri" w:hAnsi="Calibri"/>
          <w:sz w:val="24"/>
          <w:szCs w:val="24"/>
        </w:rPr>
        <w:t xml:space="preserve"> of children exiting care who had five or more placements</w:t>
      </w:r>
      <w:r>
        <w:rPr>
          <w:rFonts w:ascii="Calibri" w:hAnsi="Calibri"/>
          <w:sz w:val="24"/>
          <w:szCs w:val="24"/>
        </w:rPr>
        <w:t xml:space="preserve">; </w:t>
      </w:r>
      <w:r w:rsidRPr="00821556">
        <w:rPr>
          <w:rFonts w:ascii="Calibri" w:hAnsi="Calibri"/>
          <w:sz w:val="24"/>
          <w:szCs w:val="24"/>
        </w:rPr>
        <w:t>of this group, most were in care for two years or more.</w:t>
      </w:r>
    </w:p>
    <w:p w:rsidR="007D69DB" w:rsidRPr="006E4C3D" w:rsidRDefault="007D69DB" w:rsidP="007D69DB">
      <w:pPr>
        <w:rPr>
          <w:rFonts w:ascii="Calibri" w:hAnsi="Calibri"/>
        </w:rPr>
      </w:pPr>
    </w:p>
    <w:p w:rsidR="007D69DB" w:rsidRDefault="007D69DB" w:rsidP="007D69DB">
      <w:pPr>
        <w:rPr>
          <w:rFonts w:ascii="Calibri" w:hAnsi="Calibri"/>
          <w:sz w:val="24"/>
          <w:szCs w:val="24"/>
        </w:rPr>
      </w:pPr>
      <w:r w:rsidRPr="00821556">
        <w:rPr>
          <w:rFonts w:ascii="Calibri" w:hAnsi="Calibri"/>
          <w:sz w:val="24"/>
          <w:szCs w:val="24"/>
        </w:rPr>
        <w:t>Comparisons between Indigenous and non-Indigenous children exiting out-of-home care showed very similar patterns.</w:t>
      </w:r>
    </w:p>
    <w:p w:rsidR="007D69DB" w:rsidRPr="006E4C3D" w:rsidRDefault="007D69DB" w:rsidP="007D69DB">
      <w:pPr>
        <w:rPr>
          <w:rFonts w:ascii="Calibri" w:hAnsi="Calibri"/>
        </w:rPr>
      </w:pPr>
    </w:p>
    <w:p w:rsidR="007D69DB" w:rsidRPr="006E4C3D" w:rsidRDefault="00E0613F" w:rsidP="00520DEC">
      <w:pPr>
        <w:pStyle w:val="Figure"/>
        <w:ind w:right="2124"/>
      </w:pPr>
      <w:bookmarkStart w:id="258" w:name="_Toc400010313"/>
      <w:r>
        <w:t xml:space="preserve">Table </w:t>
      </w:r>
      <w:fldSimple w:instr=" SEQ Table \* ARABIC ">
        <w:r w:rsidR="00BF1EC9">
          <w:rPr>
            <w:noProof/>
          </w:rPr>
          <w:t>27</w:t>
        </w:r>
      </w:fldSimple>
      <w:r w:rsidR="007D69DB" w:rsidRPr="00006903">
        <w:t>: Children exiting out-of-home care in 2011–12</w:t>
      </w:r>
      <w:r w:rsidR="007D69DB" w:rsidRPr="00006903">
        <w:rPr>
          <w:vertAlign w:val="superscript"/>
        </w:rPr>
        <w:t>(a)</w:t>
      </w:r>
      <w:r w:rsidR="007D69DB" w:rsidRPr="00006903">
        <w:t>, by number of different placements and Indigenous status</w:t>
      </w:r>
      <w:bookmarkEnd w:id="258"/>
    </w:p>
    <w:tbl>
      <w:tblPr>
        <w:tblW w:w="5000" w:type="pct"/>
        <w:tblBorders>
          <w:top w:val="single" w:sz="4" w:space="0" w:color="auto"/>
          <w:bottom w:val="single" w:sz="4" w:space="0" w:color="auto"/>
        </w:tblBorders>
        <w:tblLook w:val="04A0" w:firstRow="1" w:lastRow="0" w:firstColumn="1" w:lastColumn="0" w:noHBand="0" w:noVBand="1"/>
        <w:tblDescription w:val="Table 27: Children exiting out-of-home care in 2011–12(a), by number of different placements and Indigenous status"/>
      </w:tblPr>
      <w:tblGrid>
        <w:gridCol w:w="3504"/>
        <w:gridCol w:w="960"/>
        <w:gridCol w:w="962"/>
        <w:gridCol w:w="1000"/>
        <w:gridCol w:w="150"/>
        <w:gridCol w:w="814"/>
        <w:gridCol w:w="962"/>
        <w:gridCol w:w="962"/>
        <w:gridCol w:w="964"/>
      </w:tblGrid>
      <w:tr w:rsidR="00A332D1" w:rsidRPr="00BF1EC9" w:rsidTr="00BF1EC9">
        <w:trPr>
          <w:trHeight w:val="264"/>
        </w:trPr>
        <w:tc>
          <w:tcPr>
            <w:tcW w:w="1705" w:type="pct"/>
            <w:tcBorders>
              <w:top w:val="single" w:sz="4" w:space="0" w:color="auto"/>
              <w:bottom w:val="single" w:sz="4" w:space="0" w:color="auto"/>
              <w:right w:val="nil"/>
            </w:tcBorders>
            <w:shd w:val="clear" w:color="auto" w:fill="FFFFFF"/>
            <w:vAlign w:val="bottom"/>
          </w:tcPr>
          <w:p w:rsidR="00A332D1" w:rsidRPr="00BF1EC9" w:rsidRDefault="00BF1EC9" w:rsidP="00F45542">
            <w:pPr>
              <w:pStyle w:val="TableFigHeadingtotal"/>
              <w:rPr>
                <w:rFonts w:eastAsia="Calibri" w:cs="Arial"/>
                <w:b w:val="0"/>
                <w:sz w:val="22"/>
                <w:szCs w:val="22"/>
              </w:rPr>
            </w:pPr>
            <w:r w:rsidRPr="00BF1EC9">
              <w:rPr>
                <w:rFonts w:eastAsia="Calibri" w:cs="Arial"/>
              </w:rPr>
              <w:t>All children</w:t>
            </w:r>
            <w:r w:rsidRPr="00BF1EC9">
              <w:rPr>
                <w:rFonts w:eastAsia="Calibri" w:cs="Arial"/>
                <w:vertAlign w:val="superscript"/>
              </w:rPr>
              <w:t>(b)</w:t>
            </w:r>
            <w:r w:rsidRPr="00BF1EC9">
              <w:rPr>
                <w:rFonts w:eastAsia="Calibri" w:cs="Arial"/>
              </w:rPr>
              <w:br/>
            </w:r>
            <w:r w:rsidR="00A332D1" w:rsidRPr="00BF1EC9">
              <w:rPr>
                <w:rFonts w:eastAsia="Calibri" w:cs="Arial"/>
              </w:rPr>
              <w:t>Number of different placements</w:t>
            </w:r>
          </w:p>
        </w:tc>
        <w:tc>
          <w:tcPr>
            <w:tcW w:w="467" w:type="pct"/>
            <w:tcBorders>
              <w:top w:val="single" w:sz="4" w:space="0" w:color="auto"/>
              <w:left w:val="nil"/>
              <w:bottom w:val="single" w:sz="4" w:space="0" w:color="auto"/>
              <w:right w:val="nil"/>
            </w:tcBorders>
            <w:shd w:val="clear" w:color="auto" w:fill="FFFFFF"/>
            <w:noWrap/>
            <w:vAlign w:val="bottom"/>
            <w:hideMark/>
          </w:tcPr>
          <w:p w:rsidR="00A332D1" w:rsidRPr="00BF1EC9" w:rsidRDefault="00A332D1" w:rsidP="00F45542">
            <w:pPr>
              <w:pStyle w:val="TableFigHeadingtotal"/>
              <w:jc w:val="right"/>
              <w:rPr>
                <w:rFonts w:eastAsia="Calibri" w:cs="Arial"/>
              </w:rPr>
            </w:pPr>
            <w:r w:rsidRPr="00BF1EC9">
              <w:rPr>
                <w:rFonts w:eastAsia="Calibri" w:cs="Arial"/>
              </w:rPr>
              <w:t>1</w:t>
            </w:r>
          </w:p>
        </w:tc>
        <w:tc>
          <w:tcPr>
            <w:tcW w:w="468" w:type="pct"/>
            <w:tcBorders>
              <w:top w:val="single" w:sz="4" w:space="0" w:color="auto"/>
              <w:left w:val="nil"/>
              <w:bottom w:val="single" w:sz="4" w:space="0" w:color="auto"/>
              <w:right w:val="nil"/>
            </w:tcBorders>
            <w:shd w:val="clear" w:color="auto" w:fill="FFFFFF"/>
            <w:noWrap/>
            <w:vAlign w:val="bottom"/>
            <w:hideMark/>
          </w:tcPr>
          <w:p w:rsidR="00A332D1" w:rsidRPr="00BF1EC9" w:rsidRDefault="00A332D1" w:rsidP="00F45542">
            <w:pPr>
              <w:pStyle w:val="TableFigHeadingtotal"/>
              <w:jc w:val="right"/>
              <w:rPr>
                <w:rFonts w:eastAsia="Calibri" w:cs="Arial"/>
              </w:rPr>
            </w:pPr>
            <w:r w:rsidRPr="00BF1EC9">
              <w:rPr>
                <w:rFonts w:eastAsia="Calibri" w:cs="Arial"/>
              </w:rPr>
              <w:t>2</w:t>
            </w:r>
          </w:p>
        </w:tc>
        <w:tc>
          <w:tcPr>
            <w:tcW w:w="559" w:type="pct"/>
            <w:gridSpan w:val="2"/>
            <w:tcBorders>
              <w:top w:val="single" w:sz="4" w:space="0" w:color="auto"/>
              <w:left w:val="nil"/>
              <w:bottom w:val="single" w:sz="4" w:space="0" w:color="auto"/>
              <w:right w:val="nil"/>
            </w:tcBorders>
            <w:shd w:val="clear" w:color="auto" w:fill="FFFFFF"/>
            <w:noWrap/>
            <w:vAlign w:val="bottom"/>
            <w:hideMark/>
          </w:tcPr>
          <w:p w:rsidR="00A332D1" w:rsidRPr="00BF1EC9" w:rsidRDefault="00A332D1" w:rsidP="00F45542">
            <w:pPr>
              <w:pStyle w:val="TableFigHeadingtotal"/>
              <w:jc w:val="right"/>
              <w:rPr>
                <w:rFonts w:eastAsia="Calibri" w:cs="Arial"/>
              </w:rPr>
            </w:pPr>
            <w:r w:rsidRPr="00BF1EC9">
              <w:rPr>
                <w:rFonts w:eastAsia="Calibri" w:cs="Arial"/>
              </w:rPr>
              <w:t>1–2 subtotal</w:t>
            </w:r>
          </w:p>
        </w:tc>
        <w:tc>
          <w:tcPr>
            <w:tcW w:w="396" w:type="pct"/>
            <w:tcBorders>
              <w:top w:val="single" w:sz="4" w:space="0" w:color="auto"/>
              <w:left w:val="nil"/>
              <w:bottom w:val="single" w:sz="4" w:space="0" w:color="auto"/>
              <w:right w:val="nil"/>
            </w:tcBorders>
            <w:shd w:val="clear" w:color="auto" w:fill="FFFFFF"/>
            <w:noWrap/>
            <w:vAlign w:val="bottom"/>
            <w:hideMark/>
          </w:tcPr>
          <w:p w:rsidR="00A332D1" w:rsidRPr="00BF1EC9" w:rsidRDefault="00A332D1" w:rsidP="00F45542">
            <w:pPr>
              <w:pStyle w:val="TableFigHeadingtotal"/>
              <w:jc w:val="right"/>
              <w:rPr>
                <w:rFonts w:eastAsia="Calibri" w:cs="Arial"/>
              </w:rPr>
            </w:pPr>
            <w:r w:rsidRPr="00BF1EC9">
              <w:rPr>
                <w:rFonts w:eastAsia="Calibri" w:cs="Arial"/>
              </w:rPr>
              <w:t>3</w:t>
            </w:r>
          </w:p>
        </w:tc>
        <w:tc>
          <w:tcPr>
            <w:tcW w:w="468" w:type="pct"/>
            <w:tcBorders>
              <w:top w:val="single" w:sz="4" w:space="0" w:color="auto"/>
              <w:left w:val="nil"/>
              <w:bottom w:val="single" w:sz="4" w:space="0" w:color="auto"/>
              <w:right w:val="nil"/>
            </w:tcBorders>
            <w:shd w:val="clear" w:color="auto" w:fill="FFFFFF"/>
            <w:noWrap/>
            <w:tcMar>
              <w:left w:w="28" w:type="dxa"/>
            </w:tcMar>
            <w:vAlign w:val="bottom"/>
            <w:hideMark/>
          </w:tcPr>
          <w:p w:rsidR="00A332D1" w:rsidRPr="00BF1EC9" w:rsidRDefault="00A332D1" w:rsidP="00F45542">
            <w:pPr>
              <w:pStyle w:val="TableFigHeadingtotal"/>
              <w:jc w:val="right"/>
              <w:rPr>
                <w:rFonts w:eastAsia="Calibri" w:cs="Arial"/>
              </w:rPr>
            </w:pPr>
            <w:r w:rsidRPr="00BF1EC9">
              <w:rPr>
                <w:rFonts w:eastAsia="Calibri" w:cs="Arial"/>
              </w:rPr>
              <w:t>4</w:t>
            </w:r>
          </w:p>
        </w:tc>
        <w:tc>
          <w:tcPr>
            <w:tcW w:w="468" w:type="pct"/>
            <w:tcBorders>
              <w:top w:val="single" w:sz="4" w:space="0" w:color="auto"/>
              <w:left w:val="nil"/>
              <w:bottom w:val="single" w:sz="4" w:space="0" w:color="auto"/>
              <w:right w:val="nil"/>
            </w:tcBorders>
            <w:shd w:val="clear" w:color="auto" w:fill="FFFFFF"/>
            <w:noWrap/>
            <w:tcMar>
              <w:left w:w="28" w:type="dxa"/>
            </w:tcMar>
            <w:vAlign w:val="bottom"/>
            <w:hideMark/>
          </w:tcPr>
          <w:p w:rsidR="00A332D1" w:rsidRPr="00BF1EC9" w:rsidRDefault="00A332D1" w:rsidP="00F45542">
            <w:pPr>
              <w:pStyle w:val="TableFigHeadingtotal"/>
              <w:jc w:val="right"/>
              <w:rPr>
                <w:rFonts w:eastAsia="Calibri" w:cs="Arial"/>
              </w:rPr>
            </w:pPr>
            <w:r w:rsidRPr="00BF1EC9">
              <w:rPr>
                <w:rFonts w:eastAsia="Calibri" w:cs="Arial"/>
              </w:rPr>
              <w:t xml:space="preserve">5+ </w:t>
            </w:r>
          </w:p>
        </w:tc>
        <w:tc>
          <w:tcPr>
            <w:tcW w:w="469" w:type="pct"/>
            <w:tcBorders>
              <w:top w:val="single" w:sz="4" w:space="0" w:color="auto"/>
              <w:left w:val="nil"/>
              <w:bottom w:val="single" w:sz="4" w:space="0" w:color="auto"/>
              <w:right w:val="nil"/>
            </w:tcBorders>
            <w:shd w:val="clear" w:color="auto" w:fill="FFFFFF"/>
            <w:vAlign w:val="bottom"/>
            <w:hideMark/>
          </w:tcPr>
          <w:p w:rsidR="00A332D1" w:rsidRPr="00BF1EC9" w:rsidRDefault="00A332D1" w:rsidP="00F45542">
            <w:pPr>
              <w:pStyle w:val="TableFigHeadingtotal"/>
              <w:jc w:val="right"/>
              <w:rPr>
                <w:rFonts w:eastAsia="Calibri" w:cs="Arial"/>
              </w:rPr>
            </w:pPr>
            <w:r w:rsidRPr="00BF1EC9">
              <w:rPr>
                <w:rFonts w:eastAsia="Calibri" w:cs="Arial"/>
              </w:rPr>
              <w:t>Total</w:t>
            </w:r>
          </w:p>
        </w:tc>
      </w:tr>
      <w:tr w:rsidR="00A332D1" w:rsidRPr="00BF1EC9" w:rsidTr="00BF1EC9">
        <w:trPr>
          <w:trHeight w:val="264"/>
        </w:trPr>
        <w:tc>
          <w:tcPr>
            <w:tcW w:w="1705" w:type="pct"/>
            <w:tcBorders>
              <w:top w:val="nil"/>
            </w:tcBorders>
            <w:shd w:val="clear" w:color="auto" w:fill="FFFFFF"/>
            <w:noWrap/>
            <w:vAlign w:val="bottom"/>
          </w:tcPr>
          <w:p w:rsidR="00A332D1" w:rsidRPr="00BF1EC9" w:rsidRDefault="00A332D1" w:rsidP="00F45542">
            <w:pPr>
              <w:pStyle w:val="TableFigText"/>
              <w:rPr>
                <w:rFonts w:eastAsia="Calibri" w:cs="Arial"/>
              </w:rPr>
            </w:pPr>
            <w:r w:rsidRPr="00BF1EC9">
              <w:rPr>
                <w:rFonts w:eastAsia="Calibri" w:cs="Arial"/>
              </w:rPr>
              <w:t>Length of time in out-of-home care</w:t>
            </w:r>
          </w:p>
        </w:tc>
        <w:tc>
          <w:tcPr>
            <w:tcW w:w="467" w:type="pct"/>
            <w:tcBorders>
              <w:top w:val="nil"/>
              <w:bottom w:val="nil"/>
              <w:right w:val="nil"/>
            </w:tcBorders>
            <w:shd w:val="clear" w:color="000000" w:fill="FFFFFF"/>
            <w:noWrap/>
            <w:vAlign w:val="bottom"/>
          </w:tcPr>
          <w:p w:rsidR="00A332D1" w:rsidRPr="00BF1EC9" w:rsidRDefault="00A332D1" w:rsidP="00F45542">
            <w:pPr>
              <w:pStyle w:val="TableFigText"/>
              <w:jc w:val="right"/>
              <w:rPr>
                <w:rFonts w:cs="Arial"/>
              </w:rPr>
            </w:pP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p>
        </w:tc>
        <w:tc>
          <w:tcPr>
            <w:tcW w:w="559" w:type="pct"/>
            <w:gridSpan w:val="2"/>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p>
        </w:tc>
        <w:tc>
          <w:tcPr>
            <w:tcW w:w="396"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p>
        </w:tc>
        <w:tc>
          <w:tcPr>
            <w:tcW w:w="469"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p>
        </w:tc>
      </w:tr>
      <w:tr w:rsidR="00A332D1" w:rsidRPr="00BF1EC9" w:rsidTr="00BF1EC9">
        <w:trPr>
          <w:trHeight w:val="264"/>
        </w:trPr>
        <w:tc>
          <w:tcPr>
            <w:tcW w:w="1705" w:type="pct"/>
            <w:tcBorders>
              <w:top w:val="nil"/>
            </w:tcBorders>
            <w:shd w:val="clear" w:color="auto" w:fill="FFFFFF"/>
            <w:noWrap/>
            <w:vAlign w:val="bottom"/>
            <w:hideMark/>
          </w:tcPr>
          <w:p w:rsidR="00A332D1" w:rsidRPr="00BF1EC9" w:rsidRDefault="00A332D1" w:rsidP="00F45542">
            <w:pPr>
              <w:pStyle w:val="TableFigText"/>
              <w:rPr>
                <w:rFonts w:eastAsia="Calibri" w:cs="Arial"/>
              </w:rPr>
            </w:pPr>
            <w:r w:rsidRPr="00BF1EC9">
              <w:rPr>
                <w:rFonts w:eastAsia="Calibri" w:cs="Arial"/>
              </w:rPr>
              <w:t>1 month to &lt; 6 months</w:t>
            </w:r>
          </w:p>
        </w:tc>
        <w:tc>
          <w:tcPr>
            <w:tcW w:w="467" w:type="pct"/>
            <w:tcBorders>
              <w:top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17.4</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5.3</w:t>
            </w:r>
          </w:p>
        </w:tc>
        <w:tc>
          <w:tcPr>
            <w:tcW w:w="559" w:type="pct"/>
            <w:gridSpan w:val="2"/>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22.7</w:t>
            </w:r>
          </w:p>
        </w:tc>
        <w:tc>
          <w:tcPr>
            <w:tcW w:w="396"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1.6</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0.5</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0.2</w:t>
            </w:r>
          </w:p>
        </w:tc>
        <w:tc>
          <w:tcPr>
            <w:tcW w:w="469"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24.8</w:t>
            </w:r>
          </w:p>
        </w:tc>
      </w:tr>
      <w:tr w:rsidR="00A332D1" w:rsidRPr="00BF1EC9" w:rsidTr="00BF1EC9">
        <w:trPr>
          <w:trHeight w:val="264"/>
        </w:trPr>
        <w:tc>
          <w:tcPr>
            <w:tcW w:w="1705" w:type="pct"/>
            <w:shd w:val="clear" w:color="auto" w:fill="FFFFFF"/>
            <w:noWrap/>
            <w:vAlign w:val="bottom"/>
            <w:hideMark/>
          </w:tcPr>
          <w:p w:rsidR="00A332D1" w:rsidRPr="00BF1EC9" w:rsidRDefault="00A332D1" w:rsidP="00F45542">
            <w:pPr>
              <w:pStyle w:val="TableFigText"/>
              <w:rPr>
                <w:rFonts w:eastAsia="Calibri" w:cs="Arial"/>
              </w:rPr>
            </w:pPr>
            <w:r w:rsidRPr="00BF1EC9">
              <w:rPr>
                <w:rFonts w:eastAsia="Calibri" w:cs="Arial"/>
              </w:rPr>
              <w:t>6 months to &lt; 1 year</w:t>
            </w:r>
          </w:p>
        </w:tc>
        <w:tc>
          <w:tcPr>
            <w:tcW w:w="467" w:type="pct"/>
            <w:tcBorders>
              <w:top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6.7</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4.4</w:t>
            </w:r>
          </w:p>
        </w:tc>
        <w:tc>
          <w:tcPr>
            <w:tcW w:w="559" w:type="pct"/>
            <w:gridSpan w:val="2"/>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11.1</w:t>
            </w:r>
          </w:p>
        </w:tc>
        <w:tc>
          <w:tcPr>
            <w:tcW w:w="396"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1.9</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0.7</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0.4</w:t>
            </w:r>
          </w:p>
        </w:tc>
        <w:tc>
          <w:tcPr>
            <w:tcW w:w="469"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14.1</w:t>
            </w:r>
          </w:p>
        </w:tc>
      </w:tr>
      <w:tr w:rsidR="00A332D1" w:rsidRPr="00BF1EC9" w:rsidTr="00BF1EC9">
        <w:trPr>
          <w:trHeight w:val="264"/>
        </w:trPr>
        <w:tc>
          <w:tcPr>
            <w:tcW w:w="1705" w:type="pct"/>
            <w:shd w:val="clear" w:color="auto" w:fill="FFFFFF"/>
            <w:noWrap/>
            <w:vAlign w:val="bottom"/>
            <w:hideMark/>
          </w:tcPr>
          <w:p w:rsidR="00A332D1" w:rsidRPr="00BF1EC9" w:rsidRDefault="00A332D1" w:rsidP="00F45542">
            <w:pPr>
              <w:pStyle w:val="TableFigText"/>
              <w:rPr>
                <w:rFonts w:eastAsia="Calibri" w:cs="Arial"/>
              </w:rPr>
            </w:pPr>
            <w:r w:rsidRPr="00BF1EC9">
              <w:rPr>
                <w:rFonts w:eastAsia="Calibri" w:cs="Arial"/>
              </w:rPr>
              <w:t>1 year to &lt; 2 years</w:t>
            </w:r>
          </w:p>
        </w:tc>
        <w:tc>
          <w:tcPr>
            <w:tcW w:w="467" w:type="pct"/>
            <w:tcBorders>
              <w:top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5.2</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4.5</w:t>
            </w:r>
          </w:p>
        </w:tc>
        <w:tc>
          <w:tcPr>
            <w:tcW w:w="559" w:type="pct"/>
            <w:gridSpan w:val="2"/>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9.6</w:t>
            </w:r>
          </w:p>
        </w:tc>
        <w:tc>
          <w:tcPr>
            <w:tcW w:w="396"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2.8</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1.8</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1.6</w:t>
            </w:r>
          </w:p>
        </w:tc>
        <w:tc>
          <w:tcPr>
            <w:tcW w:w="469"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16.0</w:t>
            </w:r>
          </w:p>
        </w:tc>
      </w:tr>
      <w:tr w:rsidR="00A332D1" w:rsidRPr="00BF1EC9" w:rsidTr="00BF1EC9">
        <w:trPr>
          <w:trHeight w:val="264"/>
        </w:trPr>
        <w:tc>
          <w:tcPr>
            <w:tcW w:w="1705" w:type="pct"/>
            <w:shd w:val="clear" w:color="auto" w:fill="FFFFFF"/>
            <w:noWrap/>
            <w:vAlign w:val="bottom"/>
            <w:hideMark/>
          </w:tcPr>
          <w:p w:rsidR="00A332D1" w:rsidRPr="00BF1EC9" w:rsidRDefault="00A332D1" w:rsidP="00F45542">
            <w:pPr>
              <w:pStyle w:val="TableFigText"/>
              <w:rPr>
                <w:rFonts w:eastAsia="Calibri" w:cs="Arial"/>
              </w:rPr>
            </w:pPr>
            <w:r w:rsidRPr="00BF1EC9">
              <w:rPr>
                <w:rFonts w:eastAsia="Calibri" w:cs="Arial"/>
              </w:rPr>
              <w:t>2 years to &lt; 5 years</w:t>
            </w:r>
          </w:p>
        </w:tc>
        <w:tc>
          <w:tcPr>
            <w:tcW w:w="467" w:type="pct"/>
            <w:tcBorders>
              <w:top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5.0</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4.8</w:t>
            </w:r>
          </w:p>
        </w:tc>
        <w:tc>
          <w:tcPr>
            <w:tcW w:w="559" w:type="pct"/>
            <w:gridSpan w:val="2"/>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9.8</w:t>
            </w:r>
          </w:p>
        </w:tc>
        <w:tc>
          <w:tcPr>
            <w:tcW w:w="396"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3.8</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3.1</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5.4</w:t>
            </w:r>
          </w:p>
        </w:tc>
        <w:tc>
          <w:tcPr>
            <w:tcW w:w="469"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22.1</w:t>
            </w:r>
          </w:p>
        </w:tc>
      </w:tr>
      <w:tr w:rsidR="00A332D1" w:rsidRPr="00BF1EC9" w:rsidTr="00BF1EC9">
        <w:trPr>
          <w:trHeight w:val="264"/>
        </w:trPr>
        <w:tc>
          <w:tcPr>
            <w:tcW w:w="1705" w:type="pct"/>
            <w:shd w:val="clear" w:color="auto" w:fill="FFFFFF"/>
            <w:noWrap/>
            <w:vAlign w:val="bottom"/>
            <w:hideMark/>
          </w:tcPr>
          <w:p w:rsidR="00A332D1" w:rsidRPr="00BF1EC9" w:rsidRDefault="00A332D1" w:rsidP="00F45542">
            <w:pPr>
              <w:pStyle w:val="TableFigText"/>
              <w:rPr>
                <w:rFonts w:eastAsia="Calibri" w:cs="Arial"/>
              </w:rPr>
            </w:pPr>
            <w:r w:rsidRPr="00BF1EC9">
              <w:rPr>
                <w:rFonts w:eastAsia="Calibri" w:cs="Arial"/>
              </w:rPr>
              <w:t>5 years or more</w:t>
            </w:r>
          </w:p>
        </w:tc>
        <w:tc>
          <w:tcPr>
            <w:tcW w:w="467" w:type="pct"/>
            <w:tcBorders>
              <w:top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5.5</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4.4</w:t>
            </w:r>
          </w:p>
        </w:tc>
        <w:tc>
          <w:tcPr>
            <w:tcW w:w="559" w:type="pct"/>
            <w:gridSpan w:val="2"/>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9.9</w:t>
            </w:r>
          </w:p>
        </w:tc>
        <w:tc>
          <w:tcPr>
            <w:tcW w:w="396"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2.9</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2.4</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7.8</w:t>
            </w:r>
          </w:p>
        </w:tc>
        <w:tc>
          <w:tcPr>
            <w:tcW w:w="469"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rPr>
            </w:pPr>
            <w:r w:rsidRPr="00BF1EC9">
              <w:rPr>
                <w:rFonts w:cs="Arial"/>
              </w:rPr>
              <w:t>23.0</w:t>
            </w:r>
          </w:p>
        </w:tc>
      </w:tr>
      <w:tr w:rsidR="00A332D1" w:rsidRPr="00BF1EC9" w:rsidTr="00BF1EC9">
        <w:trPr>
          <w:trHeight w:val="264"/>
        </w:trPr>
        <w:tc>
          <w:tcPr>
            <w:tcW w:w="1705" w:type="pct"/>
            <w:tcBorders>
              <w:bottom w:val="single" w:sz="4" w:space="0" w:color="auto"/>
            </w:tcBorders>
            <w:shd w:val="clear" w:color="auto" w:fill="FFFFFF"/>
            <w:noWrap/>
            <w:vAlign w:val="center"/>
            <w:hideMark/>
          </w:tcPr>
          <w:p w:rsidR="00A332D1" w:rsidRPr="00BF1EC9" w:rsidRDefault="00A332D1" w:rsidP="00F45542">
            <w:pPr>
              <w:pStyle w:val="TableFigText"/>
              <w:rPr>
                <w:rFonts w:eastAsia="Calibri" w:cs="Arial"/>
                <w:b/>
              </w:rPr>
            </w:pPr>
            <w:r w:rsidRPr="00BF1EC9">
              <w:rPr>
                <w:rFonts w:eastAsia="Calibri" w:cs="Arial"/>
                <w:b/>
              </w:rPr>
              <w:t>Total children</w:t>
            </w:r>
          </w:p>
        </w:tc>
        <w:tc>
          <w:tcPr>
            <w:tcW w:w="467" w:type="pct"/>
            <w:tcBorders>
              <w:top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rPr>
            </w:pPr>
            <w:r w:rsidRPr="00BF1EC9">
              <w:rPr>
                <w:rFonts w:cs="Arial"/>
                <w:b/>
              </w:rPr>
              <w:t>39.7</w:t>
            </w:r>
          </w:p>
        </w:tc>
        <w:tc>
          <w:tcPr>
            <w:tcW w:w="468" w:type="pct"/>
            <w:tcBorders>
              <w:top w:val="nil"/>
              <w:left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rPr>
            </w:pPr>
            <w:r w:rsidRPr="00BF1EC9">
              <w:rPr>
                <w:rFonts w:cs="Arial"/>
                <w:b/>
              </w:rPr>
              <w:t>23.4</w:t>
            </w:r>
          </w:p>
        </w:tc>
        <w:tc>
          <w:tcPr>
            <w:tcW w:w="559" w:type="pct"/>
            <w:gridSpan w:val="2"/>
            <w:tcBorders>
              <w:top w:val="nil"/>
              <w:left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rPr>
            </w:pPr>
            <w:r w:rsidRPr="00BF1EC9">
              <w:rPr>
                <w:rFonts w:cs="Arial"/>
                <w:b/>
              </w:rPr>
              <w:t>63.1</w:t>
            </w:r>
          </w:p>
        </w:tc>
        <w:tc>
          <w:tcPr>
            <w:tcW w:w="396" w:type="pct"/>
            <w:tcBorders>
              <w:top w:val="nil"/>
              <w:left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rPr>
            </w:pPr>
            <w:r w:rsidRPr="00BF1EC9">
              <w:rPr>
                <w:rFonts w:cs="Arial"/>
                <w:b/>
              </w:rPr>
              <w:t>13.1</w:t>
            </w:r>
          </w:p>
        </w:tc>
        <w:tc>
          <w:tcPr>
            <w:tcW w:w="468" w:type="pct"/>
            <w:tcBorders>
              <w:top w:val="nil"/>
              <w:left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rPr>
            </w:pPr>
            <w:r w:rsidRPr="00BF1EC9">
              <w:rPr>
                <w:rFonts w:cs="Arial"/>
                <w:b/>
              </w:rPr>
              <w:t>8.5</w:t>
            </w:r>
          </w:p>
        </w:tc>
        <w:tc>
          <w:tcPr>
            <w:tcW w:w="468" w:type="pct"/>
            <w:tcBorders>
              <w:top w:val="nil"/>
              <w:left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rPr>
            </w:pPr>
            <w:r w:rsidRPr="00BF1EC9">
              <w:rPr>
                <w:rFonts w:cs="Arial"/>
                <w:b/>
              </w:rPr>
              <w:t>15.4</w:t>
            </w:r>
          </w:p>
        </w:tc>
        <w:tc>
          <w:tcPr>
            <w:tcW w:w="469" w:type="pct"/>
            <w:tcBorders>
              <w:top w:val="nil"/>
              <w:left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rPr>
            </w:pPr>
            <w:r w:rsidRPr="00BF1EC9">
              <w:rPr>
                <w:rFonts w:cs="Arial"/>
                <w:b/>
              </w:rPr>
              <w:t>100.0</w:t>
            </w:r>
          </w:p>
        </w:tc>
      </w:tr>
      <w:tr w:rsidR="00A332D1" w:rsidRPr="00BF1EC9" w:rsidTr="00BF1EC9">
        <w:trPr>
          <w:trHeight w:val="264"/>
        </w:trPr>
        <w:tc>
          <w:tcPr>
            <w:tcW w:w="1705" w:type="pct"/>
            <w:tcBorders>
              <w:top w:val="single" w:sz="4" w:space="0" w:color="auto"/>
              <w:bottom w:val="single" w:sz="4" w:space="0" w:color="auto"/>
              <w:right w:val="nil"/>
            </w:tcBorders>
            <w:shd w:val="clear" w:color="auto" w:fill="FFFFFF"/>
            <w:vAlign w:val="bottom"/>
          </w:tcPr>
          <w:p w:rsidR="00A332D1" w:rsidRPr="00BF1EC9" w:rsidRDefault="00BF1EC9" w:rsidP="00BF1EC9">
            <w:pPr>
              <w:pStyle w:val="TableFigHeadingtotal"/>
              <w:rPr>
                <w:rFonts w:eastAsia="Calibri" w:cs="Arial"/>
                <w:b w:val="0"/>
                <w:sz w:val="22"/>
                <w:szCs w:val="22"/>
              </w:rPr>
            </w:pPr>
            <w:r w:rsidRPr="00BF1EC9">
              <w:rPr>
                <w:rFonts w:eastAsia="Calibri" w:cs="Arial"/>
              </w:rPr>
              <w:t>Indigenous children</w:t>
            </w:r>
            <w:r w:rsidRPr="00BF1EC9">
              <w:rPr>
                <w:rFonts w:eastAsia="Calibri" w:cs="Arial"/>
              </w:rPr>
              <w:br/>
            </w:r>
            <w:r w:rsidR="00A332D1" w:rsidRPr="00BF1EC9">
              <w:rPr>
                <w:rFonts w:eastAsia="Calibri" w:cs="Arial"/>
              </w:rPr>
              <w:t>Number of different placements</w:t>
            </w:r>
          </w:p>
        </w:tc>
        <w:tc>
          <w:tcPr>
            <w:tcW w:w="467" w:type="pct"/>
            <w:tcBorders>
              <w:top w:val="single" w:sz="4" w:space="0" w:color="auto"/>
              <w:left w:val="nil"/>
              <w:bottom w:val="single" w:sz="4" w:space="0" w:color="auto"/>
              <w:right w:val="nil"/>
            </w:tcBorders>
            <w:shd w:val="clear" w:color="auto" w:fill="FFFFFF"/>
            <w:noWrap/>
            <w:vAlign w:val="bottom"/>
            <w:hideMark/>
          </w:tcPr>
          <w:p w:rsidR="00A332D1" w:rsidRPr="00BF1EC9" w:rsidRDefault="00A332D1" w:rsidP="00F45542">
            <w:pPr>
              <w:pStyle w:val="TableFigHeadingtotal"/>
              <w:jc w:val="right"/>
              <w:rPr>
                <w:rFonts w:eastAsia="Calibri" w:cs="Arial"/>
              </w:rPr>
            </w:pPr>
            <w:r w:rsidRPr="00BF1EC9">
              <w:rPr>
                <w:rFonts w:eastAsia="Calibri" w:cs="Arial"/>
              </w:rPr>
              <w:t>1</w:t>
            </w:r>
          </w:p>
        </w:tc>
        <w:tc>
          <w:tcPr>
            <w:tcW w:w="468" w:type="pct"/>
            <w:tcBorders>
              <w:top w:val="single" w:sz="4" w:space="0" w:color="auto"/>
              <w:left w:val="nil"/>
              <w:bottom w:val="single" w:sz="4" w:space="0" w:color="auto"/>
              <w:right w:val="nil"/>
            </w:tcBorders>
            <w:shd w:val="clear" w:color="auto" w:fill="FFFFFF"/>
            <w:noWrap/>
            <w:vAlign w:val="bottom"/>
            <w:hideMark/>
          </w:tcPr>
          <w:p w:rsidR="00A332D1" w:rsidRPr="00BF1EC9" w:rsidRDefault="00A332D1" w:rsidP="00F45542">
            <w:pPr>
              <w:pStyle w:val="TableFigHeadingtotal"/>
              <w:jc w:val="right"/>
              <w:rPr>
                <w:rFonts w:eastAsia="Calibri" w:cs="Arial"/>
              </w:rPr>
            </w:pPr>
            <w:r w:rsidRPr="00BF1EC9">
              <w:rPr>
                <w:rFonts w:eastAsia="Calibri" w:cs="Arial"/>
              </w:rPr>
              <w:t>2</w:t>
            </w:r>
          </w:p>
        </w:tc>
        <w:tc>
          <w:tcPr>
            <w:tcW w:w="559" w:type="pct"/>
            <w:gridSpan w:val="2"/>
            <w:tcBorders>
              <w:top w:val="single" w:sz="4" w:space="0" w:color="auto"/>
              <w:left w:val="nil"/>
              <w:bottom w:val="single" w:sz="4" w:space="0" w:color="auto"/>
              <w:right w:val="nil"/>
            </w:tcBorders>
            <w:shd w:val="clear" w:color="auto" w:fill="FFFFFF"/>
            <w:noWrap/>
            <w:vAlign w:val="bottom"/>
            <w:hideMark/>
          </w:tcPr>
          <w:p w:rsidR="00A332D1" w:rsidRPr="00BF1EC9" w:rsidRDefault="00A332D1" w:rsidP="00F45542">
            <w:pPr>
              <w:pStyle w:val="TableFigHeadingtotal"/>
              <w:jc w:val="right"/>
              <w:rPr>
                <w:rFonts w:eastAsia="Calibri" w:cs="Arial"/>
              </w:rPr>
            </w:pPr>
            <w:r w:rsidRPr="00BF1EC9">
              <w:rPr>
                <w:rFonts w:eastAsia="Calibri" w:cs="Arial"/>
              </w:rPr>
              <w:t>1–2 subtotal</w:t>
            </w:r>
          </w:p>
        </w:tc>
        <w:tc>
          <w:tcPr>
            <w:tcW w:w="396" w:type="pct"/>
            <w:tcBorders>
              <w:top w:val="single" w:sz="4" w:space="0" w:color="auto"/>
              <w:left w:val="nil"/>
              <w:bottom w:val="single" w:sz="4" w:space="0" w:color="auto"/>
              <w:right w:val="nil"/>
            </w:tcBorders>
            <w:shd w:val="clear" w:color="auto" w:fill="FFFFFF"/>
            <w:noWrap/>
            <w:vAlign w:val="bottom"/>
            <w:hideMark/>
          </w:tcPr>
          <w:p w:rsidR="00A332D1" w:rsidRPr="00BF1EC9" w:rsidRDefault="00A332D1" w:rsidP="00F45542">
            <w:pPr>
              <w:pStyle w:val="TableFigHeadingtotal"/>
              <w:jc w:val="right"/>
              <w:rPr>
                <w:rFonts w:eastAsia="Calibri" w:cs="Arial"/>
              </w:rPr>
            </w:pPr>
            <w:r w:rsidRPr="00BF1EC9">
              <w:rPr>
                <w:rFonts w:eastAsia="Calibri" w:cs="Arial"/>
              </w:rPr>
              <w:t>3</w:t>
            </w:r>
          </w:p>
        </w:tc>
        <w:tc>
          <w:tcPr>
            <w:tcW w:w="468" w:type="pct"/>
            <w:tcBorders>
              <w:top w:val="single" w:sz="4" w:space="0" w:color="auto"/>
              <w:left w:val="nil"/>
              <w:bottom w:val="single" w:sz="4" w:space="0" w:color="auto"/>
              <w:right w:val="nil"/>
            </w:tcBorders>
            <w:shd w:val="clear" w:color="auto" w:fill="FFFFFF"/>
            <w:noWrap/>
            <w:tcMar>
              <w:left w:w="28" w:type="dxa"/>
            </w:tcMar>
            <w:vAlign w:val="bottom"/>
            <w:hideMark/>
          </w:tcPr>
          <w:p w:rsidR="00A332D1" w:rsidRPr="00BF1EC9" w:rsidRDefault="00A332D1" w:rsidP="00F45542">
            <w:pPr>
              <w:pStyle w:val="TableFigHeadingtotal"/>
              <w:jc w:val="right"/>
              <w:rPr>
                <w:rFonts w:eastAsia="Calibri" w:cs="Arial"/>
              </w:rPr>
            </w:pPr>
            <w:r w:rsidRPr="00BF1EC9">
              <w:rPr>
                <w:rFonts w:eastAsia="Calibri" w:cs="Arial"/>
              </w:rPr>
              <w:t>4</w:t>
            </w:r>
          </w:p>
        </w:tc>
        <w:tc>
          <w:tcPr>
            <w:tcW w:w="468" w:type="pct"/>
            <w:tcBorders>
              <w:top w:val="single" w:sz="4" w:space="0" w:color="auto"/>
              <w:left w:val="nil"/>
              <w:bottom w:val="single" w:sz="4" w:space="0" w:color="auto"/>
              <w:right w:val="nil"/>
            </w:tcBorders>
            <w:shd w:val="clear" w:color="auto" w:fill="FFFFFF"/>
            <w:noWrap/>
            <w:tcMar>
              <w:left w:w="28" w:type="dxa"/>
            </w:tcMar>
            <w:vAlign w:val="bottom"/>
            <w:hideMark/>
          </w:tcPr>
          <w:p w:rsidR="00A332D1" w:rsidRPr="00BF1EC9" w:rsidRDefault="00A332D1" w:rsidP="00F45542">
            <w:pPr>
              <w:pStyle w:val="TableFigHeadingtotal"/>
              <w:jc w:val="right"/>
              <w:rPr>
                <w:rFonts w:eastAsia="Calibri" w:cs="Arial"/>
              </w:rPr>
            </w:pPr>
            <w:r w:rsidRPr="00BF1EC9">
              <w:rPr>
                <w:rFonts w:eastAsia="Calibri" w:cs="Arial"/>
              </w:rPr>
              <w:t xml:space="preserve">5+ </w:t>
            </w:r>
          </w:p>
        </w:tc>
        <w:tc>
          <w:tcPr>
            <w:tcW w:w="469" w:type="pct"/>
            <w:tcBorders>
              <w:top w:val="single" w:sz="4" w:space="0" w:color="auto"/>
              <w:left w:val="nil"/>
              <w:bottom w:val="single" w:sz="4" w:space="0" w:color="auto"/>
              <w:right w:val="nil"/>
            </w:tcBorders>
            <w:shd w:val="clear" w:color="auto" w:fill="FFFFFF"/>
            <w:vAlign w:val="bottom"/>
            <w:hideMark/>
          </w:tcPr>
          <w:p w:rsidR="00A332D1" w:rsidRPr="00BF1EC9" w:rsidRDefault="00A332D1" w:rsidP="00F45542">
            <w:pPr>
              <w:pStyle w:val="TableFigHeadingtotal"/>
              <w:jc w:val="right"/>
              <w:rPr>
                <w:rFonts w:eastAsia="Calibri" w:cs="Arial"/>
              </w:rPr>
            </w:pPr>
            <w:r w:rsidRPr="00BF1EC9">
              <w:rPr>
                <w:rFonts w:eastAsia="Calibri" w:cs="Arial"/>
              </w:rPr>
              <w:t>Total</w:t>
            </w:r>
          </w:p>
        </w:tc>
      </w:tr>
      <w:tr w:rsidR="00A332D1" w:rsidRPr="00BF1EC9" w:rsidTr="00BF1EC9">
        <w:trPr>
          <w:trHeight w:val="264"/>
        </w:trPr>
        <w:tc>
          <w:tcPr>
            <w:tcW w:w="1705" w:type="pct"/>
            <w:shd w:val="clear" w:color="auto" w:fill="FFFFFF"/>
            <w:noWrap/>
            <w:vAlign w:val="bottom"/>
          </w:tcPr>
          <w:p w:rsidR="00A332D1" w:rsidRPr="00BF1EC9" w:rsidRDefault="00A332D1" w:rsidP="00F45542">
            <w:pPr>
              <w:pStyle w:val="TableFigText"/>
              <w:rPr>
                <w:rFonts w:eastAsia="Calibri" w:cs="Arial"/>
              </w:rPr>
            </w:pPr>
            <w:r w:rsidRPr="00BF1EC9">
              <w:rPr>
                <w:rFonts w:eastAsia="Calibri" w:cs="Arial"/>
              </w:rPr>
              <w:t>Length of time in out-of-home care</w:t>
            </w:r>
          </w:p>
        </w:tc>
        <w:tc>
          <w:tcPr>
            <w:tcW w:w="467" w:type="pct"/>
            <w:tcBorders>
              <w:top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p>
        </w:tc>
        <w:tc>
          <w:tcPr>
            <w:tcW w:w="486"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p>
        </w:tc>
        <w:tc>
          <w:tcPr>
            <w:tcW w:w="469" w:type="pct"/>
            <w:gridSpan w:val="2"/>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p>
        </w:tc>
        <w:tc>
          <w:tcPr>
            <w:tcW w:w="469"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p>
        </w:tc>
      </w:tr>
      <w:tr w:rsidR="00A332D1" w:rsidRPr="00BF1EC9" w:rsidTr="00BF1EC9">
        <w:trPr>
          <w:trHeight w:val="264"/>
        </w:trPr>
        <w:tc>
          <w:tcPr>
            <w:tcW w:w="1705" w:type="pct"/>
            <w:shd w:val="clear" w:color="auto" w:fill="FFFFFF"/>
            <w:noWrap/>
            <w:vAlign w:val="bottom"/>
          </w:tcPr>
          <w:p w:rsidR="00A332D1" w:rsidRPr="00BF1EC9" w:rsidRDefault="00A332D1" w:rsidP="00F45542">
            <w:pPr>
              <w:pStyle w:val="TableFigText"/>
              <w:rPr>
                <w:rFonts w:eastAsia="Calibri" w:cs="Arial"/>
              </w:rPr>
            </w:pPr>
            <w:r w:rsidRPr="00BF1EC9">
              <w:rPr>
                <w:rFonts w:eastAsia="Calibri" w:cs="Arial"/>
              </w:rPr>
              <w:t>1 month to &lt; 6 months</w:t>
            </w:r>
          </w:p>
        </w:tc>
        <w:tc>
          <w:tcPr>
            <w:tcW w:w="467" w:type="pct"/>
            <w:tcBorders>
              <w:top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17.2</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5.9</w:t>
            </w:r>
          </w:p>
        </w:tc>
        <w:tc>
          <w:tcPr>
            <w:tcW w:w="486"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23.1</w:t>
            </w:r>
          </w:p>
        </w:tc>
        <w:tc>
          <w:tcPr>
            <w:tcW w:w="469" w:type="pct"/>
            <w:gridSpan w:val="2"/>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2.2</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0.5</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0.3</w:t>
            </w:r>
          </w:p>
        </w:tc>
        <w:tc>
          <w:tcPr>
            <w:tcW w:w="469"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26.0</w:t>
            </w:r>
          </w:p>
        </w:tc>
      </w:tr>
      <w:tr w:rsidR="00A332D1" w:rsidRPr="00BF1EC9" w:rsidTr="00BF1EC9">
        <w:trPr>
          <w:trHeight w:val="264"/>
        </w:trPr>
        <w:tc>
          <w:tcPr>
            <w:tcW w:w="1705" w:type="pct"/>
            <w:shd w:val="clear" w:color="auto" w:fill="FFFFFF"/>
            <w:noWrap/>
            <w:vAlign w:val="bottom"/>
          </w:tcPr>
          <w:p w:rsidR="00A332D1" w:rsidRPr="00BF1EC9" w:rsidRDefault="00A332D1" w:rsidP="00F45542">
            <w:pPr>
              <w:pStyle w:val="TableFigText"/>
              <w:rPr>
                <w:rFonts w:eastAsia="Calibri" w:cs="Arial"/>
              </w:rPr>
            </w:pPr>
            <w:r w:rsidRPr="00BF1EC9">
              <w:rPr>
                <w:rFonts w:eastAsia="Calibri" w:cs="Arial"/>
              </w:rPr>
              <w:t>6 months to &lt; 1 year</w:t>
            </w:r>
          </w:p>
        </w:tc>
        <w:tc>
          <w:tcPr>
            <w:tcW w:w="467" w:type="pct"/>
            <w:tcBorders>
              <w:top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4.7</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5.1</w:t>
            </w:r>
          </w:p>
        </w:tc>
        <w:tc>
          <w:tcPr>
            <w:tcW w:w="486"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9.8</w:t>
            </w:r>
          </w:p>
        </w:tc>
        <w:tc>
          <w:tcPr>
            <w:tcW w:w="469" w:type="pct"/>
            <w:gridSpan w:val="2"/>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1.6</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0.9</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0.3</w:t>
            </w:r>
          </w:p>
        </w:tc>
        <w:tc>
          <w:tcPr>
            <w:tcW w:w="469"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12.6</w:t>
            </w:r>
          </w:p>
        </w:tc>
      </w:tr>
      <w:tr w:rsidR="00A332D1" w:rsidRPr="00BF1EC9" w:rsidTr="00BF1EC9">
        <w:trPr>
          <w:trHeight w:val="264"/>
        </w:trPr>
        <w:tc>
          <w:tcPr>
            <w:tcW w:w="1705" w:type="pct"/>
            <w:shd w:val="clear" w:color="auto" w:fill="FFFFFF"/>
            <w:noWrap/>
            <w:vAlign w:val="bottom"/>
          </w:tcPr>
          <w:p w:rsidR="00A332D1" w:rsidRPr="00BF1EC9" w:rsidRDefault="00A332D1" w:rsidP="00F45542">
            <w:pPr>
              <w:pStyle w:val="TableFigText"/>
              <w:rPr>
                <w:rFonts w:eastAsia="Calibri" w:cs="Arial"/>
              </w:rPr>
            </w:pPr>
            <w:r w:rsidRPr="00BF1EC9">
              <w:rPr>
                <w:rFonts w:eastAsia="Calibri" w:cs="Arial"/>
              </w:rPr>
              <w:t>1 year to &lt; 2 years</w:t>
            </w:r>
          </w:p>
        </w:tc>
        <w:tc>
          <w:tcPr>
            <w:tcW w:w="467" w:type="pct"/>
            <w:tcBorders>
              <w:top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4.8</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4.9</w:t>
            </w:r>
          </w:p>
        </w:tc>
        <w:tc>
          <w:tcPr>
            <w:tcW w:w="486"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9.6</w:t>
            </w:r>
          </w:p>
        </w:tc>
        <w:tc>
          <w:tcPr>
            <w:tcW w:w="469" w:type="pct"/>
            <w:gridSpan w:val="2"/>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3.5</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2.4</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2.1</w:t>
            </w:r>
          </w:p>
        </w:tc>
        <w:tc>
          <w:tcPr>
            <w:tcW w:w="469"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17.7</w:t>
            </w:r>
          </w:p>
        </w:tc>
      </w:tr>
      <w:tr w:rsidR="00A332D1" w:rsidRPr="00BF1EC9" w:rsidTr="00BF1EC9">
        <w:trPr>
          <w:trHeight w:val="264"/>
        </w:trPr>
        <w:tc>
          <w:tcPr>
            <w:tcW w:w="1705" w:type="pct"/>
            <w:shd w:val="clear" w:color="auto" w:fill="FFFFFF"/>
            <w:noWrap/>
            <w:vAlign w:val="bottom"/>
          </w:tcPr>
          <w:p w:rsidR="00A332D1" w:rsidRPr="00BF1EC9" w:rsidRDefault="00A332D1" w:rsidP="00F45542">
            <w:pPr>
              <w:pStyle w:val="TableFigText"/>
              <w:rPr>
                <w:rFonts w:eastAsia="Calibri" w:cs="Arial"/>
              </w:rPr>
            </w:pPr>
            <w:r w:rsidRPr="00BF1EC9">
              <w:rPr>
                <w:rFonts w:eastAsia="Calibri" w:cs="Arial"/>
              </w:rPr>
              <w:t>2 years to &lt; 5 years</w:t>
            </w:r>
          </w:p>
        </w:tc>
        <w:tc>
          <w:tcPr>
            <w:tcW w:w="467" w:type="pct"/>
            <w:tcBorders>
              <w:top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5.3</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3.8</w:t>
            </w:r>
          </w:p>
        </w:tc>
        <w:tc>
          <w:tcPr>
            <w:tcW w:w="486"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9.1</w:t>
            </w:r>
          </w:p>
        </w:tc>
        <w:tc>
          <w:tcPr>
            <w:tcW w:w="469" w:type="pct"/>
            <w:gridSpan w:val="2"/>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5.1</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3.3</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6.1</w:t>
            </w:r>
          </w:p>
        </w:tc>
        <w:tc>
          <w:tcPr>
            <w:tcW w:w="469"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23.5</w:t>
            </w:r>
          </w:p>
        </w:tc>
      </w:tr>
      <w:tr w:rsidR="00A332D1" w:rsidRPr="00BF1EC9" w:rsidTr="00BF1EC9">
        <w:trPr>
          <w:trHeight w:val="264"/>
        </w:trPr>
        <w:tc>
          <w:tcPr>
            <w:tcW w:w="1705" w:type="pct"/>
            <w:shd w:val="clear" w:color="auto" w:fill="FFFFFF"/>
            <w:noWrap/>
            <w:vAlign w:val="bottom"/>
          </w:tcPr>
          <w:p w:rsidR="00A332D1" w:rsidRPr="00BF1EC9" w:rsidRDefault="00A332D1" w:rsidP="00F45542">
            <w:pPr>
              <w:pStyle w:val="TableFigText"/>
              <w:rPr>
                <w:rFonts w:eastAsia="Calibri" w:cs="Arial"/>
              </w:rPr>
            </w:pPr>
            <w:r w:rsidRPr="00BF1EC9">
              <w:rPr>
                <w:rFonts w:eastAsia="Calibri" w:cs="Arial"/>
              </w:rPr>
              <w:t>5 years or more</w:t>
            </w:r>
          </w:p>
        </w:tc>
        <w:tc>
          <w:tcPr>
            <w:tcW w:w="467" w:type="pct"/>
            <w:tcBorders>
              <w:top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4.1</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3.8</w:t>
            </w:r>
          </w:p>
        </w:tc>
        <w:tc>
          <w:tcPr>
            <w:tcW w:w="486"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7.9</w:t>
            </w:r>
          </w:p>
        </w:tc>
        <w:tc>
          <w:tcPr>
            <w:tcW w:w="469" w:type="pct"/>
            <w:gridSpan w:val="2"/>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2.8</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2.2</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7.2</w:t>
            </w:r>
          </w:p>
        </w:tc>
        <w:tc>
          <w:tcPr>
            <w:tcW w:w="469"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20.1</w:t>
            </w:r>
          </w:p>
        </w:tc>
      </w:tr>
      <w:tr w:rsidR="00A332D1" w:rsidRPr="00BF1EC9" w:rsidTr="00BF1EC9">
        <w:trPr>
          <w:trHeight w:val="264"/>
        </w:trPr>
        <w:tc>
          <w:tcPr>
            <w:tcW w:w="1705" w:type="pct"/>
            <w:tcBorders>
              <w:bottom w:val="single" w:sz="4" w:space="0" w:color="auto"/>
            </w:tcBorders>
            <w:shd w:val="clear" w:color="auto" w:fill="FFFFFF"/>
            <w:noWrap/>
            <w:vAlign w:val="center"/>
          </w:tcPr>
          <w:p w:rsidR="00A332D1" w:rsidRPr="00BF1EC9" w:rsidRDefault="00A332D1" w:rsidP="00F45542">
            <w:pPr>
              <w:pStyle w:val="TableFigText"/>
              <w:rPr>
                <w:rFonts w:eastAsia="Calibri" w:cs="Arial"/>
                <w:b/>
              </w:rPr>
            </w:pPr>
            <w:r w:rsidRPr="00BF1EC9">
              <w:rPr>
                <w:rFonts w:eastAsia="Calibri" w:cs="Arial"/>
                <w:b/>
              </w:rPr>
              <w:t>Total children</w:t>
            </w:r>
          </w:p>
        </w:tc>
        <w:tc>
          <w:tcPr>
            <w:tcW w:w="467" w:type="pct"/>
            <w:tcBorders>
              <w:top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szCs w:val="16"/>
              </w:rPr>
            </w:pPr>
            <w:r w:rsidRPr="00BF1EC9">
              <w:rPr>
                <w:rFonts w:cs="Arial"/>
                <w:b/>
                <w:szCs w:val="16"/>
              </w:rPr>
              <w:t>36.1</w:t>
            </w:r>
          </w:p>
        </w:tc>
        <w:tc>
          <w:tcPr>
            <w:tcW w:w="468" w:type="pct"/>
            <w:tcBorders>
              <w:top w:val="nil"/>
              <w:left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szCs w:val="16"/>
              </w:rPr>
            </w:pPr>
            <w:r w:rsidRPr="00BF1EC9">
              <w:rPr>
                <w:rFonts w:cs="Arial"/>
                <w:b/>
                <w:szCs w:val="16"/>
              </w:rPr>
              <w:t>23.5</w:t>
            </w:r>
          </w:p>
        </w:tc>
        <w:tc>
          <w:tcPr>
            <w:tcW w:w="486" w:type="pct"/>
            <w:tcBorders>
              <w:top w:val="nil"/>
              <w:left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szCs w:val="16"/>
              </w:rPr>
            </w:pPr>
            <w:r w:rsidRPr="00BF1EC9">
              <w:rPr>
                <w:rFonts w:cs="Arial"/>
                <w:b/>
                <w:szCs w:val="16"/>
              </w:rPr>
              <w:t>59.6</w:t>
            </w:r>
          </w:p>
        </w:tc>
        <w:tc>
          <w:tcPr>
            <w:tcW w:w="469" w:type="pct"/>
            <w:gridSpan w:val="2"/>
            <w:tcBorders>
              <w:top w:val="nil"/>
              <w:left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szCs w:val="16"/>
              </w:rPr>
            </w:pPr>
            <w:r w:rsidRPr="00BF1EC9">
              <w:rPr>
                <w:rFonts w:cs="Arial"/>
                <w:b/>
                <w:szCs w:val="16"/>
              </w:rPr>
              <w:t>15.2</w:t>
            </w:r>
          </w:p>
        </w:tc>
        <w:tc>
          <w:tcPr>
            <w:tcW w:w="468" w:type="pct"/>
            <w:tcBorders>
              <w:top w:val="nil"/>
              <w:left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szCs w:val="16"/>
              </w:rPr>
            </w:pPr>
            <w:r w:rsidRPr="00BF1EC9">
              <w:rPr>
                <w:rFonts w:cs="Arial"/>
                <w:b/>
                <w:szCs w:val="16"/>
              </w:rPr>
              <w:t>9.2</w:t>
            </w:r>
          </w:p>
        </w:tc>
        <w:tc>
          <w:tcPr>
            <w:tcW w:w="468" w:type="pct"/>
            <w:tcBorders>
              <w:top w:val="nil"/>
              <w:left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szCs w:val="16"/>
              </w:rPr>
            </w:pPr>
            <w:r w:rsidRPr="00BF1EC9">
              <w:rPr>
                <w:rFonts w:cs="Arial"/>
                <w:b/>
                <w:szCs w:val="16"/>
              </w:rPr>
              <w:t>16.0</w:t>
            </w:r>
          </w:p>
        </w:tc>
        <w:tc>
          <w:tcPr>
            <w:tcW w:w="469" w:type="pct"/>
            <w:tcBorders>
              <w:top w:val="nil"/>
              <w:left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szCs w:val="16"/>
              </w:rPr>
            </w:pPr>
            <w:r w:rsidRPr="00BF1EC9">
              <w:rPr>
                <w:rFonts w:cs="Arial"/>
                <w:b/>
                <w:szCs w:val="16"/>
              </w:rPr>
              <w:t>100.0</w:t>
            </w:r>
          </w:p>
        </w:tc>
      </w:tr>
      <w:tr w:rsidR="00A332D1" w:rsidRPr="00BF1EC9" w:rsidTr="00BF1EC9">
        <w:trPr>
          <w:trHeight w:val="264"/>
        </w:trPr>
        <w:tc>
          <w:tcPr>
            <w:tcW w:w="1705" w:type="pct"/>
            <w:tcBorders>
              <w:top w:val="single" w:sz="4" w:space="0" w:color="auto"/>
              <w:bottom w:val="single" w:sz="4" w:space="0" w:color="auto"/>
              <w:right w:val="nil"/>
            </w:tcBorders>
            <w:shd w:val="clear" w:color="auto" w:fill="FFFFFF"/>
            <w:vAlign w:val="bottom"/>
          </w:tcPr>
          <w:p w:rsidR="00A332D1" w:rsidRPr="00BF1EC9" w:rsidRDefault="00BF1EC9" w:rsidP="00F45542">
            <w:pPr>
              <w:pStyle w:val="TableFigHeadingtotal"/>
              <w:rPr>
                <w:rFonts w:eastAsia="Calibri" w:cs="Arial"/>
                <w:b w:val="0"/>
                <w:sz w:val="22"/>
                <w:szCs w:val="22"/>
              </w:rPr>
            </w:pPr>
            <w:r w:rsidRPr="00BF1EC9">
              <w:rPr>
                <w:rFonts w:eastAsia="Calibri" w:cs="Arial"/>
              </w:rPr>
              <w:t>Non-Indigenous children</w:t>
            </w:r>
            <w:r w:rsidRPr="00BF1EC9">
              <w:rPr>
                <w:rFonts w:eastAsia="Calibri" w:cs="Arial"/>
                <w:vertAlign w:val="superscript"/>
              </w:rPr>
              <w:t>(c)</w:t>
            </w:r>
            <w:r w:rsidRPr="00BF1EC9">
              <w:rPr>
                <w:rFonts w:eastAsia="Calibri" w:cs="Arial"/>
                <w:vertAlign w:val="superscript"/>
              </w:rPr>
              <w:br/>
            </w:r>
            <w:r w:rsidR="00A332D1" w:rsidRPr="00BF1EC9">
              <w:rPr>
                <w:rFonts w:eastAsia="Calibri" w:cs="Arial"/>
              </w:rPr>
              <w:t>Number of different placements</w:t>
            </w:r>
          </w:p>
        </w:tc>
        <w:tc>
          <w:tcPr>
            <w:tcW w:w="467" w:type="pct"/>
            <w:tcBorders>
              <w:top w:val="single" w:sz="4" w:space="0" w:color="auto"/>
              <w:left w:val="nil"/>
              <w:bottom w:val="single" w:sz="4" w:space="0" w:color="auto"/>
              <w:right w:val="nil"/>
            </w:tcBorders>
            <w:shd w:val="clear" w:color="auto" w:fill="FFFFFF"/>
            <w:noWrap/>
            <w:vAlign w:val="bottom"/>
            <w:hideMark/>
          </w:tcPr>
          <w:p w:rsidR="00A332D1" w:rsidRPr="00BF1EC9" w:rsidRDefault="00A332D1" w:rsidP="00F45542">
            <w:pPr>
              <w:pStyle w:val="TableFigHeadingtotal"/>
              <w:jc w:val="right"/>
              <w:rPr>
                <w:rFonts w:eastAsia="Calibri" w:cs="Arial"/>
              </w:rPr>
            </w:pPr>
            <w:r w:rsidRPr="00BF1EC9">
              <w:rPr>
                <w:rFonts w:eastAsia="Calibri" w:cs="Arial"/>
              </w:rPr>
              <w:t>1</w:t>
            </w:r>
          </w:p>
        </w:tc>
        <w:tc>
          <w:tcPr>
            <w:tcW w:w="468" w:type="pct"/>
            <w:tcBorders>
              <w:top w:val="single" w:sz="4" w:space="0" w:color="auto"/>
              <w:left w:val="nil"/>
              <w:bottom w:val="single" w:sz="4" w:space="0" w:color="auto"/>
              <w:right w:val="nil"/>
            </w:tcBorders>
            <w:shd w:val="clear" w:color="auto" w:fill="FFFFFF"/>
            <w:noWrap/>
            <w:vAlign w:val="bottom"/>
            <w:hideMark/>
          </w:tcPr>
          <w:p w:rsidR="00A332D1" w:rsidRPr="00BF1EC9" w:rsidRDefault="00A332D1" w:rsidP="00F45542">
            <w:pPr>
              <w:pStyle w:val="TableFigHeadingtotal"/>
              <w:jc w:val="right"/>
              <w:rPr>
                <w:rFonts w:eastAsia="Calibri" w:cs="Arial"/>
              </w:rPr>
            </w:pPr>
            <w:r w:rsidRPr="00BF1EC9">
              <w:rPr>
                <w:rFonts w:eastAsia="Calibri" w:cs="Arial"/>
              </w:rPr>
              <w:t>2</w:t>
            </w:r>
          </w:p>
        </w:tc>
        <w:tc>
          <w:tcPr>
            <w:tcW w:w="559" w:type="pct"/>
            <w:gridSpan w:val="2"/>
            <w:tcBorders>
              <w:top w:val="single" w:sz="4" w:space="0" w:color="auto"/>
              <w:left w:val="nil"/>
              <w:bottom w:val="single" w:sz="4" w:space="0" w:color="auto"/>
              <w:right w:val="nil"/>
            </w:tcBorders>
            <w:shd w:val="clear" w:color="auto" w:fill="FFFFFF"/>
            <w:noWrap/>
            <w:vAlign w:val="bottom"/>
            <w:hideMark/>
          </w:tcPr>
          <w:p w:rsidR="00A332D1" w:rsidRPr="00BF1EC9" w:rsidRDefault="00A332D1" w:rsidP="00F45542">
            <w:pPr>
              <w:pStyle w:val="TableFigHeadingtotal"/>
              <w:jc w:val="right"/>
              <w:rPr>
                <w:rFonts w:eastAsia="Calibri" w:cs="Arial"/>
              </w:rPr>
            </w:pPr>
            <w:r w:rsidRPr="00BF1EC9">
              <w:rPr>
                <w:rFonts w:eastAsia="Calibri" w:cs="Arial"/>
              </w:rPr>
              <w:t>1–2 subtotal</w:t>
            </w:r>
          </w:p>
        </w:tc>
        <w:tc>
          <w:tcPr>
            <w:tcW w:w="396" w:type="pct"/>
            <w:tcBorders>
              <w:top w:val="single" w:sz="4" w:space="0" w:color="auto"/>
              <w:left w:val="nil"/>
              <w:bottom w:val="single" w:sz="4" w:space="0" w:color="auto"/>
              <w:right w:val="nil"/>
            </w:tcBorders>
            <w:shd w:val="clear" w:color="auto" w:fill="FFFFFF"/>
            <w:noWrap/>
            <w:vAlign w:val="bottom"/>
            <w:hideMark/>
          </w:tcPr>
          <w:p w:rsidR="00A332D1" w:rsidRPr="00BF1EC9" w:rsidRDefault="00A332D1" w:rsidP="00F45542">
            <w:pPr>
              <w:pStyle w:val="TableFigHeadingtotal"/>
              <w:jc w:val="right"/>
              <w:rPr>
                <w:rFonts w:eastAsia="Calibri" w:cs="Arial"/>
              </w:rPr>
            </w:pPr>
            <w:r w:rsidRPr="00BF1EC9">
              <w:rPr>
                <w:rFonts w:eastAsia="Calibri" w:cs="Arial"/>
              </w:rPr>
              <w:t>3</w:t>
            </w:r>
          </w:p>
        </w:tc>
        <w:tc>
          <w:tcPr>
            <w:tcW w:w="468" w:type="pct"/>
            <w:tcBorders>
              <w:top w:val="single" w:sz="4" w:space="0" w:color="auto"/>
              <w:left w:val="nil"/>
              <w:bottom w:val="single" w:sz="4" w:space="0" w:color="auto"/>
              <w:right w:val="nil"/>
            </w:tcBorders>
            <w:shd w:val="clear" w:color="auto" w:fill="FFFFFF"/>
            <w:noWrap/>
            <w:tcMar>
              <w:left w:w="28" w:type="dxa"/>
            </w:tcMar>
            <w:vAlign w:val="bottom"/>
            <w:hideMark/>
          </w:tcPr>
          <w:p w:rsidR="00A332D1" w:rsidRPr="00BF1EC9" w:rsidRDefault="00A332D1" w:rsidP="00F45542">
            <w:pPr>
              <w:pStyle w:val="TableFigHeadingtotal"/>
              <w:jc w:val="right"/>
              <w:rPr>
                <w:rFonts w:eastAsia="Calibri" w:cs="Arial"/>
              </w:rPr>
            </w:pPr>
            <w:r w:rsidRPr="00BF1EC9">
              <w:rPr>
                <w:rFonts w:eastAsia="Calibri" w:cs="Arial"/>
              </w:rPr>
              <w:t>4</w:t>
            </w:r>
          </w:p>
        </w:tc>
        <w:tc>
          <w:tcPr>
            <w:tcW w:w="468" w:type="pct"/>
            <w:tcBorders>
              <w:top w:val="single" w:sz="4" w:space="0" w:color="auto"/>
              <w:left w:val="nil"/>
              <w:bottom w:val="single" w:sz="4" w:space="0" w:color="auto"/>
              <w:right w:val="nil"/>
            </w:tcBorders>
            <w:shd w:val="clear" w:color="auto" w:fill="FFFFFF"/>
            <w:noWrap/>
            <w:tcMar>
              <w:left w:w="28" w:type="dxa"/>
            </w:tcMar>
            <w:vAlign w:val="bottom"/>
            <w:hideMark/>
          </w:tcPr>
          <w:p w:rsidR="00A332D1" w:rsidRPr="00BF1EC9" w:rsidRDefault="00A332D1" w:rsidP="00F45542">
            <w:pPr>
              <w:pStyle w:val="TableFigHeadingtotal"/>
              <w:jc w:val="right"/>
              <w:rPr>
                <w:rFonts w:eastAsia="Calibri" w:cs="Arial"/>
              </w:rPr>
            </w:pPr>
            <w:r w:rsidRPr="00BF1EC9">
              <w:rPr>
                <w:rFonts w:eastAsia="Calibri" w:cs="Arial"/>
              </w:rPr>
              <w:t xml:space="preserve">5+ </w:t>
            </w:r>
          </w:p>
        </w:tc>
        <w:tc>
          <w:tcPr>
            <w:tcW w:w="469" w:type="pct"/>
            <w:tcBorders>
              <w:top w:val="single" w:sz="4" w:space="0" w:color="auto"/>
              <w:left w:val="nil"/>
              <w:bottom w:val="single" w:sz="4" w:space="0" w:color="auto"/>
              <w:right w:val="nil"/>
            </w:tcBorders>
            <w:shd w:val="clear" w:color="auto" w:fill="FFFFFF"/>
            <w:vAlign w:val="bottom"/>
            <w:hideMark/>
          </w:tcPr>
          <w:p w:rsidR="00A332D1" w:rsidRPr="00BF1EC9" w:rsidRDefault="00A332D1" w:rsidP="00F45542">
            <w:pPr>
              <w:pStyle w:val="TableFigHeadingtotal"/>
              <w:jc w:val="right"/>
              <w:rPr>
                <w:rFonts w:eastAsia="Calibri" w:cs="Arial"/>
              </w:rPr>
            </w:pPr>
            <w:r w:rsidRPr="00BF1EC9">
              <w:rPr>
                <w:rFonts w:eastAsia="Calibri" w:cs="Arial"/>
              </w:rPr>
              <w:t>Total</w:t>
            </w:r>
          </w:p>
        </w:tc>
      </w:tr>
      <w:tr w:rsidR="00A332D1" w:rsidRPr="00BF1EC9" w:rsidTr="00BF1EC9">
        <w:trPr>
          <w:trHeight w:val="264"/>
        </w:trPr>
        <w:tc>
          <w:tcPr>
            <w:tcW w:w="1705" w:type="pct"/>
            <w:shd w:val="clear" w:color="auto" w:fill="FFFFFF"/>
            <w:noWrap/>
            <w:vAlign w:val="center"/>
          </w:tcPr>
          <w:p w:rsidR="00A332D1" w:rsidRPr="00BF1EC9" w:rsidRDefault="00A332D1" w:rsidP="00F45542">
            <w:pPr>
              <w:pStyle w:val="TableFigHeadingtotal"/>
              <w:rPr>
                <w:rFonts w:eastAsia="Calibri" w:cs="Arial"/>
                <w:b w:val="0"/>
              </w:rPr>
            </w:pPr>
            <w:r w:rsidRPr="00BF1EC9">
              <w:rPr>
                <w:rFonts w:eastAsia="Calibri" w:cs="Arial"/>
                <w:b w:val="0"/>
              </w:rPr>
              <w:t>Length of time in out-of-home care</w:t>
            </w:r>
          </w:p>
        </w:tc>
        <w:tc>
          <w:tcPr>
            <w:tcW w:w="467" w:type="pct"/>
            <w:tcBorders>
              <w:top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p>
        </w:tc>
        <w:tc>
          <w:tcPr>
            <w:tcW w:w="486"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p>
        </w:tc>
        <w:tc>
          <w:tcPr>
            <w:tcW w:w="469" w:type="pct"/>
            <w:gridSpan w:val="2"/>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p>
        </w:tc>
        <w:tc>
          <w:tcPr>
            <w:tcW w:w="469"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p>
        </w:tc>
      </w:tr>
      <w:tr w:rsidR="00A332D1" w:rsidRPr="00BF1EC9" w:rsidTr="00BF1EC9">
        <w:trPr>
          <w:trHeight w:val="264"/>
        </w:trPr>
        <w:tc>
          <w:tcPr>
            <w:tcW w:w="1705" w:type="pct"/>
            <w:shd w:val="clear" w:color="auto" w:fill="FFFFFF"/>
            <w:noWrap/>
            <w:vAlign w:val="bottom"/>
          </w:tcPr>
          <w:p w:rsidR="00A332D1" w:rsidRPr="00BF1EC9" w:rsidRDefault="00A332D1" w:rsidP="00F45542">
            <w:pPr>
              <w:pStyle w:val="TableFigText"/>
              <w:rPr>
                <w:rFonts w:eastAsia="Calibri" w:cs="Arial"/>
              </w:rPr>
            </w:pPr>
            <w:r w:rsidRPr="00BF1EC9">
              <w:rPr>
                <w:rFonts w:eastAsia="Calibri" w:cs="Arial"/>
              </w:rPr>
              <w:t>1 month to &lt; 6 months</w:t>
            </w:r>
          </w:p>
        </w:tc>
        <w:tc>
          <w:tcPr>
            <w:tcW w:w="467" w:type="pct"/>
            <w:tcBorders>
              <w:top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17.1</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4.9</w:t>
            </w:r>
          </w:p>
        </w:tc>
        <w:tc>
          <w:tcPr>
            <w:tcW w:w="486"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22.1</w:t>
            </w:r>
          </w:p>
        </w:tc>
        <w:tc>
          <w:tcPr>
            <w:tcW w:w="469" w:type="pct"/>
            <w:gridSpan w:val="2"/>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1.3</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0.4</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0.1</w:t>
            </w:r>
          </w:p>
        </w:tc>
        <w:tc>
          <w:tcPr>
            <w:tcW w:w="469"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24.0</w:t>
            </w:r>
          </w:p>
        </w:tc>
      </w:tr>
      <w:tr w:rsidR="00A332D1" w:rsidRPr="00BF1EC9" w:rsidTr="00BF1EC9">
        <w:trPr>
          <w:trHeight w:val="264"/>
        </w:trPr>
        <w:tc>
          <w:tcPr>
            <w:tcW w:w="1705" w:type="pct"/>
            <w:shd w:val="clear" w:color="auto" w:fill="FFFFFF"/>
            <w:noWrap/>
            <w:vAlign w:val="bottom"/>
          </w:tcPr>
          <w:p w:rsidR="00A332D1" w:rsidRPr="00BF1EC9" w:rsidRDefault="00A332D1" w:rsidP="00F45542">
            <w:pPr>
              <w:pStyle w:val="TableFigText"/>
              <w:rPr>
                <w:rFonts w:eastAsia="Calibri" w:cs="Arial"/>
              </w:rPr>
            </w:pPr>
            <w:r w:rsidRPr="00BF1EC9">
              <w:rPr>
                <w:rFonts w:eastAsia="Calibri" w:cs="Arial"/>
              </w:rPr>
              <w:t>6 months to &lt; 1 year</w:t>
            </w:r>
          </w:p>
        </w:tc>
        <w:tc>
          <w:tcPr>
            <w:tcW w:w="467" w:type="pct"/>
            <w:tcBorders>
              <w:top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7.5</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4.1</w:t>
            </w:r>
          </w:p>
        </w:tc>
        <w:tc>
          <w:tcPr>
            <w:tcW w:w="486"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11.6</w:t>
            </w:r>
          </w:p>
        </w:tc>
        <w:tc>
          <w:tcPr>
            <w:tcW w:w="469" w:type="pct"/>
            <w:gridSpan w:val="2"/>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2.0</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0.6</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0.4</w:t>
            </w:r>
          </w:p>
        </w:tc>
        <w:tc>
          <w:tcPr>
            <w:tcW w:w="469"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14.7</w:t>
            </w:r>
          </w:p>
        </w:tc>
      </w:tr>
      <w:tr w:rsidR="00A332D1" w:rsidRPr="00BF1EC9" w:rsidTr="00BF1EC9">
        <w:trPr>
          <w:trHeight w:val="264"/>
        </w:trPr>
        <w:tc>
          <w:tcPr>
            <w:tcW w:w="1705" w:type="pct"/>
            <w:shd w:val="clear" w:color="auto" w:fill="FFFFFF"/>
            <w:noWrap/>
            <w:vAlign w:val="bottom"/>
          </w:tcPr>
          <w:p w:rsidR="00A332D1" w:rsidRPr="00BF1EC9" w:rsidRDefault="00A332D1" w:rsidP="00F45542">
            <w:pPr>
              <w:pStyle w:val="TableFigText"/>
              <w:rPr>
                <w:rFonts w:eastAsia="Calibri" w:cs="Arial"/>
              </w:rPr>
            </w:pPr>
            <w:r w:rsidRPr="00BF1EC9">
              <w:rPr>
                <w:rFonts w:eastAsia="Calibri" w:cs="Arial"/>
              </w:rPr>
              <w:t>1 year to &lt; 2 years</w:t>
            </w:r>
          </w:p>
        </w:tc>
        <w:tc>
          <w:tcPr>
            <w:tcW w:w="467" w:type="pct"/>
            <w:tcBorders>
              <w:top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5.3</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4.3</w:t>
            </w:r>
          </w:p>
        </w:tc>
        <w:tc>
          <w:tcPr>
            <w:tcW w:w="486"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9.7</w:t>
            </w:r>
          </w:p>
        </w:tc>
        <w:tc>
          <w:tcPr>
            <w:tcW w:w="469" w:type="pct"/>
            <w:gridSpan w:val="2"/>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2.6</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1.6</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1.4</w:t>
            </w:r>
          </w:p>
        </w:tc>
        <w:tc>
          <w:tcPr>
            <w:tcW w:w="469"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15.2</w:t>
            </w:r>
          </w:p>
        </w:tc>
      </w:tr>
      <w:tr w:rsidR="00A332D1" w:rsidRPr="00BF1EC9" w:rsidTr="00BF1EC9">
        <w:trPr>
          <w:trHeight w:val="264"/>
        </w:trPr>
        <w:tc>
          <w:tcPr>
            <w:tcW w:w="1705" w:type="pct"/>
            <w:shd w:val="clear" w:color="auto" w:fill="FFFFFF"/>
            <w:noWrap/>
            <w:vAlign w:val="bottom"/>
          </w:tcPr>
          <w:p w:rsidR="00A332D1" w:rsidRPr="00BF1EC9" w:rsidRDefault="00A332D1" w:rsidP="00F45542">
            <w:pPr>
              <w:pStyle w:val="TableFigText"/>
              <w:rPr>
                <w:rFonts w:eastAsia="Calibri" w:cs="Arial"/>
              </w:rPr>
            </w:pPr>
            <w:r w:rsidRPr="00BF1EC9">
              <w:rPr>
                <w:rFonts w:eastAsia="Calibri" w:cs="Arial"/>
              </w:rPr>
              <w:t>2 years to &lt; 5 years</w:t>
            </w:r>
          </w:p>
        </w:tc>
        <w:tc>
          <w:tcPr>
            <w:tcW w:w="467" w:type="pct"/>
            <w:tcBorders>
              <w:top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4.8</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5.3</w:t>
            </w:r>
          </w:p>
        </w:tc>
        <w:tc>
          <w:tcPr>
            <w:tcW w:w="486"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10.1</w:t>
            </w:r>
          </w:p>
        </w:tc>
        <w:tc>
          <w:tcPr>
            <w:tcW w:w="469" w:type="pct"/>
            <w:gridSpan w:val="2"/>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3.3</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3.1</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5.1</w:t>
            </w:r>
          </w:p>
        </w:tc>
        <w:tc>
          <w:tcPr>
            <w:tcW w:w="469"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21.6</w:t>
            </w:r>
          </w:p>
        </w:tc>
      </w:tr>
      <w:tr w:rsidR="00A332D1" w:rsidRPr="00BF1EC9" w:rsidTr="00BF1EC9">
        <w:trPr>
          <w:trHeight w:val="264"/>
        </w:trPr>
        <w:tc>
          <w:tcPr>
            <w:tcW w:w="1705" w:type="pct"/>
            <w:shd w:val="clear" w:color="auto" w:fill="FFFFFF"/>
            <w:noWrap/>
            <w:vAlign w:val="bottom"/>
          </w:tcPr>
          <w:p w:rsidR="00A332D1" w:rsidRPr="00BF1EC9" w:rsidRDefault="00A332D1" w:rsidP="00F45542">
            <w:pPr>
              <w:pStyle w:val="TableFigText"/>
              <w:rPr>
                <w:rFonts w:eastAsia="Calibri" w:cs="Arial"/>
              </w:rPr>
            </w:pPr>
            <w:r w:rsidRPr="00BF1EC9">
              <w:rPr>
                <w:rFonts w:eastAsia="Calibri" w:cs="Arial"/>
              </w:rPr>
              <w:t>5 years or more</w:t>
            </w:r>
          </w:p>
        </w:tc>
        <w:tc>
          <w:tcPr>
            <w:tcW w:w="467" w:type="pct"/>
            <w:tcBorders>
              <w:top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6.1</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4.7</w:t>
            </w:r>
          </w:p>
        </w:tc>
        <w:tc>
          <w:tcPr>
            <w:tcW w:w="486"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10.8</w:t>
            </w:r>
          </w:p>
        </w:tc>
        <w:tc>
          <w:tcPr>
            <w:tcW w:w="469" w:type="pct"/>
            <w:gridSpan w:val="2"/>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3.0</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2.5</w:t>
            </w:r>
          </w:p>
        </w:tc>
        <w:tc>
          <w:tcPr>
            <w:tcW w:w="468"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8.2</w:t>
            </w:r>
          </w:p>
        </w:tc>
        <w:tc>
          <w:tcPr>
            <w:tcW w:w="469" w:type="pct"/>
            <w:tcBorders>
              <w:top w:val="nil"/>
              <w:left w:val="nil"/>
              <w:bottom w:val="nil"/>
              <w:right w:val="nil"/>
            </w:tcBorders>
            <w:shd w:val="clear" w:color="000000" w:fill="FFFFFF"/>
            <w:noWrap/>
            <w:vAlign w:val="bottom"/>
          </w:tcPr>
          <w:p w:rsidR="00A332D1" w:rsidRPr="00BF1EC9" w:rsidRDefault="00A332D1" w:rsidP="00F45542">
            <w:pPr>
              <w:pStyle w:val="TableFigText"/>
              <w:jc w:val="right"/>
              <w:rPr>
                <w:rFonts w:cs="Arial"/>
                <w:szCs w:val="16"/>
              </w:rPr>
            </w:pPr>
            <w:r w:rsidRPr="00BF1EC9">
              <w:rPr>
                <w:rFonts w:cs="Arial"/>
                <w:szCs w:val="16"/>
              </w:rPr>
              <w:t>24.5</w:t>
            </w:r>
          </w:p>
        </w:tc>
      </w:tr>
      <w:tr w:rsidR="00A332D1" w:rsidRPr="00BF1EC9" w:rsidTr="00BF1EC9">
        <w:trPr>
          <w:trHeight w:val="264"/>
        </w:trPr>
        <w:tc>
          <w:tcPr>
            <w:tcW w:w="1705" w:type="pct"/>
            <w:shd w:val="clear" w:color="auto" w:fill="FFFFFF"/>
            <w:noWrap/>
            <w:vAlign w:val="center"/>
          </w:tcPr>
          <w:p w:rsidR="00A332D1" w:rsidRPr="00BF1EC9" w:rsidRDefault="00A332D1" w:rsidP="00F45542">
            <w:pPr>
              <w:pStyle w:val="TableFigText"/>
              <w:rPr>
                <w:rFonts w:eastAsia="Calibri" w:cs="Arial"/>
                <w:b/>
              </w:rPr>
            </w:pPr>
            <w:r w:rsidRPr="00BF1EC9">
              <w:rPr>
                <w:rFonts w:eastAsia="Calibri" w:cs="Arial"/>
                <w:b/>
              </w:rPr>
              <w:t>Total children</w:t>
            </w:r>
          </w:p>
        </w:tc>
        <w:tc>
          <w:tcPr>
            <w:tcW w:w="467" w:type="pct"/>
            <w:tcBorders>
              <w:top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szCs w:val="16"/>
              </w:rPr>
            </w:pPr>
            <w:r w:rsidRPr="00BF1EC9">
              <w:rPr>
                <w:rFonts w:cs="Arial"/>
                <w:b/>
                <w:szCs w:val="16"/>
              </w:rPr>
              <w:t>40.9</w:t>
            </w:r>
          </w:p>
        </w:tc>
        <w:tc>
          <w:tcPr>
            <w:tcW w:w="468" w:type="pct"/>
            <w:tcBorders>
              <w:top w:val="nil"/>
              <w:left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szCs w:val="16"/>
              </w:rPr>
            </w:pPr>
            <w:r w:rsidRPr="00BF1EC9">
              <w:rPr>
                <w:rFonts w:cs="Arial"/>
                <w:b/>
                <w:szCs w:val="16"/>
              </w:rPr>
              <w:t>23.3</w:t>
            </w:r>
          </w:p>
        </w:tc>
        <w:tc>
          <w:tcPr>
            <w:tcW w:w="486" w:type="pct"/>
            <w:tcBorders>
              <w:top w:val="nil"/>
              <w:left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szCs w:val="16"/>
              </w:rPr>
            </w:pPr>
            <w:r w:rsidRPr="00BF1EC9">
              <w:rPr>
                <w:rFonts w:cs="Arial"/>
                <w:b/>
                <w:szCs w:val="16"/>
              </w:rPr>
              <w:t>64.2</w:t>
            </w:r>
          </w:p>
        </w:tc>
        <w:tc>
          <w:tcPr>
            <w:tcW w:w="469" w:type="pct"/>
            <w:gridSpan w:val="2"/>
            <w:tcBorders>
              <w:top w:val="nil"/>
              <w:left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szCs w:val="16"/>
              </w:rPr>
            </w:pPr>
            <w:r w:rsidRPr="00BF1EC9">
              <w:rPr>
                <w:rFonts w:cs="Arial"/>
                <w:b/>
                <w:szCs w:val="16"/>
              </w:rPr>
              <w:t>12.3</w:t>
            </w:r>
          </w:p>
        </w:tc>
        <w:tc>
          <w:tcPr>
            <w:tcW w:w="468" w:type="pct"/>
            <w:tcBorders>
              <w:top w:val="nil"/>
              <w:left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szCs w:val="16"/>
              </w:rPr>
            </w:pPr>
            <w:r w:rsidRPr="00BF1EC9">
              <w:rPr>
                <w:rFonts w:cs="Arial"/>
                <w:b/>
                <w:szCs w:val="16"/>
              </w:rPr>
              <w:t>8.3</w:t>
            </w:r>
          </w:p>
        </w:tc>
        <w:tc>
          <w:tcPr>
            <w:tcW w:w="468" w:type="pct"/>
            <w:tcBorders>
              <w:top w:val="nil"/>
              <w:left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szCs w:val="16"/>
              </w:rPr>
            </w:pPr>
            <w:r w:rsidRPr="00BF1EC9">
              <w:rPr>
                <w:rFonts w:cs="Arial"/>
                <w:b/>
                <w:szCs w:val="16"/>
              </w:rPr>
              <w:t>15.2</w:t>
            </w:r>
          </w:p>
        </w:tc>
        <w:tc>
          <w:tcPr>
            <w:tcW w:w="469" w:type="pct"/>
            <w:tcBorders>
              <w:top w:val="nil"/>
              <w:left w:val="nil"/>
              <w:bottom w:val="single" w:sz="4" w:space="0" w:color="auto"/>
              <w:right w:val="nil"/>
            </w:tcBorders>
            <w:shd w:val="clear" w:color="000000" w:fill="FFFFFF"/>
            <w:noWrap/>
            <w:vAlign w:val="bottom"/>
          </w:tcPr>
          <w:p w:rsidR="00A332D1" w:rsidRPr="00BF1EC9" w:rsidRDefault="00A332D1" w:rsidP="00F45542">
            <w:pPr>
              <w:pStyle w:val="TableFigText"/>
              <w:jc w:val="right"/>
              <w:rPr>
                <w:rFonts w:cs="Arial"/>
                <w:b/>
                <w:szCs w:val="16"/>
              </w:rPr>
            </w:pPr>
            <w:r w:rsidRPr="00BF1EC9">
              <w:rPr>
                <w:rFonts w:cs="Arial"/>
                <w:b/>
                <w:szCs w:val="16"/>
              </w:rPr>
              <w:t>100.0</w:t>
            </w:r>
          </w:p>
        </w:tc>
      </w:tr>
    </w:tbl>
    <w:p w:rsidR="007D69DB" w:rsidRPr="00343B82" w:rsidRDefault="007D69DB" w:rsidP="00E40318">
      <w:pPr>
        <w:spacing w:before="60"/>
        <w:ind w:left="567" w:hanging="567"/>
        <w:rPr>
          <w:rFonts w:ascii="Arial" w:eastAsia="Calibri" w:hAnsi="Arial" w:cs="Arial"/>
          <w:sz w:val="14"/>
          <w:szCs w:val="14"/>
        </w:rPr>
      </w:pPr>
      <w:r w:rsidRPr="00343B82">
        <w:rPr>
          <w:rFonts w:ascii="Arial" w:eastAsia="Calibri" w:hAnsi="Arial" w:cs="Arial"/>
          <w:sz w:val="14"/>
          <w:szCs w:val="14"/>
        </w:rPr>
        <w:t>(a)</w:t>
      </w:r>
      <w:r w:rsidRPr="00343B82">
        <w:rPr>
          <w:rFonts w:ascii="Arial" w:eastAsia="Calibri" w:hAnsi="Arial" w:cs="Arial"/>
          <w:sz w:val="14"/>
          <w:szCs w:val="14"/>
        </w:rPr>
        <w:tab/>
        <w:t xml:space="preserve">Excludes WA. </w:t>
      </w:r>
    </w:p>
    <w:p w:rsidR="007D69DB" w:rsidRPr="00343B82" w:rsidRDefault="007D69DB" w:rsidP="00E40318">
      <w:pPr>
        <w:spacing w:before="60"/>
        <w:ind w:left="567" w:hanging="567"/>
        <w:rPr>
          <w:rFonts w:ascii="Arial" w:eastAsia="Calibri" w:hAnsi="Arial" w:cs="Arial"/>
          <w:sz w:val="14"/>
          <w:szCs w:val="14"/>
        </w:rPr>
      </w:pPr>
      <w:r w:rsidRPr="00343B82">
        <w:rPr>
          <w:rFonts w:ascii="Arial" w:eastAsia="Calibri" w:hAnsi="Arial" w:cs="Arial"/>
          <w:sz w:val="14"/>
          <w:szCs w:val="14"/>
        </w:rPr>
        <w:t>(b)</w:t>
      </w:r>
      <w:r w:rsidRPr="00343B82">
        <w:rPr>
          <w:rFonts w:ascii="Arial" w:eastAsia="Calibri" w:hAnsi="Arial" w:cs="Arial"/>
          <w:sz w:val="14"/>
          <w:szCs w:val="14"/>
        </w:rPr>
        <w:tab/>
        <w:t>‘All children’ includes children whose Indigenous status was unknown.</w:t>
      </w:r>
    </w:p>
    <w:p w:rsidR="007D69DB" w:rsidRPr="00343B82" w:rsidRDefault="007D69DB" w:rsidP="00E40318">
      <w:pPr>
        <w:spacing w:before="60"/>
        <w:ind w:left="567" w:hanging="567"/>
        <w:rPr>
          <w:rFonts w:ascii="Arial" w:eastAsia="Calibri" w:hAnsi="Arial" w:cs="Arial"/>
          <w:sz w:val="14"/>
          <w:szCs w:val="14"/>
        </w:rPr>
      </w:pPr>
      <w:r w:rsidRPr="00343B82">
        <w:rPr>
          <w:rFonts w:ascii="Arial" w:eastAsia="Calibri" w:hAnsi="Arial" w:cs="Arial"/>
          <w:sz w:val="14"/>
          <w:szCs w:val="14"/>
        </w:rPr>
        <w:t>(c)</w:t>
      </w:r>
      <w:r w:rsidRPr="00343B82">
        <w:rPr>
          <w:rFonts w:ascii="Arial" w:eastAsia="Calibri" w:hAnsi="Arial" w:cs="Arial"/>
          <w:sz w:val="14"/>
          <w:szCs w:val="14"/>
        </w:rPr>
        <w:tab/>
        <w:t>‘Non-Indigenous children’ excludes children whose Indigenous status was unknown.</w:t>
      </w:r>
    </w:p>
    <w:p w:rsidR="007D69DB" w:rsidRPr="00343B82" w:rsidRDefault="007D69DB" w:rsidP="00E40318">
      <w:pPr>
        <w:spacing w:before="60"/>
        <w:ind w:left="567" w:hanging="567"/>
        <w:rPr>
          <w:rFonts w:ascii="Arial" w:eastAsia="Calibri" w:hAnsi="Arial" w:cs="Arial"/>
          <w:sz w:val="14"/>
          <w:szCs w:val="14"/>
        </w:rPr>
      </w:pPr>
      <w:r w:rsidRPr="00343B82">
        <w:rPr>
          <w:rFonts w:ascii="Arial" w:eastAsia="Calibri" w:hAnsi="Arial" w:cs="Arial"/>
          <w:sz w:val="14"/>
          <w:szCs w:val="14"/>
        </w:rPr>
        <w:t>Note: Percentages in tables may not add to subtotals or totals due to rounding.</w:t>
      </w:r>
    </w:p>
    <w:p w:rsidR="007D69DB" w:rsidRPr="00343B82" w:rsidRDefault="007D69DB" w:rsidP="00E40318">
      <w:pPr>
        <w:spacing w:before="60"/>
        <w:ind w:left="567" w:hanging="567"/>
        <w:rPr>
          <w:rFonts w:ascii="Arial" w:eastAsia="Calibri" w:hAnsi="Arial" w:cs="Arial"/>
          <w:sz w:val="14"/>
          <w:szCs w:val="14"/>
        </w:rPr>
      </w:pPr>
      <w:r w:rsidRPr="00343B82">
        <w:rPr>
          <w:rFonts w:ascii="Arial" w:eastAsia="Calibri" w:hAnsi="Arial" w:cs="Arial"/>
          <w:sz w:val="14"/>
          <w:szCs w:val="14"/>
        </w:rPr>
        <w:t>Source: AIHW Child Protection Data Collections.</w:t>
      </w:r>
    </w:p>
    <w:p w:rsidR="007D69DB" w:rsidRPr="00343B82" w:rsidRDefault="007D69DB" w:rsidP="00343B82">
      <w:pPr>
        <w:spacing w:before="120"/>
        <w:ind w:left="567" w:hanging="567"/>
        <w:rPr>
          <w:rFonts w:ascii="Arial" w:eastAsia="Calibri" w:hAnsi="Arial" w:cs="Arial"/>
          <w:sz w:val="14"/>
          <w:szCs w:val="14"/>
        </w:rPr>
      </w:pPr>
    </w:p>
    <w:p w:rsidR="007D69DB" w:rsidRPr="00CF3154" w:rsidRDefault="007D69DB" w:rsidP="004B3342">
      <w:pPr>
        <w:pStyle w:val="Heading4a"/>
      </w:pPr>
      <w:r w:rsidRPr="00CF3154">
        <w:t>Measure 1.2: The rate and number of children in out-of-home care who were the subject of child protection substantiation and the person believed responsible was living in the household providing out-of-home care</w:t>
      </w:r>
    </w:p>
    <w:p w:rsidR="007D69DB" w:rsidRDefault="007D69DB" w:rsidP="007D69DB">
      <w:pPr>
        <w:rPr>
          <w:rFonts w:ascii="Calibri" w:hAnsi="Calibri"/>
          <w:sz w:val="24"/>
          <w:szCs w:val="24"/>
        </w:rPr>
      </w:pPr>
    </w:p>
    <w:p w:rsidR="007D69DB" w:rsidRDefault="007D69DB" w:rsidP="007D69DB">
      <w:pPr>
        <w:rPr>
          <w:rFonts w:ascii="Calibri" w:hAnsi="Calibri"/>
          <w:sz w:val="24"/>
          <w:szCs w:val="24"/>
        </w:rPr>
      </w:pPr>
      <w:r w:rsidRPr="00821556">
        <w:rPr>
          <w:rFonts w:ascii="Calibri" w:hAnsi="Calibri"/>
          <w:sz w:val="24"/>
          <w:szCs w:val="24"/>
        </w:rPr>
        <w:t>In 2011–12</w:t>
      </w:r>
      <w:r>
        <w:rPr>
          <w:rFonts w:ascii="Calibri" w:hAnsi="Calibri"/>
          <w:sz w:val="24"/>
          <w:szCs w:val="24"/>
        </w:rPr>
        <w:t>,</w:t>
      </w:r>
      <w:r w:rsidRPr="00821556">
        <w:rPr>
          <w:rFonts w:ascii="Calibri" w:hAnsi="Calibri"/>
          <w:sz w:val="24"/>
          <w:szCs w:val="24"/>
        </w:rPr>
        <w:t xml:space="preserve"> there were 46</w:t>
      </w:r>
      <w:r>
        <w:rPr>
          <w:rFonts w:ascii="Calibri" w:hAnsi="Calibri"/>
          <w:sz w:val="24"/>
          <w:szCs w:val="24"/>
        </w:rPr>
        <w:t> </w:t>
      </w:r>
      <w:r w:rsidRPr="00821556">
        <w:rPr>
          <w:rFonts w:ascii="Calibri" w:hAnsi="Calibri"/>
          <w:sz w:val="24"/>
          <w:szCs w:val="24"/>
        </w:rPr>
        <w:t>973 children in out-of-home care at some point during the year. Of these, 522 children (1.1</w:t>
      </w:r>
      <w:r>
        <w:rPr>
          <w:rFonts w:ascii="Calibri" w:hAnsi="Calibri"/>
          <w:sz w:val="24"/>
          <w:szCs w:val="24"/>
        </w:rPr>
        <w:t xml:space="preserve"> per cent</w:t>
      </w:r>
      <w:r w:rsidRPr="00821556">
        <w:rPr>
          <w:rFonts w:ascii="Calibri" w:hAnsi="Calibri"/>
          <w:sz w:val="24"/>
          <w:szCs w:val="24"/>
        </w:rPr>
        <w:t xml:space="preserve">) were the subject of </w:t>
      </w:r>
      <w:proofErr w:type="gramStart"/>
      <w:r w:rsidRPr="00821556">
        <w:rPr>
          <w:rFonts w:ascii="Calibri" w:hAnsi="Calibri"/>
          <w:sz w:val="24"/>
          <w:szCs w:val="24"/>
        </w:rPr>
        <w:t>a child</w:t>
      </w:r>
      <w:proofErr w:type="gramEnd"/>
      <w:r w:rsidRPr="00821556">
        <w:rPr>
          <w:rFonts w:ascii="Calibri" w:hAnsi="Calibri"/>
          <w:sz w:val="24"/>
          <w:szCs w:val="24"/>
        </w:rPr>
        <w:t xml:space="preserve"> protection substantiation during the year, and the person believed responsible was living in the household providing out-of-home care.</w:t>
      </w:r>
    </w:p>
    <w:p w:rsidR="007D69DB" w:rsidRDefault="007D69DB" w:rsidP="007D69DB">
      <w:pPr>
        <w:rPr>
          <w:rFonts w:ascii="Arial Bold" w:eastAsia="Calibri" w:hAnsi="Arial Bold"/>
          <w:b/>
          <w:bCs/>
          <w:sz w:val="18"/>
          <w:szCs w:val="18"/>
          <w:lang w:eastAsia="en-US"/>
        </w:rPr>
      </w:pPr>
    </w:p>
    <w:p w:rsidR="007D69DB" w:rsidRDefault="00E0613F" w:rsidP="00520DEC">
      <w:pPr>
        <w:pStyle w:val="Figure"/>
        <w:ind w:right="2124"/>
      </w:pPr>
      <w:bookmarkStart w:id="259" w:name="_Toc400010314"/>
      <w:r>
        <w:t xml:space="preserve">Table </w:t>
      </w:r>
      <w:fldSimple w:instr=" SEQ Table \* ARABIC ">
        <w:r w:rsidR="00BF1EC9">
          <w:rPr>
            <w:noProof/>
          </w:rPr>
          <w:t>28</w:t>
        </w:r>
      </w:fldSimple>
      <w:r w:rsidR="007D69DB" w:rsidRPr="0056644F">
        <w:rPr>
          <w:rFonts w:cs="Arial"/>
        </w:rPr>
        <w:t>: Children in out-of-home care who were the subject of a child protection substantiation and the</w:t>
      </w:r>
      <w:r w:rsidR="007D69DB" w:rsidRPr="00821556">
        <w:t xml:space="preserve"> person believed responsible was living in the household, 2011–12</w:t>
      </w:r>
      <w:bookmarkEnd w:id="259"/>
    </w:p>
    <w:tbl>
      <w:tblPr>
        <w:tblW w:w="7088" w:type="dxa"/>
        <w:tblInd w:w="108" w:type="dxa"/>
        <w:tblLook w:val="04A0" w:firstRow="1" w:lastRow="0" w:firstColumn="1" w:lastColumn="0" w:noHBand="0" w:noVBand="1"/>
        <w:tblDescription w:val="Table 28: Children in out-of-home care who were the subject of a child protection substantiation and the person believed responsible was living in the household, 2011–12"/>
      </w:tblPr>
      <w:tblGrid>
        <w:gridCol w:w="5812"/>
        <w:gridCol w:w="1276"/>
      </w:tblGrid>
      <w:tr w:rsidR="007D69DB" w:rsidRPr="00821556" w:rsidTr="00135409">
        <w:trPr>
          <w:trHeight w:val="264"/>
        </w:trPr>
        <w:tc>
          <w:tcPr>
            <w:tcW w:w="5812" w:type="dxa"/>
            <w:tcBorders>
              <w:top w:val="single" w:sz="4" w:space="0" w:color="auto"/>
              <w:bottom w:val="single" w:sz="4" w:space="0" w:color="auto"/>
            </w:tcBorders>
            <w:shd w:val="clear" w:color="auto" w:fill="FFFFFF"/>
            <w:noWrap/>
            <w:vAlign w:val="bottom"/>
            <w:hideMark/>
          </w:tcPr>
          <w:p w:rsidR="007D69DB" w:rsidRPr="00821556" w:rsidRDefault="007D69DB" w:rsidP="00135409">
            <w:pPr>
              <w:pStyle w:val="TableFigHeadingtotal"/>
              <w:rPr>
                <w:rFonts w:eastAsia="Calibri" w:cs="Arial"/>
              </w:rPr>
            </w:pPr>
          </w:p>
        </w:tc>
        <w:tc>
          <w:tcPr>
            <w:tcW w:w="1276" w:type="dxa"/>
            <w:tcBorders>
              <w:top w:val="single" w:sz="4" w:space="0" w:color="auto"/>
              <w:bottom w:val="single" w:sz="4" w:space="0" w:color="auto"/>
            </w:tcBorders>
            <w:shd w:val="clear" w:color="auto" w:fill="FFFFFF"/>
            <w:vAlign w:val="bottom"/>
            <w:hideMark/>
          </w:tcPr>
          <w:p w:rsidR="007D69DB" w:rsidRPr="00821556" w:rsidRDefault="007D69DB" w:rsidP="00135409">
            <w:pPr>
              <w:pStyle w:val="TableFigHeadingtotal"/>
              <w:jc w:val="right"/>
              <w:rPr>
                <w:rFonts w:eastAsia="Calibri" w:cs="Arial"/>
              </w:rPr>
            </w:pPr>
            <w:r w:rsidRPr="00821556">
              <w:rPr>
                <w:rFonts w:eastAsia="Calibri" w:cs="Arial"/>
              </w:rPr>
              <w:t>2011–12</w:t>
            </w:r>
          </w:p>
        </w:tc>
      </w:tr>
      <w:tr w:rsidR="007D69DB" w:rsidRPr="00821556" w:rsidTr="00135409">
        <w:trPr>
          <w:trHeight w:val="264"/>
        </w:trPr>
        <w:tc>
          <w:tcPr>
            <w:tcW w:w="5812" w:type="dxa"/>
            <w:tcBorders>
              <w:top w:val="single" w:sz="4" w:space="0" w:color="auto"/>
            </w:tcBorders>
            <w:shd w:val="clear" w:color="auto" w:fill="FFFFFF"/>
            <w:noWrap/>
            <w:vAlign w:val="bottom"/>
            <w:hideMark/>
          </w:tcPr>
          <w:p w:rsidR="007D69DB" w:rsidRPr="00821556" w:rsidRDefault="007D69DB" w:rsidP="00135409">
            <w:pPr>
              <w:pStyle w:val="TableFigText"/>
              <w:rPr>
                <w:rFonts w:eastAsia="Calibri" w:cs="Arial"/>
              </w:rPr>
            </w:pPr>
            <w:r w:rsidRPr="00821556">
              <w:rPr>
                <w:rFonts w:eastAsia="Calibri" w:cs="Arial"/>
              </w:rPr>
              <w:t>Number of children who were the subject of a child protection substantiation and the person believed responsible was living in the household</w:t>
            </w:r>
          </w:p>
        </w:tc>
        <w:tc>
          <w:tcPr>
            <w:tcW w:w="1276" w:type="dxa"/>
            <w:tcBorders>
              <w:top w:val="single" w:sz="4" w:space="0" w:color="auto"/>
            </w:tcBorders>
            <w:shd w:val="clear" w:color="auto" w:fill="FFFFFF"/>
            <w:noWrap/>
          </w:tcPr>
          <w:p w:rsidR="007D69DB" w:rsidRPr="00821556" w:rsidRDefault="007D69DB" w:rsidP="00135409">
            <w:pPr>
              <w:pStyle w:val="TableFigText"/>
              <w:jc w:val="right"/>
              <w:rPr>
                <w:rFonts w:eastAsia="Calibri" w:cs="Arial"/>
              </w:rPr>
            </w:pPr>
            <w:r w:rsidRPr="00821556">
              <w:rPr>
                <w:rFonts w:eastAsia="Calibri" w:cs="Arial"/>
              </w:rPr>
              <w:t>522</w:t>
            </w:r>
          </w:p>
        </w:tc>
      </w:tr>
      <w:tr w:rsidR="007D69DB" w:rsidRPr="00821556" w:rsidTr="00135409">
        <w:trPr>
          <w:trHeight w:val="264"/>
        </w:trPr>
        <w:tc>
          <w:tcPr>
            <w:tcW w:w="5812" w:type="dxa"/>
            <w:shd w:val="clear" w:color="auto" w:fill="FFFFFF"/>
            <w:noWrap/>
            <w:vAlign w:val="bottom"/>
          </w:tcPr>
          <w:p w:rsidR="007D69DB" w:rsidRPr="00821556" w:rsidRDefault="007D69DB" w:rsidP="00135409">
            <w:pPr>
              <w:pStyle w:val="TableFigHeadingtotal"/>
              <w:rPr>
                <w:rFonts w:eastAsia="Calibri" w:cs="Arial"/>
                <w:b w:val="0"/>
              </w:rPr>
            </w:pPr>
            <w:r w:rsidRPr="00821556">
              <w:rPr>
                <w:rFonts w:eastAsia="Calibri" w:cs="Arial"/>
                <w:b w:val="0"/>
              </w:rPr>
              <w:t>Number of children in at least one out-of-home care placement during 2011–12</w:t>
            </w:r>
          </w:p>
        </w:tc>
        <w:tc>
          <w:tcPr>
            <w:tcW w:w="1276" w:type="dxa"/>
            <w:shd w:val="clear" w:color="auto" w:fill="FFFFFF"/>
            <w:noWrap/>
          </w:tcPr>
          <w:p w:rsidR="007D69DB" w:rsidRPr="00821556" w:rsidRDefault="007D69DB" w:rsidP="00135409">
            <w:pPr>
              <w:pStyle w:val="TableFigText"/>
              <w:jc w:val="right"/>
              <w:rPr>
                <w:rFonts w:eastAsia="Calibri" w:cs="Arial"/>
              </w:rPr>
            </w:pPr>
            <w:r w:rsidRPr="00821556">
              <w:rPr>
                <w:rFonts w:eastAsia="Calibri" w:cs="Arial"/>
              </w:rPr>
              <w:t>46</w:t>
            </w:r>
            <w:r>
              <w:rPr>
                <w:rFonts w:eastAsia="Calibri" w:cs="Arial"/>
              </w:rPr>
              <w:t> </w:t>
            </w:r>
            <w:r w:rsidRPr="00821556">
              <w:rPr>
                <w:rFonts w:eastAsia="Calibri" w:cs="Arial"/>
              </w:rPr>
              <w:t>973</w:t>
            </w:r>
          </w:p>
        </w:tc>
      </w:tr>
      <w:tr w:rsidR="007D69DB" w:rsidRPr="00821556" w:rsidTr="00135409">
        <w:trPr>
          <w:trHeight w:val="264"/>
        </w:trPr>
        <w:tc>
          <w:tcPr>
            <w:tcW w:w="5812" w:type="dxa"/>
            <w:tcBorders>
              <w:bottom w:val="single" w:sz="4" w:space="0" w:color="auto"/>
            </w:tcBorders>
            <w:shd w:val="clear" w:color="auto" w:fill="FFFFFF"/>
            <w:noWrap/>
            <w:vAlign w:val="bottom"/>
          </w:tcPr>
          <w:p w:rsidR="007D69DB" w:rsidRPr="00821556" w:rsidRDefault="007D69DB" w:rsidP="00135409">
            <w:pPr>
              <w:pStyle w:val="TableFigHeadingtotal"/>
              <w:rPr>
                <w:rFonts w:eastAsia="Calibri" w:cs="Arial"/>
              </w:rPr>
            </w:pPr>
            <w:r w:rsidRPr="00821556">
              <w:rPr>
                <w:rFonts w:eastAsia="Calibri" w:cs="Arial"/>
              </w:rPr>
              <w:t>Per cent</w:t>
            </w:r>
            <w:r w:rsidRPr="00821556">
              <w:rPr>
                <w:rFonts w:ascii="Arial Bold" w:eastAsia="Calibri" w:hAnsi="Arial Bold" w:cs="Arial"/>
                <w:vertAlign w:val="superscript"/>
              </w:rPr>
              <w:t>(a)</w:t>
            </w:r>
          </w:p>
        </w:tc>
        <w:tc>
          <w:tcPr>
            <w:tcW w:w="1276" w:type="dxa"/>
            <w:tcBorders>
              <w:bottom w:val="single" w:sz="4" w:space="0" w:color="auto"/>
            </w:tcBorders>
            <w:shd w:val="clear" w:color="auto" w:fill="FFFFFF"/>
            <w:noWrap/>
          </w:tcPr>
          <w:p w:rsidR="007D69DB" w:rsidRPr="00821556" w:rsidRDefault="007D69DB" w:rsidP="00135409">
            <w:pPr>
              <w:pStyle w:val="TableFigText"/>
              <w:jc w:val="right"/>
              <w:rPr>
                <w:rFonts w:eastAsia="Calibri" w:cs="Arial"/>
              </w:rPr>
            </w:pPr>
            <w:r w:rsidRPr="00821556">
              <w:rPr>
                <w:rFonts w:eastAsia="Calibri" w:cs="Arial"/>
              </w:rPr>
              <w:t>1.1</w:t>
            </w:r>
          </w:p>
        </w:tc>
      </w:tr>
    </w:tbl>
    <w:p w:rsidR="007D69DB" w:rsidRPr="00343B82" w:rsidRDefault="007D69DB" w:rsidP="00343B82">
      <w:pPr>
        <w:spacing w:before="120"/>
        <w:ind w:left="567" w:hanging="567"/>
        <w:rPr>
          <w:rFonts w:ascii="Arial" w:eastAsia="Calibri" w:hAnsi="Arial" w:cs="Arial"/>
          <w:sz w:val="14"/>
          <w:szCs w:val="14"/>
        </w:rPr>
      </w:pPr>
      <w:r w:rsidRPr="00821556">
        <w:rPr>
          <w:rFonts w:eastAsia="Calibri"/>
        </w:rPr>
        <w:t>(</w:t>
      </w:r>
      <w:r w:rsidRPr="00343B82">
        <w:rPr>
          <w:rFonts w:ascii="Arial" w:eastAsia="Calibri" w:hAnsi="Arial" w:cs="Arial"/>
          <w:sz w:val="14"/>
          <w:szCs w:val="14"/>
        </w:rPr>
        <w:t>a)</w:t>
      </w:r>
      <w:r w:rsidRPr="00343B82">
        <w:rPr>
          <w:rFonts w:ascii="Arial" w:eastAsia="Calibri" w:hAnsi="Arial" w:cs="Arial"/>
          <w:sz w:val="14"/>
          <w:szCs w:val="14"/>
        </w:rPr>
        <w:tab/>
        <w:t xml:space="preserve">‘Per cent’ is children in care who were the subject of a substantiation as a proportion of all children in care. </w:t>
      </w:r>
    </w:p>
    <w:p w:rsidR="007D69DB" w:rsidRPr="00343B82" w:rsidRDefault="007D69DB" w:rsidP="00343B82">
      <w:pPr>
        <w:spacing w:before="120"/>
        <w:ind w:left="567" w:hanging="567"/>
        <w:rPr>
          <w:rFonts w:ascii="Arial" w:eastAsia="Calibri" w:hAnsi="Arial" w:cs="Arial"/>
          <w:sz w:val="14"/>
          <w:szCs w:val="14"/>
        </w:rPr>
      </w:pPr>
      <w:r w:rsidRPr="00343B82">
        <w:rPr>
          <w:rFonts w:ascii="Arial" w:eastAsia="Calibri" w:hAnsi="Arial" w:cs="Arial"/>
          <w:sz w:val="14"/>
          <w:szCs w:val="14"/>
        </w:rPr>
        <w:t>Notes</w:t>
      </w:r>
    </w:p>
    <w:p w:rsidR="007D69DB" w:rsidRPr="00343B82" w:rsidRDefault="007D69DB" w:rsidP="00343B82">
      <w:pPr>
        <w:spacing w:before="120"/>
        <w:ind w:left="567" w:hanging="567"/>
        <w:rPr>
          <w:rFonts w:ascii="Arial" w:eastAsia="Calibri" w:hAnsi="Arial" w:cs="Arial"/>
          <w:sz w:val="14"/>
          <w:szCs w:val="14"/>
        </w:rPr>
      </w:pPr>
      <w:r w:rsidRPr="00343B82">
        <w:rPr>
          <w:rFonts w:ascii="Arial" w:eastAsia="Calibri" w:hAnsi="Arial" w:cs="Arial"/>
          <w:sz w:val="14"/>
          <w:szCs w:val="14"/>
        </w:rPr>
        <w:t>1.</w:t>
      </w:r>
      <w:r w:rsidRPr="00343B82">
        <w:rPr>
          <w:rFonts w:ascii="Arial" w:eastAsia="Calibri" w:hAnsi="Arial" w:cs="Arial"/>
          <w:sz w:val="14"/>
          <w:szCs w:val="14"/>
        </w:rPr>
        <w:tab/>
        <w:t>Excludes the Northern Territory, as they are unable to provide data for this measure.</w:t>
      </w:r>
    </w:p>
    <w:p w:rsidR="007D69DB" w:rsidRPr="00343B82" w:rsidRDefault="007D69DB" w:rsidP="00343B82">
      <w:pPr>
        <w:spacing w:before="120"/>
        <w:ind w:left="567" w:hanging="567"/>
        <w:rPr>
          <w:rFonts w:ascii="Arial" w:eastAsia="Calibri" w:hAnsi="Arial" w:cs="Arial"/>
          <w:sz w:val="14"/>
          <w:szCs w:val="14"/>
        </w:rPr>
      </w:pPr>
      <w:r w:rsidRPr="00343B82">
        <w:rPr>
          <w:rFonts w:ascii="Arial" w:eastAsia="Calibri" w:hAnsi="Arial" w:cs="Arial"/>
          <w:sz w:val="14"/>
          <w:szCs w:val="14"/>
        </w:rPr>
        <w:t xml:space="preserve">2. </w:t>
      </w:r>
      <w:r w:rsidRPr="00343B82">
        <w:rPr>
          <w:rFonts w:ascii="Arial" w:eastAsia="Calibri" w:hAnsi="Arial" w:cs="Arial"/>
          <w:sz w:val="14"/>
          <w:szCs w:val="14"/>
        </w:rPr>
        <w:tab/>
        <w:t xml:space="preserve">Indigenous status data were not considered sufficiently reliable for reporting—25% of children included in the </w:t>
      </w:r>
      <w:r w:rsidRPr="00343B82">
        <w:rPr>
          <w:rFonts w:ascii="Arial" w:eastAsia="Calibri" w:hAnsi="Arial" w:cs="Arial"/>
          <w:sz w:val="14"/>
          <w:szCs w:val="14"/>
        </w:rPr>
        <w:br/>
        <w:t>above table were recorded as having unknown Indigenous status.</w:t>
      </w:r>
      <w:r w:rsidR="00A43557" w:rsidRPr="00343B82">
        <w:rPr>
          <w:rFonts w:ascii="Arial" w:eastAsia="Calibri" w:hAnsi="Arial" w:cs="Arial"/>
          <w:sz w:val="14"/>
          <w:szCs w:val="14"/>
        </w:rPr>
        <w:t xml:space="preserve"> </w:t>
      </w:r>
    </w:p>
    <w:p w:rsidR="007D69DB" w:rsidRPr="00343B82" w:rsidRDefault="007D69DB" w:rsidP="00343B82">
      <w:pPr>
        <w:spacing w:before="120"/>
        <w:ind w:left="567" w:hanging="567"/>
        <w:rPr>
          <w:rFonts w:ascii="Arial" w:eastAsia="Calibri" w:hAnsi="Arial" w:cs="Arial"/>
          <w:sz w:val="14"/>
          <w:szCs w:val="14"/>
        </w:rPr>
      </w:pPr>
      <w:r w:rsidRPr="00343B82">
        <w:rPr>
          <w:rFonts w:ascii="Arial" w:eastAsia="Calibri" w:hAnsi="Arial" w:cs="Arial"/>
          <w:sz w:val="14"/>
          <w:szCs w:val="14"/>
        </w:rPr>
        <w:t>Source: AIHW Child Protection Data Collections.</w:t>
      </w:r>
    </w:p>
    <w:p w:rsidR="007D69DB" w:rsidRPr="00821556" w:rsidRDefault="007D69DB" w:rsidP="007847B7">
      <w:pPr>
        <w:pStyle w:val="Heading3"/>
        <w:rPr>
          <w:rFonts w:eastAsia="Calibri"/>
        </w:rPr>
      </w:pPr>
      <w:bookmarkStart w:id="260" w:name="_Toc400007817"/>
      <w:r w:rsidRPr="00821556">
        <w:rPr>
          <w:rFonts w:eastAsia="Calibri"/>
        </w:rPr>
        <w:t>Standard 3: Aboriginal and Torres Strait Islander communities participate in decisions concerning the care and placement of their children and young people</w:t>
      </w:r>
      <w:bookmarkEnd w:id="260"/>
    </w:p>
    <w:p w:rsidR="007D69DB" w:rsidRDefault="007D69DB" w:rsidP="004B3342">
      <w:pPr>
        <w:pStyle w:val="Heading4a"/>
        <w:rPr>
          <w:rFonts w:eastAsia="Calibri"/>
        </w:rPr>
      </w:pPr>
      <w:r w:rsidRPr="00821556">
        <w:rPr>
          <w:rFonts w:eastAsia="Calibri"/>
        </w:rPr>
        <w:t xml:space="preserve">Measure 3.1: The proportion of Indigenous children and young people in out-of-home care placed with the child's extended family, with the child's Indigenous community, or with other Indigenous people, by carer type. </w:t>
      </w:r>
    </w:p>
    <w:p w:rsidR="007D69DB" w:rsidRPr="007B131C" w:rsidRDefault="007D69DB" w:rsidP="007D69DB">
      <w:pPr>
        <w:rPr>
          <w:rFonts w:asciiTheme="minorHAnsi" w:eastAsia="Calibri" w:hAnsiTheme="minorHAnsi"/>
          <w:sz w:val="24"/>
          <w:szCs w:val="24"/>
          <w:lang w:eastAsia="en-AU"/>
        </w:rPr>
      </w:pPr>
    </w:p>
    <w:p w:rsidR="007D69DB" w:rsidRDefault="007D69DB" w:rsidP="007D69DB">
      <w:pPr>
        <w:rPr>
          <w:rFonts w:ascii="Calibri" w:eastAsia="Calibri" w:hAnsi="Calibri"/>
          <w:sz w:val="24"/>
          <w:szCs w:val="24"/>
        </w:rPr>
      </w:pPr>
      <w:r w:rsidRPr="00821556">
        <w:rPr>
          <w:rFonts w:ascii="Calibri" w:eastAsia="Calibri" w:hAnsi="Calibri"/>
          <w:sz w:val="24"/>
          <w:szCs w:val="24"/>
        </w:rPr>
        <w:t xml:space="preserve">Of all Indigenous children in out-of-home care at 30 June 2012, </w:t>
      </w:r>
      <w:r w:rsidRPr="00821556">
        <w:rPr>
          <w:rFonts w:ascii="Calibri" w:eastAsia="Calibri" w:hAnsi="Calibri" w:cs="TheSans-B3Light"/>
          <w:sz w:val="24"/>
          <w:szCs w:val="24"/>
          <w:lang w:eastAsia="en-US"/>
        </w:rPr>
        <w:t xml:space="preserve">just </w:t>
      </w:r>
      <w:r w:rsidRPr="00821556">
        <w:rPr>
          <w:rFonts w:ascii="Calibri" w:eastAsia="Calibri" w:hAnsi="Calibri"/>
          <w:sz w:val="24"/>
          <w:szCs w:val="24"/>
        </w:rPr>
        <w:t>over two-thirds (69</w:t>
      </w:r>
      <w:r>
        <w:rPr>
          <w:rFonts w:ascii="Calibri" w:eastAsia="Calibri" w:hAnsi="Calibri"/>
          <w:sz w:val="24"/>
          <w:szCs w:val="24"/>
        </w:rPr>
        <w:t xml:space="preserve"> per cent</w:t>
      </w:r>
      <w:r w:rsidRPr="00821556">
        <w:rPr>
          <w:rFonts w:ascii="Calibri" w:eastAsia="Calibri" w:hAnsi="Calibri"/>
          <w:sz w:val="24"/>
          <w:szCs w:val="24"/>
        </w:rPr>
        <w:t>) were placed with the child’s extended family, with the child’s Indigenous community, or with other Indigenous people. Most were placed with Indigenous relatives or kin (38</w:t>
      </w:r>
      <w:r>
        <w:rPr>
          <w:rFonts w:ascii="Calibri" w:eastAsia="Calibri" w:hAnsi="Calibri"/>
          <w:sz w:val="24"/>
          <w:szCs w:val="24"/>
        </w:rPr>
        <w:t xml:space="preserve"> per cent</w:t>
      </w:r>
      <w:r w:rsidRPr="00821556">
        <w:rPr>
          <w:rFonts w:ascii="Calibri" w:eastAsia="Calibri" w:hAnsi="Calibri"/>
          <w:sz w:val="24"/>
          <w:szCs w:val="24"/>
        </w:rPr>
        <w:t>).</w:t>
      </w:r>
    </w:p>
    <w:p w:rsidR="007D69DB" w:rsidRPr="00821556" w:rsidRDefault="007D69DB" w:rsidP="007D69DB">
      <w:pPr>
        <w:rPr>
          <w:rFonts w:ascii="Calibri" w:eastAsia="Calibri" w:hAnsi="Calibri"/>
          <w:sz w:val="24"/>
          <w:szCs w:val="24"/>
        </w:rPr>
      </w:pPr>
    </w:p>
    <w:p w:rsidR="007D69DB" w:rsidRPr="00006903" w:rsidRDefault="00E0613F" w:rsidP="00520DEC">
      <w:pPr>
        <w:pStyle w:val="Figure"/>
        <w:ind w:right="2124"/>
      </w:pPr>
      <w:bookmarkStart w:id="261" w:name="_Toc400010315"/>
      <w:r>
        <w:t xml:space="preserve">Table </w:t>
      </w:r>
      <w:fldSimple w:instr=" SEQ Table \* ARABIC ">
        <w:r w:rsidR="00BF1EC9">
          <w:rPr>
            <w:noProof/>
          </w:rPr>
          <w:t>29</w:t>
        </w:r>
      </w:fldSimple>
      <w:r w:rsidR="007D69DB" w:rsidRPr="00006903">
        <w:t>: Indigenous children in out-of-home care, by carer type, 2011–12</w:t>
      </w:r>
      <w:bookmarkEnd w:id="261"/>
    </w:p>
    <w:tbl>
      <w:tblPr>
        <w:tblW w:w="5778" w:type="dxa"/>
        <w:tblLook w:val="04A0" w:firstRow="1" w:lastRow="0" w:firstColumn="1" w:lastColumn="0" w:noHBand="0" w:noVBand="1"/>
        <w:tblDescription w:val="Table 29: Indigenous children in out-of-home care, by carer type, 2011–12"/>
      </w:tblPr>
      <w:tblGrid>
        <w:gridCol w:w="4219"/>
        <w:gridCol w:w="1559"/>
      </w:tblGrid>
      <w:tr w:rsidR="007D69DB" w:rsidRPr="00BF1EC9" w:rsidTr="007E76F4">
        <w:trPr>
          <w:trHeight w:val="180"/>
        </w:trPr>
        <w:tc>
          <w:tcPr>
            <w:tcW w:w="4219" w:type="dxa"/>
            <w:tcBorders>
              <w:top w:val="single" w:sz="4" w:space="0" w:color="auto"/>
              <w:bottom w:val="single" w:sz="4" w:space="0" w:color="auto"/>
            </w:tcBorders>
            <w:shd w:val="clear" w:color="auto" w:fill="FFFFFF"/>
            <w:noWrap/>
            <w:vAlign w:val="bottom"/>
            <w:hideMark/>
          </w:tcPr>
          <w:p w:rsidR="007D69DB" w:rsidRPr="00BF1EC9" w:rsidRDefault="007D69DB" w:rsidP="00135409">
            <w:pPr>
              <w:pStyle w:val="TableFigHeadingtotal"/>
              <w:rPr>
                <w:rFonts w:eastAsia="Calibri" w:cs="Arial"/>
              </w:rPr>
            </w:pPr>
            <w:r w:rsidRPr="00BF1EC9">
              <w:rPr>
                <w:rFonts w:eastAsia="Calibri" w:cs="Arial"/>
              </w:rPr>
              <w:t>Carer type</w:t>
            </w:r>
          </w:p>
        </w:tc>
        <w:tc>
          <w:tcPr>
            <w:tcW w:w="1559" w:type="dxa"/>
            <w:tcBorders>
              <w:top w:val="single" w:sz="4" w:space="0" w:color="auto"/>
              <w:bottom w:val="single" w:sz="4" w:space="0" w:color="auto"/>
            </w:tcBorders>
            <w:shd w:val="clear" w:color="auto" w:fill="FFFFFF"/>
            <w:vAlign w:val="bottom"/>
            <w:hideMark/>
          </w:tcPr>
          <w:p w:rsidR="007D69DB" w:rsidRPr="00BF1EC9" w:rsidRDefault="007D69DB" w:rsidP="00135409">
            <w:pPr>
              <w:pStyle w:val="TableFigHeadingtotal"/>
              <w:jc w:val="right"/>
              <w:rPr>
                <w:rFonts w:eastAsia="Calibri" w:cs="Arial"/>
              </w:rPr>
            </w:pPr>
            <w:r w:rsidRPr="00BF1EC9">
              <w:rPr>
                <w:rFonts w:eastAsia="Calibri" w:cs="Arial"/>
              </w:rPr>
              <w:t>Per cent</w:t>
            </w:r>
          </w:p>
        </w:tc>
      </w:tr>
      <w:tr w:rsidR="007D69DB" w:rsidRPr="00BF1EC9" w:rsidTr="007E76F4">
        <w:trPr>
          <w:trHeight w:val="180"/>
        </w:trPr>
        <w:tc>
          <w:tcPr>
            <w:tcW w:w="4219" w:type="dxa"/>
            <w:tcBorders>
              <w:top w:val="single" w:sz="4" w:space="0" w:color="auto"/>
            </w:tcBorders>
            <w:shd w:val="clear" w:color="auto" w:fill="FFFFFF"/>
            <w:vAlign w:val="bottom"/>
            <w:hideMark/>
          </w:tcPr>
          <w:p w:rsidR="007D69DB" w:rsidRPr="00BF1EC9" w:rsidRDefault="007D69DB" w:rsidP="00135409">
            <w:pPr>
              <w:pStyle w:val="TableFigText"/>
              <w:rPr>
                <w:rFonts w:eastAsia="Calibri" w:cs="Arial"/>
              </w:rPr>
            </w:pPr>
            <w:r w:rsidRPr="00BF1EC9">
              <w:rPr>
                <w:rFonts w:eastAsia="Calibri" w:cs="Arial"/>
              </w:rPr>
              <w:t>Indigenous relative/kin</w:t>
            </w:r>
          </w:p>
        </w:tc>
        <w:tc>
          <w:tcPr>
            <w:tcW w:w="1559" w:type="dxa"/>
            <w:tcBorders>
              <w:top w:val="single" w:sz="4" w:space="0" w:color="auto"/>
            </w:tcBorders>
            <w:shd w:val="clear" w:color="auto" w:fill="FFFFFF"/>
            <w:noWrap/>
            <w:vAlign w:val="bottom"/>
          </w:tcPr>
          <w:p w:rsidR="007D69DB" w:rsidRPr="00BF1EC9" w:rsidRDefault="007D69DB" w:rsidP="00135409">
            <w:pPr>
              <w:pStyle w:val="TableFigText"/>
              <w:jc w:val="right"/>
              <w:rPr>
                <w:rFonts w:eastAsia="Calibri" w:cs="Arial"/>
              </w:rPr>
            </w:pPr>
            <w:r w:rsidRPr="00BF1EC9">
              <w:rPr>
                <w:rFonts w:eastAsia="Calibri" w:cs="Arial"/>
              </w:rPr>
              <w:t>38.2</w:t>
            </w:r>
          </w:p>
        </w:tc>
      </w:tr>
      <w:tr w:rsidR="007D69DB" w:rsidRPr="00BF1EC9" w:rsidTr="007E76F4">
        <w:trPr>
          <w:trHeight w:val="180"/>
        </w:trPr>
        <w:tc>
          <w:tcPr>
            <w:tcW w:w="4219" w:type="dxa"/>
            <w:shd w:val="clear" w:color="auto" w:fill="FFFFFF"/>
            <w:vAlign w:val="bottom"/>
            <w:hideMark/>
          </w:tcPr>
          <w:p w:rsidR="007D69DB" w:rsidRPr="00BF1EC9" w:rsidRDefault="007D69DB" w:rsidP="00135409">
            <w:pPr>
              <w:pStyle w:val="TableFigText"/>
              <w:rPr>
                <w:rFonts w:eastAsia="Calibri" w:cs="Arial"/>
              </w:rPr>
            </w:pPr>
            <w:r w:rsidRPr="00BF1EC9">
              <w:rPr>
                <w:rFonts w:eastAsia="Calibri" w:cs="Arial"/>
              </w:rPr>
              <w:t>Other Indigenous caregiver</w:t>
            </w:r>
            <w:r w:rsidRPr="00BF1EC9">
              <w:rPr>
                <w:rFonts w:eastAsia="Calibri" w:cs="Arial"/>
                <w:vertAlign w:val="superscript"/>
              </w:rPr>
              <w:t>(a)</w:t>
            </w:r>
          </w:p>
        </w:tc>
        <w:tc>
          <w:tcPr>
            <w:tcW w:w="1559" w:type="dxa"/>
            <w:shd w:val="clear" w:color="auto" w:fill="FFFFFF"/>
            <w:noWrap/>
            <w:vAlign w:val="bottom"/>
          </w:tcPr>
          <w:p w:rsidR="007D69DB" w:rsidRPr="00BF1EC9" w:rsidRDefault="007D69DB" w:rsidP="00135409">
            <w:pPr>
              <w:pStyle w:val="TableFigText"/>
              <w:jc w:val="right"/>
              <w:rPr>
                <w:rFonts w:eastAsia="Calibri" w:cs="Arial"/>
              </w:rPr>
            </w:pPr>
            <w:r w:rsidRPr="00BF1EC9">
              <w:rPr>
                <w:rFonts w:eastAsia="Calibri" w:cs="Arial"/>
              </w:rPr>
              <w:t>16.4</w:t>
            </w:r>
          </w:p>
        </w:tc>
      </w:tr>
      <w:tr w:rsidR="007D69DB" w:rsidRPr="00BF1EC9" w:rsidTr="007E76F4">
        <w:trPr>
          <w:trHeight w:val="180"/>
        </w:trPr>
        <w:tc>
          <w:tcPr>
            <w:tcW w:w="4219" w:type="dxa"/>
            <w:shd w:val="clear" w:color="auto" w:fill="FFFFFF"/>
            <w:vAlign w:val="bottom"/>
            <w:hideMark/>
          </w:tcPr>
          <w:p w:rsidR="007D69DB" w:rsidRPr="00BF1EC9" w:rsidRDefault="007D69DB" w:rsidP="00135409">
            <w:pPr>
              <w:pStyle w:val="TableFigText"/>
              <w:rPr>
                <w:rFonts w:eastAsia="Calibri" w:cs="Arial"/>
              </w:rPr>
            </w:pPr>
            <w:r w:rsidRPr="00BF1EC9">
              <w:rPr>
                <w:rFonts w:eastAsia="Calibri" w:cs="Arial"/>
              </w:rPr>
              <w:t>Other relative/kin</w:t>
            </w:r>
          </w:p>
        </w:tc>
        <w:tc>
          <w:tcPr>
            <w:tcW w:w="1559" w:type="dxa"/>
            <w:shd w:val="clear" w:color="auto" w:fill="FFFFFF"/>
            <w:noWrap/>
            <w:vAlign w:val="bottom"/>
          </w:tcPr>
          <w:p w:rsidR="007D69DB" w:rsidRPr="00BF1EC9" w:rsidRDefault="007D69DB" w:rsidP="00135409">
            <w:pPr>
              <w:pStyle w:val="TableFigText"/>
              <w:jc w:val="right"/>
              <w:rPr>
                <w:rFonts w:eastAsia="Calibri" w:cs="Arial"/>
              </w:rPr>
            </w:pPr>
            <w:r w:rsidRPr="00BF1EC9">
              <w:rPr>
                <w:rFonts w:eastAsia="Calibri" w:cs="Arial"/>
              </w:rPr>
              <w:t>14.1</w:t>
            </w:r>
          </w:p>
        </w:tc>
      </w:tr>
      <w:tr w:rsidR="007D69DB" w:rsidRPr="00BF1EC9" w:rsidTr="007E76F4">
        <w:trPr>
          <w:trHeight w:val="180"/>
        </w:trPr>
        <w:tc>
          <w:tcPr>
            <w:tcW w:w="4219" w:type="dxa"/>
            <w:shd w:val="clear" w:color="auto" w:fill="FFFFFF"/>
            <w:vAlign w:val="bottom"/>
            <w:hideMark/>
          </w:tcPr>
          <w:p w:rsidR="007D69DB" w:rsidRPr="00BF1EC9" w:rsidRDefault="007D69DB" w:rsidP="00135409">
            <w:pPr>
              <w:pStyle w:val="TableFigText"/>
              <w:rPr>
                <w:rFonts w:eastAsia="Calibri" w:cs="Arial"/>
              </w:rPr>
            </w:pPr>
            <w:r w:rsidRPr="00BF1EC9">
              <w:rPr>
                <w:rFonts w:eastAsia="Calibri" w:cs="Arial"/>
              </w:rPr>
              <w:t>Total placed with extended family, Indigenous community, or other Indigenous people</w:t>
            </w:r>
          </w:p>
        </w:tc>
        <w:tc>
          <w:tcPr>
            <w:tcW w:w="1559" w:type="dxa"/>
            <w:shd w:val="clear" w:color="auto" w:fill="FFFFFF"/>
            <w:noWrap/>
            <w:vAlign w:val="bottom"/>
            <w:hideMark/>
          </w:tcPr>
          <w:p w:rsidR="007D69DB" w:rsidRPr="00BF1EC9" w:rsidRDefault="007D69DB" w:rsidP="00135409">
            <w:pPr>
              <w:pStyle w:val="TableFigText"/>
              <w:jc w:val="right"/>
              <w:rPr>
                <w:rFonts w:eastAsia="Calibri" w:cs="Arial"/>
              </w:rPr>
            </w:pPr>
            <w:r w:rsidRPr="00BF1EC9">
              <w:rPr>
                <w:rFonts w:eastAsia="Calibri" w:cs="Arial"/>
              </w:rPr>
              <w:t>68.8</w:t>
            </w:r>
          </w:p>
        </w:tc>
      </w:tr>
      <w:tr w:rsidR="007D69DB" w:rsidRPr="00BF1EC9" w:rsidTr="007E76F4">
        <w:trPr>
          <w:trHeight w:val="180"/>
        </w:trPr>
        <w:tc>
          <w:tcPr>
            <w:tcW w:w="4219" w:type="dxa"/>
            <w:shd w:val="clear" w:color="auto" w:fill="FFFFFF"/>
            <w:vAlign w:val="bottom"/>
          </w:tcPr>
          <w:p w:rsidR="007D69DB" w:rsidRPr="00BF1EC9" w:rsidRDefault="007D69DB" w:rsidP="00135409">
            <w:pPr>
              <w:pStyle w:val="TableFigText"/>
              <w:rPr>
                <w:rFonts w:eastAsia="Calibri" w:cs="Arial"/>
              </w:rPr>
            </w:pPr>
            <w:r w:rsidRPr="00BF1EC9">
              <w:rPr>
                <w:rFonts w:eastAsia="Calibri" w:cs="Arial"/>
              </w:rPr>
              <w:t>Other caregiver</w:t>
            </w:r>
          </w:p>
        </w:tc>
        <w:tc>
          <w:tcPr>
            <w:tcW w:w="1559" w:type="dxa"/>
            <w:shd w:val="clear" w:color="auto" w:fill="FFFFFF"/>
            <w:noWrap/>
            <w:vAlign w:val="bottom"/>
          </w:tcPr>
          <w:p w:rsidR="007D69DB" w:rsidRPr="00BF1EC9" w:rsidRDefault="007D69DB" w:rsidP="00135409">
            <w:pPr>
              <w:pStyle w:val="TableFigText"/>
              <w:jc w:val="right"/>
              <w:rPr>
                <w:rFonts w:eastAsia="Calibri" w:cs="Arial"/>
              </w:rPr>
            </w:pPr>
            <w:r w:rsidRPr="00BF1EC9">
              <w:rPr>
                <w:rFonts w:eastAsia="Calibri" w:cs="Arial"/>
              </w:rPr>
              <w:t>31.2</w:t>
            </w:r>
          </w:p>
        </w:tc>
      </w:tr>
      <w:tr w:rsidR="007D69DB" w:rsidRPr="00BF1EC9" w:rsidTr="007E76F4">
        <w:trPr>
          <w:trHeight w:val="180"/>
        </w:trPr>
        <w:tc>
          <w:tcPr>
            <w:tcW w:w="4219" w:type="dxa"/>
            <w:tcBorders>
              <w:bottom w:val="single" w:sz="4" w:space="0" w:color="auto"/>
            </w:tcBorders>
            <w:shd w:val="clear" w:color="auto" w:fill="FFFFFF"/>
            <w:vAlign w:val="bottom"/>
            <w:hideMark/>
          </w:tcPr>
          <w:p w:rsidR="007D69DB" w:rsidRPr="00BF1EC9" w:rsidRDefault="007D69DB" w:rsidP="00135409">
            <w:pPr>
              <w:pStyle w:val="TableFigHeadingtotal"/>
              <w:rPr>
                <w:rFonts w:eastAsia="Calibri" w:cs="Arial"/>
              </w:rPr>
            </w:pPr>
            <w:r w:rsidRPr="00BF1EC9">
              <w:rPr>
                <w:rFonts w:eastAsia="Calibri" w:cs="Arial"/>
              </w:rPr>
              <w:t xml:space="preserve">Total </w:t>
            </w:r>
          </w:p>
        </w:tc>
        <w:tc>
          <w:tcPr>
            <w:tcW w:w="1559" w:type="dxa"/>
            <w:tcBorders>
              <w:bottom w:val="single" w:sz="4" w:space="0" w:color="auto"/>
            </w:tcBorders>
            <w:shd w:val="clear" w:color="auto" w:fill="FFFFFF"/>
            <w:noWrap/>
            <w:vAlign w:val="bottom"/>
            <w:hideMark/>
          </w:tcPr>
          <w:p w:rsidR="007D69DB" w:rsidRPr="00BF1EC9" w:rsidRDefault="007D69DB" w:rsidP="00135409">
            <w:pPr>
              <w:pStyle w:val="TableFigHeadingtotal"/>
              <w:jc w:val="right"/>
              <w:rPr>
                <w:rFonts w:eastAsia="Calibri" w:cs="Arial"/>
              </w:rPr>
            </w:pPr>
            <w:r w:rsidRPr="00BF1EC9">
              <w:rPr>
                <w:rFonts w:eastAsia="Calibri" w:cs="Arial"/>
              </w:rPr>
              <w:t>100.0</w:t>
            </w:r>
          </w:p>
        </w:tc>
      </w:tr>
    </w:tbl>
    <w:p w:rsidR="007D69DB" w:rsidRPr="00343B82" w:rsidRDefault="007D69DB" w:rsidP="00343B82">
      <w:pPr>
        <w:spacing w:before="120"/>
        <w:ind w:left="567" w:hanging="567"/>
        <w:rPr>
          <w:rFonts w:ascii="Arial" w:eastAsia="Calibri" w:hAnsi="Arial" w:cs="Arial"/>
          <w:sz w:val="14"/>
          <w:szCs w:val="14"/>
        </w:rPr>
      </w:pPr>
      <w:r w:rsidRPr="00343B82">
        <w:rPr>
          <w:rFonts w:ascii="Arial" w:eastAsia="Calibri" w:hAnsi="Arial" w:cs="Arial"/>
          <w:sz w:val="14"/>
          <w:szCs w:val="14"/>
        </w:rPr>
        <w:t xml:space="preserve">(a) </w:t>
      </w:r>
      <w:r w:rsidRPr="00343B82">
        <w:rPr>
          <w:rFonts w:ascii="Arial" w:eastAsia="Calibri" w:hAnsi="Arial" w:cs="Arial"/>
          <w:sz w:val="14"/>
          <w:szCs w:val="14"/>
        </w:rPr>
        <w:tab/>
        <w:t>Includes Indigenous residential care.</w:t>
      </w:r>
    </w:p>
    <w:p w:rsidR="007D69DB" w:rsidRPr="00343B82" w:rsidRDefault="007B131C" w:rsidP="00343B82">
      <w:pPr>
        <w:spacing w:before="120"/>
        <w:ind w:left="567" w:hanging="567"/>
        <w:rPr>
          <w:rFonts w:ascii="Arial" w:eastAsia="Calibri" w:hAnsi="Arial" w:cs="Arial"/>
          <w:sz w:val="14"/>
          <w:szCs w:val="14"/>
        </w:rPr>
      </w:pPr>
      <w:r>
        <w:rPr>
          <w:rFonts w:ascii="Arial" w:eastAsia="Calibri" w:hAnsi="Arial" w:cs="Arial"/>
          <w:sz w:val="14"/>
          <w:szCs w:val="14"/>
        </w:rPr>
        <w:t>Note:</w:t>
      </w:r>
      <w:r>
        <w:rPr>
          <w:rFonts w:ascii="Arial" w:eastAsia="Calibri" w:hAnsi="Arial" w:cs="Arial"/>
          <w:sz w:val="14"/>
          <w:szCs w:val="14"/>
        </w:rPr>
        <w:tab/>
      </w:r>
      <w:r w:rsidR="007D69DB" w:rsidRPr="00343B82">
        <w:rPr>
          <w:rFonts w:ascii="Arial" w:eastAsia="Calibri" w:hAnsi="Arial" w:cs="Arial"/>
          <w:sz w:val="14"/>
          <w:szCs w:val="14"/>
        </w:rPr>
        <w:t>Percentages in tables may not add to 100 due to rounding.</w:t>
      </w:r>
    </w:p>
    <w:p w:rsidR="007D69DB" w:rsidRPr="00343B82" w:rsidRDefault="007D69DB" w:rsidP="00343B82">
      <w:pPr>
        <w:spacing w:before="120"/>
        <w:ind w:left="567" w:hanging="567"/>
        <w:rPr>
          <w:rFonts w:ascii="Arial" w:eastAsia="Calibri" w:hAnsi="Arial" w:cs="Arial"/>
          <w:sz w:val="14"/>
          <w:szCs w:val="14"/>
        </w:rPr>
      </w:pPr>
      <w:r w:rsidRPr="00343B82">
        <w:rPr>
          <w:rFonts w:ascii="Arial" w:eastAsia="Calibri" w:hAnsi="Arial" w:cs="Arial"/>
          <w:sz w:val="14"/>
          <w:szCs w:val="14"/>
        </w:rPr>
        <w:t>Sources:</w:t>
      </w:r>
      <w:r w:rsidR="007B131C">
        <w:rPr>
          <w:rFonts w:ascii="Arial" w:eastAsia="Calibri" w:hAnsi="Arial" w:cs="Arial"/>
          <w:sz w:val="14"/>
          <w:szCs w:val="14"/>
        </w:rPr>
        <w:tab/>
      </w:r>
      <w:r w:rsidRPr="00343B82">
        <w:rPr>
          <w:rFonts w:ascii="Arial" w:eastAsia="Calibri" w:hAnsi="Arial" w:cs="Arial"/>
          <w:sz w:val="14"/>
          <w:szCs w:val="14"/>
        </w:rPr>
        <w:t>AIHW Child Protection Data Collections; AIHW 2013a.</w:t>
      </w:r>
    </w:p>
    <w:p w:rsidR="007D69DB" w:rsidRPr="00821556" w:rsidRDefault="007D69DB" w:rsidP="007847B7">
      <w:pPr>
        <w:pStyle w:val="Heading3"/>
      </w:pPr>
      <w:bookmarkStart w:id="262" w:name="_Toc400007818"/>
      <w:r w:rsidRPr="00821556">
        <w:t>Standard 4: Each child and young person has an individualised plan that details their health, education and other needs.</w:t>
      </w:r>
      <w:bookmarkEnd w:id="262"/>
    </w:p>
    <w:p w:rsidR="007D69DB" w:rsidRPr="00CF3154" w:rsidRDefault="007D69DB" w:rsidP="004B3342">
      <w:pPr>
        <w:pStyle w:val="Heading4a"/>
      </w:pPr>
      <w:r w:rsidRPr="00CF3154">
        <w:t>Measure 4.1: The proportion of children and young people who have a current documented case plan</w:t>
      </w:r>
    </w:p>
    <w:p w:rsidR="007D69DB" w:rsidRPr="007B131C" w:rsidRDefault="007D69DB" w:rsidP="007D69DB">
      <w:pPr>
        <w:rPr>
          <w:rFonts w:asciiTheme="minorHAnsi" w:hAnsiTheme="minorHAnsi"/>
          <w:sz w:val="24"/>
          <w:szCs w:val="24"/>
          <w:lang w:eastAsia="en-AU"/>
        </w:rPr>
      </w:pPr>
    </w:p>
    <w:p w:rsidR="007D69DB" w:rsidRPr="00821556" w:rsidRDefault="007D69DB" w:rsidP="007D69DB">
      <w:pPr>
        <w:rPr>
          <w:rFonts w:ascii="Calibri" w:hAnsi="Calibri"/>
          <w:sz w:val="24"/>
          <w:szCs w:val="24"/>
        </w:rPr>
      </w:pPr>
      <w:r w:rsidRPr="00821556">
        <w:rPr>
          <w:rFonts w:ascii="Calibri" w:hAnsi="Calibri"/>
          <w:sz w:val="24"/>
          <w:szCs w:val="24"/>
        </w:rPr>
        <w:t>A case plan is an individualised, dynamic</w:t>
      </w:r>
      <w:r>
        <w:rPr>
          <w:rFonts w:ascii="Calibri" w:hAnsi="Calibri"/>
          <w:sz w:val="24"/>
          <w:szCs w:val="24"/>
        </w:rPr>
        <w:t>,</w:t>
      </w:r>
      <w:r w:rsidRPr="00821556">
        <w:rPr>
          <w:rFonts w:ascii="Calibri" w:hAnsi="Calibri"/>
          <w:sz w:val="24"/>
          <w:szCs w:val="24"/>
        </w:rPr>
        <w:t xml:space="preserve"> written plan or support agreement for children in care, outlining the goals of ongoing intervention and the outcomes and actions required to achieve these goals. It usually includes information on needs assessments, relative/kin contact arrangements and living arrangements. </w:t>
      </w:r>
    </w:p>
    <w:p w:rsidR="007D69DB" w:rsidRDefault="007D69DB" w:rsidP="007D69DB">
      <w:pPr>
        <w:rPr>
          <w:rFonts w:ascii="Calibri" w:hAnsi="Calibri"/>
          <w:sz w:val="24"/>
          <w:szCs w:val="24"/>
        </w:rPr>
      </w:pPr>
    </w:p>
    <w:p w:rsidR="007D69DB" w:rsidRDefault="007D69DB" w:rsidP="007D69DB">
      <w:pPr>
        <w:rPr>
          <w:rFonts w:ascii="Calibri" w:hAnsi="Calibri"/>
          <w:sz w:val="24"/>
          <w:szCs w:val="24"/>
        </w:rPr>
      </w:pPr>
      <w:r w:rsidRPr="00821556">
        <w:rPr>
          <w:rFonts w:ascii="Calibri" w:hAnsi="Calibri"/>
          <w:sz w:val="24"/>
          <w:szCs w:val="24"/>
        </w:rPr>
        <w:t>At 30 June 2012, an estimated 90</w:t>
      </w:r>
      <w:r>
        <w:rPr>
          <w:rFonts w:ascii="Calibri" w:hAnsi="Calibri"/>
          <w:sz w:val="24"/>
          <w:szCs w:val="24"/>
        </w:rPr>
        <w:t xml:space="preserve"> per cent</w:t>
      </w:r>
      <w:r w:rsidRPr="00821556">
        <w:rPr>
          <w:rFonts w:ascii="Calibri" w:hAnsi="Calibri"/>
          <w:sz w:val="24"/>
          <w:szCs w:val="24"/>
        </w:rPr>
        <w:t xml:space="preserve"> of children aged 0</w:t>
      </w:r>
      <w:r w:rsidR="00945F81">
        <w:rPr>
          <w:rFonts w:ascii="Calibri" w:hAnsi="Calibri"/>
          <w:sz w:val="24"/>
          <w:szCs w:val="24"/>
        </w:rPr>
        <w:t xml:space="preserve"> to </w:t>
      </w:r>
      <w:r w:rsidRPr="00821556">
        <w:rPr>
          <w:rFonts w:ascii="Calibri" w:hAnsi="Calibri"/>
          <w:sz w:val="24"/>
          <w:szCs w:val="24"/>
        </w:rPr>
        <w:t>17 years had a current documented and approved case plan (based on data from Queensland, Western Australia, Tasmania and the Australian Capital Territory only).</w:t>
      </w:r>
    </w:p>
    <w:p w:rsidR="007D69DB" w:rsidRPr="00821556" w:rsidRDefault="007D69DB" w:rsidP="007D69DB">
      <w:pPr>
        <w:rPr>
          <w:rFonts w:ascii="Calibri" w:hAnsi="Calibri"/>
          <w:sz w:val="24"/>
          <w:szCs w:val="24"/>
        </w:rPr>
      </w:pPr>
    </w:p>
    <w:p w:rsidR="007D69DB" w:rsidRPr="00006903" w:rsidRDefault="00E0613F" w:rsidP="00520DEC">
      <w:pPr>
        <w:pStyle w:val="Figure"/>
        <w:ind w:right="2124"/>
      </w:pPr>
      <w:bookmarkStart w:id="263" w:name="_Toc400010316"/>
      <w:r>
        <w:t xml:space="preserve">Table </w:t>
      </w:r>
      <w:fldSimple w:instr=" SEQ Table \* ARABIC ">
        <w:r w:rsidR="00BF1EC9">
          <w:rPr>
            <w:noProof/>
          </w:rPr>
          <w:t>30</w:t>
        </w:r>
      </w:fldSimple>
      <w:r w:rsidR="007D69DB" w:rsidRPr="00006903">
        <w:t xml:space="preserve">: Children aged 0–17 years </w:t>
      </w:r>
      <w:proofErr w:type="gramStart"/>
      <w:r w:rsidR="007D69DB" w:rsidRPr="00006903">
        <w:t>who</w:t>
      </w:r>
      <w:proofErr w:type="gramEnd"/>
      <w:r w:rsidR="007D69DB" w:rsidRPr="00006903">
        <w:t xml:space="preserve"> have a current documented and</w:t>
      </w:r>
      <w:r w:rsidR="00A973E8">
        <w:t xml:space="preserve"> </w:t>
      </w:r>
      <w:r w:rsidR="007D69DB" w:rsidRPr="00006903">
        <w:t>approved case plan,</w:t>
      </w:r>
      <w:r w:rsidR="00520DEC">
        <w:t xml:space="preserve"> </w:t>
      </w:r>
      <w:r w:rsidR="007D69DB" w:rsidRPr="00006903">
        <w:t>at 30 June 2012</w:t>
      </w:r>
      <w:bookmarkEnd w:id="263"/>
    </w:p>
    <w:tbl>
      <w:tblPr>
        <w:tblW w:w="5778" w:type="dxa"/>
        <w:tblLook w:val="04A0" w:firstRow="1" w:lastRow="0" w:firstColumn="1" w:lastColumn="0" w:noHBand="0" w:noVBand="1"/>
      </w:tblPr>
      <w:tblGrid>
        <w:gridCol w:w="4077"/>
        <w:gridCol w:w="1701"/>
      </w:tblGrid>
      <w:tr w:rsidR="007D69DB" w:rsidRPr="00821556" w:rsidTr="00352BD8">
        <w:tc>
          <w:tcPr>
            <w:tcW w:w="4077" w:type="dxa"/>
            <w:tcBorders>
              <w:top w:val="single" w:sz="4" w:space="0" w:color="auto"/>
              <w:bottom w:val="single" w:sz="4" w:space="0" w:color="auto"/>
            </w:tcBorders>
            <w:shd w:val="clear" w:color="auto" w:fill="auto"/>
            <w:vAlign w:val="bottom"/>
          </w:tcPr>
          <w:p w:rsidR="007D69DB" w:rsidRPr="00821556" w:rsidRDefault="007D69DB" w:rsidP="00135409">
            <w:pPr>
              <w:pStyle w:val="TableFigHeadingtotal"/>
              <w:rPr>
                <w:rFonts w:eastAsia="Calibri" w:cs="Arial"/>
              </w:rPr>
            </w:pPr>
            <w:r w:rsidRPr="00821556">
              <w:rPr>
                <w:rFonts w:eastAsia="Calibri" w:cs="Arial"/>
              </w:rPr>
              <w:t xml:space="preserve">Indigenous status </w:t>
            </w:r>
          </w:p>
        </w:tc>
        <w:tc>
          <w:tcPr>
            <w:tcW w:w="1701" w:type="dxa"/>
            <w:tcBorders>
              <w:top w:val="single" w:sz="4" w:space="0" w:color="auto"/>
              <w:bottom w:val="single" w:sz="4" w:space="0" w:color="auto"/>
            </w:tcBorders>
            <w:shd w:val="clear" w:color="auto" w:fill="auto"/>
          </w:tcPr>
          <w:p w:rsidR="007D69DB" w:rsidRPr="00821556" w:rsidRDefault="007D69DB" w:rsidP="00135409">
            <w:pPr>
              <w:pStyle w:val="TableFigHeadingtotal"/>
              <w:jc w:val="right"/>
              <w:rPr>
                <w:rFonts w:cs="Arial"/>
              </w:rPr>
            </w:pPr>
            <w:r w:rsidRPr="00821556">
              <w:rPr>
                <w:rFonts w:cs="Arial"/>
              </w:rPr>
              <w:t>Per cent</w:t>
            </w:r>
          </w:p>
        </w:tc>
      </w:tr>
      <w:tr w:rsidR="007D69DB" w:rsidRPr="00821556" w:rsidTr="00352BD8">
        <w:tc>
          <w:tcPr>
            <w:tcW w:w="4077" w:type="dxa"/>
            <w:tcBorders>
              <w:top w:val="single" w:sz="4" w:space="0" w:color="auto"/>
            </w:tcBorders>
            <w:shd w:val="clear" w:color="auto" w:fill="auto"/>
            <w:vAlign w:val="bottom"/>
          </w:tcPr>
          <w:p w:rsidR="007D69DB" w:rsidRPr="00821556" w:rsidRDefault="007D69DB" w:rsidP="00135409">
            <w:pPr>
              <w:pStyle w:val="TableFigText"/>
              <w:rPr>
                <w:rFonts w:eastAsia="Calibri" w:cs="Arial"/>
              </w:rPr>
            </w:pPr>
            <w:r w:rsidRPr="00821556">
              <w:rPr>
                <w:rFonts w:eastAsia="Calibri" w:cs="Arial"/>
              </w:rPr>
              <w:t>Indigenous children</w:t>
            </w:r>
          </w:p>
        </w:tc>
        <w:tc>
          <w:tcPr>
            <w:tcW w:w="1701" w:type="dxa"/>
            <w:tcBorders>
              <w:top w:val="single" w:sz="4" w:space="0" w:color="auto"/>
            </w:tcBorders>
            <w:shd w:val="clear" w:color="auto" w:fill="auto"/>
          </w:tcPr>
          <w:p w:rsidR="007D69DB" w:rsidRPr="00821556" w:rsidRDefault="00714A1D" w:rsidP="00714A1D">
            <w:pPr>
              <w:pStyle w:val="TableFigText"/>
              <w:jc w:val="right"/>
              <w:rPr>
                <w:rFonts w:eastAsia="Calibri" w:cs="Arial"/>
              </w:rPr>
            </w:pPr>
            <w:r>
              <w:rPr>
                <w:rFonts w:eastAsia="Calibri" w:cs="Arial"/>
              </w:rPr>
              <w:t>89.7</w:t>
            </w:r>
          </w:p>
        </w:tc>
      </w:tr>
      <w:tr w:rsidR="007D69DB" w:rsidRPr="00821556" w:rsidTr="00352BD8">
        <w:tc>
          <w:tcPr>
            <w:tcW w:w="4077" w:type="dxa"/>
            <w:shd w:val="clear" w:color="auto" w:fill="auto"/>
            <w:vAlign w:val="bottom"/>
          </w:tcPr>
          <w:p w:rsidR="007D69DB" w:rsidRPr="00821556" w:rsidRDefault="007D69DB" w:rsidP="00135409">
            <w:pPr>
              <w:pStyle w:val="TableFigText"/>
              <w:rPr>
                <w:rFonts w:eastAsia="Calibri" w:cs="Arial"/>
              </w:rPr>
            </w:pPr>
            <w:r w:rsidRPr="00821556">
              <w:rPr>
                <w:rFonts w:eastAsia="Calibri" w:cs="Arial"/>
              </w:rPr>
              <w:t>Non-Indigenous children</w:t>
            </w:r>
          </w:p>
        </w:tc>
        <w:tc>
          <w:tcPr>
            <w:tcW w:w="1701" w:type="dxa"/>
            <w:shd w:val="clear" w:color="auto" w:fill="auto"/>
          </w:tcPr>
          <w:p w:rsidR="007D69DB" w:rsidRPr="00821556" w:rsidRDefault="00714A1D" w:rsidP="00714A1D">
            <w:pPr>
              <w:pStyle w:val="TableFigText"/>
              <w:jc w:val="right"/>
              <w:rPr>
                <w:rFonts w:eastAsia="Calibri" w:cs="Arial"/>
              </w:rPr>
            </w:pPr>
            <w:r>
              <w:rPr>
                <w:rFonts w:eastAsia="Calibri" w:cs="Arial"/>
              </w:rPr>
              <w:t>89.0</w:t>
            </w:r>
          </w:p>
        </w:tc>
      </w:tr>
      <w:tr w:rsidR="007D69DB" w:rsidRPr="00821556" w:rsidTr="00352BD8">
        <w:tc>
          <w:tcPr>
            <w:tcW w:w="4077" w:type="dxa"/>
            <w:tcBorders>
              <w:bottom w:val="single" w:sz="4" w:space="0" w:color="auto"/>
            </w:tcBorders>
            <w:shd w:val="clear" w:color="auto" w:fill="auto"/>
            <w:vAlign w:val="bottom"/>
          </w:tcPr>
          <w:p w:rsidR="007D69DB" w:rsidRPr="00821556" w:rsidRDefault="007D69DB" w:rsidP="00135409">
            <w:pPr>
              <w:pStyle w:val="TableFigHeadingtotal"/>
              <w:rPr>
                <w:rFonts w:eastAsia="Calibri" w:cs="Arial"/>
              </w:rPr>
            </w:pPr>
            <w:r w:rsidRPr="00821556">
              <w:rPr>
                <w:rFonts w:eastAsia="Calibri" w:cs="Arial"/>
              </w:rPr>
              <w:t>All children</w:t>
            </w:r>
            <w:r w:rsidRPr="00821556">
              <w:rPr>
                <w:rFonts w:eastAsia="Calibri" w:cs="Arial"/>
                <w:vertAlign w:val="superscript"/>
              </w:rPr>
              <w:t>(a)</w:t>
            </w:r>
          </w:p>
        </w:tc>
        <w:tc>
          <w:tcPr>
            <w:tcW w:w="1701" w:type="dxa"/>
            <w:tcBorders>
              <w:bottom w:val="single" w:sz="4" w:space="0" w:color="auto"/>
            </w:tcBorders>
            <w:shd w:val="clear" w:color="auto" w:fill="auto"/>
          </w:tcPr>
          <w:p w:rsidR="007D69DB" w:rsidRPr="00EA5E75" w:rsidRDefault="00714A1D" w:rsidP="00714A1D">
            <w:pPr>
              <w:pStyle w:val="TableFigText"/>
              <w:keepNext/>
              <w:jc w:val="right"/>
              <w:rPr>
                <w:rFonts w:eastAsia="Calibri" w:cs="Arial"/>
                <w:b/>
              </w:rPr>
            </w:pPr>
            <w:r>
              <w:rPr>
                <w:rFonts w:eastAsia="Calibri" w:cs="Arial"/>
                <w:b/>
              </w:rPr>
              <w:t>89.2</w:t>
            </w:r>
          </w:p>
        </w:tc>
      </w:tr>
    </w:tbl>
    <w:p w:rsidR="007D69DB" w:rsidRPr="00343B82" w:rsidRDefault="007D69DB" w:rsidP="00343B82">
      <w:pPr>
        <w:spacing w:before="120"/>
        <w:ind w:left="567" w:hanging="567"/>
        <w:rPr>
          <w:rFonts w:ascii="Arial" w:eastAsia="Calibri" w:hAnsi="Arial" w:cs="Arial"/>
          <w:sz w:val="14"/>
          <w:szCs w:val="14"/>
        </w:rPr>
      </w:pPr>
      <w:r w:rsidRPr="00343B82">
        <w:rPr>
          <w:rFonts w:ascii="Arial" w:eastAsia="Calibri" w:hAnsi="Arial" w:cs="Arial"/>
          <w:sz w:val="14"/>
          <w:szCs w:val="14"/>
        </w:rPr>
        <w:t>(a)</w:t>
      </w:r>
      <w:r w:rsidRPr="00343B82">
        <w:rPr>
          <w:rFonts w:ascii="Arial" w:eastAsia="Calibri" w:hAnsi="Arial" w:cs="Arial"/>
          <w:sz w:val="14"/>
          <w:szCs w:val="14"/>
        </w:rPr>
        <w:tab/>
        <w:t xml:space="preserve">‘All children’ includes children whose Indigenous status was unknown. </w:t>
      </w:r>
    </w:p>
    <w:p w:rsidR="007D69DB" w:rsidRPr="00343B82" w:rsidRDefault="007B131C" w:rsidP="00343B82">
      <w:pPr>
        <w:spacing w:before="120"/>
        <w:ind w:left="567" w:hanging="567"/>
        <w:rPr>
          <w:rFonts w:ascii="Arial" w:eastAsia="Calibri" w:hAnsi="Arial" w:cs="Arial"/>
          <w:sz w:val="14"/>
          <w:szCs w:val="14"/>
        </w:rPr>
      </w:pPr>
      <w:r>
        <w:rPr>
          <w:rFonts w:ascii="Arial" w:eastAsia="Calibri" w:hAnsi="Arial" w:cs="Arial"/>
          <w:sz w:val="14"/>
          <w:szCs w:val="14"/>
        </w:rPr>
        <w:t>Note:</w:t>
      </w:r>
      <w:r>
        <w:rPr>
          <w:rFonts w:ascii="Arial" w:eastAsia="Calibri" w:hAnsi="Arial" w:cs="Arial"/>
          <w:sz w:val="14"/>
          <w:szCs w:val="14"/>
        </w:rPr>
        <w:tab/>
      </w:r>
      <w:r w:rsidR="007D69DB" w:rsidRPr="00343B82">
        <w:rPr>
          <w:rFonts w:ascii="Arial" w:eastAsia="Calibri" w:hAnsi="Arial" w:cs="Arial"/>
          <w:sz w:val="14"/>
          <w:szCs w:val="14"/>
        </w:rPr>
        <w:t xml:space="preserve">Reported numbers are based on data from Queensland, Western Australia, Tasmania and </w:t>
      </w:r>
      <w:r w:rsidR="007D69DB" w:rsidRPr="00343B82">
        <w:rPr>
          <w:rFonts w:ascii="Arial" w:eastAsia="Calibri" w:hAnsi="Arial" w:cs="Arial"/>
          <w:sz w:val="14"/>
          <w:szCs w:val="14"/>
        </w:rPr>
        <w:br/>
        <w:t xml:space="preserve">the Australian Capital Territory only. These data were provided for national reporting for the first </w:t>
      </w:r>
      <w:r w:rsidR="007D69DB" w:rsidRPr="00343B82">
        <w:rPr>
          <w:rFonts w:ascii="Arial" w:eastAsia="Calibri" w:hAnsi="Arial" w:cs="Arial"/>
          <w:sz w:val="14"/>
          <w:szCs w:val="14"/>
        </w:rPr>
        <w:br/>
        <w:t>time in 2012. Data only incl</w:t>
      </w:r>
      <w:r w:rsidR="004C2A26" w:rsidRPr="00343B82">
        <w:rPr>
          <w:rFonts w:ascii="Arial" w:eastAsia="Calibri" w:hAnsi="Arial" w:cs="Arial"/>
          <w:sz w:val="14"/>
          <w:szCs w:val="14"/>
        </w:rPr>
        <w:softHyphen/>
      </w:r>
      <w:r w:rsidR="007D69DB" w:rsidRPr="00343B82">
        <w:rPr>
          <w:rFonts w:ascii="Arial" w:eastAsia="Calibri" w:hAnsi="Arial" w:cs="Arial"/>
          <w:sz w:val="14"/>
          <w:szCs w:val="14"/>
        </w:rPr>
        <w:t xml:space="preserve">ude children who are required by jurisdictional policy/legislation to have </w:t>
      </w:r>
      <w:r w:rsidR="007D69DB" w:rsidRPr="00343B82">
        <w:rPr>
          <w:rFonts w:ascii="Arial" w:eastAsia="Calibri" w:hAnsi="Arial" w:cs="Arial"/>
          <w:sz w:val="14"/>
          <w:szCs w:val="14"/>
        </w:rPr>
        <w:br/>
        <w:t>a current documented and approved case plan.</w:t>
      </w:r>
    </w:p>
    <w:p w:rsidR="007D69DB" w:rsidRPr="00343B82" w:rsidRDefault="007B131C" w:rsidP="00343B82">
      <w:pPr>
        <w:spacing w:before="120"/>
        <w:ind w:left="567" w:hanging="567"/>
        <w:rPr>
          <w:rFonts w:ascii="Arial" w:eastAsia="Calibri" w:hAnsi="Arial" w:cs="Arial"/>
          <w:sz w:val="14"/>
          <w:szCs w:val="14"/>
        </w:rPr>
      </w:pPr>
      <w:r>
        <w:rPr>
          <w:rFonts w:ascii="Arial" w:eastAsia="Calibri" w:hAnsi="Arial" w:cs="Arial"/>
          <w:sz w:val="14"/>
          <w:szCs w:val="14"/>
        </w:rPr>
        <w:t>Source:</w:t>
      </w:r>
      <w:r>
        <w:rPr>
          <w:rFonts w:ascii="Arial" w:eastAsia="Calibri" w:hAnsi="Arial" w:cs="Arial"/>
          <w:sz w:val="14"/>
          <w:szCs w:val="14"/>
        </w:rPr>
        <w:tab/>
      </w:r>
      <w:r w:rsidR="007D69DB" w:rsidRPr="00343B82">
        <w:rPr>
          <w:rFonts w:ascii="Arial" w:eastAsia="Calibri" w:hAnsi="Arial" w:cs="Arial"/>
          <w:sz w:val="14"/>
          <w:szCs w:val="14"/>
        </w:rPr>
        <w:t>AIHW Child Protection Data Collections.</w:t>
      </w:r>
    </w:p>
    <w:p w:rsidR="007D69DB" w:rsidRPr="00817D31" w:rsidRDefault="007D69DB" w:rsidP="00343B82">
      <w:pPr>
        <w:spacing w:before="120"/>
        <w:ind w:left="567" w:hanging="567"/>
        <w:rPr>
          <w:rFonts w:asciiTheme="minorHAnsi" w:eastAsia="Calibri" w:hAnsiTheme="minorHAnsi" w:cs="Arial"/>
          <w:sz w:val="24"/>
          <w:szCs w:val="24"/>
        </w:rPr>
      </w:pPr>
    </w:p>
    <w:p w:rsidR="007D69DB" w:rsidRPr="00821556" w:rsidRDefault="007D69DB" w:rsidP="007847B7">
      <w:pPr>
        <w:pStyle w:val="Heading3"/>
      </w:pPr>
      <w:bookmarkStart w:id="264" w:name="_Toc400007819"/>
      <w:r w:rsidRPr="00821556">
        <w:t>Standard 9: Children and young people are supported to safely and appropriately maintain connection with family, be they birth parents, siblings or other family members</w:t>
      </w:r>
      <w:bookmarkEnd w:id="264"/>
    </w:p>
    <w:p w:rsidR="007D69DB" w:rsidRDefault="007D69DB" w:rsidP="004B3342">
      <w:pPr>
        <w:pStyle w:val="Heading4a"/>
      </w:pPr>
      <w:r w:rsidRPr="00821556">
        <w:t>Measure 9.1: The proportion of children and young people in out-of-home care who are placed with relatives and kin</w:t>
      </w:r>
    </w:p>
    <w:p w:rsidR="007D69DB" w:rsidRPr="00817D31" w:rsidRDefault="007D69DB" w:rsidP="007D69DB">
      <w:pPr>
        <w:rPr>
          <w:rFonts w:asciiTheme="minorHAnsi" w:hAnsiTheme="minorHAnsi"/>
          <w:sz w:val="24"/>
          <w:szCs w:val="24"/>
          <w:lang w:eastAsia="en-AU"/>
        </w:rPr>
      </w:pPr>
    </w:p>
    <w:p w:rsidR="007D69DB" w:rsidRDefault="007D69DB" w:rsidP="007D69DB">
      <w:pPr>
        <w:rPr>
          <w:rFonts w:ascii="Calibri" w:hAnsi="Calibri"/>
          <w:sz w:val="24"/>
          <w:szCs w:val="24"/>
        </w:rPr>
      </w:pPr>
      <w:r w:rsidRPr="00821556">
        <w:rPr>
          <w:rFonts w:ascii="Calibri" w:hAnsi="Calibri"/>
          <w:sz w:val="24"/>
          <w:szCs w:val="24"/>
        </w:rPr>
        <w:t>Of all children in out-of-home care at 30 June 2012,</w:t>
      </w:r>
      <w:r>
        <w:rPr>
          <w:rFonts w:ascii="Calibri" w:hAnsi="Calibri"/>
          <w:sz w:val="24"/>
          <w:szCs w:val="24"/>
        </w:rPr>
        <w:t xml:space="preserve"> almost</w:t>
      </w:r>
      <w:r w:rsidRPr="00821556">
        <w:rPr>
          <w:rFonts w:ascii="Calibri" w:hAnsi="Calibri"/>
          <w:sz w:val="24"/>
          <w:szCs w:val="24"/>
        </w:rPr>
        <w:t xml:space="preserve"> half (</w:t>
      </w:r>
      <w:r>
        <w:rPr>
          <w:rFonts w:ascii="Calibri" w:hAnsi="Calibri"/>
          <w:sz w:val="24"/>
          <w:szCs w:val="24"/>
        </w:rPr>
        <w:t>47 per cent</w:t>
      </w:r>
      <w:r w:rsidRPr="00821556">
        <w:rPr>
          <w:rFonts w:ascii="Calibri" w:hAnsi="Calibri"/>
          <w:sz w:val="24"/>
          <w:szCs w:val="24"/>
        </w:rPr>
        <w:t>) were placed with relatives/kin. Indigenous children were more likely to be placed with relatives/kin than non-Indigenous children (52</w:t>
      </w:r>
      <w:r>
        <w:rPr>
          <w:rFonts w:ascii="Calibri" w:hAnsi="Calibri"/>
          <w:sz w:val="24"/>
          <w:szCs w:val="24"/>
        </w:rPr>
        <w:t xml:space="preserve"> per cent</w:t>
      </w:r>
      <w:r w:rsidRPr="00821556">
        <w:rPr>
          <w:rFonts w:ascii="Calibri" w:hAnsi="Calibri"/>
          <w:sz w:val="24"/>
          <w:szCs w:val="24"/>
        </w:rPr>
        <w:t xml:space="preserve"> compared to 45</w:t>
      </w:r>
      <w:r>
        <w:rPr>
          <w:rFonts w:ascii="Calibri" w:hAnsi="Calibri"/>
          <w:sz w:val="24"/>
          <w:szCs w:val="24"/>
        </w:rPr>
        <w:t xml:space="preserve"> per cent</w:t>
      </w:r>
      <w:r w:rsidRPr="00821556">
        <w:rPr>
          <w:rFonts w:ascii="Calibri" w:hAnsi="Calibri"/>
          <w:sz w:val="24"/>
          <w:szCs w:val="24"/>
        </w:rPr>
        <w:t xml:space="preserve"> respectively). </w:t>
      </w:r>
    </w:p>
    <w:p w:rsidR="007D69DB" w:rsidRPr="00821556" w:rsidRDefault="007D69DB" w:rsidP="007D69DB">
      <w:pPr>
        <w:rPr>
          <w:rFonts w:ascii="Calibri" w:hAnsi="Calibri"/>
          <w:sz w:val="24"/>
          <w:szCs w:val="24"/>
        </w:rPr>
      </w:pPr>
    </w:p>
    <w:p w:rsidR="007D69DB" w:rsidRPr="00E47AEA" w:rsidRDefault="00E0613F" w:rsidP="00520DEC">
      <w:pPr>
        <w:pStyle w:val="Figure"/>
        <w:ind w:right="2124"/>
      </w:pPr>
      <w:bookmarkStart w:id="265" w:name="_Toc400010317"/>
      <w:r>
        <w:t xml:space="preserve">Table </w:t>
      </w:r>
      <w:fldSimple w:instr=" SEQ Table \* ARABIC ">
        <w:r w:rsidR="00BF1EC9">
          <w:rPr>
            <w:noProof/>
          </w:rPr>
          <w:t>31</w:t>
        </w:r>
      </w:fldSimple>
      <w:r w:rsidR="007D69DB" w:rsidRPr="00E47AEA">
        <w:t>: Children in out-of-home care placed with relatives/kin, at 30 June 2012</w:t>
      </w:r>
      <w:bookmarkEnd w:id="265"/>
    </w:p>
    <w:tbl>
      <w:tblPr>
        <w:tblW w:w="5778" w:type="dxa"/>
        <w:tblLayout w:type="fixed"/>
        <w:tblLook w:val="04A0" w:firstRow="1" w:lastRow="0" w:firstColumn="1" w:lastColumn="0" w:noHBand="0" w:noVBand="1"/>
      </w:tblPr>
      <w:tblGrid>
        <w:gridCol w:w="4077"/>
        <w:gridCol w:w="1701"/>
      </w:tblGrid>
      <w:tr w:rsidR="007D69DB" w:rsidRPr="00821556" w:rsidTr="004824BC">
        <w:trPr>
          <w:trHeight w:val="219"/>
        </w:trPr>
        <w:tc>
          <w:tcPr>
            <w:tcW w:w="4077" w:type="dxa"/>
            <w:tcBorders>
              <w:top w:val="single" w:sz="4" w:space="0" w:color="auto"/>
              <w:bottom w:val="single" w:sz="4" w:space="0" w:color="auto"/>
            </w:tcBorders>
            <w:shd w:val="clear" w:color="auto" w:fill="FFFFFF"/>
            <w:vAlign w:val="bottom"/>
          </w:tcPr>
          <w:p w:rsidR="007D69DB" w:rsidRPr="00821556" w:rsidRDefault="007D69DB" w:rsidP="00135409">
            <w:pPr>
              <w:pStyle w:val="TableFigHeadingtotal"/>
              <w:rPr>
                <w:rFonts w:eastAsia="Calibri" w:cs="Arial"/>
              </w:rPr>
            </w:pPr>
            <w:r w:rsidRPr="00821556">
              <w:rPr>
                <w:rFonts w:eastAsia="Calibri" w:cs="Arial"/>
              </w:rPr>
              <w:t xml:space="preserve">Indigenous status </w:t>
            </w:r>
          </w:p>
        </w:tc>
        <w:tc>
          <w:tcPr>
            <w:tcW w:w="1701" w:type="dxa"/>
            <w:tcBorders>
              <w:top w:val="single" w:sz="4" w:space="0" w:color="auto"/>
              <w:bottom w:val="single" w:sz="4" w:space="0" w:color="auto"/>
            </w:tcBorders>
            <w:shd w:val="clear" w:color="auto" w:fill="FFFFFF"/>
            <w:vAlign w:val="center"/>
            <w:hideMark/>
          </w:tcPr>
          <w:p w:rsidR="007D69DB" w:rsidRPr="00821556" w:rsidRDefault="007D69DB" w:rsidP="00135409">
            <w:pPr>
              <w:pStyle w:val="TableFigHeadingtotal"/>
              <w:jc w:val="right"/>
              <w:rPr>
                <w:rFonts w:eastAsia="Calibri" w:cs="Arial"/>
              </w:rPr>
            </w:pPr>
            <w:r w:rsidRPr="00821556">
              <w:rPr>
                <w:rFonts w:eastAsia="Calibri" w:cs="Arial"/>
              </w:rPr>
              <w:t>Per cent</w:t>
            </w:r>
          </w:p>
        </w:tc>
      </w:tr>
      <w:tr w:rsidR="007D69DB" w:rsidRPr="00821556" w:rsidTr="004824BC">
        <w:trPr>
          <w:trHeight w:val="264"/>
        </w:trPr>
        <w:tc>
          <w:tcPr>
            <w:tcW w:w="4077" w:type="dxa"/>
            <w:tcBorders>
              <w:top w:val="single" w:sz="4" w:space="0" w:color="auto"/>
            </w:tcBorders>
            <w:shd w:val="clear" w:color="auto" w:fill="FFFFFF"/>
            <w:vAlign w:val="bottom"/>
          </w:tcPr>
          <w:p w:rsidR="007D69DB" w:rsidRPr="00821556" w:rsidRDefault="007D69DB" w:rsidP="00135409">
            <w:pPr>
              <w:pStyle w:val="TableFigText"/>
              <w:rPr>
                <w:rFonts w:eastAsia="Calibri" w:cs="Arial"/>
              </w:rPr>
            </w:pPr>
            <w:r w:rsidRPr="00821556">
              <w:rPr>
                <w:rFonts w:eastAsia="Calibri" w:cs="Arial"/>
              </w:rPr>
              <w:t>Indigenous children</w:t>
            </w:r>
          </w:p>
        </w:tc>
        <w:tc>
          <w:tcPr>
            <w:tcW w:w="1701" w:type="dxa"/>
            <w:tcBorders>
              <w:top w:val="single" w:sz="4" w:space="0" w:color="auto"/>
            </w:tcBorders>
            <w:shd w:val="clear" w:color="auto" w:fill="FFFFFF"/>
            <w:noWrap/>
            <w:vAlign w:val="bottom"/>
          </w:tcPr>
          <w:p w:rsidR="007D69DB" w:rsidRPr="00821556" w:rsidRDefault="007D69DB" w:rsidP="00135409">
            <w:pPr>
              <w:pStyle w:val="TableFigText"/>
              <w:jc w:val="right"/>
              <w:rPr>
                <w:rFonts w:eastAsia="Calibri" w:cs="Arial"/>
              </w:rPr>
            </w:pPr>
            <w:r w:rsidRPr="00821556">
              <w:rPr>
                <w:rFonts w:eastAsia="Calibri" w:cs="Arial"/>
              </w:rPr>
              <w:t>51.5</w:t>
            </w:r>
          </w:p>
        </w:tc>
      </w:tr>
      <w:tr w:rsidR="007D69DB" w:rsidRPr="00821556" w:rsidTr="004824BC">
        <w:trPr>
          <w:trHeight w:val="264"/>
        </w:trPr>
        <w:tc>
          <w:tcPr>
            <w:tcW w:w="4077" w:type="dxa"/>
            <w:shd w:val="clear" w:color="auto" w:fill="FFFFFF"/>
            <w:vAlign w:val="bottom"/>
          </w:tcPr>
          <w:p w:rsidR="007D69DB" w:rsidRPr="00821556" w:rsidRDefault="007D69DB" w:rsidP="00135409">
            <w:pPr>
              <w:pStyle w:val="TableFigText"/>
              <w:rPr>
                <w:rFonts w:eastAsia="Calibri" w:cs="Arial"/>
              </w:rPr>
            </w:pPr>
            <w:r w:rsidRPr="00821556">
              <w:rPr>
                <w:rFonts w:eastAsia="Calibri" w:cs="Arial"/>
              </w:rPr>
              <w:t>Non-Indigenous children</w:t>
            </w:r>
          </w:p>
        </w:tc>
        <w:tc>
          <w:tcPr>
            <w:tcW w:w="1701" w:type="dxa"/>
            <w:shd w:val="clear" w:color="auto" w:fill="FFFFFF"/>
            <w:noWrap/>
            <w:vAlign w:val="bottom"/>
          </w:tcPr>
          <w:p w:rsidR="007D69DB" w:rsidRPr="00821556" w:rsidRDefault="007D69DB" w:rsidP="00135409">
            <w:pPr>
              <w:pStyle w:val="TableFigText"/>
              <w:jc w:val="right"/>
              <w:rPr>
                <w:rFonts w:eastAsia="Calibri" w:cs="Arial"/>
              </w:rPr>
            </w:pPr>
            <w:r w:rsidRPr="00821556">
              <w:rPr>
                <w:rFonts w:eastAsia="Calibri" w:cs="Arial"/>
              </w:rPr>
              <w:t>44.5</w:t>
            </w:r>
          </w:p>
        </w:tc>
      </w:tr>
      <w:tr w:rsidR="007D69DB" w:rsidRPr="00821556" w:rsidTr="004824BC">
        <w:trPr>
          <w:trHeight w:val="264"/>
        </w:trPr>
        <w:tc>
          <w:tcPr>
            <w:tcW w:w="4077" w:type="dxa"/>
            <w:tcBorders>
              <w:bottom w:val="single" w:sz="4" w:space="0" w:color="auto"/>
            </w:tcBorders>
            <w:shd w:val="clear" w:color="auto" w:fill="FFFFFF"/>
            <w:vAlign w:val="bottom"/>
          </w:tcPr>
          <w:p w:rsidR="007D69DB" w:rsidRPr="00821556" w:rsidRDefault="007D69DB" w:rsidP="00135409">
            <w:pPr>
              <w:pStyle w:val="TableFigHeadingtotal"/>
              <w:rPr>
                <w:rFonts w:eastAsia="Calibri" w:cs="Arial"/>
              </w:rPr>
            </w:pPr>
            <w:r w:rsidRPr="00821556">
              <w:rPr>
                <w:rFonts w:eastAsia="Calibri" w:cs="Arial"/>
              </w:rPr>
              <w:t>All children</w:t>
            </w:r>
            <w:r w:rsidRPr="00821556">
              <w:rPr>
                <w:rFonts w:eastAsia="Calibri" w:cs="Arial"/>
                <w:vertAlign w:val="superscript"/>
              </w:rPr>
              <w:t>(a)</w:t>
            </w:r>
          </w:p>
        </w:tc>
        <w:tc>
          <w:tcPr>
            <w:tcW w:w="1701" w:type="dxa"/>
            <w:tcBorders>
              <w:bottom w:val="single" w:sz="4" w:space="0" w:color="auto"/>
            </w:tcBorders>
            <w:shd w:val="clear" w:color="auto" w:fill="FFFFFF"/>
            <w:noWrap/>
            <w:vAlign w:val="bottom"/>
          </w:tcPr>
          <w:p w:rsidR="007D69DB" w:rsidRPr="00EA5E75" w:rsidRDefault="007D69DB" w:rsidP="00135409">
            <w:pPr>
              <w:pStyle w:val="TableFigText"/>
              <w:keepNext/>
              <w:jc w:val="right"/>
              <w:rPr>
                <w:rFonts w:eastAsia="Calibri" w:cs="Arial"/>
                <w:b/>
              </w:rPr>
            </w:pPr>
            <w:r w:rsidRPr="00EA5E75">
              <w:rPr>
                <w:rFonts w:eastAsia="Calibri" w:cs="Arial"/>
                <w:b/>
              </w:rPr>
              <w:t>46.7</w:t>
            </w:r>
          </w:p>
        </w:tc>
      </w:tr>
    </w:tbl>
    <w:p w:rsidR="007D69DB" w:rsidRPr="00343B82" w:rsidRDefault="007D69DB" w:rsidP="00343B82">
      <w:pPr>
        <w:spacing w:before="120"/>
        <w:ind w:left="567" w:hanging="567"/>
        <w:rPr>
          <w:rFonts w:ascii="Arial" w:eastAsia="Calibri" w:hAnsi="Arial" w:cs="Arial"/>
          <w:sz w:val="14"/>
          <w:szCs w:val="14"/>
        </w:rPr>
      </w:pPr>
      <w:r w:rsidRPr="00343B82">
        <w:rPr>
          <w:rFonts w:ascii="Arial" w:eastAsia="Calibri" w:hAnsi="Arial" w:cs="Arial"/>
          <w:sz w:val="14"/>
          <w:szCs w:val="14"/>
        </w:rPr>
        <w:t>(a)</w:t>
      </w:r>
      <w:r w:rsidRPr="00343B82">
        <w:rPr>
          <w:rFonts w:ascii="Arial" w:eastAsia="Calibri" w:hAnsi="Arial" w:cs="Arial"/>
          <w:sz w:val="14"/>
          <w:szCs w:val="14"/>
        </w:rPr>
        <w:tab/>
        <w:t xml:space="preserve">‘All children’ includes children whose Indigenous status was unknown. </w:t>
      </w:r>
    </w:p>
    <w:p w:rsidR="007D69DB" w:rsidRPr="00343B82" w:rsidRDefault="007D69DB" w:rsidP="00343B82">
      <w:pPr>
        <w:spacing w:before="120"/>
        <w:ind w:left="567" w:hanging="567"/>
        <w:rPr>
          <w:rFonts w:ascii="Arial" w:hAnsi="Arial" w:cs="Arial"/>
          <w:sz w:val="14"/>
          <w:szCs w:val="14"/>
        </w:rPr>
      </w:pPr>
      <w:r w:rsidRPr="00343B82">
        <w:rPr>
          <w:rFonts w:ascii="Arial" w:hAnsi="Arial" w:cs="Arial"/>
          <w:sz w:val="14"/>
          <w:szCs w:val="14"/>
        </w:rPr>
        <w:t>Source:</w:t>
      </w:r>
      <w:r w:rsidR="00343B82">
        <w:rPr>
          <w:rFonts w:ascii="Arial" w:hAnsi="Arial" w:cs="Arial"/>
          <w:sz w:val="14"/>
          <w:szCs w:val="14"/>
        </w:rPr>
        <w:tab/>
      </w:r>
      <w:r w:rsidRPr="00343B82">
        <w:rPr>
          <w:rFonts w:ascii="Arial" w:hAnsi="Arial" w:cs="Arial"/>
          <w:sz w:val="14"/>
          <w:szCs w:val="14"/>
        </w:rPr>
        <w:t>AIHW Child Protection Data Collections.</w:t>
      </w:r>
    </w:p>
    <w:p w:rsidR="007D69DB" w:rsidRPr="00343B82" w:rsidRDefault="007D69DB" w:rsidP="00343B82">
      <w:pPr>
        <w:spacing w:before="120"/>
        <w:ind w:left="567" w:hanging="567"/>
        <w:rPr>
          <w:rFonts w:ascii="Arial" w:hAnsi="Arial" w:cs="Arial"/>
          <w:sz w:val="14"/>
          <w:szCs w:val="14"/>
        </w:rPr>
      </w:pPr>
    </w:p>
    <w:p w:rsidR="00CF3154" w:rsidRDefault="00CF3154">
      <w:pPr>
        <w:rPr>
          <w:rFonts w:ascii="Arial" w:hAnsi="Arial"/>
          <w:bCs/>
          <w:color w:val="00B050"/>
          <w:sz w:val="26"/>
          <w:szCs w:val="26"/>
        </w:rPr>
      </w:pPr>
      <w:r>
        <w:br w:type="page"/>
      </w:r>
    </w:p>
    <w:p w:rsidR="007D69DB" w:rsidRPr="00821556" w:rsidRDefault="007D69DB" w:rsidP="007847B7">
      <w:pPr>
        <w:pStyle w:val="Heading3"/>
      </w:pPr>
      <w:bookmarkStart w:id="266" w:name="_Toc400007820"/>
      <w:r w:rsidRPr="00821556">
        <w:t>Standard 12: Carers are assessed and receive relevant ongoing training, development and support, in order to provide quality care.</w:t>
      </w:r>
      <w:bookmarkEnd w:id="266"/>
    </w:p>
    <w:p w:rsidR="007D69DB" w:rsidRPr="004B3342" w:rsidRDefault="007D69DB" w:rsidP="004B3342">
      <w:pPr>
        <w:pStyle w:val="Heading4a"/>
      </w:pPr>
      <w:r w:rsidRPr="004B3342">
        <w:t>Measure 12.1 (part a): The number of foster carer households with a placement at 30</w:t>
      </w:r>
      <w:r w:rsidR="00F8404B" w:rsidRPr="004B3342">
        <w:t> </w:t>
      </w:r>
      <w:r w:rsidRPr="004B3342">
        <w:t xml:space="preserve">June, by number of foster children placed </w:t>
      </w:r>
    </w:p>
    <w:p w:rsidR="007D69DB" w:rsidRPr="00C3340D" w:rsidRDefault="007D69DB" w:rsidP="007D69DB">
      <w:pPr>
        <w:rPr>
          <w:rFonts w:asciiTheme="minorHAnsi" w:hAnsiTheme="minorHAnsi"/>
          <w:sz w:val="24"/>
          <w:szCs w:val="24"/>
          <w:lang w:eastAsia="en-AU"/>
        </w:rPr>
      </w:pPr>
    </w:p>
    <w:p w:rsidR="007D69DB" w:rsidRDefault="007D69DB" w:rsidP="007D69DB">
      <w:pPr>
        <w:rPr>
          <w:rFonts w:ascii="Calibri" w:hAnsi="Calibri"/>
          <w:sz w:val="24"/>
          <w:szCs w:val="24"/>
        </w:rPr>
      </w:pPr>
      <w:r w:rsidRPr="00821556">
        <w:rPr>
          <w:rFonts w:ascii="Calibri" w:hAnsi="Calibri"/>
          <w:sz w:val="24"/>
          <w:szCs w:val="24"/>
        </w:rPr>
        <w:t>At 30 June 2012, there were 8824 households with one or more foster care placements. Nearly half (49</w:t>
      </w:r>
      <w:r>
        <w:rPr>
          <w:rFonts w:ascii="Calibri" w:hAnsi="Calibri"/>
          <w:sz w:val="24"/>
          <w:szCs w:val="24"/>
        </w:rPr>
        <w:t xml:space="preserve"> per cent</w:t>
      </w:r>
      <w:r w:rsidRPr="00821556">
        <w:rPr>
          <w:rFonts w:ascii="Calibri" w:hAnsi="Calibri"/>
          <w:sz w:val="24"/>
          <w:szCs w:val="24"/>
        </w:rPr>
        <w:t>) of these households had one foster child placed with them, 46</w:t>
      </w:r>
      <w:r>
        <w:rPr>
          <w:rFonts w:ascii="Calibri" w:hAnsi="Calibri"/>
          <w:sz w:val="24"/>
          <w:szCs w:val="24"/>
        </w:rPr>
        <w:t xml:space="preserve"> per cent</w:t>
      </w:r>
      <w:r w:rsidRPr="00821556">
        <w:rPr>
          <w:rFonts w:ascii="Calibri" w:hAnsi="Calibri"/>
          <w:sz w:val="24"/>
          <w:szCs w:val="24"/>
        </w:rPr>
        <w:t xml:space="preserve"> had between two and four foster children, and 4</w:t>
      </w:r>
      <w:r>
        <w:rPr>
          <w:rFonts w:ascii="Calibri" w:hAnsi="Calibri"/>
          <w:sz w:val="24"/>
          <w:szCs w:val="24"/>
        </w:rPr>
        <w:t xml:space="preserve"> per cent</w:t>
      </w:r>
      <w:r w:rsidRPr="00821556">
        <w:rPr>
          <w:rFonts w:ascii="Calibri" w:hAnsi="Calibri"/>
          <w:sz w:val="24"/>
          <w:szCs w:val="24"/>
        </w:rPr>
        <w:t xml:space="preserve"> had five or more children. </w:t>
      </w:r>
    </w:p>
    <w:p w:rsidR="007D69DB" w:rsidRPr="00821556" w:rsidRDefault="007D69DB" w:rsidP="007D69DB">
      <w:pPr>
        <w:rPr>
          <w:rFonts w:ascii="Calibri" w:hAnsi="Calibri"/>
          <w:sz w:val="24"/>
          <w:szCs w:val="24"/>
        </w:rPr>
      </w:pPr>
    </w:p>
    <w:p w:rsidR="007D69DB" w:rsidRDefault="00E0613F" w:rsidP="00520DEC">
      <w:pPr>
        <w:pStyle w:val="Figure"/>
        <w:ind w:right="2124"/>
      </w:pPr>
      <w:bookmarkStart w:id="267" w:name="_Toc400010318"/>
      <w:r>
        <w:t xml:space="preserve">Table </w:t>
      </w:r>
      <w:fldSimple w:instr=" SEQ Table \* ARABIC ">
        <w:r w:rsidR="00BF1EC9">
          <w:rPr>
            <w:noProof/>
          </w:rPr>
          <w:t>32</w:t>
        </w:r>
      </w:fldSimple>
      <w:r w:rsidR="007D69DB" w:rsidRPr="00821556">
        <w:t>: Foster carer households with a placement at 30 June 2012,</w:t>
      </w:r>
      <w:r w:rsidR="00520DEC">
        <w:t xml:space="preserve"> </w:t>
      </w:r>
      <w:r w:rsidR="007D69DB" w:rsidRPr="00821556">
        <w:t>by number of foster children placed</w:t>
      </w:r>
      <w:bookmarkEnd w:id="267"/>
    </w:p>
    <w:tbl>
      <w:tblPr>
        <w:tblW w:w="7479" w:type="dxa"/>
        <w:tblLayout w:type="fixed"/>
        <w:tblLook w:val="04A0" w:firstRow="1" w:lastRow="0" w:firstColumn="1" w:lastColumn="0" w:noHBand="0" w:noVBand="1"/>
        <w:tblDescription w:val="Table 32: Foster carer households with a placement at 30 June 2012, by number of foster children placed"/>
      </w:tblPr>
      <w:tblGrid>
        <w:gridCol w:w="2943"/>
        <w:gridCol w:w="2835"/>
        <w:gridCol w:w="1701"/>
      </w:tblGrid>
      <w:tr w:rsidR="007D69DB" w:rsidRPr="00821556" w:rsidTr="00C3340D">
        <w:trPr>
          <w:trHeight w:val="283"/>
        </w:trPr>
        <w:tc>
          <w:tcPr>
            <w:tcW w:w="2943" w:type="dxa"/>
            <w:tcBorders>
              <w:top w:val="single" w:sz="4" w:space="0" w:color="auto"/>
              <w:bottom w:val="single" w:sz="4" w:space="0" w:color="auto"/>
            </w:tcBorders>
            <w:shd w:val="clear" w:color="auto" w:fill="FFFFFF"/>
            <w:hideMark/>
          </w:tcPr>
          <w:p w:rsidR="007D69DB" w:rsidRPr="00821556" w:rsidRDefault="007D69DB" w:rsidP="00135409">
            <w:pPr>
              <w:pStyle w:val="TableFigHeadingtotal"/>
              <w:rPr>
                <w:rFonts w:eastAsia="Calibri" w:cs="Arial"/>
              </w:rPr>
            </w:pPr>
            <w:r w:rsidRPr="00821556">
              <w:rPr>
                <w:rFonts w:eastAsia="Calibri" w:cs="Arial"/>
              </w:rPr>
              <w:t>Number of children per household</w:t>
            </w:r>
          </w:p>
        </w:tc>
        <w:tc>
          <w:tcPr>
            <w:tcW w:w="2835" w:type="dxa"/>
            <w:tcBorders>
              <w:top w:val="single" w:sz="4" w:space="0" w:color="auto"/>
              <w:bottom w:val="single" w:sz="4" w:space="0" w:color="auto"/>
            </w:tcBorders>
            <w:shd w:val="clear" w:color="auto" w:fill="FFFFFF"/>
            <w:vAlign w:val="bottom"/>
            <w:hideMark/>
          </w:tcPr>
          <w:p w:rsidR="007D69DB" w:rsidRPr="00821556" w:rsidRDefault="007D69DB" w:rsidP="00BF1EC9">
            <w:pPr>
              <w:pStyle w:val="TableFigHeadingtotal"/>
              <w:jc w:val="right"/>
              <w:rPr>
                <w:rFonts w:eastAsia="Calibri" w:cs="Arial"/>
              </w:rPr>
            </w:pPr>
            <w:r w:rsidRPr="00821556">
              <w:rPr>
                <w:rFonts w:eastAsia="Calibri" w:cs="Arial"/>
              </w:rPr>
              <w:t>Number of households</w:t>
            </w:r>
          </w:p>
        </w:tc>
        <w:tc>
          <w:tcPr>
            <w:tcW w:w="1701" w:type="dxa"/>
            <w:tcBorders>
              <w:top w:val="single" w:sz="4" w:space="0" w:color="auto"/>
              <w:bottom w:val="single" w:sz="4" w:space="0" w:color="auto"/>
            </w:tcBorders>
            <w:shd w:val="clear" w:color="auto" w:fill="FFFFFF"/>
            <w:vAlign w:val="bottom"/>
          </w:tcPr>
          <w:p w:rsidR="007D69DB" w:rsidRPr="00821556" w:rsidRDefault="007D69DB" w:rsidP="00135409">
            <w:pPr>
              <w:pStyle w:val="TableFigHeadingtotal"/>
              <w:jc w:val="right"/>
              <w:rPr>
                <w:rFonts w:eastAsia="Calibri" w:cs="Arial"/>
              </w:rPr>
            </w:pPr>
            <w:r w:rsidRPr="00821556">
              <w:rPr>
                <w:rFonts w:eastAsia="Calibri" w:cs="Arial"/>
              </w:rPr>
              <w:t>Per cent</w:t>
            </w:r>
          </w:p>
        </w:tc>
      </w:tr>
      <w:tr w:rsidR="007D69DB" w:rsidRPr="00821556" w:rsidTr="00C3340D">
        <w:trPr>
          <w:trHeight w:val="204"/>
        </w:trPr>
        <w:tc>
          <w:tcPr>
            <w:tcW w:w="2943" w:type="dxa"/>
            <w:tcBorders>
              <w:top w:val="single" w:sz="4" w:space="0" w:color="auto"/>
            </w:tcBorders>
            <w:shd w:val="clear" w:color="auto" w:fill="FFFFFF"/>
            <w:noWrap/>
            <w:vAlign w:val="center"/>
            <w:hideMark/>
          </w:tcPr>
          <w:p w:rsidR="007D69DB" w:rsidRPr="00821556" w:rsidRDefault="007D69DB" w:rsidP="00135409">
            <w:pPr>
              <w:pStyle w:val="TableFigText"/>
              <w:rPr>
                <w:rFonts w:eastAsia="Calibri" w:cs="Arial"/>
              </w:rPr>
            </w:pPr>
            <w:r w:rsidRPr="00821556">
              <w:rPr>
                <w:rFonts w:eastAsia="Calibri" w:cs="Arial"/>
              </w:rPr>
              <w:t>1</w:t>
            </w:r>
          </w:p>
        </w:tc>
        <w:tc>
          <w:tcPr>
            <w:tcW w:w="2835" w:type="dxa"/>
            <w:tcBorders>
              <w:top w:val="single" w:sz="4" w:space="0" w:color="auto"/>
            </w:tcBorders>
            <w:shd w:val="clear" w:color="auto" w:fill="FFFFFF"/>
            <w:noWrap/>
            <w:vAlign w:val="bottom"/>
          </w:tcPr>
          <w:p w:rsidR="007D69DB" w:rsidRPr="00821556" w:rsidRDefault="007D69DB" w:rsidP="007915AE">
            <w:pPr>
              <w:pStyle w:val="TableFigText"/>
              <w:jc w:val="right"/>
              <w:rPr>
                <w:rFonts w:eastAsia="Calibri" w:cs="Arial"/>
              </w:rPr>
            </w:pPr>
            <w:r w:rsidRPr="00821556">
              <w:rPr>
                <w:rFonts w:eastAsia="Calibri" w:cs="Arial"/>
              </w:rPr>
              <w:t>4335</w:t>
            </w:r>
          </w:p>
        </w:tc>
        <w:tc>
          <w:tcPr>
            <w:tcW w:w="1701" w:type="dxa"/>
            <w:tcBorders>
              <w:top w:val="single" w:sz="4" w:space="0" w:color="auto"/>
            </w:tcBorders>
            <w:shd w:val="clear" w:color="auto" w:fill="FFFFFF"/>
            <w:vAlign w:val="bottom"/>
          </w:tcPr>
          <w:p w:rsidR="007D69DB" w:rsidRPr="00821556" w:rsidRDefault="007D69DB" w:rsidP="00135409">
            <w:pPr>
              <w:pStyle w:val="TableFigText"/>
              <w:jc w:val="right"/>
              <w:rPr>
                <w:rFonts w:eastAsia="Calibri" w:cs="Arial"/>
              </w:rPr>
            </w:pPr>
            <w:r w:rsidRPr="00821556">
              <w:rPr>
                <w:rFonts w:eastAsia="Calibri" w:cs="Arial"/>
              </w:rPr>
              <w:t>49.1</w:t>
            </w:r>
          </w:p>
        </w:tc>
      </w:tr>
      <w:tr w:rsidR="007D69DB" w:rsidRPr="00821556" w:rsidTr="00C3340D">
        <w:trPr>
          <w:trHeight w:val="204"/>
        </w:trPr>
        <w:tc>
          <w:tcPr>
            <w:tcW w:w="2943" w:type="dxa"/>
            <w:shd w:val="clear" w:color="auto" w:fill="FFFFFF"/>
            <w:noWrap/>
            <w:vAlign w:val="center"/>
            <w:hideMark/>
          </w:tcPr>
          <w:p w:rsidR="007D69DB" w:rsidRPr="00821556" w:rsidRDefault="007D69DB" w:rsidP="00135409">
            <w:pPr>
              <w:pStyle w:val="TableFigText"/>
              <w:rPr>
                <w:rFonts w:eastAsia="Calibri" w:cs="Arial"/>
              </w:rPr>
            </w:pPr>
            <w:r w:rsidRPr="00821556">
              <w:rPr>
                <w:rFonts w:eastAsia="Calibri" w:cs="Arial"/>
              </w:rPr>
              <w:t>2</w:t>
            </w:r>
          </w:p>
        </w:tc>
        <w:tc>
          <w:tcPr>
            <w:tcW w:w="2835" w:type="dxa"/>
            <w:shd w:val="clear" w:color="auto" w:fill="FFFFFF"/>
            <w:noWrap/>
            <w:vAlign w:val="bottom"/>
          </w:tcPr>
          <w:p w:rsidR="007D69DB" w:rsidRPr="00821556" w:rsidRDefault="007D69DB" w:rsidP="007915AE">
            <w:pPr>
              <w:pStyle w:val="TableFigText"/>
              <w:jc w:val="right"/>
              <w:rPr>
                <w:rFonts w:eastAsia="Calibri" w:cs="Arial"/>
              </w:rPr>
            </w:pPr>
            <w:r w:rsidRPr="00821556">
              <w:rPr>
                <w:rFonts w:eastAsia="Calibri" w:cs="Arial"/>
              </w:rPr>
              <w:t>2468</w:t>
            </w:r>
          </w:p>
        </w:tc>
        <w:tc>
          <w:tcPr>
            <w:tcW w:w="1701" w:type="dxa"/>
            <w:shd w:val="clear" w:color="auto" w:fill="FFFFFF"/>
            <w:vAlign w:val="bottom"/>
          </w:tcPr>
          <w:p w:rsidR="007D69DB" w:rsidRPr="00821556" w:rsidRDefault="007D69DB" w:rsidP="00135409">
            <w:pPr>
              <w:pStyle w:val="TableFigText"/>
              <w:jc w:val="right"/>
              <w:rPr>
                <w:rFonts w:eastAsia="Calibri" w:cs="Arial"/>
              </w:rPr>
            </w:pPr>
            <w:r w:rsidRPr="00821556">
              <w:rPr>
                <w:rFonts w:eastAsia="Calibri" w:cs="Arial"/>
              </w:rPr>
              <w:t>28.0</w:t>
            </w:r>
          </w:p>
        </w:tc>
      </w:tr>
      <w:tr w:rsidR="007D69DB" w:rsidRPr="00821556" w:rsidTr="00C3340D">
        <w:trPr>
          <w:trHeight w:val="204"/>
        </w:trPr>
        <w:tc>
          <w:tcPr>
            <w:tcW w:w="2943" w:type="dxa"/>
            <w:shd w:val="clear" w:color="auto" w:fill="FFFFFF"/>
            <w:noWrap/>
            <w:vAlign w:val="center"/>
            <w:hideMark/>
          </w:tcPr>
          <w:p w:rsidR="007D69DB" w:rsidRPr="00821556" w:rsidRDefault="007D69DB" w:rsidP="00135409">
            <w:pPr>
              <w:pStyle w:val="TableFigText"/>
              <w:rPr>
                <w:rFonts w:eastAsia="Calibri" w:cs="Arial"/>
              </w:rPr>
            </w:pPr>
            <w:r w:rsidRPr="00821556">
              <w:rPr>
                <w:rFonts w:eastAsia="Calibri" w:cs="Arial"/>
              </w:rPr>
              <w:t>3</w:t>
            </w:r>
          </w:p>
        </w:tc>
        <w:tc>
          <w:tcPr>
            <w:tcW w:w="2835" w:type="dxa"/>
            <w:shd w:val="clear" w:color="auto" w:fill="FFFFFF"/>
            <w:noWrap/>
            <w:vAlign w:val="bottom"/>
          </w:tcPr>
          <w:p w:rsidR="007D69DB" w:rsidRPr="00821556" w:rsidRDefault="007D69DB" w:rsidP="007915AE">
            <w:pPr>
              <w:pStyle w:val="TableFigText"/>
              <w:jc w:val="right"/>
              <w:rPr>
                <w:rFonts w:eastAsia="Calibri" w:cs="Arial"/>
              </w:rPr>
            </w:pPr>
            <w:r w:rsidRPr="00821556">
              <w:rPr>
                <w:rFonts w:eastAsia="Calibri" w:cs="Arial"/>
              </w:rPr>
              <w:t>1128</w:t>
            </w:r>
          </w:p>
        </w:tc>
        <w:tc>
          <w:tcPr>
            <w:tcW w:w="1701" w:type="dxa"/>
            <w:shd w:val="clear" w:color="auto" w:fill="FFFFFF"/>
            <w:vAlign w:val="bottom"/>
          </w:tcPr>
          <w:p w:rsidR="007D69DB" w:rsidRPr="00821556" w:rsidRDefault="007D69DB" w:rsidP="00135409">
            <w:pPr>
              <w:pStyle w:val="TableFigText"/>
              <w:jc w:val="right"/>
              <w:rPr>
                <w:rFonts w:eastAsia="Calibri" w:cs="Arial"/>
              </w:rPr>
            </w:pPr>
            <w:r w:rsidRPr="00821556">
              <w:rPr>
                <w:rFonts w:eastAsia="Calibri" w:cs="Arial"/>
              </w:rPr>
              <w:t>12.8</w:t>
            </w:r>
          </w:p>
        </w:tc>
      </w:tr>
      <w:tr w:rsidR="007D69DB" w:rsidRPr="00821556" w:rsidTr="00C3340D">
        <w:trPr>
          <w:trHeight w:val="204"/>
        </w:trPr>
        <w:tc>
          <w:tcPr>
            <w:tcW w:w="2943" w:type="dxa"/>
            <w:shd w:val="clear" w:color="auto" w:fill="FFFFFF"/>
            <w:noWrap/>
            <w:vAlign w:val="center"/>
            <w:hideMark/>
          </w:tcPr>
          <w:p w:rsidR="007D69DB" w:rsidRPr="00821556" w:rsidRDefault="007D69DB" w:rsidP="00135409">
            <w:pPr>
              <w:pStyle w:val="TableFigText"/>
              <w:rPr>
                <w:rFonts w:eastAsia="Calibri" w:cs="Arial"/>
              </w:rPr>
            </w:pPr>
            <w:r w:rsidRPr="00821556">
              <w:rPr>
                <w:rFonts w:eastAsia="Calibri" w:cs="Arial"/>
              </w:rPr>
              <w:t>4</w:t>
            </w:r>
          </w:p>
        </w:tc>
        <w:tc>
          <w:tcPr>
            <w:tcW w:w="2835" w:type="dxa"/>
            <w:shd w:val="clear" w:color="auto" w:fill="FFFFFF"/>
            <w:noWrap/>
            <w:vAlign w:val="bottom"/>
          </w:tcPr>
          <w:p w:rsidR="007D69DB" w:rsidRPr="00821556" w:rsidRDefault="007D69DB" w:rsidP="00135409">
            <w:pPr>
              <w:pStyle w:val="TableFigText"/>
              <w:jc w:val="right"/>
              <w:rPr>
                <w:rFonts w:eastAsia="Calibri" w:cs="Arial"/>
              </w:rPr>
            </w:pPr>
            <w:r w:rsidRPr="00821556">
              <w:rPr>
                <w:rFonts w:eastAsia="Calibri" w:cs="Arial"/>
              </w:rPr>
              <w:t>503</w:t>
            </w:r>
          </w:p>
        </w:tc>
        <w:tc>
          <w:tcPr>
            <w:tcW w:w="1701" w:type="dxa"/>
            <w:shd w:val="clear" w:color="auto" w:fill="FFFFFF"/>
            <w:vAlign w:val="bottom"/>
          </w:tcPr>
          <w:p w:rsidR="007D69DB" w:rsidRPr="00821556" w:rsidRDefault="007D69DB" w:rsidP="00135409">
            <w:pPr>
              <w:pStyle w:val="TableFigText"/>
              <w:jc w:val="right"/>
              <w:rPr>
                <w:rFonts w:eastAsia="Calibri" w:cs="Arial"/>
              </w:rPr>
            </w:pPr>
            <w:r w:rsidRPr="00821556">
              <w:rPr>
                <w:rFonts w:eastAsia="Calibri" w:cs="Arial"/>
              </w:rPr>
              <w:t>5.7</w:t>
            </w:r>
          </w:p>
        </w:tc>
      </w:tr>
      <w:tr w:rsidR="007D69DB" w:rsidRPr="00821556" w:rsidTr="00C3340D">
        <w:trPr>
          <w:trHeight w:val="204"/>
        </w:trPr>
        <w:tc>
          <w:tcPr>
            <w:tcW w:w="2943" w:type="dxa"/>
            <w:shd w:val="clear" w:color="auto" w:fill="FFFFFF"/>
            <w:noWrap/>
            <w:vAlign w:val="center"/>
            <w:hideMark/>
          </w:tcPr>
          <w:p w:rsidR="007D69DB" w:rsidRPr="00821556" w:rsidRDefault="007D69DB" w:rsidP="00135409">
            <w:pPr>
              <w:pStyle w:val="TableFigText"/>
              <w:rPr>
                <w:rFonts w:eastAsia="Calibri" w:cs="Arial"/>
              </w:rPr>
            </w:pPr>
            <w:r w:rsidRPr="00821556">
              <w:rPr>
                <w:rFonts w:eastAsia="Calibri" w:cs="Arial"/>
              </w:rPr>
              <w:t>5–8</w:t>
            </w:r>
          </w:p>
        </w:tc>
        <w:tc>
          <w:tcPr>
            <w:tcW w:w="2835" w:type="dxa"/>
            <w:shd w:val="clear" w:color="auto" w:fill="FFFFFF"/>
            <w:noWrap/>
            <w:vAlign w:val="bottom"/>
          </w:tcPr>
          <w:p w:rsidR="007D69DB" w:rsidRPr="00821556" w:rsidRDefault="007D69DB" w:rsidP="00135409">
            <w:pPr>
              <w:pStyle w:val="TableFigText"/>
              <w:jc w:val="right"/>
              <w:rPr>
                <w:rFonts w:eastAsia="Calibri" w:cs="Arial"/>
              </w:rPr>
            </w:pPr>
            <w:r w:rsidRPr="00821556">
              <w:rPr>
                <w:rFonts w:eastAsia="Calibri" w:cs="Arial"/>
              </w:rPr>
              <w:t>380</w:t>
            </w:r>
          </w:p>
        </w:tc>
        <w:tc>
          <w:tcPr>
            <w:tcW w:w="1701" w:type="dxa"/>
            <w:shd w:val="clear" w:color="auto" w:fill="FFFFFF"/>
            <w:vAlign w:val="bottom"/>
          </w:tcPr>
          <w:p w:rsidR="007D69DB" w:rsidRPr="00821556" w:rsidRDefault="007D69DB" w:rsidP="00135409">
            <w:pPr>
              <w:pStyle w:val="TableFigText"/>
              <w:jc w:val="right"/>
              <w:rPr>
                <w:rFonts w:eastAsia="Calibri" w:cs="Arial"/>
              </w:rPr>
            </w:pPr>
            <w:r w:rsidRPr="00821556">
              <w:rPr>
                <w:rFonts w:eastAsia="Calibri" w:cs="Arial"/>
              </w:rPr>
              <w:t>4.3</w:t>
            </w:r>
          </w:p>
        </w:tc>
      </w:tr>
      <w:tr w:rsidR="007D69DB" w:rsidRPr="00821556" w:rsidTr="00C3340D">
        <w:trPr>
          <w:trHeight w:val="204"/>
        </w:trPr>
        <w:tc>
          <w:tcPr>
            <w:tcW w:w="2943" w:type="dxa"/>
            <w:shd w:val="clear" w:color="auto" w:fill="FFFFFF"/>
            <w:noWrap/>
            <w:vAlign w:val="center"/>
            <w:hideMark/>
          </w:tcPr>
          <w:p w:rsidR="007D69DB" w:rsidRPr="00821556" w:rsidRDefault="007D69DB" w:rsidP="00135409">
            <w:pPr>
              <w:pStyle w:val="TableFigText"/>
              <w:rPr>
                <w:rFonts w:eastAsia="Calibri" w:cs="Arial"/>
              </w:rPr>
            </w:pPr>
            <w:r w:rsidRPr="00821556">
              <w:rPr>
                <w:rFonts w:eastAsia="Calibri" w:cs="Arial"/>
              </w:rPr>
              <w:t>9 or more</w:t>
            </w:r>
          </w:p>
        </w:tc>
        <w:tc>
          <w:tcPr>
            <w:tcW w:w="2835" w:type="dxa"/>
            <w:shd w:val="clear" w:color="auto" w:fill="FFFFFF"/>
            <w:noWrap/>
            <w:vAlign w:val="bottom"/>
          </w:tcPr>
          <w:p w:rsidR="007D69DB" w:rsidRPr="00821556" w:rsidRDefault="007D69DB" w:rsidP="00135409">
            <w:pPr>
              <w:pStyle w:val="TableFigText"/>
              <w:jc w:val="right"/>
              <w:rPr>
                <w:rFonts w:eastAsia="Calibri" w:cs="Arial"/>
              </w:rPr>
            </w:pPr>
            <w:r w:rsidRPr="00821556">
              <w:rPr>
                <w:rFonts w:eastAsia="Calibri" w:cs="Arial"/>
              </w:rPr>
              <w:t>8</w:t>
            </w:r>
          </w:p>
        </w:tc>
        <w:tc>
          <w:tcPr>
            <w:tcW w:w="1701" w:type="dxa"/>
            <w:shd w:val="clear" w:color="auto" w:fill="FFFFFF"/>
            <w:vAlign w:val="bottom"/>
          </w:tcPr>
          <w:p w:rsidR="007D69DB" w:rsidRPr="00821556" w:rsidRDefault="007D69DB" w:rsidP="00135409">
            <w:pPr>
              <w:pStyle w:val="TableFigText"/>
              <w:jc w:val="right"/>
              <w:rPr>
                <w:rFonts w:eastAsia="Calibri" w:cs="Arial"/>
              </w:rPr>
            </w:pPr>
            <w:r w:rsidRPr="00821556">
              <w:rPr>
                <w:rFonts w:eastAsia="Calibri" w:cs="Arial"/>
              </w:rPr>
              <w:t>0.1</w:t>
            </w:r>
          </w:p>
        </w:tc>
      </w:tr>
      <w:tr w:rsidR="007D69DB" w:rsidRPr="00821556" w:rsidTr="00C3340D">
        <w:trPr>
          <w:trHeight w:val="264"/>
        </w:trPr>
        <w:tc>
          <w:tcPr>
            <w:tcW w:w="2943" w:type="dxa"/>
            <w:tcBorders>
              <w:bottom w:val="single" w:sz="4" w:space="0" w:color="auto"/>
            </w:tcBorders>
            <w:shd w:val="clear" w:color="auto" w:fill="FFFFFF"/>
            <w:noWrap/>
            <w:vAlign w:val="center"/>
            <w:hideMark/>
          </w:tcPr>
          <w:p w:rsidR="007D69DB" w:rsidRPr="00821556" w:rsidRDefault="007D69DB" w:rsidP="00135409">
            <w:pPr>
              <w:pStyle w:val="TableFigHeadingtotal"/>
              <w:rPr>
                <w:rFonts w:eastAsia="Calibri" w:cs="Arial"/>
              </w:rPr>
            </w:pPr>
            <w:r w:rsidRPr="00821556">
              <w:rPr>
                <w:rFonts w:eastAsia="Calibri" w:cs="Arial"/>
              </w:rPr>
              <w:t>Total</w:t>
            </w:r>
            <w:r w:rsidRPr="00821556">
              <w:rPr>
                <w:rFonts w:eastAsia="Calibri" w:cs="Arial"/>
                <w:vertAlign w:val="superscript"/>
              </w:rPr>
              <w:t>(a)</w:t>
            </w:r>
          </w:p>
        </w:tc>
        <w:tc>
          <w:tcPr>
            <w:tcW w:w="2835" w:type="dxa"/>
            <w:tcBorders>
              <w:bottom w:val="single" w:sz="4" w:space="0" w:color="auto"/>
            </w:tcBorders>
            <w:shd w:val="clear" w:color="auto" w:fill="FFFFFF"/>
            <w:noWrap/>
            <w:vAlign w:val="bottom"/>
          </w:tcPr>
          <w:p w:rsidR="007D69DB" w:rsidRPr="00821556" w:rsidRDefault="007D69DB" w:rsidP="007915AE">
            <w:pPr>
              <w:pStyle w:val="TableFigHeadingtotal"/>
              <w:jc w:val="right"/>
              <w:rPr>
                <w:rFonts w:eastAsia="Calibri" w:cs="Arial"/>
              </w:rPr>
            </w:pPr>
            <w:r w:rsidRPr="00821556">
              <w:rPr>
                <w:rFonts w:eastAsia="Calibri" w:cs="Arial"/>
              </w:rPr>
              <w:t>8824</w:t>
            </w:r>
          </w:p>
        </w:tc>
        <w:tc>
          <w:tcPr>
            <w:tcW w:w="1701" w:type="dxa"/>
            <w:tcBorders>
              <w:bottom w:val="single" w:sz="4" w:space="0" w:color="auto"/>
            </w:tcBorders>
            <w:shd w:val="clear" w:color="auto" w:fill="FFFFFF"/>
            <w:vAlign w:val="bottom"/>
          </w:tcPr>
          <w:p w:rsidR="007D69DB" w:rsidRPr="00821556" w:rsidRDefault="007D69DB" w:rsidP="00135409">
            <w:pPr>
              <w:pStyle w:val="TableFigHeadingtotal"/>
              <w:jc w:val="right"/>
              <w:rPr>
                <w:rFonts w:eastAsia="Calibri" w:cs="Arial"/>
              </w:rPr>
            </w:pPr>
            <w:r w:rsidRPr="00821556">
              <w:rPr>
                <w:rFonts w:eastAsia="Calibri" w:cs="Arial"/>
              </w:rPr>
              <w:t>100.0</w:t>
            </w:r>
          </w:p>
        </w:tc>
      </w:tr>
    </w:tbl>
    <w:p w:rsidR="007D69DB" w:rsidRPr="00343B82" w:rsidRDefault="007D69DB" w:rsidP="00343B82">
      <w:pPr>
        <w:tabs>
          <w:tab w:val="left" w:pos="567"/>
        </w:tabs>
        <w:spacing w:before="120"/>
        <w:rPr>
          <w:rFonts w:ascii="Arial" w:hAnsi="Arial" w:cs="Arial"/>
          <w:sz w:val="14"/>
          <w:szCs w:val="14"/>
        </w:rPr>
      </w:pPr>
      <w:r w:rsidRPr="00343B82">
        <w:rPr>
          <w:rFonts w:ascii="Arial" w:hAnsi="Arial" w:cs="Arial"/>
          <w:sz w:val="14"/>
          <w:szCs w:val="14"/>
        </w:rPr>
        <w:t>(a)</w:t>
      </w:r>
      <w:r w:rsidRPr="00343B82">
        <w:rPr>
          <w:rFonts w:ascii="Arial" w:hAnsi="Arial" w:cs="Arial"/>
          <w:sz w:val="14"/>
          <w:szCs w:val="14"/>
        </w:rPr>
        <w:tab/>
        <w:t xml:space="preserve">‘Total’ includes households where the number of children placed at 30 June was unknown. </w:t>
      </w:r>
    </w:p>
    <w:p w:rsidR="007D69DB" w:rsidRPr="00343B82" w:rsidRDefault="007D69DB" w:rsidP="00343B82">
      <w:pPr>
        <w:tabs>
          <w:tab w:val="left" w:pos="567"/>
        </w:tabs>
        <w:spacing w:before="120"/>
        <w:rPr>
          <w:rFonts w:ascii="Arial" w:hAnsi="Arial" w:cs="Arial"/>
          <w:sz w:val="14"/>
          <w:szCs w:val="14"/>
        </w:rPr>
      </w:pPr>
      <w:r w:rsidRPr="00343B82">
        <w:rPr>
          <w:rFonts w:ascii="Arial" w:hAnsi="Arial" w:cs="Arial"/>
          <w:sz w:val="14"/>
          <w:szCs w:val="14"/>
        </w:rPr>
        <w:t>Notes</w:t>
      </w:r>
    </w:p>
    <w:p w:rsidR="007D69DB" w:rsidRPr="00343B82" w:rsidRDefault="007D69DB" w:rsidP="00343B82">
      <w:pPr>
        <w:tabs>
          <w:tab w:val="left" w:pos="567"/>
        </w:tabs>
        <w:spacing w:before="120"/>
        <w:rPr>
          <w:rFonts w:ascii="Arial" w:hAnsi="Arial" w:cs="Arial"/>
          <w:sz w:val="14"/>
          <w:szCs w:val="14"/>
        </w:rPr>
      </w:pPr>
      <w:r w:rsidRPr="00343B82">
        <w:rPr>
          <w:rFonts w:ascii="Arial" w:hAnsi="Arial" w:cs="Arial"/>
          <w:sz w:val="14"/>
          <w:szCs w:val="14"/>
        </w:rPr>
        <w:t>1.</w:t>
      </w:r>
      <w:r w:rsidRPr="00343B82">
        <w:rPr>
          <w:rFonts w:ascii="Arial" w:hAnsi="Arial" w:cs="Arial"/>
          <w:sz w:val="14"/>
          <w:szCs w:val="14"/>
        </w:rPr>
        <w:tab/>
        <w:t>Percentages in tables may not add to 100 due to rounding.</w:t>
      </w:r>
    </w:p>
    <w:p w:rsidR="007D69DB" w:rsidRPr="00343B82" w:rsidRDefault="007D69DB" w:rsidP="00343B82">
      <w:pPr>
        <w:tabs>
          <w:tab w:val="left" w:pos="567"/>
        </w:tabs>
        <w:spacing w:before="120"/>
        <w:rPr>
          <w:rFonts w:ascii="Arial" w:hAnsi="Arial" w:cs="Arial"/>
          <w:sz w:val="14"/>
          <w:szCs w:val="14"/>
        </w:rPr>
      </w:pPr>
      <w:r w:rsidRPr="00343B82">
        <w:rPr>
          <w:rFonts w:ascii="Arial" w:hAnsi="Arial" w:cs="Arial"/>
          <w:sz w:val="14"/>
          <w:szCs w:val="14"/>
        </w:rPr>
        <w:t xml:space="preserve">2. </w:t>
      </w:r>
      <w:r w:rsidRPr="00343B82">
        <w:rPr>
          <w:rFonts w:ascii="Arial" w:hAnsi="Arial" w:cs="Arial"/>
          <w:sz w:val="14"/>
          <w:szCs w:val="14"/>
        </w:rPr>
        <w:tab/>
        <w:t xml:space="preserve">Data on Indigenous status of foster carer household are not available for 2012. </w:t>
      </w:r>
    </w:p>
    <w:p w:rsidR="007D69DB" w:rsidRPr="00343B82" w:rsidRDefault="00817D31" w:rsidP="00343B82">
      <w:pPr>
        <w:tabs>
          <w:tab w:val="left" w:pos="567"/>
        </w:tabs>
        <w:spacing w:before="120"/>
        <w:rPr>
          <w:rFonts w:ascii="Arial" w:hAnsi="Arial" w:cs="Arial"/>
          <w:sz w:val="14"/>
          <w:szCs w:val="14"/>
        </w:rPr>
      </w:pPr>
      <w:r>
        <w:rPr>
          <w:rFonts w:ascii="Arial" w:hAnsi="Arial" w:cs="Arial"/>
          <w:sz w:val="14"/>
          <w:szCs w:val="14"/>
        </w:rPr>
        <w:t>Source:</w:t>
      </w:r>
      <w:r>
        <w:rPr>
          <w:rFonts w:ascii="Arial" w:hAnsi="Arial" w:cs="Arial"/>
          <w:sz w:val="14"/>
          <w:szCs w:val="14"/>
        </w:rPr>
        <w:tab/>
      </w:r>
      <w:r w:rsidR="007D69DB" w:rsidRPr="00343B82">
        <w:rPr>
          <w:rFonts w:ascii="Arial" w:hAnsi="Arial" w:cs="Arial"/>
          <w:sz w:val="14"/>
          <w:szCs w:val="14"/>
        </w:rPr>
        <w:t>AIHW Child Protection Data Collections.</w:t>
      </w:r>
    </w:p>
    <w:p w:rsidR="007D69DB" w:rsidRPr="00E40318" w:rsidRDefault="007D69DB" w:rsidP="00343B82">
      <w:pPr>
        <w:tabs>
          <w:tab w:val="left" w:pos="567"/>
        </w:tabs>
        <w:spacing w:before="120"/>
        <w:rPr>
          <w:rFonts w:asciiTheme="minorHAnsi" w:hAnsiTheme="minorHAnsi" w:cs="Arial"/>
          <w:sz w:val="24"/>
          <w:szCs w:val="24"/>
        </w:rPr>
      </w:pPr>
    </w:p>
    <w:p w:rsidR="007D69DB" w:rsidRPr="004B3342" w:rsidRDefault="007D69DB" w:rsidP="004B3342">
      <w:pPr>
        <w:pStyle w:val="Heading4a"/>
      </w:pPr>
      <w:r w:rsidRPr="004B3342">
        <w:t>Measure 12.1 (part b): The number of foster carer households with a placement during the year</w:t>
      </w:r>
    </w:p>
    <w:p w:rsidR="007D69DB" w:rsidRPr="00C3340D" w:rsidRDefault="007D69DB" w:rsidP="007D69DB">
      <w:pPr>
        <w:rPr>
          <w:rFonts w:asciiTheme="minorHAnsi" w:hAnsiTheme="minorHAnsi"/>
          <w:sz w:val="24"/>
          <w:szCs w:val="24"/>
          <w:lang w:eastAsia="en-AU"/>
        </w:rPr>
      </w:pPr>
    </w:p>
    <w:p w:rsidR="007D69DB" w:rsidRDefault="007D69DB" w:rsidP="007D69DB">
      <w:pPr>
        <w:rPr>
          <w:rFonts w:ascii="Calibri" w:hAnsi="Calibri"/>
          <w:sz w:val="24"/>
          <w:szCs w:val="24"/>
        </w:rPr>
      </w:pPr>
      <w:r w:rsidRPr="00821556">
        <w:rPr>
          <w:rFonts w:ascii="Calibri" w:hAnsi="Calibri"/>
          <w:sz w:val="24"/>
          <w:szCs w:val="24"/>
        </w:rPr>
        <w:t>During 2011–12, there were 11</w:t>
      </w:r>
      <w:r>
        <w:rPr>
          <w:rFonts w:ascii="Calibri" w:hAnsi="Calibri"/>
          <w:sz w:val="24"/>
          <w:szCs w:val="24"/>
        </w:rPr>
        <w:t> </w:t>
      </w:r>
      <w:r w:rsidRPr="00821556">
        <w:rPr>
          <w:rFonts w:ascii="Calibri" w:hAnsi="Calibri"/>
          <w:sz w:val="24"/>
          <w:szCs w:val="24"/>
        </w:rPr>
        <w:t>664 households that had one or more foster care placements at some point during the year.</w:t>
      </w:r>
    </w:p>
    <w:p w:rsidR="007D69DB" w:rsidRPr="00E40318" w:rsidRDefault="007D69DB" w:rsidP="007D69DB">
      <w:pPr>
        <w:rPr>
          <w:rFonts w:ascii="Calibri" w:hAnsi="Calibri"/>
          <w:sz w:val="24"/>
          <w:szCs w:val="24"/>
        </w:rPr>
      </w:pPr>
    </w:p>
    <w:p w:rsidR="007D69DB" w:rsidRPr="00E47AEA" w:rsidRDefault="00E0613F" w:rsidP="00520DEC">
      <w:pPr>
        <w:pStyle w:val="Figure"/>
        <w:ind w:right="2124"/>
      </w:pPr>
      <w:bookmarkStart w:id="268" w:name="_Toc400010319"/>
      <w:r>
        <w:t xml:space="preserve">Table </w:t>
      </w:r>
      <w:fldSimple w:instr=" SEQ Table \* ARABIC ">
        <w:r w:rsidR="00BF1EC9">
          <w:rPr>
            <w:noProof/>
          </w:rPr>
          <w:t>33</w:t>
        </w:r>
      </w:fldSimple>
      <w:r w:rsidR="007D69DB" w:rsidRPr="00E47AEA">
        <w:t>: Foster carer households with a placement during 2011–12</w:t>
      </w:r>
      <w:bookmarkEnd w:id="268"/>
    </w:p>
    <w:tbl>
      <w:tblPr>
        <w:tblW w:w="7479" w:type="dxa"/>
        <w:tblBorders>
          <w:top w:val="single" w:sz="4" w:space="0" w:color="auto"/>
          <w:bottom w:val="single" w:sz="4" w:space="0" w:color="auto"/>
        </w:tblBorders>
        <w:tblLook w:val="04A0" w:firstRow="1" w:lastRow="0" w:firstColumn="1" w:lastColumn="0" w:noHBand="0" w:noVBand="1"/>
        <w:tblDescription w:val="Table 33: Foster carer households with a placement during 2011–12"/>
      </w:tblPr>
      <w:tblGrid>
        <w:gridCol w:w="4644"/>
        <w:gridCol w:w="2835"/>
      </w:tblGrid>
      <w:tr w:rsidR="007D69DB" w:rsidRPr="00821556" w:rsidTr="00C3340D">
        <w:trPr>
          <w:trHeight w:val="289"/>
        </w:trPr>
        <w:tc>
          <w:tcPr>
            <w:tcW w:w="4644" w:type="dxa"/>
            <w:tcBorders>
              <w:top w:val="single" w:sz="4" w:space="0" w:color="auto"/>
              <w:bottom w:val="single" w:sz="4" w:space="0" w:color="auto"/>
            </w:tcBorders>
            <w:shd w:val="clear" w:color="auto" w:fill="FFFFFF"/>
            <w:noWrap/>
            <w:vAlign w:val="bottom"/>
            <w:hideMark/>
          </w:tcPr>
          <w:p w:rsidR="007D69DB" w:rsidRPr="00821556" w:rsidRDefault="007D69DB" w:rsidP="00135409">
            <w:pPr>
              <w:pStyle w:val="TableFigHeadingtotal"/>
              <w:rPr>
                <w:rFonts w:eastAsia="Calibri" w:cs="Arial"/>
              </w:rPr>
            </w:pPr>
            <w:r w:rsidRPr="00821556">
              <w:rPr>
                <w:rFonts w:eastAsia="Calibri" w:cs="Arial"/>
              </w:rPr>
              <w:t> </w:t>
            </w:r>
          </w:p>
        </w:tc>
        <w:tc>
          <w:tcPr>
            <w:tcW w:w="2835" w:type="dxa"/>
            <w:tcBorders>
              <w:top w:val="single" w:sz="4" w:space="0" w:color="auto"/>
              <w:bottom w:val="single" w:sz="4" w:space="0" w:color="auto"/>
            </w:tcBorders>
            <w:shd w:val="clear" w:color="auto" w:fill="FFFFFF"/>
            <w:vAlign w:val="bottom"/>
            <w:hideMark/>
          </w:tcPr>
          <w:p w:rsidR="007D69DB" w:rsidRPr="00821556" w:rsidRDefault="007D69DB" w:rsidP="00135409">
            <w:pPr>
              <w:pStyle w:val="TableFigHeadingtotal"/>
              <w:jc w:val="right"/>
              <w:rPr>
                <w:rFonts w:eastAsia="Calibri" w:cs="Arial"/>
              </w:rPr>
            </w:pPr>
            <w:r w:rsidRPr="00821556">
              <w:rPr>
                <w:rFonts w:eastAsia="Calibri" w:cs="Arial"/>
              </w:rPr>
              <w:t>Number of households</w:t>
            </w:r>
          </w:p>
        </w:tc>
      </w:tr>
      <w:tr w:rsidR="007D69DB" w:rsidRPr="00821556" w:rsidTr="00C3340D">
        <w:trPr>
          <w:trHeight w:val="169"/>
        </w:trPr>
        <w:tc>
          <w:tcPr>
            <w:tcW w:w="4644" w:type="dxa"/>
            <w:tcBorders>
              <w:top w:val="single" w:sz="4" w:space="0" w:color="auto"/>
            </w:tcBorders>
            <w:shd w:val="clear" w:color="auto" w:fill="FFFFFF"/>
            <w:vAlign w:val="bottom"/>
            <w:hideMark/>
          </w:tcPr>
          <w:p w:rsidR="007D69DB" w:rsidRPr="00821556" w:rsidRDefault="007D69DB" w:rsidP="00135409">
            <w:pPr>
              <w:pStyle w:val="TableFigText"/>
              <w:rPr>
                <w:rFonts w:eastAsia="Calibri" w:cs="Arial"/>
              </w:rPr>
            </w:pPr>
            <w:r w:rsidRPr="00821556">
              <w:rPr>
                <w:rFonts w:eastAsia="Calibri" w:cs="Arial"/>
              </w:rPr>
              <w:t>Households with a placement during 2011–12</w:t>
            </w:r>
          </w:p>
        </w:tc>
        <w:tc>
          <w:tcPr>
            <w:tcW w:w="2835" w:type="dxa"/>
            <w:tcBorders>
              <w:top w:val="single" w:sz="4" w:space="0" w:color="auto"/>
            </w:tcBorders>
            <w:shd w:val="clear" w:color="auto" w:fill="FFFFFF"/>
            <w:noWrap/>
            <w:vAlign w:val="bottom"/>
            <w:hideMark/>
          </w:tcPr>
          <w:p w:rsidR="007D69DB" w:rsidRPr="00821556" w:rsidRDefault="007D69DB" w:rsidP="00135409">
            <w:pPr>
              <w:pStyle w:val="TableFigText"/>
              <w:jc w:val="right"/>
              <w:rPr>
                <w:rFonts w:eastAsia="Calibri" w:cs="Arial"/>
              </w:rPr>
            </w:pPr>
            <w:r w:rsidRPr="00821556">
              <w:rPr>
                <w:rFonts w:eastAsia="Calibri" w:cs="Arial"/>
              </w:rPr>
              <w:t>11</w:t>
            </w:r>
            <w:r>
              <w:rPr>
                <w:rFonts w:eastAsia="Calibri" w:cs="Arial"/>
              </w:rPr>
              <w:t> </w:t>
            </w:r>
            <w:r w:rsidRPr="00821556">
              <w:rPr>
                <w:rFonts w:eastAsia="Calibri" w:cs="Arial"/>
              </w:rPr>
              <w:t>664</w:t>
            </w:r>
          </w:p>
        </w:tc>
      </w:tr>
    </w:tbl>
    <w:p w:rsidR="007D69DB" w:rsidRPr="00343B82" w:rsidRDefault="00817D31" w:rsidP="00343B82">
      <w:pPr>
        <w:tabs>
          <w:tab w:val="left" w:pos="567"/>
        </w:tabs>
        <w:spacing w:before="120"/>
        <w:ind w:left="567" w:hanging="567"/>
        <w:rPr>
          <w:rFonts w:ascii="Arial" w:hAnsi="Arial"/>
          <w:sz w:val="14"/>
        </w:rPr>
      </w:pPr>
      <w:r>
        <w:rPr>
          <w:rFonts w:ascii="Arial" w:hAnsi="Arial"/>
          <w:sz w:val="14"/>
        </w:rPr>
        <w:t>Note</w:t>
      </w:r>
      <w:r>
        <w:rPr>
          <w:rFonts w:ascii="Arial" w:hAnsi="Arial"/>
          <w:sz w:val="14"/>
        </w:rPr>
        <w:tab/>
      </w:r>
      <w:r w:rsidR="007D69DB" w:rsidRPr="00343B82">
        <w:rPr>
          <w:rFonts w:ascii="Arial" w:hAnsi="Arial"/>
          <w:sz w:val="14"/>
        </w:rPr>
        <w:t>Data on Indigenous status of foster carer household</w:t>
      </w:r>
      <w:r w:rsidR="007915AE" w:rsidRPr="00343B82">
        <w:rPr>
          <w:rFonts w:ascii="Arial" w:hAnsi="Arial"/>
          <w:sz w:val="14"/>
        </w:rPr>
        <w:t>s</w:t>
      </w:r>
      <w:r w:rsidR="007D69DB" w:rsidRPr="00343B82">
        <w:rPr>
          <w:rFonts w:ascii="Arial" w:hAnsi="Arial"/>
          <w:sz w:val="14"/>
        </w:rPr>
        <w:t xml:space="preserve"> are not available for 2011–12.</w:t>
      </w:r>
    </w:p>
    <w:p w:rsidR="007D69DB" w:rsidRDefault="00817D31" w:rsidP="00343B82">
      <w:pPr>
        <w:tabs>
          <w:tab w:val="left" w:pos="567"/>
        </w:tabs>
        <w:spacing w:before="120"/>
        <w:ind w:left="567" w:hanging="567"/>
        <w:rPr>
          <w:rFonts w:ascii="Arial" w:hAnsi="Arial"/>
          <w:sz w:val="14"/>
        </w:rPr>
      </w:pPr>
      <w:r>
        <w:rPr>
          <w:rFonts w:ascii="Arial" w:hAnsi="Arial"/>
          <w:sz w:val="14"/>
        </w:rPr>
        <w:t>Source:</w:t>
      </w:r>
      <w:r>
        <w:rPr>
          <w:rFonts w:ascii="Arial" w:hAnsi="Arial"/>
          <w:sz w:val="14"/>
        </w:rPr>
        <w:tab/>
      </w:r>
      <w:r w:rsidR="007D69DB" w:rsidRPr="00343B82">
        <w:rPr>
          <w:rFonts w:ascii="Arial" w:hAnsi="Arial"/>
          <w:sz w:val="14"/>
        </w:rPr>
        <w:t>AIHW Child Protection Data Collections.</w:t>
      </w:r>
    </w:p>
    <w:p w:rsidR="00343B82" w:rsidRPr="00E40318" w:rsidRDefault="00343B82" w:rsidP="00343B82">
      <w:pPr>
        <w:tabs>
          <w:tab w:val="left" w:pos="567"/>
        </w:tabs>
        <w:spacing w:before="120"/>
        <w:ind w:left="567" w:hanging="567"/>
        <w:rPr>
          <w:rFonts w:asciiTheme="minorHAnsi" w:hAnsiTheme="minorHAnsi"/>
          <w:sz w:val="24"/>
          <w:szCs w:val="24"/>
        </w:rPr>
      </w:pPr>
    </w:p>
    <w:p w:rsidR="00E40318" w:rsidRDefault="00E40318">
      <w:pPr>
        <w:rPr>
          <w:rFonts w:ascii="Calibri" w:hAnsi="Calibri"/>
          <w:b/>
          <w:bCs/>
          <w:i/>
          <w:sz w:val="28"/>
          <w:szCs w:val="28"/>
        </w:rPr>
      </w:pPr>
      <w:r>
        <w:br w:type="page"/>
      </w:r>
    </w:p>
    <w:p w:rsidR="007D69DB" w:rsidRPr="00821556" w:rsidRDefault="007D69DB" w:rsidP="007847B7">
      <w:pPr>
        <w:pStyle w:val="Heading3"/>
      </w:pPr>
      <w:bookmarkStart w:id="269" w:name="_Toc400007821"/>
      <w:r w:rsidRPr="00821556">
        <w:t>Standard 13: Children and young people have a transition from care plan commencing at 15 years old which details support to be provided after leaving care</w:t>
      </w:r>
      <w:bookmarkEnd w:id="269"/>
    </w:p>
    <w:p w:rsidR="007D69DB" w:rsidRPr="004B3342" w:rsidRDefault="007D69DB" w:rsidP="004B3342">
      <w:pPr>
        <w:pStyle w:val="Heading4a"/>
      </w:pPr>
      <w:r w:rsidRPr="004B3342">
        <w:t>Measure 13.1: The proportion of young people aged 15 years and over who have a current leaving care plan</w:t>
      </w:r>
    </w:p>
    <w:p w:rsidR="007D69DB" w:rsidRPr="00E40318" w:rsidRDefault="007D69DB" w:rsidP="007D69DB">
      <w:pPr>
        <w:rPr>
          <w:rFonts w:asciiTheme="minorHAnsi" w:hAnsiTheme="minorHAnsi"/>
          <w:sz w:val="24"/>
          <w:szCs w:val="24"/>
          <w:lang w:eastAsia="en-AU"/>
        </w:rPr>
      </w:pPr>
    </w:p>
    <w:p w:rsidR="007D69DB" w:rsidRPr="00821556" w:rsidRDefault="00594E71" w:rsidP="007D69DB">
      <w:pPr>
        <w:rPr>
          <w:rFonts w:ascii="Calibri" w:hAnsi="Calibri"/>
          <w:sz w:val="24"/>
          <w:szCs w:val="24"/>
        </w:rPr>
      </w:pPr>
      <w:r w:rsidRPr="00594E71">
        <w:rPr>
          <w:rFonts w:ascii="Calibri" w:hAnsi="Calibri"/>
          <w:sz w:val="24"/>
          <w:szCs w:val="24"/>
        </w:rPr>
        <w:t>As outlined pr</w:t>
      </w:r>
      <w:r>
        <w:rPr>
          <w:rFonts w:ascii="Calibri" w:hAnsi="Calibri"/>
          <w:sz w:val="24"/>
          <w:szCs w:val="24"/>
        </w:rPr>
        <w:t xml:space="preserve">eviously under Indicator 4.6, </w:t>
      </w:r>
      <w:proofErr w:type="gramStart"/>
      <w:r>
        <w:rPr>
          <w:rFonts w:ascii="Calibri" w:hAnsi="Calibri"/>
          <w:sz w:val="24"/>
          <w:szCs w:val="24"/>
        </w:rPr>
        <w:t>a</w:t>
      </w:r>
      <w:proofErr w:type="gramEnd"/>
      <w:r w:rsidR="007D69DB" w:rsidRPr="00821556">
        <w:rPr>
          <w:rFonts w:ascii="Calibri" w:hAnsi="Calibri"/>
          <w:sz w:val="24"/>
          <w:szCs w:val="24"/>
        </w:rPr>
        <w:t xml:space="preserve"> </w:t>
      </w:r>
      <w:proofErr w:type="spellStart"/>
      <w:r w:rsidR="007D69DB" w:rsidRPr="00821556">
        <w:rPr>
          <w:rFonts w:ascii="Calibri" w:hAnsi="Calibri"/>
          <w:sz w:val="24"/>
          <w:szCs w:val="24"/>
        </w:rPr>
        <w:t>a</w:t>
      </w:r>
      <w:proofErr w:type="spellEnd"/>
      <w:r w:rsidR="007D69DB" w:rsidRPr="00821556">
        <w:rPr>
          <w:rFonts w:ascii="Calibri" w:hAnsi="Calibri"/>
          <w:sz w:val="24"/>
          <w:szCs w:val="24"/>
        </w:rPr>
        <w:t xml:space="preserve"> transition from care plan is developed in preparation for a young person</w:t>
      </w:r>
      <w:r w:rsidR="007D69DB">
        <w:rPr>
          <w:rFonts w:ascii="Calibri" w:hAnsi="Calibri"/>
          <w:sz w:val="24"/>
          <w:szCs w:val="24"/>
        </w:rPr>
        <w:t>’s exit from</w:t>
      </w:r>
      <w:r w:rsidR="007D69DB" w:rsidRPr="00821556">
        <w:rPr>
          <w:rFonts w:ascii="Calibri" w:hAnsi="Calibri"/>
          <w:sz w:val="24"/>
          <w:szCs w:val="24"/>
        </w:rPr>
        <w:t xml:space="preserve"> </w:t>
      </w:r>
      <w:r>
        <w:rPr>
          <w:rFonts w:ascii="Calibri" w:hAnsi="Calibri"/>
          <w:sz w:val="24"/>
          <w:szCs w:val="24"/>
        </w:rPr>
        <w:t xml:space="preserve">out-of-home </w:t>
      </w:r>
      <w:r w:rsidR="007D69DB" w:rsidRPr="00821556">
        <w:rPr>
          <w:rFonts w:ascii="Calibri" w:hAnsi="Calibri"/>
          <w:sz w:val="24"/>
          <w:szCs w:val="24"/>
        </w:rPr>
        <w:t xml:space="preserve">care into independent living. </w:t>
      </w:r>
      <w:r w:rsidRPr="00594E71">
        <w:rPr>
          <w:rFonts w:ascii="Calibri" w:hAnsi="Calibri"/>
          <w:sz w:val="24"/>
          <w:szCs w:val="24"/>
        </w:rPr>
        <w:t>Under Standard 13, a transition from care plan is to include details of support to access affordable housing, health services, education and training, employment and income support</w:t>
      </w:r>
      <w:r w:rsidR="006A56A2">
        <w:rPr>
          <w:rFonts w:ascii="Calibri" w:hAnsi="Calibri"/>
          <w:sz w:val="24"/>
          <w:szCs w:val="24"/>
        </w:rPr>
        <w:t>,</w:t>
      </w:r>
      <w:r w:rsidRPr="00594E71">
        <w:rPr>
          <w:rFonts w:ascii="Calibri" w:hAnsi="Calibri"/>
          <w:sz w:val="24"/>
          <w:szCs w:val="24"/>
        </w:rPr>
        <w:t xml:space="preserve"> and is to be reviewed regularly.</w:t>
      </w:r>
    </w:p>
    <w:p w:rsidR="007D69DB" w:rsidRDefault="007D69DB" w:rsidP="007D69DB">
      <w:pPr>
        <w:rPr>
          <w:rFonts w:ascii="Calibri" w:hAnsi="Calibri"/>
          <w:sz w:val="24"/>
          <w:szCs w:val="24"/>
        </w:rPr>
      </w:pPr>
    </w:p>
    <w:p w:rsidR="007D69DB" w:rsidRDefault="007D69DB" w:rsidP="007D69DB">
      <w:pPr>
        <w:rPr>
          <w:rFonts w:ascii="Calibri" w:hAnsi="Calibri"/>
          <w:sz w:val="24"/>
          <w:szCs w:val="24"/>
        </w:rPr>
      </w:pPr>
      <w:r w:rsidRPr="00821556">
        <w:rPr>
          <w:rFonts w:ascii="Calibri" w:hAnsi="Calibri"/>
          <w:sz w:val="24"/>
          <w:szCs w:val="24"/>
        </w:rPr>
        <w:t>At 30 June 2012, an estimated 77</w:t>
      </w:r>
      <w:r>
        <w:rPr>
          <w:rFonts w:ascii="Calibri" w:hAnsi="Calibri"/>
          <w:sz w:val="24"/>
          <w:szCs w:val="24"/>
        </w:rPr>
        <w:t xml:space="preserve"> per cent</w:t>
      </w:r>
      <w:r w:rsidRPr="00821556">
        <w:rPr>
          <w:rFonts w:ascii="Calibri" w:hAnsi="Calibri"/>
          <w:sz w:val="24"/>
          <w:szCs w:val="24"/>
        </w:rPr>
        <w:t xml:space="preserve"> of young people aged 15 years and over had a current and approved leaving care plan (based on data from Victoria, Queensland and Western Australia only).</w:t>
      </w:r>
    </w:p>
    <w:p w:rsidR="007D69DB" w:rsidRPr="00821556" w:rsidRDefault="007D69DB" w:rsidP="007D69DB">
      <w:pPr>
        <w:rPr>
          <w:rFonts w:ascii="Calibri" w:hAnsi="Calibri"/>
          <w:sz w:val="24"/>
          <w:szCs w:val="24"/>
        </w:rPr>
      </w:pPr>
    </w:p>
    <w:p w:rsidR="007D69DB" w:rsidRPr="00E47AEA" w:rsidRDefault="00E0613F" w:rsidP="00520DEC">
      <w:pPr>
        <w:pStyle w:val="Figure"/>
        <w:ind w:right="2124"/>
      </w:pPr>
      <w:bookmarkStart w:id="270" w:name="_Toc400010320"/>
      <w:r>
        <w:t xml:space="preserve">Table </w:t>
      </w:r>
      <w:fldSimple w:instr=" SEQ Table \* ARABIC ">
        <w:r w:rsidR="00BF1EC9">
          <w:rPr>
            <w:noProof/>
          </w:rPr>
          <w:t>34</w:t>
        </w:r>
      </w:fldSimple>
      <w:r w:rsidR="007D69DB" w:rsidRPr="00E47AEA">
        <w:t>: Young people aged 15 years and over who have a current and approved leaving care plan,</w:t>
      </w:r>
      <w:r w:rsidR="00520DEC">
        <w:t xml:space="preserve"> </w:t>
      </w:r>
      <w:r w:rsidR="007D69DB" w:rsidRPr="00E47AEA">
        <w:t>at 30 June 2012</w:t>
      </w:r>
      <w:bookmarkEnd w:id="270"/>
    </w:p>
    <w:tbl>
      <w:tblPr>
        <w:tblW w:w="5778" w:type="dxa"/>
        <w:tblLook w:val="04A0" w:firstRow="1" w:lastRow="0" w:firstColumn="1" w:lastColumn="0" w:noHBand="0" w:noVBand="1"/>
        <w:tblDescription w:val="Table 34: Young people aged 15 years and over who have a current and approved leaving care plan, at 30 June 2012"/>
      </w:tblPr>
      <w:tblGrid>
        <w:gridCol w:w="4077"/>
        <w:gridCol w:w="1701"/>
      </w:tblGrid>
      <w:tr w:rsidR="007D69DB" w:rsidRPr="00821556" w:rsidTr="00C067E0">
        <w:tc>
          <w:tcPr>
            <w:tcW w:w="4077" w:type="dxa"/>
            <w:tcBorders>
              <w:top w:val="single" w:sz="4" w:space="0" w:color="auto"/>
              <w:bottom w:val="single" w:sz="4" w:space="0" w:color="auto"/>
            </w:tcBorders>
            <w:shd w:val="clear" w:color="auto" w:fill="auto"/>
            <w:vAlign w:val="bottom"/>
          </w:tcPr>
          <w:p w:rsidR="007D69DB" w:rsidRPr="00821556" w:rsidRDefault="007D69DB" w:rsidP="00135409">
            <w:pPr>
              <w:pStyle w:val="TableFigHeadingtotal"/>
              <w:rPr>
                <w:rFonts w:eastAsia="Calibri" w:cs="Arial"/>
              </w:rPr>
            </w:pPr>
            <w:r w:rsidRPr="00821556">
              <w:rPr>
                <w:rFonts w:eastAsia="Calibri" w:cs="Arial"/>
              </w:rPr>
              <w:t xml:space="preserve">Indigenous status </w:t>
            </w:r>
          </w:p>
        </w:tc>
        <w:tc>
          <w:tcPr>
            <w:tcW w:w="1701" w:type="dxa"/>
            <w:tcBorders>
              <w:top w:val="single" w:sz="4" w:space="0" w:color="auto"/>
              <w:bottom w:val="single" w:sz="4" w:space="0" w:color="auto"/>
            </w:tcBorders>
            <w:shd w:val="clear" w:color="auto" w:fill="auto"/>
          </w:tcPr>
          <w:p w:rsidR="007D69DB" w:rsidRPr="00821556" w:rsidRDefault="007D69DB" w:rsidP="00135409">
            <w:pPr>
              <w:pStyle w:val="TableFigHeadingtotal"/>
              <w:jc w:val="right"/>
              <w:rPr>
                <w:rFonts w:cs="Arial"/>
              </w:rPr>
            </w:pPr>
            <w:r w:rsidRPr="00821556">
              <w:rPr>
                <w:rFonts w:cs="Arial"/>
              </w:rPr>
              <w:t>Per cent</w:t>
            </w:r>
          </w:p>
        </w:tc>
      </w:tr>
      <w:tr w:rsidR="007D69DB" w:rsidRPr="00821556" w:rsidTr="00C067E0">
        <w:tc>
          <w:tcPr>
            <w:tcW w:w="4077" w:type="dxa"/>
            <w:tcBorders>
              <w:top w:val="single" w:sz="4" w:space="0" w:color="auto"/>
            </w:tcBorders>
            <w:shd w:val="clear" w:color="auto" w:fill="auto"/>
            <w:vAlign w:val="bottom"/>
          </w:tcPr>
          <w:p w:rsidR="007D69DB" w:rsidRPr="00821556" w:rsidRDefault="007D69DB" w:rsidP="00135409">
            <w:pPr>
              <w:pStyle w:val="TableFigText"/>
              <w:rPr>
                <w:rFonts w:eastAsia="Calibri" w:cs="Arial"/>
              </w:rPr>
            </w:pPr>
            <w:r w:rsidRPr="00821556">
              <w:rPr>
                <w:rFonts w:eastAsia="Calibri" w:cs="Arial"/>
              </w:rPr>
              <w:t xml:space="preserve">Indigenous </w:t>
            </w:r>
          </w:p>
        </w:tc>
        <w:tc>
          <w:tcPr>
            <w:tcW w:w="1701" w:type="dxa"/>
            <w:tcBorders>
              <w:top w:val="single" w:sz="4" w:space="0" w:color="auto"/>
            </w:tcBorders>
            <w:shd w:val="clear" w:color="auto" w:fill="auto"/>
          </w:tcPr>
          <w:p w:rsidR="007D69DB" w:rsidRPr="00821556" w:rsidRDefault="007D69DB" w:rsidP="00135409">
            <w:pPr>
              <w:pStyle w:val="TableFigText"/>
              <w:jc w:val="right"/>
              <w:rPr>
                <w:rFonts w:eastAsia="Calibri" w:cs="Arial"/>
              </w:rPr>
            </w:pPr>
            <w:r w:rsidRPr="00821556">
              <w:rPr>
                <w:rFonts w:eastAsia="Calibri" w:cs="Arial"/>
              </w:rPr>
              <w:t>74.0</w:t>
            </w:r>
          </w:p>
        </w:tc>
      </w:tr>
      <w:tr w:rsidR="007D69DB" w:rsidRPr="00821556" w:rsidTr="00C067E0">
        <w:tc>
          <w:tcPr>
            <w:tcW w:w="4077" w:type="dxa"/>
            <w:shd w:val="clear" w:color="auto" w:fill="auto"/>
            <w:vAlign w:val="bottom"/>
          </w:tcPr>
          <w:p w:rsidR="007D69DB" w:rsidRPr="00821556" w:rsidRDefault="007D69DB" w:rsidP="00135409">
            <w:pPr>
              <w:pStyle w:val="TableFigText"/>
              <w:rPr>
                <w:rFonts w:eastAsia="Calibri" w:cs="Arial"/>
              </w:rPr>
            </w:pPr>
            <w:r w:rsidRPr="00821556">
              <w:rPr>
                <w:rFonts w:eastAsia="Calibri" w:cs="Arial"/>
              </w:rPr>
              <w:t xml:space="preserve">Non-Indigenous </w:t>
            </w:r>
          </w:p>
        </w:tc>
        <w:tc>
          <w:tcPr>
            <w:tcW w:w="1701" w:type="dxa"/>
            <w:shd w:val="clear" w:color="auto" w:fill="auto"/>
          </w:tcPr>
          <w:p w:rsidR="007D69DB" w:rsidRPr="00821556" w:rsidRDefault="007D69DB" w:rsidP="00135409">
            <w:pPr>
              <w:pStyle w:val="TableFigText"/>
              <w:jc w:val="right"/>
              <w:rPr>
                <w:rFonts w:eastAsia="Calibri" w:cs="Arial"/>
              </w:rPr>
            </w:pPr>
            <w:r w:rsidRPr="00821556">
              <w:rPr>
                <w:rFonts w:eastAsia="Calibri" w:cs="Arial"/>
              </w:rPr>
              <w:t>78.1</w:t>
            </w:r>
          </w:p>
        </w:tc>
      </w:tr>
      <w:tr w:rsidR="007D69DB" w:rsidRPr="00821556" w:rsidTr="00C067E0">
        <w:tc>
          <w:tcPr>
            <w:tcW w:w="4077" w:type="dxa"/>
            <w:tcBorders>
              <w:bottom w:val="single" w:sz="4" w:space="0" w:color="auto"/>
            </w:tcBorders>
            <w:shd w:val="clear" w:color="auto" w:fill="auto"/>
            <w:vAlign w:val="bottom"/>
          </w:tcPr>
          <w:p w:rsidR="007D69DB" w:rsidRPr="00821556" w:rsidRDefault="007D69DB" w:rsidP="00135409">
            <w:pPr>
              <w:pStyle w:val="TableFigHeadingtotal"/>
              <w:rPr>
                <w:rFonts w:eastAsia="Calibri" w:cs="Arial"/>
              </w:rPr>
            </w:pPr>
            <w:r w:rsidRPr="00821556">
              <w:rPr>
                <w:rFonts w:eastAsia="Calibri" w:cs="Arial"/>
              </w:rPr>
              <w:t>All young people</w:t>
            </w:r>
            <w:r w:rsidRPr="00821556">
              <w:rPr>
                <w:rFonts w:eastAsia="Calibri" w:cs="Arial"/>
                <w:vertAlign w:val="superscript"/>
              </w:rPr>
              <w:t>(a)</w:t>
            </w:r>
          </w:p>
        </w:tc>
        <w:tc>
          <w:tcPr>
            <w:tcW w:w="1701" w:type="dxa"/>
            <w:tcBorders>
              <w:bottom w:val="single" w:sz="4" w:space="0" w:color="auto"/>
            </w:tcBorders>
            <w:shd w:val="clear" w:color="auto" w:fill="auto"/>
          </w:tcPr>
          <w:p w:rsidR="007D69DB" w:rsidRPr="00EA5E75" w:rsidRDefault="007D69DB" w:rsidP="00135409">
            <w:pPr>
              <w:pStyle w:val="TableFigText"/>
              <w:keepNext/>
              <w:jc w:val="right"/>
              <w:rPr>
                <w:rFonts w:eastAsia="Calibri" w:cs="Arial"/>
                <w:b/>
              </w:rPr>
            </w:pPr>
            <w:r w:rsidRPr="00EA5E75">
              <w:rPr>
                <w:rFonts w:eastAsia="Calibri" w:cs="Arial"/>
                <w:b/>
              </w:rPr>
              <w:t>77.0</w:t>
            </w:r>
          </w:p>
        </w:tc>
      </w:tr>
    </w:tbl>
    <w:p w:rsidR="007D69DB" w:rsidRPr="00343B82" w:rsidRDefault="007D69DB" w:rsidP="00343B82">
      <w:pPr>
        <w:pStyle w:val="StyleArial7ptLeft0cmHanging075cmBefore6pt1"/>
        <w:rPr>
          <w:rFonts w:eastAsia="Calibri"/>
        </w:rPr>
      </w:pPr>
      <w:r w:rsidRPr="00343B82">
        <w:rPr>
          <w:rFonts w:eastAsia="Calibri"/>
        </w:rPr>
        <w:t>(a)</w:t>
      </w:r>
      <w:r w:rsidRPr="00343B82">
        <w:rPr>
          <w:rFonts w:eastAsia="Calibri"/>
        </w:rPr>
        <w:tab/>
        <w:t xml:space="preserve">‘All young people’ includes children whose Indigenous status was unknown. </w:t>
      </w:r>
    </w:p>
    <w:p w:rsidR="007D69DB" w:rsidRPr="00343B82" w:rsidRDefault="007D69DB" w:rsidP="00343B82">
      <w:pPr>
        <w:pStyle w:val="StyleArial7ptLeft0cmHanging075cmBefore6pt"/>
        <w:rPr>
          <w:rFonts w:eastAsia="Calibri"/>
        </w:rPr>
      </w:pPr>
      <w:r w:rsidRPr="00343B82">
        <w:rPr>
          <w:rFonts w:eastAsia="Calibri"/>
        </w:rPr>
        <w:t xml:space="preserve">Note: </w:t>
      </w:r>
      <w:r w:rsidR="00343B82">
        <w:rPr>
          <w:rFonts w:eastAsia="Calibri"/>
        </w:rPr>
        <w:tab/>
      </w:r>
      <w:r w:rsidRPr="00343B82">
        <w:rPr>
          <w:rFonts w:eastAsia="Calibri"/>
        </w:rPr>
        <w:t>Reported numbers are based on data from Victoria, Queensland and Western Australia only.</w:t>
      </w:r>
      <w:r w:rsidRPr="00343B82">
        <w:t xml:space="preserve"> These </w:t>
      </w:r>
      <w:r w:rsidRPr="00343B82">
        <w:br/>
        <w:t xml:space="preserve">data were provided for national reporting for the first time in 2012. Data only include children </w:t>
      </w:r>
      <w:r w:rsidRPr="00343B82">
        <w:rPr>
          <w:rFonts w:eastAsia="Calibri"/>
        </w:rPr>
        <w:t xml:space="preserve">who are required </w:t>
      </w:r>
      <w:r w:rsidRPr="00343B82">
        <w:rPr>
          <w:rFonts w:eastAsia="Calibri"/>
        </w:rPr>
        <w:br/>
        <w:t xml:space="preserve">by jurisdictional policy/legislation to have a current and approved leaving care plan. </w:t>
      </w:r>
    </w:p>
    <w:p w:rsidR="007D69DB" w:rsidRPr="00343B82" w:rsidRDefault="007D69DB" w:rsidP="00343B82">
      <w:pPr>
        <w:pStyle w:val="StyleArial7ptLeft0cmHanging075cmBefore6pt1"/>
        <w:rPr>
          <w:rFonts w:eastAsia="Calibri"/>
        </w:rPr>
      </w:pPr>
      <w:r w:rsidRPr="00343B82">
        <w:rPr>
          <w:rFonts w:eastAsia="Calibri"/>
        </w:rPr>
        <w:t>Source: AIHW Child Protection Data Collections.</w:t>
      </w:r>
    </w:p>
    <w:p w:rsidR="008E0DBD" w:rsidRPr="00343B82" w:rsidRDefault="008E0DBD" w:rsidP="00343B82">
      <w:pPr>
        <w:pStyle w:val="StyleArial7ptLeft0cmHanging075cmBefore6pt1"/>
      </w:pPr>
    </w:p>
    <w:p w:rsidR="00AA57D5" w:rsidRPr="00724974" w:rsidRDefault="008E0DBD" w:rsidP="00B940CF">
      <w:pPr>
        <w:pStyle w:val="Heading1"/>
      </w:pPr>
      <w:r w:rsidRPr="00821556">
        <w:br w:type="page"/>
      </w:r>
      <w:bookmarkStart w:id="271" w:name="_Toc400007822"/>
      <w:bookmarkStart w:id="272" w:name="_Toc400711502"/>
      <w:r w:rsidR="00946076" w:rsidRPr="00821556">
        <w:t>List of Shortened Forms</w:t>
      </w:r>
      <w:bookmarkEnd w:id="271"/>
      <w:bookmarkEnd w:id="272"/>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AASW</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Australian Association for Social Workers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ABS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Australian Bureau of Statistics</w:t>
      </w:r>
    </w:p>
    <w:p w:rsidR="009906C1" w:rsidRPr="00297A0B" w:rsidRDefault="009906C1" w:rsidP="009906C1">
      <w:pPr>
        <w:rPr>
          <w:rFonts w:ascii="Calibri" w:eastAsia="MS Mincho" w:hAnsi="Calibri" w:cs="Arial"/>
          <w:sz w:val="24"/>
          <w:szCs w:val="24"/>
          <w:lang w:eastAsia="ja-JP"/>
        </w:rPr>
      </w:pPr>
      <w:proofErr w:type="spellStart"/>
      <w:r w:rsidRPr="00297A0B">
        <w:rPr>
          <w:rFonts w:ascii="Calibri" w:eastAsia="MS Mincho" w:hAnsi="Calibri" w:cs="Arial"/>
          <w:sz w:val="24"/>
          <w:szCs w:val="24"/>
          <w:lang w:eastAsia="ja-JP"/>
        </w:rPr>
        <w:t>AbSec</w:t>
      </w:r>
      <w:proofErr w:type="spellEnd"/>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 xml:space="preserve">Aboriginal Child, Family and Community Care State Secretariat </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ACCHO</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Aboriginal Community Controlled Health Organisation</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ACCP</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Australian Centre for Child Protection</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ACFC</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Aboriginal Child and Family Centre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ACMA</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Australian Communications and Media Authority</w:t>
      </w:r>
    </w:p>
    <w:p w:rsidR="004B43A4" w:rsidRPr="004B43A4" w:rsidRDefault="004B43A4" w:rsidP="004B43A4">
      <w:pPr>
        <w:rPr>
          <w:rFonts w:ascii="Calibri" w:eastAsia="MS Mincho" w:hAnsi="Calibri" w:cs="Arial"/>
          <w:sz w:val="24"/>
          <w:szCs w:val="24"/>
          <w:lang w:eastAsia="ja-JP"/>
        </w:rPr>
      </w:pPr>
      <w:r>
        <w:rPr>
          <w:rFonts w:ascii="Calibri" w:eastAsia="MS Mincho" w:hAnsi="Calibri" w:cs="Arial"/>
          <w:sz w:val="24"/>
          <w:szCs w:val="24"/>
          <w:lang w:eastAsia="ja-JP"/>
        </w:rPr>
        <w:t>ACON</w:t>
      </w:r>
      <w:r>
        <w:rPr>
          <w:rFonts w:ascii="Calibri" w:eastAsia="MS Mincho" w:hAnsi="Calibri" w:cs="Arial"/>
          <w:sz w:val="24"/>
          <w:szCs w:val="24"/>
          <w:lang w:eastAsia="ja-JP"/>
        </w:rPr>
        <w:tab/>
      </w:r>
      <w:r>
        <w:rPr>
          <w:rFonts w:ascii="Calibri" w:eastAsia="MS Mincho" w:hAnsi="Calibri" w:cs="Arial"/>
          <w:sz w:val="24"/>
          <w:szCs w:val="24"/>
          <w:lang w:eastAsia="ja-JP"/>
        </w:rPr>
        <w:tab/>
      </w:r>
      <w:r w:rsidRPr="004B43A4">
        <w:rPr>
          <w:rFonts w:ascii="Calibri" w:eastAsia="MS Mincho" w:hAnsi="Calibri" w:cs="Arial"/>
          <w:sz w:val="24"/>
          <w:szCs w:val="24"/>
          <w:lang w:eastAsia="ja-JP"/>
        </w:rPr>
        <w:t xml:space="preserve">AIDS Council of NSW </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ACT</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Australian Capital Territory</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ACU</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Australian Catholic University</w:t>
      </w:r>
    </w:p>
    <w:p w:rsidR="005245F4" w:rsidRDefault="005245F4" w:rsidP="009906C1">
      <w:pPr>
        <w:rPr>
          <w:rFonts w:ascii="Calibri" w:eastAsia="MS Mincho" w:hAnsi="Calibri" w:cs="Arial"/>
          <w:sz w:val="24"/>
          <w:szCs w:val="24"/>
          <w:lang w:eastAsia="ja-JP"/>
        </w:rPr>
      </w:pPr>
      <w:r>
        <w:rPr>
          <w:rFonts w:ascii="Calibri" w:eastAsia="MS Mincho" w:hAnsi="Calibri" w:cs="Arial"/>
          <w:sz w:val="24"/>
          <w:szCs w:val="24"/>
          <w:lang w:eastAsia="ja-JP"/>
        </w:rPr>
        <w:t>ACWA</w:t>
      </w:r>
      <w:r>
        <w:rPr>
          <w:rFonts w:ascii="Calibri" w:eastAsia="MS Mincho" w:hAnsi="Calibri" w:cs="Arial"/>
          <w:sz w:val="24"/>
          <w:szCs w:val="24"/>
          <w:lang w:eastAsia="ja-JP"/>
        </w:rPr>
        <w:tab/>
      </w:r>
      <w:r>
        <w:rPr>
          <w:rFonts w:ascii="Calibri" w:eastAsia="MS Mincho" w:hAnsi="Calibri" w:cs="Arial"/>
          <w:sz w:val="24"/>
          <w:szCs w:val="24"/>
          <w:lang w:eastAsia="ja-JP"/>
        </w:rPr>
        <w:tab/>
      </w:r>
      <w:r w:rsidRPr="005245F4">
        <w:rPr>
          <w:rFonts w:ascii="Calibri" w:eastAsia="MS Mincho" w:hAnsi="Calibri" w:cs="Arial"/>
          <w:sz w:val="24"/>
          <w:szCs w:val="24"/>
          <w:lang w:eastAsia="ja-JP"/>
        </w:rPr>
        <w:t xml:space="preserve">Association of Children's Welfare Agencies </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ACYFS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Aboriginal Child Youth and Family Strategy</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ADHC</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Ageing</w:t>
      </w:r>
      <w:r w:rsidR="00036F0B" w:rsidRPr="00297A0B">
        <w:rPr>
          <w:rFonts w:ascii="Calibri" w:eastAsia="MS Mincho" w:hAnsi="Calibri" w:cs="Arial"/>
          <w:sz w:val="24"/>
          <w:szCs w:val="24"/>
          <w:lang w:eastAsia="ja-JP"/>
        </w:rPr>
        <w:t>,</w:t>
      </w:r>
      <w:r w:rsidRPr="00297A0B">
        <w:rPr>
          <w:rFonts w:ascii="Calibri" w:eastAsia="MS Mincho" w:hAnsi="Calibri" w:cs="Arial"/>
          <w:sz w:val="24"/>
          <w:szCs w:val="24"/>
          <w:lang w:eastAsia="ja-JP"/>
        </w:rPr>
        <w:t xml:space="preserve"> Disability and Home Care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ADS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Alcohol and Drug Services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AEDI</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Australian Early Development Index</w:t>
      </w:r>
    </w:p>
    <w:p w:rsidR="009C4A87" w:rsidRDefault="009C4A87" w:rsidP="009906C1">
      <w:pPr>
        <w:rPr>
          <w:rFonts w:ascii="Calibri" w:eastAsia="MS Mincho" w:hAnsi="Calibri" w:cs="Arial"/>
          <w:sz w:val="24"/>
          <w:szCs w:val="24"/>
          <w:lang w:eastAsia="ja-JP"/>
        </w:rPr>
      </w:pPr>
      <w:r>
        <w:rPr>
          <w:rFonts w:ascii="Calibri" w:eastAsia="MS Mincho" w:hAnsi="Calibri" w:cs="Arial"/>
          <w:sz w:val="24"/>
          <w:szCs w:val="24"/>
          <w:lang w:eastAsia="ja-JP"/>
        </w:rPr>
        <w:t>AFFS</w:t>
      </w:r>
      <w:r>
        <w:rPr>
          <w:rFonts w:ascii="Calibri" w:eastAsia="MS Mincho" w:hAnsi="Calibri" w:cs="Arial"/>
          <w:sz w:val="24"/>
          <w:szCs w:val="24"/>
          <w:lang w:eastAsia="ja-JP"/>
        </w:rPr>
        <w:tab/>
      </w:r>
      <w:r>
        <w:rPr>
          <w:rFonts w:ascii="Calibri" w:eastAsia="MS Mincho" w:hAnsi="Calibri" w:cs="Arial"/>
          <w:sz w:val="24"/>
          <w:szCs w:val="24"/>
          <w:lang w:eastAsia="ja-JP"/>
        </w:rPr>
        <w:tab/>
      </w:r>
      <w:r w:rsidRPr="001C3ED2">
        <w:rPr>
          <w:rFonts w:ascii="Calibri" w:hAnsi="Calibri" w:cs="Calibri"/>
          <w:sz w:val="24"/>
          <w:szCs w:val="24"/>
        </w:rPr>
        <w:t>Aborigi</w:t>
      </w:r>
      <w:r>
        <w:rPr>
          <w:rFonts w:ascii="Calibri" w:hAnsi="Calibri" w:cs="Calibri"/>
          <w:sz w:val="24"/>
          <w:szCs w:val="24"/>
        </w:rPr>
        <w:t>nal Family Support Services</w:t>
      </w:r>
      <w:r w:rsidRPr="00297A0B">
        <w:rPr>
          <w:rFonts w:ascii="Calibri" w:eastAsia="MS Mincho" w:hAnsi="Calibri" w:cs="Arial"/>
          <w:sz w:val="24"/>
          <w:szCs w:val="24"/>
          <w:lang w:eastAsia="ja-JP"/>
        </w:rPr>
        <w:t xml:space="preserve"> </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AIC</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Australian Institute of Criminology</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AIHW</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Australian Institute of Health and Welfare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AMIHS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Aboriginal Maternal and Infant Health Service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AMIS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Aboriginal Maternal Infant Strategy</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APS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Australian Psychological Society</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APY</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r>
      <w:proofErr w:type="spellStart"/>
      <w:r w:rsidRPr="00297A0B">
        <w:rPr>
          <w:rFonts w:ascii="Calibri" w:eastAsia="MS Mincho" w:hAnsi="Calibri" w:cs="Arial"/>
          <w:sz w:val="24"/>
          <w:szCs w:val="24"/>
          <w:lang w:eastAsia="ja-JP"/>
        </w:rPr>
        <w:t>Anangu</w:t>
      </w:r>
      <w:proofErr w:type="spellEnd"/>
      <w:r w:rsidRPr="00297A0B">
        <w:rPr>
          <w:rFonts w:ascii="Calibri" w:eastAsia="MS Mincho" w:hAnsi="Calibri" w:cs="Arial"/>
          <w:sz w:val="24"/>
          <w:szCs w:val="24"/>
          <w:lang w:eastAsia="ja-JP"/>
        </w:rPr>
        <w:t xml:space="preserve"> Pitjantjatjara </w:t>
      </w:r>
      <w:proofErr w:type="spellStart"/>
      <w:r w:rsidRPr="00297A0B">
        <w:rPr>
          <w:rFonts w:ascii="Calibri" w:eastAsia="MS Mincho" w:hAnsi="Calibri" w:cs="Arial"/>
          <w:sz w:val="24"/>
          <w:szCs w:val="24"/>
          <w:lang w:eastAsia="ja-JP"/>
        </w:rPr>
        <w:t>Yankunytjatjara</w:t>
      </w:r>
      <w:proofErr w:type="spellEnd"/>
    </w:p>
    <w:p w:rsidR="00145908" w:rsidRDefault="00145908" w:rsidP="009906C1">
      <w:pPr>
        <w:rPr>
          <w:rFonts w:ascii="Calibri" w:eastAsia="MS Mincho" w:hAnsi="Calibri" w:cs="Arial"/>
          <w:sz w:val="24"/>
          <w:szCs w:val="24"/>
          <w:lang w:eastAsia="ja-JP"/>
        </w:rPr>
      </w:pPr>
      <w:r>
        <w:rPr>
          <w:rFonts w:ascii="Calibri" w:eastAsia="MS Mincho" w:hAnsi="Calibri" w:cs="Arial"/>
          <w:sz w:val="24"/>
          <w:szCs w:val="24"/>
          <w:lang w:eastAsia="ja-JP"/>
        </w:rPr>
        <w:t>ARACY</w:t>
      </w:r>
      <w:r>
        <w:rPr>
          <w:rFonts w:ascii="Calibri" w:eastAsia="MS Mincho" w:hAnsi="Calibri" w:cs="Arial"/>
          <w:sz w:val="24"/>
          <w:szCs w:val="24"/>
          <w:lang w:eastAsia="ja-JP"/>
        </w:rPr>
        <w:tab/>
      </w:r>
      <w:r>
        <w:rPr>
          <w:rFonts w:ascii="Calibri" w:eastAsia="MS Mincho" w:hAnsi="Calibri" w:cs="Arial"/>
          <w:sz w:val="24"/>
          <w:szCs w:val="24"/>
          <w:lang w:eastAsia="ja-JP"/>
        </w:rPr>
        <w:tab/>
      </w:r>
      <w:r w:rsidRPr="00145908">
        <w:rPr>
          <w:rFonts w:ascii="Calibri" w:eastAsia="Calibri" w:hAnsi="Calibri" w:cs="Arial"/>
          <w:sz w:val="24"/>
          <w:szCs w:val="24"/>
          <w:lang w:eastAsia="en-US"/>
        </w:rPr>
        <w:t>Australian Research Alliance for Children &amp; Youth</w:t>
      </w:r>
      <w:r w:rsidRPr="00297A0B">
        <w:rPr>
          <w:rFonts w:ascii="Calibri" w:eastAsia="MS Mincho" w:hAnsi="Calibri" w:cs="Arial"/>
          <w:sz w:val="24"/>
          <w:szCs w:val="24"/>
          <w:lang w:eastAsia="ja-JP"/>
        </w:rPr>
        <w:t xml:space="preserve"> </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ASCA</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Adult Survivors of Child Abuse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ASD</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Autism Spectrum Disorder</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ASES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Australian Service Excellence Standards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ASSIST</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Alcohol, Smoking and Substance Involvement Screening Test</w:t>
      </w:r>
    </w:p>
    <w:p w:rsidR="00314725" w:rsidRDefault="00314725" w:rsidP="009906C1">
      <w:pPr>
        <w:rPr>
          <w:rFonts w:ascii="Calibri" w:eastAsia="MS Mincho" w:hAnsi="Calibri" w:cs="Arial"/>
          <w:sz w:val="24"/>
          <w:szCs w:val="24"/>
          <w:lang w:eastAsia="ja-JP"/>
        </w:rPr>
      </w:pPr>
      <w:r>
        <w:rPr>
          <w:rFonts w:ascii="Calibri" w:eastAsia="MS Mincho" w:hAnsi="Calibri" w:cs="Arial"/>
          <w:sz w:val="24"/>
          <w:szCs w:val="24"/>
          <w:lang w:eastAsia="ja-JP"/>
        </w:rPr>
        <w:t>ATSICPP</w:t>
      </w:r>
      <w:r>
        <w:rPr>
          <w:rFonts w:ascii="Calibri" w:eastAsia="MS Mincho" w:hAnsi="Calibri" w:cs="Arial"/>
          <w:sz w:val="24"/>
          <w:szCs w:val="24"/>
          <w:lang w:eastAsia="ja-JP"/>
        </w:rPr>
        <w:tab/>
        <w:t xml:space="preserve">Aboriginal and Torres Strait Islander Child Placement Principle </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ATSIFSS</w:t>
      </w:r>
      <w:r w:rsidRPr="00297A0B">
        <w:rPr>
          <w:rFonts w:ascii="Calibri" w:eastAsia="MS Mincho" w:hAnsi="Calibri" w:cs="Arial"/>
          <w:sz w:val="24"/>
          <w:szCs w:val="24"/>
          <w:lang w:eastAsia="ja-JP"/>
        </w:rPr>
        <w:tab/>
        <w:t>Aboriginal and Torres Strait Islander Family Support Service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BCBB</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Building Capacity Building Bridges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CAARS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Common Approach to Assessment, Referral and Support</w:t>
      </w:r>
    </w:p>
    <w:p w:rsidR="00490AB7" w:rsidRDefault="00490AB7" w:rsidP="009906C1">
      <w:pPr>
        <w:rPr>
          <w:rFonts w:ascii="Calibri" w:eastAsia="MS Mincho" w:hAnsi="Calibri" w:cs="Arial"/>
          <w:sz w:val="24"/>
          <w:szCs w:val="24"/>
          <w:lang w:eastAsia="ja-JP"/>
        </w:rPr>
      </w:pPr>
      <w:r w:rsidRPr="00490AB7">
        <w:rPr>
          <w:rFonts w:ascii="Calibri" w:eastAsia="MS Mincho" w:hAnsi="Calibri" w:cs="Arial"/>
          <w:sz w:val="24"/>
          <w:szCs w:val="24"/>
          <w:lang w:eastAsia="ja-JP"/>
        </w:rPr>
        <w:t xml:space="preserve">CAFWA-SA </w:t>
      </w:r>
      <w:r>
        <w:rPr>
          <w:rFonts w:ascii="Calibri" w:eastAsia="MS Mincho" w:hAnsi="Calibri" w:cs="Arial"/>
          <w:sz w:val="24"/>
          <w:szCs w:val="24"/>
          <w:lang w:eastAsia="ja-JP"/>
        </w:rPr>
        <w:tab/>
      </w:r>
      <w:r w:rsidRPr="00490AB7">
        <w:rPr>
          <w:rFonts w:ascii="Calibri" w:eastAsia="MS Mincho" w:hAnsi="Calibri" w:cs="Arial"/>
          <w:sz w:val="24"/>
          <w:szCs w:val="24"/>
          <w:lang w:eastAsia="ja-JP"/>
        </w:rPr>
        <w:t xml:space="preserve">Child </w:t>
      </w:r>
      <w:r>
        <w:rPr>
          <w:rFonts w:ascii="Calibri" w:eastAsia="MS Mincho" w:hAnsi="Calibri" w:cs="Arial"/>
          <w:sz w:val="24"/>
          <w:szCs w:val="24"/>
          <w:lang w:eastAsia="ja-JP"/>
        </w:rPr>
        <w:t>and</w:t>
      </w:r>
      <w:r w:rsidRPr="00490AB7">
        <w:rPr>
          <w:rFonts w:ascii="Calibri" w:eastAsia="MS Mincho" w:hAnsi="Calibri" w:cs="Arial"/>
          <w:sz w:val="24"/>
          <w:szCs w:val="24"/>
          <w:lang w:eastAsia="ja-JP"/>
        </w:rPr>
        <w:t xml:space="preserve"> Family Welfare Association SA</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CALD</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Culturally and linguistically diverse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CAMHS</w:t>
      </w:r>
      <w:r w:rsidRPr="00297A0B">
        <w:rPr>
          <w:rFonts w:ascii="Calibri" w:eastAsia="MS Mincho" w:hAnsi="Calibri" w:cs="Arial"/>
          <w:sz w:val="24"/>
          <w:szCs w:val="24"/>
          <w:lang w:eastAsia="ja-JP"/>
        </w:rPr>
        <w:tab/>
        <w:t>Child and Adolescent Mental Health Service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CARHU</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Child at Risk Health Unit</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CCCH</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Centre for Community Child Health</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CCSWT</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Community Child Safety and Wellbeing Team</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CCWT</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Centre for Community Welfare Training</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CDFVR</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Centre for Domestic and Family Violence Research</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CDSMAC</w:t>
      </w:r>
      <w:r w:rsidRPr="00297A0B">
        <w:rPr>
          <w:rFonts w:ascii="Calibri" w:eastAsia="MS Mincho" w:hAnsi="Calibri" w:cs="Arial"/>
          <w:sz w:val="24"/>
          <w:szCs w:val="24"/>
          <w:lang w:eastAsia="ja-JP"/>
        </w:rPr>
        <w:tab/>
        <w:t>Community and Disability Services Ministerial Advisory Council</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CDU</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Charles Darwin University</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CEO</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Chief Executive Officer</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CFC</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Child and Family Centre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CFW</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Connecting Families to Work</w:t>
      </w:r>
    </w:p>
    <w:p w:rsidR="009906C1" w:rsidRPr="00297A0B" w:rsidRDefault="009906C1" w:rsidP="009906C1">
      <w:pPr>
        <w:rPr>
          <w:rFonts w:ascii="Calibri" w:eastAsia="MS Mincho" w:hAnsi="Calibri" w:cs="Arial"/>
          <w:sz w:val="24"/>
          <w:szCs w:val="24"/>
          <w:lang w:eastAsia="ja-JP"/>
        </w:rPr>
      </w:pPr>
      <w:proofErr w:type="spellStart"/>
      <w:r w:rsidRPr="00297A0B">
        <w:rPr>
          <w:rFonts w:ascii="Calibri" w:eastAsia="MS Mincho" w:hAnsi="Calibri" w:cs="Arial"/>
          <w:sz w:val="24"/>
          <w:szCs w:val="24"/>
          <w:lang w:eastAsia="ja-JP"/>
        </w:rPr>
        <w:t>CHaPS</w:t>
      </w:r>
      <w:proofErr w:type="spellEnd"/>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Child Health and Parenting Service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CHYPP</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Children and Young Persons Program</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CIU</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Clinical Issues Unit</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CNE</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Clinical Nurse Educator</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COAG</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Council of Australian Governments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COPMI</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Children of Parents with a Mental Illness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CPART</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Child Protection Adolescent Response Teams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CPFS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Child Protection and Family Support</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CPMIM</w:t>
      </w:r>
      <w:r w:rsidRPr="00297A0B">
        <w:rPr>
          <w:rFonts w:ascii="Calibri" w:eastAsia="MS Mincho" w:hAnsi="Calibri" w:cs="Arial"/>
          <w:sz w:val="24"/>
          <w:szCs w:val="24"/>
          <w:lang w:eastAsia="ja-JP"/>
        </w:rPr>
        <w:tab/>
        <w:t>Child Protection Measure of Income Management</w:t>
      </w:r>
    </w:p>
    <w:p w:rsidR="004A1E57" w:rsidRPr="00297A0B" w:rsidRDefault="004A1E57"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 xml:space="preserve">CP NMDS </w:t>
      </w:r>
      <w:r w:rsidR="00854553"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Child Protection National Minimum Data Set</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CPS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Child Protection Services</w:t>
      </w:r>
      <w:r w:rsidR="00496654">
        <w:rPr>
          <w:rFonts w:ascii="Calibri" w:eastAsia="MS Mincho" w:hAnsi="Calibri" w:cs="Arial"/>
          <w:sz w:val="24"/>
          <w:szCs w:val="24"/>
          <w:lang w:eastAsia="ja-JP"/>
        </w:rPr>
        <w:t xml:space="preserve"> (ACT and Tasmania)</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CRARMF</w:t>
      </w:r>
      <w:r w:rsidRPr="00297A0B">
        <w:rPr>
          <w:rFonts w:ascii="Calibri" w:eastAsia="MS Mincho" w:hAnsi="Calibri" w:cs="Arial"/>
          <w:sz w:val="24"/>
          <w:szCs w:val="24"/>
          <w:lang w:eastAsia="ja-JP"/>
        </w:rPr>
        <w:tab/>
        <w:t>Common Risk Assessment and Risk Management Framework</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CROC</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Community Response for Our Children</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Community Services</w:t>
      </w:r>
    </w:p>
    <w:p w:rsidR="007915AE" w:rsidRDefault="007915AE" w:rsidP="007915AE">
      <w:pPr>
        <w:rPr>
          <w:rFonts w:ascii="Calibri" w:eastAsia="MS Mincho" w:hAnsi="Calibri" w:cs="Arial"/>
          <w:sz w:val="24"/>
          <w:szCs w:val="24"/>
          <w:lang w:eastAsia="ja-JP"/>
        </w:rPr>
      </w:pPr>
      <w:r w:rsidRPr="00FB0CED">
        <w:rPr>
          <w:rFonts w:ascii="Calibri" w:hAnsi="Calibri" w:cs="Calibri"/>
          <w:sz w:val="24"/>
          <w:szCs w:val="24"/>
        </w:rPr>
        <w:t xml:space="preserve">CSNSW </w:t>
      </w:r>
      <w:r>
        <w:rPr>
          <w:rFonts w:ascii="Calibri" w:hAnsi="Calibri" w:cs="Calibri"/>
          <w:sz w:val="24"/>
          <w:szCs w:val="24"/>
        </w:rPr>
        <w:tab/>
      </w:r>
      <w:r w:rsidRPr="00FB0CED">
        <w:rPr>
          <w:rFonts w:ascii="Calibri" w:hAnsi="Calibri" w:cs="Calibri"/>
          <w:sz w:val="24"/>
          <w:szCs w:val="24"/>
        </w:rPr>
        <w:t>Corrective Services NSW</w:t>
      </w:r>
      <w:r w:rsidRPr="00297A0B">
        <w:rPr>
          <w:rFonts w:ascii="Calibri" w:eastAsia="MS Mincho" w:hAnsi="Calibri" w:cs="Arial"/>
          <w:sz w:val="24"/>
          <w:szCs w:val="24"/>
          <w:lang w:eastAsia="ja-JP"/>
        </w:rPr>
        <w:t xml:space="preserve"> </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CSR</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Community Sector Roundtable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CSU</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Capacity Strengthening Unit</w:t>
      </w:r>
    </w:p>
    <w:p w:rsidR="00757F58" w:rsidRDefault="00757F58" w:rsidP="00757F58">
      <w:pPr>
        <w:ind w:left="720" w:hanging="720"/>
        <w:rPr>
          <w:rFonts w:ascii="Calibri" w:eastAsia="MS Mincho" w:hAnsi="Calibri" w:cs="Arial"/>
          <w:sz w:val="24"/>
          <w:szCs w:val="24"/>
          <w:lang w:eastAsia="ja-JP"/>
        </w:rPr>
      </w:pPr>
      <w:r w:rsidRPr="00757F58">
        <w:rPr>
          <w:rFonts w:ascii="Calibri" w:eastAsia="MS Mincho" w:hAnsi="Calibri" w:cs="Arial"/>
          <w:sz w:val="24"/>
          <w:szCs w:val="24"/>
          <w:lang w:eastAsia="ja-JP"/>
        </w:rPr>
        <w:t xml:space="preserve">CYCSPRWG </w:t>
      </w:r>
      <w:r>
        <w:rPr>
          <w:rFonts w:ascii="Calibri" w:eastAsia="MS Mincho" w:hAnsi="Calibri" w:cs="Arial"/>
          <w:sz w:val="24"/>
          <w:szCs w:val="24"/>
          <w:lang w:eastAsia="ja-JP"/>
        </w:rPr>
        <w:tab/>
      </w:r>
      <w:r w:rsidRPr="00757F58">
        <w:rPr>
          <w:rFonts w:ascii="Calibri" w:eastAsia="MS Mincho" w:hAnsi="Calibri" w:cs="Arial"/>
          <w:sz w:val="24"/>
          <w:szCs w:val="24"/>
          <w:lang w:eastAsia="ja-JP"/>
        </w:rPr>
        <w:t xml:space="preserve">Children, Youth, Community Services, Policy and Research Working Group </w:t>
      </w:r>
    </w:p>
    <w:p w:rsidR="009906C1" w:rsidRPr="00297A0B" w:rsidRDefault="009906C1" w:rsidP="00757F58">
      <w:pPr>
        <w:ind w:left="720" w:hanging="720"/>
        <w:rPr>
          <w:rFonts w:ascii="Calibri" w:eastAsia="MS Mincho" w:hAnsi="Calibri" w:cs="Arial"/>
          <w:sz w:val="24"/>
          <w:szCs w:val="24"/>
          <w:lang w:eastAsia="ja-JP"/>
        </w:rPr>
      </w:pPr>
      <w:r w:rsidRPr="00297A0B">
        <w:rPr>
          <w:rFonts w:ascii="Calibri" w:eastAsia="MS Mincho" w:hAnsi="Calibri" w:cs="Arial"/>
          <w:sz w:val="24"/>
          <w:szCs w:val="24"/>
          <w:lang w:eastAsia="ja-JP"/>
        </w:rPr>
        <w:t>CYFCWP</w:t>
      </w:r>
      <w:r w:rsidRPr="00297A0B">
        <w:rPr>
          <w:rFonts w:ascii="Calibri" w:eastAsia="MS Mincho" w:hAnsi="Calibri" w:cs="Arial"/>
          <w:sz w:val="24"/>
          <w:szCs w:val="24"/>
          <w:lang w:eastAsia="ja-JP"/>
        </w:rPr>
        <w:tab/>
        <w:t xml:space="preserve">Child, Youth, Family and Community Wellbeing </w:t>
      </w:r>
      <w:r w:rsidR="00352B6E" w:rsidRPr="00297A0B">
        <w:rPr>
          <w:rFonts w:ascii="Calibri" w:eastAsia="MS Mincho" w:hAnsi="Calibri" w:cs="Arial"/>
          <w:sz w:val="24"/>
          <w:szCs w:val="24"/>
          <w:lang w:eastAsia="ja-JP"/>
        </w:rPr>
        <w:t>P</w:t>
      </w:r>
      <w:r w:rsidRPr="00297A0B">
        <w:rPr>
          <w:rFonts w:ascii="Calibri" w:eastAsia="MS Mincho" w:hAnsi="Calibri" w:cs="Arial"/>
          <w:sz w:val="24"/>
          <w:szCs w:val="24"/>
          <w:lang w:eastAsia="ja-JP"/>
        </w:rPr>
        <w:t>ackage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CYFS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Child, Youth and Family Support</w:t>
      </w:r>
    </w:p>
    <w:p w:rsidR="002C0AE0" w:rsidRPr="00297A0B" w:rsidRDefault="002C0AE0"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CYI</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r>
      <w:r w:rsidRPr="00297A0B">
        <w:rPr>
          <w:rFonts w:ascii="Calibri" w:hAnsi="Calibri"/>
          <w:sz w:val="24"/>
        </w:rPr>
        <w:t>Cape York Institute for Policy and Leadership</w:t>
      </w:r>
      <w:r w:rsidRPr="00297A0B">
        <w:rPr>
          <w:rFonts w:ascii="Calibri" w:eastAsia="MS Mincho" w:hAnsi="Calibri" w:cs="Arial"/>
          <w:sz w:val="24"/>
          <w:szCs w:val="24"/>
          <w:lang w:eastAsia="ja-JP"/>
        </w:rPr>
        <w:t xml:space="preserve"> </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CYP</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Cape York Partnerships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CYS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Child and Youth Services</w:t>
      </w:r>
      <w:r w:rsidR="00F6102B" w:rsidRPr="00297A0B">
        <w:rPr>
          <w:rFonts w:ascii="Calibri" w:eastAsia="MS Mincho" w:hAnsi="Calibri" w:cs="Arial"/>
          <w:sz w:val="24"/>
          <w:szCs w:val="24"/>
          <w:lang w:eastAsia="ja-JP"/>
        </w:rPr>
        <w:t xml:space="preserve"> (South Australia)</w:t>
      </w:r>
    </w:p>
    <w:p w:rsidR="00F6102B" w:rsidRPr="00297A0B" w:rsidRDefault="00F6102B"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CYS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Children and Youth Services (Tasmania)</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CYWR</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Cape York Welfare Reform</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DAGJ</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Department of Attorney General and Justice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DASSA</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Drug and Alcohol Services South Australia</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DATSIMA</w:t>
      </w:r>
      <w:r w:rsidRPr="00297A0B">
        <w:rPr>
          <w:rFonts w:ascii="Calibri" w:eastAsia="MS Mincho" w:hAnsi="Calibri" w:cs="Arial"/>
          <w:sz w:val="24"/>
          <w:szCs w:val="24"/>
          <w:lang w:eastAsia="ja-JP"/>
        </w:rPr>
        <w:tab/>
        <w:t>Department of Aboriginal and Torres Strait Islander and Multicultural Affairs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DCCSDS</w:t>
      </w:r>
      <w:r w:rsidRPr="00297A0B">
        <w:rPr>
          <w:rFonts w:ascii="Calibri" w:eastAsia="MS Mincho" w:hAnsi="Calibri" w:cs="Arial"/>
          <w:sz w:val="24"/>
          <w:szCs w:val="24"/>
          <w:lang w:eastAsia="ja-JP"/>
        </w:rPr>
        <w:tab/>
        <w:t>Department of Communities, Child Safety and Disability Services</w:t>
      </w:r>
    </w:p>
    <w:p w:rsidR="006A494D" w:rsidRPr="00297A0B" w:rsidRDefault="006A494D"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DCF</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r>
      <w:r w:rsidRPr="00297A0B">
        <w:rPr>
          <w:rFonts w:ascii="Calibri" w:hAnsi="Calibri"/>
          <w:sz w:val="24"/>
          <w:szCs w:val="24"/>
          <w:lang w:eastAsia="en-AU"/>
        </w:rPr>
        <w:t>Department of Children and Families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DCSI</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Department for Communities and Social Inclusion</w:t>
      </w:r>
    </w:p>
    <w:p w:rsidR="00C10CE9" w:rsidRPr="00DC1B19" w:rsidRDefault="00C10CE9" w:rsidP="00C10CE9">
      <w:pPr>
        <w:rPr>
          <w:rStyle w:val="StyleBodyCalibri12pt"/>
        </w:rPr>
      </w:pPr>
      <w:r w:rsidRPr="00DC1B19">
        <w:rPr>
          <w:rStyle w:val="StyleBodyCalibri12pt"/>
        </w:rPr>
        <w:t>DECD</w:t>
      </w:r>
      <w:r w:rsidRPr="00DC1B19">
        <w:rPr>
          <w:rStyle w:val="StyleBodyCalibri12pt"/>
        </w:rPr>
        <w:tab/>
      </w:r>
      <w:r w:rsidRPr="00DC1B19">
        <w:rPr>
          <w:rStyle w:val="StyleBodyCalibri12pt"/>
        </w:rPr>
        <w:tab/>
        <w:t xml:space="preserve">Department </w:t>
      </w:r>
      <w:r w:rsidR="000341A5" w:rsidRPr="00DC1B19">
        <w:rPr>
          <w:rStyle w:val="StyleBodyCalibri12pt"/>
        </w:rPr>
        <w:t>for</w:t>
      </w:r>
      <w:r w:rsidRPr="00DC1B19">
        <w:rPr>
          <w:rStyle w:val="StyleBodyCalibri12pt"/>
        </w:rPr>
        <w:t xml:space="preserve"> Education and Child Development</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DEEWR</w:t>
      </w:r>
      <w:r w:rsidRPr="00297A0B">
        <w:rPr>
          <w:rFonts w:ascii="Calibri" w:eastAsia="MS Mincho" w:hAnsi="Calibri" w:cs="Arial"/>
          <w:sz w:val="24"/>
          <w:szCs w:val="24"/>
          <w:lang w:eastAsia="ja-JP"/>
        </w:rPr>
        <w:tab/>
        <w:t>Department of Education, Employment and Workplace Relations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DETE</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Department of Education, Training and Employment</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DHHS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Department of Health and Human Services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DHS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Department of Human Services</w:t>
      </w:r>
      <w:r w:rsidR="001C4241" w:rsidRPr="00297A0B">
        <w:rPr>
          <w:rFonts w:ascii="Calibri" w:eastAsia="MS Mincho" w:hAnsi="Calibri" w:cs="Arial"/>
          <w:sz w:val="24"/>
          <w:szCs w:val="24"/>
          <w:lang w:eastAsia="ja-JP"/>
        </w:rPr>
        <w:t xml:space="preserve"> (Victoria)</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DLGC</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Department of Local Government and Communities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DoE</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Department of Education</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DPAC</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Department of Premier and Cabinet</w:t>
      </w:r>
    </w:p>
    <w:p w:rsidR="00345C45" w:rsidRPr="00297A0B" w:rsidRDefault="00345C45"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DSS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Department of Social Services (formerly FaHCSIA)</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EBSS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Evolve Behaviour Support Service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ECCQ</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Ethnic Communities Council of Queensland</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ECEC</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Early Childhood Education and Care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EFVP</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Ending Family Violence Program</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ERG</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Expert Reference Group</w:t>
      </w:r>
    </w:p>
    <w:p w:rsidR="0016110B" w:rsidRPr="00297A0B" w:rsidRDefault="0016110B" w:rsidP="0016110B">
      <w:pPr>
        <w:rPr>
          <w:rFonts w:ascii="Calibri" w:eastAsia="MS Mincho" w:hAnsi="Calibri" w:cs="Arial"/>
          <w:sz w:val="24"/>
          <w:szCs w:val="24"/>
          <w:lang w:eastAsia="ja-JP"/>
        </w:rPr>
      </w:pPr>
      <w:r w:rsidRPr="00297A0B">
        <w:rPr>
          <w:rFonts w:ascii="Calibri" w:eastAsia="MS Mincho" w:hAnsi="Calibri" w:cs="Arial"/>
          <w:sz w:val="24"/>
          <w:szCs w:val="24"/>
          <w:lang w:eastAsia="ja-JP"/>
        </w:rPr>
        <w:t>EYC</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Early Years Centre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FACS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Family and Community Services</w:t>
      </w:r>
    </w:p>
    <w:p w:rsidR="00352B6E" w:rsidRPr="00297A0B" w:rsidRDefault="00352B6E" w:rsidP="009906C1">
      <w:pPr>
        <w:rPr>
          <w:rFonts w:ascii="Calibri" w:eastAsia="MS Mincho" w:hAnsi="Calibri" w:cs="Arial"/>
          <w:sz w:val="24"/>
          <w:szCs w:val="24"/>
          <w:lang w:eastAsia="ja-JP"/>
        </w:rPr>
      </w:pPr>
      <w:proofErr w:type="gramStart"/>
      <w:r w:rsidRPr="00297A0B">
        <w:rPr>
          <w:rFonts w:ascii="Calibri" w:eastAsia="MS Mincho" w:hAnsi="Calibri" w:cs="Arial"/>
          <w:sz w:val="24"/>
          <w:szCs w:val="24"/>
          <w:lang w:eastAsia="ja-JP"/>
        </w:rPr>
        <w:t>FACS(</w:t>
      </w:r>
      <w:proofErr w:type="gramEnd"/>
      <w:r w:rsidRPr="00297A0B">
        <w:rPr>
          <w:rFonts w:ascii="Calibri" w:eastAsia="MS Mincho" w:hAnsi="Calibri" w:cs="Arial"/>
          <w:sz w:val="24"/>
          <w:szCs w:val="24"/>
          <w:lang w:eastAsia="ja-JP"/>
        </w:rPr>
        <w:t>CS)</w:t>
      </w:r>
      <w:r w:rsidRPr="00297A0B">
        <w:rPr>
          <w:rFonts w:ascii="Calibri" w:eastAsia="MS Mincho" w:hAnsi="Calibri" w:cs="Arial"/>
          <w:sz w:val="24"/>
          <w:szCs w:val="24"/>
          <w:lang w:eastAsia="ja-JP"/>
        </w:rPr>
        <w:tab/>
        <w:t>Family and Community Services (Community Services)</w:t>
      </w:r>
    </w:p>
    <w:p w:rsidR="009906C1" w:rsidRPr="00297A0B" w:rsidRDefault="009906C1" w:rsidP="009906C1">
      <w:pPr>
        <w:rPr>
          <w:rFonts w:ascii="Calibri" w:eastAsia="MS Mincho" w:hAnsi="Calibri" w:cs="Arial"/>
          <w:sz w:val="24"/>
          <w:szCs w:val="24"/>
          <w:lang w:eastAsia="ja-JP"/>
        </w:rPr>
      </w:pPr>
      <w:proofErr w:type="spellStart"/>
      <w:r w:rsidRPr="00297A0B">
        <w:rPr>
          <w:rFonts w:ascii="Calibri" w:eastAsia="MS Mincho" w:hAnsi="Calibri" w:cs="Arial"/>
          <w:sz w:val="24"/>
          <w:szCs w:val="24"/>
          <w:lang w:eastAsia="ja-JP"/>
        </w:rPr>
        <w:t>FaFT</w:t>
      </w:r>
      <w:proofErr w:type="spellEnd"/>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Families as First Teachers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FaHCSIA</w:t>
      </w:r>
      <w:r w:rsidRPr="00297A0B">
        <w:rPr>
          <w:rFonts w:ascii="Calibri" w:eastAsia="MS Mincho" w:hAnsi="Calibri" w:cs="Arial"/>
          <w:sz w:val="24"/>
          <w:szCs w:val="24"/>
          <w:lang w:eastAsia="ja-JP"/>
        </w:rPr>
        <w:tab/>
        <w:t>Families, Housing, Community Services and Indigenous Affairs</w:t>
      </w:r>
    </w:p>
    <w:p w:rsidR="0016110B" w:rsidRPr="00297A0B" w:rsidRDefault="0016110B" w:rsidP="009906C1">
      <w:pPr>
        <w:rPr>
          <w:rFonts w:ascii="Calibri" w:eastAsia="MS Mincho" w:hAnsi="Calibri" w:cs="Arial"/>
          <w:sz w:val="24"/>
          <w:szCs w:val="24"/>
          <w:lang w:eastAsia="ja-JP"/>
        </w:rPr>
      </w:pPr>
      <w:proofErr w:type="spellStart"/>
      <w:r w:rsidRPr="00297A0B">
        <w:rPr>
          <w:rFonts w:ascii="Calibri" w:eastAsia="MS Mincho" w:hAnsi="Calibri" w:cs="Arial"/>
          <w:sz w:val="24"/>
          <w:szCs w:val="24"/>
          <w:lang w:eastAsia="ja-JP"/>
        </w:rPr>
        <w:t>F</w:t>
      </w:r>
      <w:r w:rsidR="00FE4DEE" w:rsidRPr="00297A0B">
        <w:rPr>
          <w:rFonts w:ascii="Calibri" w:eastAsia="MS Mincho" w:hAnsi="Calibri" w:cs="Arial"/>
          <w:sz w:val="24"/>
          <w:szCs w:val="24"/>
          <w:lang w:eastAsia="ja-JP"/>
        </w:rPr>
        <w:t>a</w:t>
      </w:r>
      <w:r w:rsidRPr="00297A0B">
        <w:rPr>
          <w:rFonts w:ascii="Calibri" w:eastAsia="MS Mincho" w:hAnsi="Calibri" w:cs="Arial"/>
          <w:sz w:val="24"/>
          <w:szCs w:val="24"/>
          <w:lang w:eastAsia="ja-JP"/>
        </w:rPr>
        <w:t>PMI</w:t>
      </w:r>
      <w:proofErr w:type="spellEnd"/>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r>
      <w:r w:rsidRPr="00297A0B">
        <w:rPr>
          <w:rFonts w:ascii="Calibri" w:hAnsi="Calibri" w:cs="Calibri"/>
          <w:sz w:val="24"/>
          <w:szCs w:val="24"/>
        </w:rPr>
        <w:t>Families where a Parent has a Mental Illness</w:t>
      </w:r>
      <w:r w:rsidRPr="00297A0B">
        <w:rPr>
          <w:rFonts w:ascii="Calibri" w:eastAsia="MS Mincho" w:hAnsi="Calibri" w:cs="Arial"/>
          <w:sz w:val="24"/>
          <w:szCs w:val="24"/>
          <w:lang w:eastAsia="ja-JP"/>
        </w:rPr>
        <w:t xml:space="preserve"> </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FDVRT</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Family and Domestic Violence Response Team</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FICT</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Families in Cultural Transition</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FIFO</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 xml:space="preserve">Fly </w:t>
      </w:r>
      <w:proofErr w:type="gramStart"/>
      <w:r w:rsidRPr="00297A0B">
        <w:rPr>
          <w:rFonts w:ascii="Calibri" w:eastAsia="MS Mincho" w:hAnsi="Calibri" w:cs="Arial"/>
          <w:sz w:val="24"/>
          <w:szCs w:val="24"/>
          <w:lang w:eastAsia="ja-JP"/>
        </w:rPr>
        <w:t>In</w:t>
      </w:r>
      <w:proofErr w:type="gramEnd"/>
      <w:r w:rsidRPr="00297A0B">
        <w:rPr>
          <w:rFonts w:ascii="Calibri" w:eastAsia="MS Mincho" w:hAnsi="Calibri" w:cs="Arial"/>
          <w:sz w:val="24"/>
          <w:szCs w:val="24"/>
          <w:lang w:eastAsia="ja-JP"/>
        </w:rPr>
        <w:t xml:space="preserve"> Fly Out</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FIN</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 xml:space="preserve">Family </w:t>
      </w:r>
      <w:r w:rsidR="002A38B6" w:rsidRPr="00297A0B">
        <w:rPr>
          <w:rFonts w:ascii="Calibri" w:eastAsia="MS Mincho" w:hAnsi="Calibri" w:cs="Arial"/>
          <w:sz w:val="24"/>
          <w:szCs w:val="24"/>
          <w:lang w:eastAsia="ja-JP"/>
        </w:rPr>
        <w:t>I</w:t>
      </w:r>
      <w:r w:rsidRPr="00297A0B">
        <w:rPr>
          <w:rFonts w:ascii="Calibri" w:eastAsia="MS Mincho" w:hAnsi="Calibri" w:cs="Arial"/>
          <w:sz w:val="24"/>
          <w:szCs w:val="24"/>
          <w:lang w:eastAsia="ja-JP"/>
        </w:rPr>
        <w:t>nclusion Network</w:t>
      </w:r>
    </w:p>
    <w:p w:rsidR="00B82355" w:rsidRPr="00DC1B19" w:rsidRDefault="00B82355" w:rsidP="009906C1">
      <w:pPr>
        <w:rPr>
          <w:rStyle w:val="StyleBodyCalibri12pt"/>
          <w:rFonts w:eastAsia="MS Mincho"/>
        </w:rPr>
      </w:pPr>
      <w:r w:rsidRPr="00DC1B19">
        <w:rPr>
          <w:rStyle w:val="StyleBodyCalibri12pt"/>
        </w:rPr>
        <w:t>FMHSS</w:t>
      </w:r>
      <w:r w:rsidRPr="00DC1B19">
        <w:rPr>
          <w:rStyle w:val="StyleBodyCalibri12pt"/>
        </w:rPr>
        <w:tab/>
      </w:r>
      <w:r w:rsidRPr="00DC1B19">
        <w:rPr>
          <w:rStyle w:val="StyleBodyCalibri12pt"/>
        </w:rPr>
        <w:tab/>
        <w:t>Family Mental Health Support Service</w:t>
      </w:r>
      <w:r w:rsidRPr="00DC1B19">
        <w:rPr>
          <w:rStyle w:val="StyleBodyCalibri12pt"/>
          <w:rFonts w:eastAsia="MS Mincho"/>
        </w:rPr>
        <w:t xml:space="preserve"> </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FRC</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Family Responsibilities Commission</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FSA</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Family Self-Assessment</w:t>
      </w:r>
    </w:p>
    <w:p w:rsidR="00571D0A" w:rsidRDefault="00571D0A" w:rsidP="0016110B">
      <w:pPr>
        <w:rPr>
          <w:rFonts w:ascii="Calibri" w:eastAsia="MS Mincho" w:hAnsi="Calibri" w:cs="Arial"/>
          <w:sz w:val="24"/>
          <w:szCs w:val="24"/>
          <w:lang w:eastAsia="ja-JP"/>
        </w:rPr>
      </w:pPr>
      <w:r>
        <w:rPr>
          <w:rFonts w:ascii="Calibri" w:eastAsia="MS Mincho" w:hAnsi="Calibri" w:cs="Arial"/>
          <w:sz w:val="24"/>
          <w:szCs w:val="24"/>
          <w:lang w:eastAsia="ja-JP"/>
        </w:rPr>
        <w:t>FSN</w:t>
      </w:r>
      <w:r>
        <w:rPr>
          <w:rFonts w:ascii="Calibri" w:eastAsia="MS Mincho" w:hAnsi="Calibri" w:cs="Arial"/>
          <w:sz w:val="24"/>
          <w:szCs w:val="24"/>
          <w:lang w:eastAsia="ja-JP"/>
        </w:rPr>
        <w:tab/>
      </w:r>
      <w:r>
        <w:rPr>
          <w:rFonts w:ascii="Calibri" w:eastAsia="MS Mincho" w:hAnsi="Calibri" w:cs="Arial"/>
          <w:sz w:val="24"/>
          <w:szCs w:val="24"/>
          <w:lang w:eastAsia="ja-JP"/>
        </w:rPr>
        <w:tab/>
      </w:r>
      <w:r w:rsidRPr="000C3B31">
        <w:rPr>
          <w:rFonts w:ascii="Calibri" w:hAnsi="Calibri" w:cs="Calibri"/>
          <w:bCs/>
          <w:sz w:val="24"/>
          <w:szCs w:val="24"/>
          <w:lang w:eastAsia="en-AU"/>
        </w:rPr>
        <w:t>Family Support Network</w:t>
      </w:r>
      <w:r w:rsidRPr="00297A0B">
        <w:rPr>
          <w:rFonts w:ascii="Calibri" w:eastAsia="MS Mincho" w:hAnsi="Calibri" w:cs="Arial"/>
          <w:sz w:val="24"/>
          <w:szCs w:val="24"/>
          <w:lang w:eastAsia="ja-JP"/>
        </w:rPr>
        <w:t xml:space="preserve"> </w:t>
      </w:r>
    </w:p>
    <w:p w:rsidR="0016110B" w:rsidRPr="00297A0B" w:rsidRDefault="0016110B" w:rsidP="0016110B">
      <w:pPr>
        <w:rPr>
          <w:rFonts w:ascii="Calibri" w:eastAsia="MS Mincho" w:hAnsi="Calibri" w:cs="Arial"/>
          <w:sz w:val="24"/>
          <w:szCs w:val="24"/>
          <w:lang w:eastAsia="ja-JP"/>
        </w:rPr>
      </w:pPr>
      <w:r w:rsidRPr="00297A0B">
        <w:rPr>
          <w:rFonts w:ascii="Calibri" w:eastAsia="MS Mincho" w:hAnsi="Calibri" w:cs="Arial"/>
          <w:sz w:val="24"/>
          <w:szCs w:val="24"/>
          <w:lang w:eastAsia="ja-JP"/>
        </w:rPr>
        <w:t>FTE</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Full-time Equivalent</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FVCSS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Family Violence Counselling and Support Service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GHSH</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Going Home Staying Home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GIT</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Getting It Together</w:t>
      </w:r>
    </w:p>
    <w:p w:rsidR="005245F4" w:rsidRDefault="005245F4" w:rsidP="009906C1">
      <w:pPr>
        <w:rPr>
          <w:rFonts w:ascii="Calibri" w:hAnsi="Calibri" w:cs="Calibri"/>
          <w:sz w:val="24"/>
          <w:szCs w:val="24"/>
        </w:rPr>
      </w:pPr>
      <w:r w:rsidRPr="004362CF">
        <w:rPr>
          <w:rFonts w:ascii="Calibri" w:hAnsi="Calibri" w:cs="Calibri"/>
          <w:sz w:val="24"/>
          <w:szCs w:val="24"/>
        </w:rPr>
        <w:t>Got It!</w:t>
      </w:r>
      <w:r>
        <w:rPr>
          <w:rFonts w:ascii="Calibri" w:hAnsi="Calibri" w:cs="Calibri"/>
          <w:sz w:val="24"/>
          <w:szCs w:val="24"/>
        </w:rPr>
        <w:tab/>
      </w:r>
      <w:r>
        <w:rPr>
          <w:rFonts w:ascii="Calibri" w:hAnsi="Calibri" w:cs="Calibri"/>
          <w:sz w:val="24"/>
          <w:szCs w:val="24"/>
        </w:rPr>
        <w:tab/>
      </w:r>
      <w:r w:rsidRPr="004362CF">
        <w:rPr>
          <w:rFonts w:ascii="Calibri" w:hAnsi="Calibri" w:cs="Calibri"/>
          <w:sz w:val="24"/>
          <w:szCs w:val="24"/>
        </w:rPr>
        <w:t>Getting on Track in Time</w:t>
      </w:r>
    </w:p>
    <w:p w:rsidR="009906C1" w:rsidRPr="00297A0B" w:rsidRDefault="009906C1" w:rsidP="009906C1">
      <w:pPr>
        <w:rPr>
          <w:rFonts w:ascii="Calibri" w:eastAsia="MS Mincho" w:hAnsi="Calibri" w:cs="Arial"/>
          <w:sz w:val="24"/>
          <w:szCs w:val="24"/>
          <w:lang w:eastAsia="ja-JP"/>
        </w:rPr>
      </w:pPr>
      <w:proofErr w:type="gramStart"/>
      <w:r w:rsidRPr="00297A0B">
        <w:rPr>
          <w:rFonts w:ascii="Calibri" w:eastAsia="MS Mincho" w:hAnsi="Calibri" w:cs="Arial"/>
          <w:sz w:val="24"/>
          <w:szCs w:val="24"/>
          <w:lang w:eastAsia="ja-JP"/>
        </w:rPr>
        <w:t>HE</w:t>
      </w:r>
      <w:proofErr w:type="gramEnd"/>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Higher Education</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HILDA</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Household, Income and Labour Dynamics in Australia</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HOF</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Helping Out Families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HUGS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Hardship Utilities Grant Scheme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IDC</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Inter-Departmental Committee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IDFVSP</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Integrated Domestic and Family Violence Services Program</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IECDNP</w:t>
      </w:r>
      <w:r w:rsidRPr="00297A0B">
        <w:rPr>
          <w:rFonts w:ascii="Calibri" w:eastAsia="MS Mincho" w:hAnsi="Calibri" w:cs="Arial"/>
          <w:sz w:val="24"/>
          <w:szCs w:val="24"/>
          <w:lang w:eastAsia="ja-JP"/>
        </w:rPr>
        <w:tab/>
        <w:t>Indigenous Early Childhood Development National Partnership</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IFBS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Intensive Family Based Service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IFP</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Intensive Family Preservation</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IFS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Intensive Family Support</w:t>
      </w:r>
    </w:p>
    <w:p w:rsidR="009906C1" w:rsidRPr="00297A0B" w:rsidRDefault="009906C1" w:rsidP="00C10CE9">
      <w:pPr>
        <w:ind w:left="1440" w:hanging="1440"/>
        <w:rPr>
          <w:rFonts w:ascii="Calibri" w:eastAsia="MS Mincho" w:hAnsi="Calibri" w:cs="Arial"/>
          <w:sz w:val="24"/>
          <w:szCs w:val="24"/>
          <w:lang w:eastAsia="ja-JP"/>
        </w:rPr>
      </w:pPr>
      <w:r w:rsidRPr="00297A0B">
        <w:rPr>
          <w:rFonts w:ascii="Calibri" w:eastAsia="MS Mincho" w:hAnsi="Calibri" w:cs="Arial"/>
          <w:sz w:val="24"/>
          <w:szCs w:val="24"/>
          <w:lang w:eastAsia="ja-JP"/>
        </w:rPr>
        <w:t>ISG</w:t>
      </w:r>
      <w:r w:rsidRPr="00297A0B">
        <w:rPr>
          <w:rFonts w:ascii="Calibri" w:eastAsia="MS Mincho" w:hAnsi="Calibri" w:cs="Arial"/>
          <w:sz w:val="24"/>
          <w:szCs w:val="24"/>
          <w:lang w:eastAsia="ja-JP"/>
        </w:rPr>
        <w:tab/>
        <w:t>Information Sharing Guidelines for Promoting the Safety and Wellbeing of Children, Young People and their Families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ISP</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Intensive Supervision Program</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JIRT</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Joint Investigation Response Team</w:t>
      </w:r>
    </w:p>
    <w:p w:rsidR="00902425" w:rsidRPr="00297A0B" w:rsidRDefault="00902425" w:rsidP="009906C1">
      <w:pPr>
        <w:rPr>
          <w:rFonts w:ascii="Calibri" w:hAnsi="Calibri" w:cs="Calibri"/>
          <w:sz w:val="24"/>
          <w:szCs w:val="24"/>
        </w:rPr>
      </w:pPr>
      <w:r w:rsidRPr="00297A0B">
        <w:rPr>
          <w:rFonts w:ascii="Calibri" w:hAnsi="Calibri" w:cs="Calibri"/>
          <w:sz w:val="24"/>
          <w:szCs w:val="24"/>
        </w:rPr>
        <w:t>KTS</w:t>
      </w:r>
      <w:r w:rsidR="008764E1" w:rsidRPr="00297A0B">
        <w:rPr>
          <w:rFonts w:ascii="Calibri" w:hAnsi="Calibri" w:cs="Calibri"/>
          <w:sz w:val="24"/>
          <w:szCs w:val="24"/>
        </w:rPr>
        <w:t>–</w:t>
      </w:r>
      <w:r w:rsidRPr="00297A0B">
        <w:rPr>
          <w:rFonts w:ascii="Calibri" w:hAnsi="Calibri" w:cs="Calibri"/>
          <w:sz w:val="24"/>
          <w:szCs w:val="24"/>
        </w:rPr>
        <w:t>WFT</w:t>
      </w:r>
      <w:r w:rsidRPr="00297A0B">
        <w:rPr>
          <w:rFonts w:ascii="Calibri" w:hAnsi="Calibri" w:cs="Calibri"/>
          <w:sz w:val="24"/>
          <w:szCs w:val="24"/>
        </w:rPr>
        <w:tab/>
        <w:t>Keep them Safe</w:t>
      </w:r>
      <w:bookmarkStart w:id="273" w:name="OLE_LINK1"/>
      <w:bookmarkStart w:id="274" w:name="OLE_LINK2"/>
      <w:r w:rsidR="00916D23">
        <w:rPr>
          <w:rFonts w:ascii="Calibri" w:hAnsi="Calibri" w:cs="Calibri"/>
          <w:sz w:val="24"/>
          <w:szCs w:val="24"/>
        </w:rPr>
        <w:t xml:space="preserve"> – </w:t>
      </w:r>
      <w:r w:rsidRPr="00297A0B">
        <w:rPr>
          <w:rFonts w:ascii="Calibri" w:hAnsi="Calibri" w:cs="Calibri"/>
          <w:sz w:val="24"/>
          <w:szCs w:val="24"/>
        </w:rPr>
        <w:t>Whole Family Team</w:t>
      </w:r>
      <w:bookmarkEnd w:id="273"/>
      <w:bookmarkEnd w:id="274"/>
      <w:r w:rsidR="00883B4C" w:rsidRPr="00297A0B">
        <w:rPr>
          <w:rFonts w:ascii="Calibri" w:hAnsi="Calibri" w:cs="Calibri"/>
          <w:sz w:val="24"/>
          <w:szCs w:val="24"/>
        </w:rPr>
        <w:t>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LAPOD</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Leonora Alternative Place of Detention</w:t>
      </w:r>
    </w:p>
    <w:p w:rsidR="00CD5100" w:rsidRDefault="00CD5100" w:rsidP="009906C1">
      <w:pPr>
        <w:rPr>
          <w:rFonts w:ascii="Calibri" w:eastAsia="MS Mincho" w:hAnsi="Calibri" w:cs="Arial"/>
          <w:sz w:val="24"/>
          <w:szCs w:val="24"/>
          <w:lang w:eastAsia="ja-JP"/>
        </w:rPr>
      </w:pPr>
      <w:r>
        <w:rPr>
          <w:rFonts w:ascii="Calibri" w:eastAsia="MS Mincho" w:hAnsi="Calibri" w:cs="Arial"/>
          <w:sz w:val="24"/>
          <w:szCs w:val="24"/>
          <w:lang w:eastAsia="ja-JP"/>
        </w:rPr>
        <w:t>LCP</w:t>
      </w:r>
      <w:r>
        <w:rPr>
          <w:rFonts w:ascii="Calibri" w:eastAsia="MS Mincho" w:hAnsi="Calibri" w:cs="Arial"/>
          <w:sz w:val="24"/>
          <w:szCs w:val="24"/>
          <w:lang w:eastAsia="ja-JP"/>
        </w:rPr>
        <w:tab/>
      </w:r>
      <w:r>
        <w:rPr>
          <w:rFonts w:ascii="Calibri" w:eastAsia="MS Mincho" w:hAnsi="Calibri" w:cs="Arial"/>
          <w:sz w:val="24"/>
          <w:szCs w:val="24"/>
          <w:lang w:eastAsia="ja-JP"/>
        </w:rPr>
        <w:tab/>
        <w:t>Leaving Care Plan</w:t>
      </w:r>
    </w:p>
    <w:p w:rsidR="009906C1" w:rsidRPr="00297A0B" w:rsidRDefault="00DB5EE7"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LHD</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Local Health District</w:t>
      </w:r>
    </w:p>
    <w:p w:rsidR="009906C1" w:rsidRPr="00297A0B" w:rsidRDefault="009906C1" w:rsidP="009906C1">
      <w:pPr>
        <w:rPr>
          <w:rFonts w:ascii="Calibri" w:eastAsia="MS Mincho" w:hAnsi="Calibri" w:cs="Arial"/>
          <w:sz w:val="24"/>
          <w:szCs w:val="24"/>
          <w:lang w:eastAsia="ja-JP"/>
        </w:rPr>
      </w:pPr>
      <w:proofErr w:type="spellStart"/>
      <w:r w:rsidRPr="00297A0B">
        <w:rPr>
          <w:rFonts w:ascii="Calibri" w:eastAsia="MS Mincho" w:hAnsi="Calibri" w:cs="Arial"/>
          <w:sz w:val="24"/>
          <w:szCs w:val="24"/>
          <w:lang w:eastAsia="ja-JP"/>
        </w:rPr>
        <w:t>LiL</w:t>
      </w:r>
      <w:proofErr w:type="spellEnd"/>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Launching into Learning</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LLN</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Language, Literacy and Numeracy</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LPS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Learning Pathway</w:t>
      </w:r>
      <w:r w:rsidR="00B31F18" w:rsidRPr="00297A0B">
        <w:rPr>
          <w:rFonts w:ascii="Calibri" w:eastAsia="MS Mincho" w:hAnsi="Calibri" w:cs="Arial"/>
          <w:sz w:val="24"/>
          <w:szCs w:val="24"/>
          <w:lang w:eastAsia="ja-JP"/>
        </w:rPr>
        <w:t>s</w:t>
      </w:r>
      <w:r w:rsidRPr="00297A0B">
        <w:rPr>
          <w:rFonts w:ascii="Calibri" w:eastAsia="MS Mincho" w:hAnsi="Calibri" w:cs="Arial"/>
          <w:sz w:val="24"/>
          <w:szCs w:val="24"/>
          <w:lang w:eastAsia="ja-JP"/>
        </w:rPr>
        <w:t xml:space="preserve"> Strategy</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LSAC</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Longitudinal Study of Australian Children</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MCS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Mental Health Component Summary</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MDC</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r>
      <w:r w:rsidR="00DB5EE7" w:rsidRPr="00297A0B">
        <w:rPr>
          <w:rFonts w:ascii="Calibri" w:eastAsia="MS Mincho" w:hAnsi="Calibri" w:cs="Arial"/>
          <w:sz w:val="24"/>
          <w:szCs w:val="24"/>
          <w:lang w:eastAsia="ja-JP"/>
        </w:rPr>
        <w:t>M</w:t>
      </w:r>
      <w:r w:rsidR="00153660">
        <w:rPr>
          <w:rFonts w:ascii="Calibri" w:eastAsia="MS Mincho" w:hAnsi="Calibri" w:cs="Arial"/>
          <w:sz w:val="24"/>
          <w:szCs w:val="24"/>
          <w:lang w:eastAsia="ja-JP"/>
        </w:rPr>
        <w:t>ulti</w:t>
      </w:r>
      <w:r w:rsidRPr="00297A0B">
        <w:rPr>
          <w:rFonts w:ascii="Calibri" w:eastAsia="MS Mincho" w:hAnsi="Calibri" w:cs="Arial"/>
          <w:sz w:val="24"/>
          <w:szCs w:val="24"/>
          <w:lang w:eastAsia="ja-JP"/>
        </w:rPr>
        <w:t>disciplinary centre</w:t>
      </w:r>
    </w:p>
    <w:p w:rsidR="009906C1" w:rsidRPr="00297A0B" w:rsidRDefault="00C10CE9"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MHDAS</w:t>
      </w:r>
      <w:r w:rsidRPr="00297A0B">
        <w:rPr>
          <w:rFonts w:ascii="Calibri" w:eastAsia="MS Mincho" w:hAnsi="Calibri" w:cs="Arial"/>
          <w:sz w:val="24"/>
          <w:szCs w:val="24"/>
          <w:lang w:eastAsia="ja-JP"/>
        </w:rPr>
        <w:tab/>
      </w:r>
      <w:r w:rsidR="009906C1" w:rsidRPr="00297A0B">
        <w:rPr>
          <w:rFonts w:ascii="Calibri" w:eastAsia="MS Mincho" w:hAnsi="Calibri" w:cs="Arial"/>
          <w:sz w:val="24"/>
          <w:szCs w:val="24"/>
          <w:lang w:eastAsia="ja-JP"/>
        </w:rPr>
        <w:t xml:space="preserve">Mental </w:t>
      </w:r>
      <w:r w:rsidR="00883B4C" w:rsidRPr="00297A0B">
        <w:rPr>
          <w:rFonts w:ascii="Calibri" w:eastAsia="MS Mincho" w:hAnsi="Calibri" w:cs="Arial"/>
          <w:sz w:val="24"/>
          <w:szCs w:val="24"/>
          <w:lang w:eastAsia="ja-JP"/>
        </w:rPr>
        <w:t>Health Drug</w:t>
      </w:r>
      <w:r w:rsidR="009906C1" w:rsidRPr="00297A0B">
        <w:rPr>
          <w:rFonts w:ascii="Calibri" w:eastAsia="MS Mincho" w:hAnsi="Calibri" w:cs="Arial"/>
          <w:sz w:val="24"/>
          <w:szCs w:val="24"/>
          <w:lang w:eastAsia="ja-JP"/>
        </w:rPr>
        <w:t xml:space="preserve"> </w:t>
      </w:r>
      <w:r w:rsidR="00DB5EE7" w:rsidRPr="00297A0B">
        <w:rPr>
          <w:rFonts w:ascii="Calibri" w:eastAsia="MS Mincho" w:hAnsi="Calibri" w:cs="Arial"/>
          <w:sz w:val="24"/>
          <w:szCs w:val="24"/>
          <w:lang w:eastAsia="ja-JP"/>
        </w:rPr>
        <w:t xml:space="preserve">and </w:t>
      </w:r>
      <w:r w:rsidR="00883B4C" w:rsidRPr="00297A0B">
        <w:rPr>
          <w:rFonts w:ascii="Calibri" w:eastAsia="MS Mincho" w:hAnsi="Calibri" w:cs="Arial"/>
          <w:sz w:val="24"/>
          <w:szCs w:val="24"/>
          <w:lang w:eastAsia="ja-JP"/>
        </w:rPr>
        <w:t>Alcohol Service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MOS</w:t>
      </w:r>
      <w:r w:rsidR="00883B4C" w:rsidRPr="00297A0B">
        <w:rPr>
          <w:rFonts w:ascii="Calibri" w:eastAsia="MS Mincho" w:hAnsi="Calibri" w:cs="Arial"/>
          <w:sz w:val="24"/>
          <w:szCs w:val="24"/>
          <w:lang w:eastAsia="ja-JP"/>
        </w:rPr>
        <w:t>+</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Mobile Outreach Service</w:t>
      </w:r>
      <w:r w:rsidR="00883B4C" w:rsidRPr="00297A0B">
        <w:rPr>
          <w:rFonts w:ascii="Calibri" w:eastAsia="MS Mincho" w:hAnsi="Calibri" w:cs="Arial"/>
          <w:sz w:val="24"/>
          <w:szCs w:val="24"/>
          <w:lang w:eastAsia="ja-JP"/>
        </w:rPr>
        <w:t xml:space="preserve"> Plus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MOU</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Memorandum of Understanding</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NAPCAN</w:t>
      </w:r>
      <w:r w:rsidRPr="00297A0B">
        <w:rPr>
          <w:rFonts w:ascii="Calibri" w:eastAsia="MS Mincho" w:hAnsi="Calibri" w:cs="Arial"/>
          <w:sz w:val="24"/>
          <w:szCs w:val="24"/>
          <w:lang w:eastAsia="ja-JP"/>
        </w:rPr>
        <w:tab/>
        <w:t>National Association for the Prevention of Child Abuse and Neglect</w:t>
      </w:r>
    </w:p>
    <w:p w:rsidR="009906C1" w:rsidRPr="00297A0B" w:rsidRDefault="009906C1" w:rsidP="001E79FB">
      <w:pPr>
        <w:ind w:left="1418" w:hanging="1418"/>
        <w:rPr>
          <w:rFonts w:ascii="Calibri" w:eastAsia="MS Mincho" w:hAnsi="Calibri" w:cs="Arial"/>
          <w:sz w:val="24"/>
          <w:szCs w:val="24"/>
          <w:lang w:eastAsia="ja-JP"/>
        </w:rPr>
      </w:pPr>
      <w:r w:rsidRPr="00297A0B">
        <w:rPr>
          <w:rFonts w:ascii="Calibri" w:eastAsia="MS Mincho" w:hAnsi="Calibri" w:cs="Arial"/>
          <w:sz w:val="24"/>
          <w:szCs w:val="24"/>
          <w:lang w:eastAsia="ja-JP"/>
        </w:rPr>
        <w:t>NCE</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 xml:space="preserve">National Centre </w:t>
      </w:r>
      <w:r w:rsidR="00A44A38" w:rsidRPr="00297A0B">
        <w:rPr>
          <w:rFonts w:ascii="Calibri" w:eastAsia="MS Mincho" w:hAnsi="Calibri" w:cs="Arial"/>
          <w:sz w:val="24"/>
          <w:szCs w:val="24"/>
          <w:lang w:eastAsia="ja-JP"/>
        </w:rPr>
        <w:t>of</w:t>
      </w:r>
      <w:r w:rsidRPr="00297A0B">
        <w:rPr>
          <w:rFonts w:ascii="Calibri" w:eastAsia="MS Mincho" w:hAnsi="Calibri" w:cs="Arial"/>
          <w:sz w:val="24"/>
          <w:szCs w:val="24"/>
          <w:lang w:eastAsia="ja-JP"/>
        </w:rPr>
        <w:t xml:space="preserve"> Excellence</w:t>
      </w:r>
      <w:r w:rsidR="001E79FB">
        <w:rPr>
          <w:rFonts w:ascii="Calibri" w:eastAsia="MS Mincho" w:hAnsi="Calibri" w:cs="Arial"/>
          <w:sz w:val="24"/>
          <w:szCs w:val="24"/>
          <w:lang w:eastAsia="ja-JP"/>
        </w:rPr>
        <w:t xml:space="preserve"> </w:t>
      </w:r>
      <w:r w:rsidR="001E79FB" w:rsidRPr="00DC1B19">
        <w:rPr>
          <w:rStyle w:val="StyleBodyCalibri12pt"/>
        </w:rPr>
        <w:t>to Reduce Violence against Women and their Children</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NCFAS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North Carolina Family Assessment Scale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NDIS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National Disability Insurance Scheme</w:t>
      </w:r>
      <w:r w:rsidR="00C10CE9" w:rsidRPr="00297A0B">
        <w:rPr>
          <w:rFonts w:ascii="Calibri" w:hAnsi="Calibri"/>
          <w:sz w:val="24"/>
          <w:szCs w:val="24"/>
        </w:rPr>
        <w:t xml:space="preserve"> </w:t>
      </w:r>
    </w:p>
    <w:p w:rsidR="00AE5291" w:rsidRPr="00297A0B" w:rsidRDefault="00AE5291" w:rsidP="009906C1">
      <w:pPr>
        <w:rPr>
          <w:rFonts w:ascii="Calibri" w:hAnsi="Calibri" w:cs="Calibri"/>
          <w:sz w:val="24"/>
          <w:szCs w:val="24"/>
        </w:rPr>
      </w:pPr>
      <w:r w:rsidRPr="00297A0B">
        <w:rPr>
          <w:rFonts w:ascii="Calibri" w:hAnsi="Calibri" w:cs="Calibri"/>
          <w:sz w:val="24"/>
          <w:szCs w:val="24"/>
        </w:rPr>
        <w:t>NDSHS</w:t>
      </w:r>
      <w:r w:rsidRPr="00297A0B">
        <w:rPr>
          <w:rFonts w:ascii="Calibri" w:hAnsi="Calibri" w:cs="Calibri"/>
          <w:sz w:val="24"/>
          <w:szCs w:val="24"/>
        </w:rPr>
        <w:tab/>
      </w:r>
      <w:r w:rsidRPr="00297A0B">
        <w:rPr>
          <w:rFonts w:ascii="Calibri" w:hAnsi="Calibri" w:cs="Calibri"/>
          <w:sz w:val="24"/>
          <w:szCs w:val="24"/>
        </w:rPr>
        <w:tab/>
        <w:t>National Drug Strategy Household Survey</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NFIWG</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National Framework Implementation Working Group</w:t>
      </w:r>
    </w:p>
    <w:p w:rsidR="00AE5291" w:rsidRPr="00297A0B" w:rsidRDefault="00AE529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NHMRC</w:t>
      </w:r>
      <w:r w:rsidRPr="00297A0B">
        <w:rPr>
          <w:rFonts w:ascii="Calibri" w:eastAsia="MS Mincho" w:hAnsi="Calibri" w:cs="Arial"/>
          <w:sz w:val="24"/>
          <w:szCs w:val="24"/>
          <w:lang w:eastAsia="ja-JP"/>
        </w:rPr>
        <w:tab/>
      </w:r>
      <w:r w:rsidRPr="00297A0B">
        <w:rPr>
          <w:rFonts w:ascii="Calibri" w:hAnsi="Calibri" w:cs="Calibri"/>
          <w:sz w:val="24"/>
          <w:szCs w:val="24"/>
        </w:rPr>
        <w:t>National Health and Medical Research Council</w:t>
      </w:r>
      <w:r w:rsidRPr="00297A0B">
        <w:rPr>
          <w:rFonts w:ascii="Calibri" w:eastAsia="MS Mincho" w:hAnsi="Calibri" w:cs="Arial"/>
          <w:sz w:val="24"/>
          <w:szCs w:val="24"/>
          <w:lang w:eastAsia="ja-JP"/>
        </w:rPr>
        <w:t xml:space="preserve"> </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NIP</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Northern Intervention Project</w:t>
      </w:r>
    </w:p>
    <w:p w:rsidR="00854553" w:rsidRPr="00297A0B" w:rsidRDefault="00854553"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NMDS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 xml:space="preserve">National Minimum Data Set </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NMT</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r>
      <w:proofErr w:type="spellStart"/>
      <w:r w:rsidRPr="00297A0B">
        <w:rPr>
          <w:rFonts w:ascii="Calibri" w:eastAsia="MS Mincho" w:hAnsi="Calibri" w:cs="Arial"/>
          <w:sz w:val="24"/>
          <w:szCs w:val="24"/>
          <w:lang w:eastAsia="ja-JP"/>
        </w:rPr>
        <w:t>Neurosequential</w:t>
      </w:r>
      <w:proofErr w:type="spellEnd"/>
      <w:r w:rsidRPr="00297A0B">
        <w:rPr>
          <w:rFonts w:ascii="Calibri" w:eastAsia="MS Mincho" w:hAnsi="Calibri" w:cs="Arial"/>
          <w:sz w:val="24"/>
          <w:szCs w:val="24"/>
          <w:lang w:eastAsia="ja-JP"/>
        </w:rPr>
        <w:t xml:space="preserve"> Model of Therapeutics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NPAH</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National Partnership Agreement on Homelessness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NPDI</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National Perinatal Depression Initiative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NPY</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r>
      <w:proofErr w:type="spellStart"/>
      <w:r w:rsidRPr="00297A0B">
        <w:rPr>
          <w:rFonts w:ascii="Calibri" w:eastAsia="MS Mincho" w:hAnsi="Calibri" w:cs="Arial"/>
          <w:sz w:val="24"/>
          <w:szCs w:val="24"/>
          <w:lang w:eastAsia="ja-JP"/>
        </w:rPr>
        <w:t>Ngaanyatjarra</w:t>
      </w:r>
      <w:proofErr w:type="spellEnd"/>
      <w:r w:rsidRPr="00297A0B">
        <w:rPr>
          <w:rFonts w:ascii="Calibri" w:eastAsia="MS Mincho" w:hAnsi="Calibri" w:cs="Arial"/>
          <w:sz w:val="24"/>
          <w:szCs w:val="24"/>
          <w:lang w:eastAsia="ja-JP"/>
        </w:rPr>
        <w:t xml:space="preserve"> Pitjantjatjara </w:t>
      </w:r>
      <w:proofErr w:type="spellStart"/>
      <w:r w:rsidRPr="00297A0B">
        <w:rPr>
          <w:rFonts w:ascii="Calibri" w:eastAsia="MS Mincho" w:hAnsi="Calibri" w:cs="Arial"/>
          <w:sz w:val="24"/>
          <w:szCs w:val="24"/>
          <w:lang w:eastAsia="ja-JP"/>
        </w:rPr>
        <w:t>Yankunytjatjara</w:t>
      </w:r>
      <w:proofErr w:type="spellEnd"/>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NSW</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New South Wales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NT</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Northern Territory</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OPG</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Other Person Guardianship</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PACT</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Protecting Aboriginal Children Together</w:t>
      </w:r>
    </w:p>
    <w:p w:rsidR="00D77D9E" w:rsidRPr="00297A0B" w:rsidRDefault="00D77D9E"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PAT</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r>
      <w:r w:rsidRPr="00297A0B">
        <w:rPr>
          <w:rFonts w:ascii="Calibri" w:eastAsia="Calibri" w:hAnsi="Calibri" w:cs="Akzidenz Grotesk"/>
          <w:sz w:val="24"/>
          <w:szCs w:val="24"/>
          <w:lang w:eastAsia="en-US"/>
        </w:rPr>
        <w:t>Parents as Teachers</w:t>
      </w:r>
    </w:p>
    <w:p w:rsidR="00835CCF" w:rsidRPr="00297A0B" w:rsidRDefault="00835CCF" w:rsidP="009906C1">
      <w:pPr>
        <w:rPr>
          <w:rFonts w:ascii="Calibri" w:hAnsi="Calibri" w:cs="Calibri"/>
          <w:sz w:val="24"/>
          <w:szCs w:val="24"/>
        </w:rPr>
      </w:pPr>
      <w:r w:rsidRPr="00297A0B">
        <w:rPr>
          <w:rFonts w:ascii="Calibri" w:eastAsia="MS Mincho" w:hAnsi="Calibri" w:cs="Arial"/>
          <w:sz w:val="24"/>
          <w:szCs w:val="24"/>
          <w:lang w:eastAsia="ja-JP"/>
        </w:rPr>
        <w:t>PCIT</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r>
      <w:r w:rsidRPr="00297A0B">
        <w:rPr>
          <w:rFonts w:ascii="Calibri" w:hAnsi="Calibri" w:cs="Calibri"/>
          <w:sz w:val="24"/>
          <w:szCs w:val="24"/>
        </w:rPr>
        <w:t>Parent Child Interaction Therapy</w:t>
      </w:r>
    </w:p>
    <w:p w:rsidR="005571A0" w:rsidRPr="00297A0B" w:rsidRDefault="005571A0" w:rsidP="005571A0">
      <w:pPr>
        <w:rPr>
          <w:rFonts w:ascii="Calibri" w:eastAsia="MS Mincho" w:hAnsi="Calibri" w:cs="Arial"/>
          <w:sz w:val="24"/>
          <w:szCs w:val="24"/>
          <w:lang w:eastAsia="ja-JP"/>
        </w:rPr>
      </w:pPr>
      <w:r w:rsidRPr="00297A0B">
        <w:rPr>
          <w:rFonts w:ascii="Calibri" w:eastAsia="MS Mincho" w:hAnsi="Calibri" w:cs="Arial"/>
          <w:sz w:val="24"/>
          <w:szCs w:val="24"/>
          <w:lang w:eastAsia="ja-JP"/>
        </w:rPr>
        <w:t>PDA</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r>
      <w:r w:rsidRPr="00297A0B">
        <w:rPr>
          <w:rFonts w:ascii="Calibri" w:hAnsi="Calibri"/>
          <w:sz w:val="24"/>
          <w:szCs w:val="24"/>
        </w:rPr>
        <w:t>Personal Development Agreement</w:t>
      </w:r>
    </w:p>
    <w:p w:rsidR="00523671" w:rsidRDefault="00523671" w:rsidP="009906C1">
      <w:pPr>
        <w:rPr>
          <w:rFonts w:ascii="Calibri" w:eastAsia="MS Mincho" w:hAnsi="Calibri" w:cs="Arial"/>
          <w:sz w:val="24"/>
          <w:szCs w:val="24"/>
          <w:lang w:eastAsia="ja-JP"/>
        </w:rPr>
      </w:pPr>
      <w:r>
        <w:rPr>
          <w:rFonts w:ascii="Calibri" w:eastAsia="MS Mincho" w:hAnsi="Calibri" w:cs="Arial"/>
          <w:sz w:val="24"/>
          <w:szCs w:val="24"/>
          <w:lang w:eastAsia="ja-JP"/>
        </w:rPr>
        <w:t>PLP</w:t>
      </w:r>
      <w:r>
        <w:rPr>
          <w:rFonts w:ascii="Calibri" w:eastAsia="MS Mincho" w:hAnsi="Calibri" w:cs="Arial"/>
          <w:sz w:val="24"/>
          <w:szCs w:val="24"/>
          <w:lang w:eastAsia="ja-JP"/>
        </w:rPr>
        <w:tab/>
      </w:r>
      <w:r>
        <w:rPr>
          <w:rFonts w:ascii="Calibri" w:eastAsia="MS Mincho" w:hAnsi="Calibri" w:cs="Arial"/>
          <w:sz w:val="24"/>
          <w:szCs w:val="24"/>
          <w:lang w:eastAsia="ja-JP"/>
        </w:rPr>
        <w:tab/>
      </w:r>
      <w:r w:rsidRPr="00523671">
        <w:rPr>
          <w:rFonts w:ascii="Calibri" w:eastAsia="MS Mincho" w:hAnsi="Calibri" w:cs="Arial"/>
          <w:sz w:val="24"/>
          <w:szCs w:val="24"/>
          <w:lang w:eastAsia="ja-JP"/>
        </w:rPr>
        <w:t xml:space="preserve">Personalised Learning Plan </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QCOSS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Queensland Council of Social Service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QCPW</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Queensland Child Protection Week</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QIWD</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Quality Improvement and Workforce Development</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QUT</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Queensland University of Technology</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RPP</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Reparative Parenting Program</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SA</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South Australia</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SAAP</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Supported Accommodation Assistance Program</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SAG</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Specialist Assessment Guide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SCCDS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Standing Council on Community and Disability Services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SCCDSAC</w:t>
      </w:r>
      <w:r w:rsidRPr="00297A0B">
        <w:rPr>
          <w:rFonts w:ascii="Calibri" w:eastAsia="MS Mincho" w:hAnsi="Calibri" w:cs="Arial"/>
          <w:sz w:val="24"/>
          <w:szCs w:val="24"/>
          <w:lang w:eastAsia="ja-JP"/>
        </w:rPr>
        <w:tab/>
        <w:t xml:space="preserve">Standing Council on Community and Disability Services Advisory </w:t>
      </w:r>
      <w:r w:rsidR="009B2ABB">
        <w:rPr>
          <w:rFonts w:ascii="Calibri" w:eastAsia="MS Mincho" w:hAnsi="Calibri" w:cs="Arial"/>
          <w:sz w:val="24"/>
          <w:szCs w:val="24"/>
          <w:lang w:eastAsia="ja-JP"/>
        </w:rPr>
        <w:t>Council</w:t>
      </w:r>
    </w:p>
    <w:p w:rsidR="009906C1" w:rsidRPr="00297A0B" w:rsidRDefault="009906C1" w:rsidP="009906C1">
      <w:pPr>
        <w:rPr>
          <w:rFonts w:ascii="Calibri" w:eastAsia="MS Mincho" w:hAnsi="Calibri" w:cs="Arial"/>
          <w:sz w:val="24"/>
          <w:szCs w:val="24"/>
          <w:lang w:eastAsia="ja-JP"/>
        </w:rPr>
      </w:pPr>
      <w:proofErr w:type="spellStart"/>
      <w:r w:rsidRPr="00297A0B">
        <w:rPr>
          <w:rFonts w:ascii="Calibri" w:eastAsia="MS Mincho" w:hAnsi="Calibri" w:cs="Arial"/>
          <w:sz w:val="24"/>
          <w:szCs w:val="24"/>
          <w:lang w:eastAsia="ja-JP"/>
        </w:rPr>
        <w:t>SCfC</w:t>
      </w:r>
      <w:proofErr w:type="spellEnd"/>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Stronger Communities for Children</w:t>
      </w:r>
    </w:p>
    <w:p w:rsidR="00AC044C" w:rsidRPr="00297A0B" w:rsidRDefault="00AC044C"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SCWI</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r>
      <w:r w:rsidRPr="00297A0B">
        <w:rPr>
          <w:rFonts w:ascii="Calibri" w:hAnsi="Calibri" w:cs="Calibri"/>
          <w:sz w:val="24"/>
          <w:szCs w:val="24"/>
        </w:rPr>
        <w:t>Select Council on Women’s Issues</w:t>
      </w:r>
      <w:r w:rsidRPr="00297A0B">
        <w:rPr>
          <w:rFonts w:ascii="Calibri" w:eastAsia="MS Mincho" w:hAnsi="Calibri" w:cs="Arial"/>
          <w:sz w:val="24"/>
          <w:szCs w:val="24"/>
          <w:lang w:eastAsia="ja-JP"/>
        </w:rPr>
        <w:t xml:space="preserve"> </w:t>
      </w:r>
    </w:p>
    <w:p w:rsidR="009B457C" w:rsidRDefault="009B457C" w:rsidP="009906C1">
      <w:pPr>
        <w:rPr>
          <w:rFonts w:ascii="Calibri" w:eastAsia="MS Mincho" w:hAnsi="Calibri" w:cs="Arial"/>
          <w:sz w:val="24"/>
          <w:szCs w:val="24"/>
          <w:lang w:eastAsia="ja-JP"/>
        </w:rPr>
      </w:pPr>
      <w:r>
        <w:rPr>
          <w:rFonts w:ascii="Calibri" w:eastAsia="MS Mincho" w:hAnsi="Calibri" w:cs="Arial"/>
          <w:sz w:val="24"/>
          <w:szCs w:val="24"/>
          <w:lang w:eastAsia="ja-JP"/>
        </w:rPr>
        <w:t>Shine SA</w:t>
      </w:r>
      <w:r>
        <w:rPr>
          <w:rFonts w:ascii="Calibri" w:eastAsia="MS Mincho" w:hAnsi="Calibri" w:cs="Arial"/>
          <w:sz w:val="24"/>
          <w:szCs w:val="24"/>
          <w:lang w:eastAsia="ja-JP"/>
        </w:rPr>
        <w:tab/>
      </w:r>
      <w:r w:rsidRPr="002670BF">
        <w:rPr>
          <w:rFonts w:ascii="Calibri" w:hAnsi="Calibri" w:cs="Calibri"/>
          <w:sz w:val="24"/>
          <w:szCs w:val="24"/>
        </w:rPr>
        <w:t>Sexual Health Information, Networking and Education SA</w:t>
      </w:r>
      <w:r w:rsidRPr="00297A0B">
        <w:rPr>
          <w:rFonts w:ascii="Calibri" w:eastAsia="MS Mincho" w:hAnsi="Calibri" w:cs="Arial"/>
          <w:sz w:val="24"/>
          <w:szCs w:val="24"/>
          <w:lang w:eastAsia="ja-JP"/>
        </w:rPr>
        <w:t xml:space="preserve"> </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SHLV</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Staying Home Leaving Violence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SHS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r>
      <w:r w:rsidR="0075472C" w:rsidRPr="00297A0B">
        <w:rPr>
          <w:rFonts w:ascii="Calibri" w:eastAsia="MS Mincho" w:hAnsi="Calibri" w:cs="Arial"/>
          <w:sz w:val="24"/>
          <w:szCs w:val="24"/>
          <w:lang w:eastAsia="ja-JP"/>
        </w:rPr>
        <w:t>Specialist Homelessness Service</w:t>
      </w:r>
    </w:p>
    <w:p w:rsidR="00547D90" w:rsidRPr="00547D90" w:rsidRDefault="00547D90" w:rsidP="009906C1">
      <w:pPr>
        <w:rPr>
          <w:rFonts w:ascii="Calibri" w:eastAsia="MS Mincho" w:hAnsi="Calibri" w:cs="Arial"/>
          <w:sz w:val="24"/>
          <w:szCs w:val="24"/>
          <w:lang w:eastAsia="ja-JP"/>
        </w:rPr>
      </w:pPr>
      <w:r w:rsidRPr="00547D90">
        <w:rPr>
          <w:rFonts w:ascii="Calibri" w:eastAsia="MS Mincho" w:hAnsi="Calibri" w:cs="Arial"/>
          <w:sz w:val="24"/>
          <w:szCs w:val="24"/>
          <w:lang w:eastAsia="ja-JP"/>
        </w:rPr>
        <w:t>SNAICC</w:t>
      </w:r>
      <w:r w:rsidRPr="00547D90">
        <w:rPr>
          <w:rFonts w:ascii="Calibri" w:eastAsia="MS Mincho" w:hAnsi="Calibri" w:cs="Arial"/>
          <w:sz w:val="24"/>
          <w:szCs w:val="24"/>
          <w:lang w:eastAsia="ja-JP"/>
        </w:rPr>
        <w:tab/>
      </w:r>
      <w:r w:rsidRPr="00547D90">
        <w:rPr>
          <w:rFonts w:ascii="Calibri" w:hAnsi="Calibri"/>
          <w:sz w:val="24"/>
          <w:szCs w:val="24"/>
        </w:rPr>
        <w:t>Secretariat of National Aboriginal and Islander Child Care</w:t>
      </w:r>
      <w:r w:rsidRPr="00547D90">
        <w:rPr>
          <w:rFonts w:ascii="Calibri" w:eastAsia="MS Mincho" w:hAnsi="Calibri" w:cs="Arial"/>
          <w:sz w:val="24"/>
          <w:szCs w:val="24"/>
          <w:lang w:eastAsia="ja-JP"/>
        </w:rPr>
        <w:t xml:space="preserve"> </w:t>
      </w:r>
    </w:p>
    <w:p w:rsidR="009F64DE" w:rsidRDefault="009F64DE" w:rsidP="009906C1">
      <w:pPr>
        <w:rPr>
          <w:rFonts w:ascii="Calibri" w:eastAsia="MS Mincho" w:hAnsi="Calibri" w:cs="Arial"/>
          <w:sz w:val="24"/>
          <w:szCs w:val="24"/>
          <w:lang w:eastAsia="ja-JP"/>
        </w:rPr>
      </w:pPr>
      <w:r>
        <w:rPr>
          <w:rFonts w:ascii="Calibri" w:eastAsia="MS Mincho" w:hAnsi="Calibri" w:cs="Arial"/>
          <w:sz w:val="24"/>
          <w:szCs w:val="24"/>
          <w:lang w:eastAsia="ja-JP"/>
        </w:rPr>
        <w:t>SSP</w:t>
      </w:r>
      <w:r>
        <w:rPr>
          <w:rFonts w:ascii="Calibri" w:eastAsia="MS Mincho" w:hAnsi="Calibri" w:cs="Arial"/>
          <w:sz w:val="24"/>
          <w:szCs w:val="24"/>
          <w:lang w:eastAsia="ja-JP"/>
        </w:rPr>
        <w:tab/>
      </w:r>
      <w:r>
        <w:rPr>
          <w:rFonts w:ascii="Calibri" w:eastAsia="MS Mincho" w:hAnsi="Calibri" w:cs="Arial"/>
          <w:sz w:val="24"/>
          <w:szCs w:val="24"/>
          <w:lang w:eastAsia="ja-JP"/>
        </w:rPr>
        <w:tab/>
      </w:r>
      <w:r w:rsidRPr="0004261B">
        <w:rPr>
          <w:rFonts w:ascii="Calibri" w:hAnsi="Calibri"/>
          <w:sz w:val="24"/>
        </w:rPr>
        <w:t>Schools for Specific Purposes</w:t>
      </w:r>
      <w:r w:rsidRPr="00297A0B">
        <w:rPr>
          <w:rFonts w:ascii="Calibri" w:eastAsia="MS Mincho" w:hAnsi="Calibri" w:cs="Arial"/>
          <w:sz w:val="24"/>
          <w:szCs w:val="24"/>
          <w:lang w:eastAsia="ja-JP"/>
        </w:rPr>
        <w:t xml:space="preserve"> </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TAFE</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Technical and Further Education</w:t>
      </w:r>
    </w:p>
    <w:p w:rsidR="00216807" w:rsidRDefault="00216807" w:rsidP="009906C1">
      <w:pPr>
        <w:rPr>
          <w:rFonts w:ascii="Calibri" w:eastAsia="MS Mincho" w:hAnsi="Calibri" w:cs="Arial"/>
          <w:sz w:val="24"/>
          <w:szCs w:val="24"/>
          <w:lang w:eastAsia="ja-JP"/>
        </w:rPr>
      </w:pPr>
      <w:r>
        <w:rPr>
          <w:rFonts w:ascii="Calibri" w:eastAsia="MS Mincho" w:hAnsi="Calibri" w:cs="Arial"/>
          <w:sz w:val="24"/>
          <w:szCs w:val="24"/>
          <w:lang w:eastAsia="ja-JP"/>
        </w:rPr>
        <w:t>TBS</w:t>
      </w:r>
      <w:r>
        <w:rPr>
          <w:rFonts w:ascii="Calibri" w:eastAsia="MS Mincho" w:hAnsi="Calibri" w:cs="Arial"/>
          <w:sz w:val="24"/>
          <w:szCs w:val="24"/>
          <w:lang w:eastAsia="ja-JP"/>
        </w:rPr>
        <w:tab/>
      </w:r>
      <w:r>
        <w:rPr>
          <w:rFonts w:ascii="Calibri" w:eastAsia="MS Mincho" w:hAnsi="Calibri" w:cs="Arial"/>
          <w:sz w:val="24"/>
          <w:szCs w:val="24"/>
          <w:lang w:eastAsia="ja-JP"/>
        </w:rPr>
        <w:tab/>
      </w:r>
      <w:proofErr w:type="gramStart"/>
      <w:r w:rsidRPr="004004DF">
        <w:rPr>
          <w:rFonts w:ascii="Calibri" w:hAnsi="Calibri"/>
          <w:sz w:val="24"/>
        </w:rPr>
        <w:t>The</w:t>
      </w:r>
      <w:proofErr w:type="gramEnd"/>
      <w:r w:rsidRPr="004004DF">
        <w:rPr>
          <w:rFonts w:ascii="Calibri" w:hAnsi="Calibri"/>
          <w:sz w:val="24"/>
        </w:rPr>
        <w:t xml:space="preserve"> Benevolent Society</w:t>
      </w:r>
      <w:r w:rsidRPr="00297A0B">
        <w:rPr>
          <w:rFonts w:ascii="Calibri" w:eastAsia="MS Mincho" w:hAnsi="Calibri" w:cs="Arial"/>
          <w:sz w:val="24"/>
          <w:szCs w:val="24"/>
          <w:lang w:eastAsia="ja-JP"/>
        </w:rPr>
        <w:t xml:space="preserve"> </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TILA</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Transition to Independent Living Allowance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TIPS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r>
      <w:proofErr w:type="spellStart"/>
      <w:r w:rsidRPr="00297A0B">
        <w:rPr>
          <w:rFonts w:ascii="Calibri" w:eastAsia="MS Mincho" w:hAnsi="Calibri" w:cs="Arial"/>
          <w:sz w:val="24"/>
          <w:szCs w:val="24"/>
          <w:lang w:eastAsia="ja-JP"/>
        </w:rPr>
        <w:t>Tips</w:t>
      </w:r>
      <w:proofErr w:type="spellEnd"/>
      <w:r w:rsidRPr="00297A0B">
        <w:rPr>
          <w:rFonts w:ascii="Calibri" w:eastAsia="MS Mincho" w:hAnsi="Calibri" w:cs="Arial"/>
          <w:sz w:val="24"/>
          <w:szCs w:val="24"/>
          <w:lang w:eastAsia="ja-JP"/>
        </w:rPr>
        <w:t xml:space="preserve"> and Information for Parenting Skills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TRC</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Therapeutic Residential Care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TSS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The Second Story</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TYSS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Targeted Youth Support Service</w:t>
      </w:r>
    </w:p>
    <w:p w:rsidR="00CD5100" w:rsidRDefault="00CD5100" w:rsidP="009906C1">
      <w:pPr>
        <w:rPr>
          <w:rFonts w:ascii="Calibri" w:hAnsi="Calibri"/>
          <w:sz w:val="24"/>
          <w:szCs w:val="24"/>
        </w:rPr>
      </w:pPr>
      <w:r>
        <w:rPr>
          <w:rFonts w:ascii="Calibri" w:eastAsia="MS Mincho" w:hAnsi="Calibri" w:cs="Arial"/>
          <w:sz w:val="24"/>
          <w:szCs w:val="24"/>
          <w:lang w:eastAsia="ja-JP"/>
        </w:rPr>
        <w:t>UPA</w:t>
      </w:r>
      <w:r>
        <w:rPr>
          <w:rFonts w:ascii="Calibri" w:eastAsia="MS Mincho" w:hAnsi="Calibri" w:cs="Arial"/>
          <w:sz w:val="24"/>
          <w:szCs w:val="24"/>
          <w:lang w:eastAsia="ja-JP"/>
        </w:rPr>
        <w:tab/>
      </w:r>
      <w:r>
        <w:rPr>
          <w:rFonts w:ascii="Calibri" w:eastAsia="MS Mincho" w:hAnsi="Calibri" w:cs="Arial"/>
          <w:sz w:val="24"/>
          <w:szCs w:val="24"/>
          <w:lang w:eastAsia="ja-JP"/>
        </w:rPr>
        <w:tab/>
      </w:r>
      <w:r>
        <w:rPr>
          <w:rFonts w:ascii="Calibri" w:hAnsi="Calibri"/>
          <w:sz w:val="24"/>
          <w:szCs w:val="24"/>
        </w:rPr>
        <w:t>United Protestant Association</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UTAS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University of Tasmania</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VACCA</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Victorian Aboriginal Child Care Agency</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VET</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Vocational Education and Training</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VGC</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Vocational Graduate Certificate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VISS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Vulnerable Infants Support Service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WA</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Western Australia</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WAFC</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WA Football Commission</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WCH</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Women’s and Children’s Hospital</w:t>
      </w:r>
    </w:p>
    <w:p w:rsidR="00902425" w:rsidRPr="00297A0B" w:rsidRDefault="00902425"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WFT</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r>
      <w:r w:rsidRPr="00297A0B">
        <w:rPr>
          <w:rFonts w:ascii="Calibri" w:hAnsi="Calibri" w:cs="Calibri"/>
          <w:sz w:val="24"/>
          <w:szCs w:val="24"/>
        </w:rPr>
        <w:t>Whole Family Teams</w:t>
      </w:r>
      <w:r w:rsidRPr="00297A0B">
        <w:rPr>
          <w:rFonts w:ascii="Calibri" w:eastAsia="MS Mincho" w:hAnsi="Calibri" w:cs="Arial"/>
          <w:sz w:val="24"/>
          <w:szCs w:val="24"/>
          <w:lang w:eastAsia="ja-JP"/>
        </w:rPr>
        <w:t xml:space="preserve"> </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WPP</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Workforce Profiles project</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WWCC</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Working with Children Check</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YMCA</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Young Men's Christian Association</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YPECN</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Young People with Exceptionally Complex Needs</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YSOS</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Youth Street Outreach Service</w:t>
      </w:r>
    </w:p>
    <w:p w:rsidR="009906C1" w:rsidRPr="00297A0B" w:rsidRDefault="009906C1" w:rsidP="009906C1">
      <w:pPr>
        <w:rPr>
          <w:rFonts w:ascii="Calibri" w:eastAsia="MS Mincho" w:hAnsi="Calibri" w:cs="Arial"/>
          <w:sz w:val="24"/>
          <w:szCs w:val="24"/>
          <w:lang w:eastAsia="ja-JP"/>
        </w:rPr>
      </w:pPr>
      <w:r w:rsidRPr="00297A0B">
        <w:rPr>
          <w:rFonts w:ascii="Calibri" w:eastAsia="MS Mincho" w:hAnsi="Calibri" w:cs="Arial"/>
          <w:sz w:val="24"/>
          <w:szCs w:val="24"/>
          <w:lang w:eastAsia="ja-JP"/>
        </w:rPr>
        <w:t>YWCA</w:t>
      </w:r>
      <w:r w:rsidRPr="00297A0B">
        <w:rPr>
          <w:rFonts w:ascii="Calibri" w:eastAsia="MS Mincho" w:hAnsi="Calibri" w:cs="Arial"/>
          <w:sz w:val="24"/>
          <w:szCs w:val="24"/>
          <w:lang w:eastAsia="ja-JP"/>
        </w:rPr>
        <w:tab/>
      </w:r>
      <w:r w:rsidRPr="00297A0B">
        <w:rPr>
          <w:rFonts w:ascii="Calibri" w:eastAsia="MS Mincho" w:hAnsi="Calibri" w:cs="Arial"/>
          <w:sz w:val="24"/>
          <w:szCs w:val="24"/>
          <w:lang w:eastAsia="ja-JP"/>
        </w:rPr>
        <w:tab/>
        <w:t>Young Women’s Christian Association</w:t>
      </w:r>
    </w:p>
    <w:p w:rsidR="00B71ABA" w:rsidRDefault="00B71ABA">
      <w:pPr>
        <w:rPr>
          <w:rFonts w:ascii="Arial" w:hAnsi="Arial"/>
          <w:color w:val="00755E"/>
          <w:spacing w:val="-5"/>
          <w:w w:val="90"/>
          <w:sz w:val="52"/>
          <w:lang w:val="en-GB" w:eastAsia="en-AU"/>
        </w:rPr>
      </w:pPr>
      <w:bookmarkStart w:id="275" w:name="_Toc334515422"/>
      <w:bookmarkStart w:id="276" w:name="_Toc400007823"/>
      <w:r>
        <w:br w:type="page"/>
      </w:r>
    </w:p>
    <w:p w:rsidR="000B44F3" w:rsidRPr="00821556" w:rsidRDefault="00F53463" w:rsidP="00B940CF">
      <w:pPr>
        <w:pStyle w:val="Heading1"/>
      </w:pPr>
      <w:bookmarkStart w:id="277" w:name="_Toc400711503"/>
      <w:r w:rsidRPr="00821556">
        <w:t>References</w:t>
      </w:r>
      <w:bookmarkEnd w:id="275"/>
      <w:bookmarkEnd w:id="276"/>
      <w:bookmarkEnd w:id="277"/>
    </w:p>
    <w:p w:rsidR="00554BB2" w:rsidRPr="00B41584" w:rsidRDefault="00554BB2" w:rsidP="00554BB2">
      <w:pPr>
        <w:tabs>
          <w:tab w:val="left" w:pos="2410"/>
        </w:tabs>
        <w:spacing w:after="200"/>
        <w:rPr>
          <w:rFonts w:ascii="Calibri" w:hAnsi="Calibri"/>
          <w:sz w:val="24"/>
          <w:szCs w:val="24"/>
        </w:rPr>
      </w:pPr>
      <w:r w:rsidRPr="00B41584">
        <w:rPr>
          <w:rFonts w:ascii="Calibri" w:hAnsi="Calibri"/>
          <w:sz w:val="24"/>
          <w:szCs w:val="24"/>
        </w:rPr>
        <w:t xml:space="preserve">ABS: </w:t>
      </w:r>
      <w:r w:rsidRPr="00B97F37">
        <w:rPr>
          <w:rFonts w:ascii="Calibri" w:hAnsi="Calibri"/>
          <w:i/>
          <w:sz w:val="24"/>
          <w:szCs w:val="24"/>
        </w:rPr>
        <w:t>See</w:t>
      </w:r>
      <w:r w:rsidRPr="00B41584">
        <w:rPr>
          <w:rFonts w:ascii="Calibri" w:hAnsi="Calibri"/>
          <w:sz w:val="24"/>
          <w:szCs w:val="24"/>
        </w:rPr>
        <w:t xml:space="preserve"> Australian Bureau of Statistics</w:t>
      </w:r>
    </w:p>
    <w:p w:rsidR="00554BB2" w:rsidRDefault="00554BB2" w:rsidP="00554BB2">
      <w:pPr>
        <w:tabs>
          <w:tab w:val="left" w:pos="2410"/>
        </w:tabs>
        <w:spacing w:after="200"/>
        <w:rPr>
          <w:rFonts w:ascii="Calibri" w:hAnsi="Calibri"/>
          <w:sz w:val="24"/>
          <w:szCs w:val="24"/>
        </w:rPr>
      </w:pPr>
      <w:r w:rsidRPr="00B41584">
        <w:rPr>
          <w:rFonts w:ascii="Calibri" w:hAnsi="Calibri"/>
          <w:sz w:val="24"/>
          <w:szCs w:val="24"/>
        </w:rPr>
        <w:t xml:space="preserve">AIHW: </w:t>
      </w:r>
      <w:r w:rsidRPr="00B97F37">
        <w:rPr>
          <w:rFonts w:ascii="Calibri" w:hAnsi="Calibri"/>
          <w:i/>
          <w:sz w:val="24"/>
          <w:szCs w:val="24"/>
        </w:rPr>
        <w:t>See</w:t>
      </w:r>
      <w:r w:rsidRPr="00B41584">
        <w:rPr>
          <w:rFonts w:ascii="Calibri" w:hAnsi="Calibri"/>
          <w:sz w:val="24"/>
          <w:szCs w:val="24"/>
        </w:rPr>
        <w:t xml:space="preserve"> Australian Institute of Health and Welfare</w:t>
      </w:r>
    </w:p>
    <w:p w:rsidR="00554BB2" w:rsidRDefault="00554BB2" w:rsidP="00554BB2">
      <w:pPr>
        <w:tabs>
          <w:tab w:val="left" w:pos="2410"/>
        </w:tabs>
        <w:spacing w:after="200"/>
        <w:rPr>
          <w:rFonts w:ascii="Calibri" w:hAnsi="Calibri"/>
          <w:sz w:val="24"/>
          <w:szCs w:val="24"/>
        </w:rPr>
      </w:pPr>
      <w:r>
        <w:rPr>
          <w:rFonts w:ascii="Calibri" w:hAnsi="Calibri"/>
          <w:sz w:val="24"/>
          <w:szCs w:val="24"/>
        </w:rPr>
        <w:t xml:space="preserve">CCCH &amp; TICHR: </w:t>
      </w:r>
      <w:r w:rsidRPr="00B97F37">
        <w:rPr>
          <w:rFonts w:ascii="Calibri" w:hAnsi="Calibri"/>
          <w:i/>
          <w:sz w:val="24"/>
          <w:szCs w:val="24"/>
        </w:rPr>
        <w:t>See</w:t>
      </w:r>
      <w:r>
        <w:rPr>
          <w:rFonts w:ascii="Calibri" w:hAnsi="Calibri"/>
          <w:sz w:val="24"/>
          <w:szCs w:val="24"/>
        </w:rPr>
        <w:t xml:space="preserve"> </w:t>
      </w:r>
      <w:r w:rsidRPr="00B41584">
        <w:rPr>
          <w:rFonts w:ascii="Calibri" w:hAnsi="Calibri"/>
          <w:sz w:val="24"/>
          <w:szCs w:val="24"/>
        </w:rPr>
        <w:t xml:space="preserve">Centre for Community Child Health and Telethon Institute for Child Health Research </w:t>
      </w:r>
    </w:p>
    <w:p w:rsidR="00554BB2" w:rsidRDefault="00554BB2" w:rsidP="00554BB2">
      <w:pPr>
        <w:tabs>
          <w:tab w:val="left" w:pos="2410"/>
        </w:tabs>
        <w:spacing w:after="200"/>
        <w:rPr>
          <w:rFonts w:ascii="Calibri" w:hAnsi="Calibri"/>
          <w:sz w:val="24"/>
          <w:szCs w:val="24"/>
        </w:rPr>
      </w:pPr>
      <w:r>
        <w:rPr>
          <w:rFonts w:ascii="Calibri" w:hAnsi="Calibri"/>
          <w:sz w:val="24"/>
          <w:szCs w:val="24"/>
        </w:rPr>
        <w:t xml:space="preserve">DEEWR: </w:t>
      </w:r>
      <w:r w:rsidRPr="00B97F37">
        <w:rPr>
          <w:rFonts w:ascii="Calibri" w:hAnsi="Calibri"/>
          <w:i/>
          <w:sz w:val="24"/>
          <w:szCs w:val="24"/>
        </w:rPr>
        <w:t>See</w:t>
      </w:r>
      <w:r>
        <w:rPr>
          <w:rFonts w:ascii="Calibri" w:hAnsi="Calibri"/>
          <w:sz w:val="24"/>
          <w:szCs w:val="24"/>
        </w:rPr>
        <w:t xml:space="preserve"> </w:t>
      </w:r>
      <w:r w:rsidRPr="00B41584">
        <w:rPr>
          <w:rFonts w:ascii="Calibri" w:hAnsi="Calibri"/>
          <w:sz w:val="24"/>
          <w:szCs w:val="24"/>
        </w:rPr>
        <w:t>Australian Government Department of Education, Employment and Workplace Relations</w:t>
      </w:r>
    </w:p>
    <w:p w:rsidR="00554BB2" w:rsidRDefault="00554BB2" w:rsidP="00554BB2">
      <w:pPr>
        <w:tabs>
          <w:tab w:val="left" w:pos="2410"/>
        </w:tabs>
        <w:spacing w:after="200"/>
        <w:rPr>
          <w:rFonts w:ascii="Calibri" w:hAnsi="Calibri"/>
          <w:sz w:val="24"/>
          <w:szCs w:val="24"/>
        </w:rPr>
      </w:pPr>
      <w:r>
        <w:rPr>
          <w:rFonts w:ascii="Calibri" w:hAnsi="Calibri"/>
          <w:sz w:val="24"/>
          <w:szCs w:val="24"/>
        </w:rPr>
        <w:t xml:space="preserve">FaHCSIA: </w:t>
      </w:r>
      <w:r w:rsidRPr="00B97F37">
        <w:rPr>
          <w:rFonts w:ascii="Calibri" w:hAnsi="Calibri"/>
          <w:i/>
          <w:sz w:val="24"/>
          <w:szCs w:val="24"/>
        </w:rPr>
        <w:t>See</w:t>
      </w:r>
      <w:r>
        <w:rPr>
          <w:rFonts w:ascii="Calibri" w:hAnsi="Calibri"/>
          <w:sz w:val="24"/>
          <w:szCs w:val="24"/>
        </w:rPr>
        <w:t xml:space="preserve"> </w:t>
      </w:r>
      <w:r w:rsidRPr="00B41584">
        <w:rPr>
          <w:rFonts w:ascii="Calibri" w:hAnsi="Calibri"/>
          <w:sz w:val="24"/>
          <w:szCs w:val="24"/>
        </w:rPr>
        <w:t>Australian Government Department of Families, Housing, Community Services and Indigenous Affairs</w:t>
      </w:r>
      <w:r w:rsidR="00F8404B">
        <w:rPr>
          <w:rFonts w:ascii="Calibri" w:hAnsi="Calibri"/>
          <w:sz w:val="24"/>
          <w:szCs w:val="24"/>
        </w:rPr>
        <w:t xml:space="preserve"> (now Department of Social Services)</w:t>
      </w:r>
    </w:p>
    <w:p w:rsidR="00554BB2" w:rsidRDefault="00554BB2" w:rsidP="00554BB2">
      <w:pPr>
        <w:tabs>
          <w:tab w:val="left" w:pos="2410"/>
        </w:tabs>
        <w:spacing w:after="200"/>
        <w:rPr>
          <w:rFonts w:ascii="Calibri" w:hAnsi="Calibri"/>
          <w:sz w:val="24"/>
          <w:szCs w:val="24"/>
        </w:rPr>
      </w:pPr>
      <w:r w:rsidRPr="00B41584">
        <w:rPr>
          <w:rFonts w:ascii="Calibri" w:hAnsi="Calibri"/>
          <w:sz w:val="24"/>
          <w:szCs w:val="24"/>
        </w:rPr>
        <w:t>HREOC</w:t>
      </w:r>
      <w:r>
        <w:rPr>
          <w:rFonts w:ascii="Calibri" w:hAnsi="Calibri"/>
          <w:sz w:val="24"/>
          <w:szCs w:val="24"/>
        </w:rPr>
        <w:t xml:space="preserve">: </w:t>
      </w:r>
      <w:r w:rsidRPr="00B97F37">
        <w:rPr>
          <w:rFonts w:ascii="Calibri" w:hAnsi="Calibri"/>
          <w:i/>
          <w:sz w:val="24"/>
          <w:szCs w:val="24"/>
        </w:rPr>
        <w:t>See</w:t>
      </w:r>
      <w:r>
        <w:rPr>
          <w:rFonts w:ascii="Calibri" w:hAnsi="Calibri"/>
          <w:sz w:val="24"/>
          <w:szCs w:val="24"/>
        </w:rPr>
        <w:t xml:space="preserve"> </w:t>
      </w:r>
      <w:r w:rsidRPr="00B41584">
        <w:rPr>
          <w:rFonts w:ascii="Calibri" w:hAnsi="Calibri"/>
          <w:sz w:val="24"/>
          <w:szCs w:val="24"/>
        </w:rPr>
        <w:t>Human Rights and Equal Opportunity Commission</w:t>
      </w:r>
    </w:p>
    <w:p w:rsidR="00554BB2" w:rsidRDefault="00554BB2" w:rsidP="00554BB2">
      <w:pPr>
        <w:tabs>
          <w:tab w:val="left" w:pos="2410"/>
        </w:tabs>
        <w:spacing w:after="200"/>
        <w:rPr>
          <w:rFonts w:ascii="Calibri" w:hAnsi="Calibri"/>
          <w:sz w:val="24"/>
          <w:szCs w:val="24"/>
        </w:rPr>
      </w:pPr>
      <w:r w:rsidRPr="00B41584">
        <w:rPr>
          <w:rFonts w:ascii="Calibri" w:hAnsi="Calibri"/>
          <w:sz w:val="24"/>
          <w:szCs w:val="24"/>
        </w:rPr>
        <w:t>SCRGSP</w:t>
      </w:r>
      <w:r>
        <w:rPr>
          <w:rFonts w:ascii="Calibri" w:hAnsi="Calibri"/>
          <w:sz w:val="24"/>
          <w:szCs w:val="24"/>
        </w:rPr>
        <w:t xml:space="preserve">: </w:t>
      </w:r>
      <w:r w:rsidRPr="00B97F37">
        <w:rPr>
          <w:rFonts w:ascii="Calibri" w:hAnsi="Calibri"/>
          <w:i/>
          <w:sz w:val="24"/>
          <w:szCs w:val="24"/>
        </w:rPr>
        <w:t>See</w:t>
      </w:r>
      <w:r w:rsidRPr="00B41584">
        <w:rPr>
          <w:rFonts w:ascii="Calibri" w:hAnsi="Calibri"/>
          <w:sz w:val="24"/>
          <w:szCs w:val="24"/>
        </w:rPr>
        <w:t xml:space="preserve"> Steering Committee for the Review of Government Service Provision </w:t>
      </w:r>
    </w:p>
    <w:p w:rsidR="00554BB2" w:rsidRDefault="00554BB2" w:rsidP="00554BB2">
      <w:pPr>
        <w:tabs>
          <w:tab w:val="left" w:pos="2410"/>
        </w:tabs>
        <w:spacing w:after="200"/>
        <w:rPr>
          <w:rFonts w:ascii="Calibri" w:hAnsi="Calibri"/>
          <w:sz w:val="24"/>
          <w:szCs w:val="24"/>
        </w:rPr>
      </w:pPr>
      <w:proofErr w:type="gramStart"/>
      <w:r>
        <w:rPr>
          <w:rFonts w:ascii="Calibri" w:hAnsi="Calibri"/>
          <w:sz w:val="24"/>
          <w:szCs w:val="24"/>
        </w:rPr>
        <w:t xml:space="preserve">Australian Bureau of Statistics (ABS) 2010, </w:t>
      </w:r>
      <w:r w:rsidRPr="00066E58">
        <w:rPr>
          <w:rFonts w:ascii="Calibri" w:hAnsi="Calibri"/>
          <w:i/>
          <w:sz w:val="24"/>
          <w:szCs w:val="24"/>
        </w:rPr>
        <w:t>Australian Social Trends, Who’s afraid?</w:t>
      </w:r>
      <w:proofErr w:type="gramEnd"/>
      <w:r w:rsidRPr="00066E58">
        <w:rPr>
          <w:rFonts w:ascii="Calibri" w:hAnsi="Calibri"/>
          <w:i/>
          <w:sz w:val="24"/>
          <w:szCs w:val="24"/>
        </w:rPr>
        <w:t xml:space="preserve"> Feelings of personal safety</w:t>
      </w:r>
      <w:r w:rsidRPr="00066E58">
        <w:rPr>
          <w:rFonts w:ascii="Calibri" w:hAnsi="Calibri"/>
          <w:sz w:val="24"/>
          <w:szCs w:val="24"/>
        </w:rPr>
        <w:t>, c</w:t>
      </w:r>
      <w:r>
        <w:rPr>
          <w:rFonts w:ascii="Calibri" w:hAnsi="Calibri"/>
          <w:sz w:val="24"/>
          <w:szCs w:val="24"/>
        </w:rPr>
        <w:t xml:space="preserve">at. </w:t>
      </w:r>
      <w:proofErr w:type="gramStart"/>
      <w:r>
        <w:rPr>
          <w:rFonts w:ascii="Calibri" w:hAnsi="Calibri"/>
          <w:sz w:val="24"/>
          <w:szCs w:val="24"/>
        </w:rPr>
        <w:t>no</w:t>
      </w:r>
      <w:proofErr w:type="gramEnd"/>
      <w:r>
        <w:rPr>
          <w:rFonts w:ascii="Calibri" w:hAnsi="Calibri"/>
          <w:sz w:val="24"/>
          <w:szCs w:val="24"/>
        </w:rPr>
        <w:t xml:space="preserve">. </w:t>
      </w:r>
      <w:r w:rsidRPr="0040513F">
        <w:rPr>
          <w:rFonts w:ascii="Calibri" w:hAnsi="Calibri"/>
          <w:sz w:val="24"/>
          <w:szCs w:val="24"/>
        </w:rPr>
        <w:t>4102.0</w:t>
      </w:r>
      <w:r>
        <w:rPr>
          <w:rFonts w:ascii="Calibri" w:hAnsi="Calibri"/>
          <w:sz w:val="24"/>
          <w:szCs w:val="24"/>
        </w:rPr>
        <w:t xml:space="preserve">, ABS, Canberra. </w:t>
      </w:r>
    </w:p>
    <w:p w:rsidR="00554BB2" w:rsidRPr="00546DB2" w:rsidRDefault="00554BB2" w:rsidP="00554BB2">
      <w:pPr>
        <w:tabs>
          <w:tab w:val="left" w:pos="2410"/>
        </w:tabs>
        <w:spacing w:after="200"/>
        <w:rPr>
          <w:rFonts w:ascii="Calibri" w:hAnsi="Calibri"/>
          <w:sz w:val="24"/>
          <w:szCs w:val="24"/>
        </w:rPr>
      </w:pPr>
      <w:r>
        <w:rPr>
          <w:rFonts w:ascii="Calibri" w:hAnsi="Calibri"/>
          <w:sz w:val="24"/>
          <w:szCs w:val="24"/>
        </w:rPr>
        <w:t>Australian Bureau of Statistics (ABS)</w:t>
      </w:r>
      <w:r w:rsidRPr="00546DB2">
        <w:rPr>
          <w:rFonts w:ascii="Calibri" w:hAnsi="Calibri"/>
          <w:sz w:val="24"/>
          <w:szCs w:val="24"/>
        </w:rPr>
        <w:t xml:space="preserve"> 2011</w:t>
      </w:r>
      <w:r>
        <w:rPr>
          <w:rFonts w:ascii="Calibri" w:hAnsi="Calibri"/>
          <w:sz w:val="24"/>
          <w:szCs w:val="24"/>
        </w:rPr>
        <w:t>,</w:t>
      </w:r>
      <w:r w:rsidRPr="00546DB2">
        <w:rPr>
          <w:rFonts w:ascii="Calibri" w:hAnsi="Calibri"/>
          <w:sz w:val="24"/>
          <w:szCs w:val="24"/>
        </w:rPr>
        <w:t xml:space="preserve"> </w:t>
      </w:r>
      <w:r w:rsidRPr="00066E58">
        <w:rPr>
          <w:rFonts w:ascii="Calibri" w:hAnsi="Calibri"/>
          <w:i/>
          <w:sz w:val="24"/>
          <w:szCs w:val="24"/>
        </w:rPr>
        <w:t>Household Income and Income Distribution, Australia, 2009–10</w:t>
      </w:r>
      <w:r>
        <w:rPr>
          <w:rFonts w:ascii="Calibri" w:hAnsi="Calibri"/>
          <w:sz w:val="24"/>
          <w:szCs w:val="24"/>
        </w:rPr>
        <w:t>, ca</w:t>
      </w:r>
      <w:r w:rsidRPr="00546DB2">
        <w:rPr>
          <w:rFonts w:ascii="Calibri" w:hAnsi="Calibri"/>
          <w:sz w:val="24"/>
          <w:szCs w:val="24"/>
        </w:rPr>
        <w:t xml:space="preserve">t. </w:t>
      </w:r>
      <w:proofErr w:type="gramStart"/>
      <w:r w:rsidRPr="00546DB2">
        <w:rPr>
          <w:rFonts w:ascii="Calibri" w:hAnsi="Calibri"/>
          <w:sz w:val="24"/>
          <w:szCs w:val="24"/>
        </w:rPr>
        <w:t>no</w:t>
      </w:r>
      <w:proofErr w:type="gramEnd"/>
      <w:r w:rsidRPr="00546DB2">
        <w:rPr>
          <w:rFonts w:ascii="Calibri" w:hAnsi="Calibri"/>
          <w:sz w:val="24"/>
          <w:szCs w:val="24"/>
        </w:rPr>
        <w:t>. 6523.0</w:t>
      </w:r>
      <w:r>
        <w:rPr>
          <w:rFonts w:ascii="Calibri" w:hAnsi="Calibri"/>
          <w:sz w:val="24"/>
          <w:szCs w:val="24"/>
        </w:rPr>
        <w:t>, ABS,</w:t>
      </w:r>
      <w:r w:rsidRPr="00546DB2">
        <w:rPr>
          <w:rFonts w:ascii="Calibri" w:hAnsi="Calibri"/>
          <w:sz w:val="24"/>
          <w:szCs w:val="24"/>
        </w:rPr>
        <w:t xml:space="preserve"> Canberra.</w:t>
      </w:r>
      <w:r w:rsidR="00A43557">
        <w:rPr>
          <w:rFonts w:ascii="Calibri" w:hAnsi="Calibri"/>
          <w:sz w:val="24"/>
          <w:szCs w:val="24"/>
        </w:rPr>
        <w:t xml:space="preserve"> </w:t>
      </w:r>
    </w:p>
    <w:p w:rsidR="00C56651" w:rsidRDefault="00C56651" w:rsidP="00554BB2">
      <w:pPr>
        <w:tabs>
          <w:tab w:val="left" w:pos="2410"/>
        </w:tabs>
        <w:spacing w:after="200"/>
        <w:rPr>
          <w:rFonts w:ascii="Calibri" w:hAnsi="Calibri"/>
          <w:sz w:val="24"/>
          <w:szCs w:val="24"/>
        </w:rPr>
      </w:pPr>
      <w:r>
        <w:rPr>
          <w:rFonts w:ascii="Calibri" w:hAnsi="Calibri"/>
          <w:sz w:val="24"/>
          <w:szCs w:val="24"/>
        </w:rPr>
        <w:t>Australian Bureau of Statistics (ABS)</w:t>
      </w:r>
      <w:r w:rsidRPr="00546DB2">
        <w:rPr>
          <w:rFonts w:ascii="Calibri" w:hAnsi="Calibri"/>
          <w:sz w:val="24"/>
          <w:szCs w:val="24"/>
        </w:rPr>
        <w:t xml:space="preserve"> 201</w:t>
      </w:r>
      <w:r>
        <w:rPr>
          <w:rFonts w:ascii="Calibri" w:hAnsi="Calibri"/>
          <w:sz w:val="24"/>
          <w:szCs w:val="24"/>
        </w:rPr>
        <w:t>3a,</w:t>
      </w:r>
      <w:r w:rsidRPr="00546DB2">
        <w:rPr>
          <w:rFonts w:ascii="Calibri" w:hAnsi="Calibri"/>
          <w:sz w:val="24"/>
          <w:szCs w:val="24"/>
        </w:rPr>
        <w:t xml:space="preserve"> </w:t>
      </w:r>
      <w:r w:rsidRPr="00066E58">
        <w:rPr>
          <w:rFonts w:ascii="Calibri" w:hAnsi="Calibri"/>
          <w:i/>
          <w:sz w:val="24"/>
          <w:szCs w:val="24"/>
        </w:rPr>
        <w:t>Household Income and Income Distribution, Australia, 20</w:t>
      </w:r>
      <w:r>
        <w:rPr>
          <w:rFonts w:ascii="Calibri" w:hAnsi="Calibri"/>
          <w:i/>
          <w:sz w:val="24"/>
          <w:szCs w:val="24"/>
        </w:rPr>
        <w:t>11</w:t>
      </w:r>
      <w:r w:rsidRPr="00066E58">
        <w:rPr>
          <w:rFonts w:ascii="Calibri" w:hAnsi="Calibri"/>
          <w:i/>
          <w:sz w:val="24"/>
          <w:szCs w:val="24"/>
        </w:rPr>
        <w:t>–1</w:t>
      </w:r>
      <w:r>
        <w:rPr>
          <w:rFonts w:ascii="Calibri" w:hAnsi="Calibri"/>
          <w:i/>
          <w:sz w:val="24"/>
          <w:szCs w:val="24"/>
        </w:rPr>
        <w:t>2</w:t>
      </w:r>
      <w:r>
        <w:rPr>
          <w:rFonts w:ascii="Calibri" w:hAnsi="Calibri"/>
          <w:sz w:val="24"/>
          <w:szCs w:val="24"/>
        </w:rPr>
        <w:t>, ca</w:t>
      </w:r>
      <w:r w:rsidRPr="00546DB2">
        <w:rPr>
          <w:rFonts w:ascii="Calibri" w:hAnsi="Calibri"/>
          <w:sz w:val="24"/>
          <w:szCs w:val="24"/>
        </w:rPr>
        <w:t xml:space="preserve">t. </w:t>
      </w:r>
      <w:proofErr w:type="gramStart"/>
      <w:r w:rsidRPr="00546DB2">
        <w:rPr>
          <w:rFonts w:ascii="Calibri" w:hAnsi="Calibri"/>
          <w:sz w:val="24"/>
          <w:szCs w:val="24"/>
        </w:rPr>
        <w:t>no</w:t>
      </w:r>
      <w:proofErr w:type="gramEnd"/>
      <w:r w:rsidRPr="00546DB2">
        <w:rPr>
          <w:rFonts w:ascii="Calibri" w:hAnsi="Calibri"/>
          <w:sz w:val="24"/>
          <w:szCs w:val="24"/>
        </w:rPr>
        <w:t>. 6523.0</w:t>
      </w:r>
      <w:r>
        <w:rPr>
          <w:rFonts w:ascii="Calibri" w:hAnsi="Calibri"/>
          <w:sz w:val="24"/>
          <w:szCs w:val="24"/>
        </w:rPr>
        <w:t>, ABS,</w:t>
      </w:r>
      <w:r w:rsidRPr="00546DB2">
        <w:rPr>
          <w:rFonts w:ascii="Calibri" w:hAnsi="Calibri"/>
          <w:sz w:val="24"/>
          <w:szCs w:val="24"/>
        </w:rPr>
        <w:t xml:space="preserve"> Canberra.</w:t>
      </w:r>
    </w:p>
    <w:p w:rsidR="00554BB2" w:rsidRDefault="00554BB2" w:rsidP="00554BB2">
      <w:pPr>
        <w:tabs>
          <w:tab w:val="left" w:pos="2410"/>
        </w:tabs>
        <w:spacing w:after="200"/>
        <w:rPr>
          <w:rFonts w:ascii="Calibri" w:hAnsi="Calibri"/>
          <w:sz w:val="24"/>
          <w:szCs w:val="24"/>
        </w:rPr>
      </w:pPr>
      <w:r>
        <w:rPr>
          <w:rFonts w:ascii="Calibri" w:hAnsi="Calibri"/>
          <w:sz w:val="24"/>
          <w:szCs w:val="24"/>
        </w:rPr>
        <w:t>Australian Bureau of Statistics (ABS)</w:t>
      </w:r>
      <w:r w:rsidRPr="009263B9">
        <w:rPr>
          <w:rFonts w:ascii="Calibri" w:hAnsi="Calibri"/>
          <w:sz w:val="24"/>
          <w:szCs w:val="24"/>
        </w:rPr>
        <w:t xml:space="preserve"> 2013</w:t>
      </w:r>
      <w:r w:rsidR="00C56651">
        <w:rPr>
          <w:rFonts w:ascii="Calibri" w:hAnsi="Calibri"/>
          <w:sz w:val="24"/>
          <w:szCs w:val="24"/>
        </w:rPr>
        <w:t>b,</w:t>
      </w:r>
      <w:r w:rsidRPr="009263B9">
        <w:rPr>
          <w:rFonts w:ascii="Calibri" w:hAnsi="Calibri"/>
          <w:sz w:val="24"/>
          <w:szCs w:val="24"/>
        </w:rPr>
        <w:t xml:space="preserve"> </w:t>
      </w:r>
      <w:r w:rsidRPr="00066E58">
        <w:rPr>
          <w:rFonts w:ascii="Calibri" w:hAnsi="Calibri"/>
          <w:i/>
          <w:sz w:val="24"/>
          <w:szCs w:val="24"/>
        </w:rPr>
        <w:t>Recorded crime: victims, Australia 2012</w:t>
      </w:r>
      <w:r>
        <w:rPr>
          <w:rFonts w:ascii="Calibri" w:hAnsi="Calibri"/>
          <w:sz w:val="24"/>
          <w:szCs w:val="24"/>
        </w:rPr>
        <w:t>, c</w:t>
      </w:r>
      <w:r w:rsidRPr="009263B9">
        <w:rPr>
          <w:rFonts w:ascii="Calibri" w:hAnsi="Calibri"/>
          <w:sz w:val="24"/>
          <w:szCs w:val="24"/>
        </w:rPr>
        <w:t xml:space="preserve">at. </w:t>
      </w:r>
      <w:proofErr w:type="gramStart"/>
      <w:r w:rsidRPr="009263B9">
        <w:rPr>
          <w:rFonts w:ascii="Calibri" w:hAnsi="Calibri"/>
          <w:sz w:val="24"/>
          <w:szCs w:val="24"/>
        </w:rPr>
        <w:t>no</w:t>
      </w:r>
      <w:proofErr w:type="gramEnd"/>
      <w:r w:rsidRPr="009263B9">
        <w:rPr>
          <w:rFonts w:ascii="Calibri" w:hAnsi="Calibri"/>
          <w:sz w:val="24"/>
          <w:szCs w:val="24"/>
        </w:rPr>
        <w:t>. 4510.0</w:t>
      </w:r>
      <w:r>
        <w:rPr>
          <w:rFonts w:ascii="Calibri" w:hAnsi="Calibri"/>
          <w:sz w:val="24"/>
          <w:szCs w:val="24"/>
        </w:rPr>
        <w:t>, ABS, C</w:t>
      </w:r>
      <w:r w:rsidRPr="009263B9">
        <w:rPr>
          <w:rFonts w:ascii="Calibri" w:hAnsi="Calibri"/>
          <w:sz w:val="24"/>
          <w:szCs w:val="24"/>
        </w:rPr>
        <w:t>anberra.</w:t>
      </w:r>
    </w:p>
    <w:p w:rsidR="00554BB2" w:rsidRDefault="00554BB2" w:rsidP="00554BB2">
      <w:pPr>
        <w:tabs>
          <w:tab w:val="left" w:pos="2410"/>
        </w:tabs>
        <w:spacing w:after="200"/>
        <w:rPr>
          <w:rFonts w:ascii="Calibri" w:hAnsi="Calibri"/>
          <w:sz w:val="24"/>
          <w:szCs w:val="24"/>
        </w:rPr>
      </w:pPr>
      <w:r>
        <w:rPr>
          <w:rFonts w:ascii="Calibri" w:hAnsi="Calibri"/>
          <w:sz w:val="24"/>
          <w:szCs w:val="24"/>
        </w:rPr>
        <w:t xml:space="preserve">Australian Government </w:t>
      </w:r>
      <w:r w:rsidRPr="009A25BF">
        <w:rPr>
          <w:rFonts w:ascii="Calibri" w:hAnsi="Calibri"/>
          <w:sz w:val="24"/>
          <w:szCs w:val="24"/>
        </w:rPr>
        <w:t xml:space="preserve">Department of Education, Employment and Workplace Relations </w:t>
      </w:r>
      <w:r>
        <w:rPr>
          <w:rFonts w:ascii="Calibri" w:hAnsi="Calibri"/>
          <w:sz w:val="24"/>
          <w:szCs w:val="24"/>
        </w:rPr>
        <w:t>(</w:t>
      </w:r>
      <w:r w:rsidRPr="009A25BF">
        <w:rPr>
          <w:rFonts w:ascii="Calibri" w:hAnsi="Calibri"/>
          <w:sz w:val="24"/>
          <w:szCs w:val="24"/>
        </w:rPr>
        <w:t>DEEWR</w:t>
      </w:r>
      <w:r>
        <w:rPr>
          <w:rFonts w:ascii="Calibri" w:hAnsi="Calibri"/>
          <w:sz w:val="24"/>
          <w:szCs w:val="24"/>
        </w:rPr>
        <w:t>)</w:t>
      </w:r>
      <w:r w:rsidRPr="009A25BF">
        <w:rPr>
          <w:rFonts w:ascii="Calibri" w:hAnsi="Calibri"/>
          <w:sz w:val="24"/>
          <w:szCs w:val="24"/>
        </w:rPr>
        <w:t xml:space="preserve"> 2013</w:t>
      </w:r>
      <w:r>
        <w:rPr>
          <w:rFonts w:ascii="Calibri" w:hAnsi="Calibri"/>
          <w:sz w:val="24"/>
          <w:szCs w:val="24"/>
        </w:rPr>
        <w:t>,</w:t>
      </w:r>
      <w:r w:rsidRPr="009A25BF">
        <w:rPr>
          <w:rFonts w:ascii="Calibri" w:hAnsi="Calibri"/>
          <w:sz w:val="24"/>
          <w:szCs w:val="24"/>
        </w:rPr>
        <w:t xml:space="preserve"> </w:t>
      </w:r>
      <w:proofErr w:type="gramStart"/>
      <w:r w:rsidRPr="00DB688E">
        <w:rPr>
          <w:rFonts w:ascii="Calibri" w:hAnsi="Calibri"/>
          <w:i/>
          <w:sz w:val="24"/>
          <w:szCs w:val="24"/>
        </w:rPr>
        <w:t>A</w:t>
      </w:r>
      <w:proofErr w:type="gramEnd"/>
      <w:r w:rsidRPr="00DB688E">
        <w:rPr>
          <w:rFonts w:ascii="Calibri" w:hAnsi="Calibri"/>
          <w:i/>
          <w:sz w:val="24"/>
          <w:szCs w:val="24"/>
        </w:rPr>
        <w:t xml:space="preserve"> snapshot of early childhood development in Australia 2012</w:t>
      </w:r>
      <w:r>
        <w:rPr>
          <w:rFonts w:ascii="Calibri" w:hAnsi="Calibri"/>
          <w:sz w:val="24"/>
          <w:szCs w:val="24"/>
        </w:rPr>
        <w:t xml:space="preserve">, </w:t>
      </w:r>
      <w:r w:rsidRPr="009A25BF">
        <w:rPr>
          <w:rFonts w:ascii="Calibri" w:hAnsi="Calibri"/>
          <w:sz w:val="24"/>
          <w:szCs w:val="24"/>
        </w:rPr>
        <w:t>DEEWR</w:t>
      </w:r>
      <w:r>
        <w:rPr>
          <w:rFonts w:ascii="Calibri" w:hAnsi="Calibri"/>
          <w:sz w:val="24"/>
          <w:szCs w:val="24"/>
        </w:rPr>
        <w:t>, Canberra</w:t>
      </w:r>
      <w:r w:rsidRPr="009A25BF">
        <w:rPr>
          <w:rFonts w:ascii="Calibri" w:hAnsi="Calibri"/>
          <w:sz w:val="24"/>
          <w:szCs w:val="24"/>
        </w:rPr>
        <w:t>.</w:t>
      </w:r>
    </w:p>
    <w:p w:rsidR="00554BB2" w:rsidRDefault="00554BB2" w:rsidP="00554BB2">
      <w:pPr>
        <w:tabs>
          <w:tab w:val="left" w:pos="2410"/>
        </w:tabs>
        <w:spacing w:after="200"/>
        <w:rPr>
          <w:rFonts w:ascii="Calibri" w:hAnsi="Calibri"/>
          <w:sz w:val="24"/>
          <w:szCs w:val="24"/>
        </w:rPr>
      </w:pPr>
      <w:r>
        <w:rPr>
          <w:rFonts w:ascii="Calibri" w:hAnsi="Calibri"/>
          <w:sz w:val="24"/>
          <w:szCs w:val="24"/>
        </w:rPr>
        <w:t xml:space="preserve">Australian Government </w:t>
      </w:r>
      <w:r w:rsidRPr="000F2DCD">
        <w:rPr>
          <w:rFonts w:ascii="Calibri" w:hAnsi="Calibri"/>
          <w:sz w:val="24"/>
          <w:szCs w:val="24"/>
        </w:rPr>
        <w:t xml:space="preserve">Department of Families, Housing, Community Services and Indigenous Affairs </w:t>
      </w:r>
      <w:r>
        <w:rPr>
          <w:rFonts w:ascii="Calibri" w:hAnsi="Calibri"/>
          <w:sz w:val="24"/>
          <w:szCs w:val="24"/>
        </w:rPr>
        <w:t>(</w:t>
      </w:r>
      <w:r w:rsidRPr="00B34D4A">
        <w:rPr>
          <w:rFonts w:ascii="Calibri" w:hAnsi="Calibri"/>
          <w:sz w:val="24"/>
          <w:szCs w:val="24"/>
        </w:rPr>
        <w:t>FaHCSIA</w:t>
      </w:r>
      <w:r>
        <w:rPr>
          <w:rFonts w:ascii="Calibri" w:hAnsi="Calibri"/>
          <w:sz w:val="24"/>
          <w:szCs w:val="24"/>
        </w:rPr>
        <w:t>)</w:t>
      </w:r>
      <w:r w:rsidRPr="00B34D4A">
        <w:rPr>
          <w:rFonts w:ascii="Calibri" w:hAnsi="Calibri"/>
          <w:sz w:val="24"/>
          <w:szCs w:val="24"/>
        </w:rPr>
        <w:t xml:space="preserve"> 2012</w:t>
      </w:r>
      <w:r w:rsidR="0077030B">
        <w:rPr>
          <w:rFonts w:ascii="Calibri" w:hAnsi="Calibri"/>
          <w:sz w:val="24"/>
          <w:szCs w:val="24"/>
        </w:rPr>
        <w:t>a</w:t>
      </w:r>
      <w:r>
        <w:rPr>
          <w:rFonts w:ascii="Calibri" w:hAnsi="Calibri"/>
          <w:sz w:val="24"/>
          <w:szCs w:val="24"/>
        </w:rPr>
        <w:t xml:space="preserve">, </w:t>
      </w:r>
      <w:r w:rsidRPr="000F2DCD">
        <w:rPr>
          <w:rFonts w:ascii="Calibri" w:hAnsi="Calibri"/>
          <w:i/>
          <w:sz w:val="24"/>
          <w:szCs w:val="24"/>
        </w:rPr>
        <w:t>2011–12 annual report: Paving the way</w:t>
      </w:r>
      <w:r>
        <w:rPr>
          <w:rFonts w:ascii="Calibri" w:hAnsi="Calibri"/>
          <w:sz w:val="24"/>
          <w:szCs w:val="24"/>
        </w:rPr>
        <w:t xml:space="preserve">, </w:t>
      </w:r>
      <w:r w:rsidRPr="00B34D4A">
        <w:rPr>
          <w:rFonts w:ascii="Calibri" w:hAnsi="Calibri"/>
          <w:sz w:val="24"/>
          <w:szCs w:val="24"/>
        </w:rPr>
        <w:t>FaHCSIA</w:t>
      </w:r>
      <w:r>
        <w:rPr>
          <w:rFonts w:ascii="Calibri" w:hAnsi="Calibri"/>
          <w:sz w:val="24"/>
          <w:szCs w:val="24"/>
        </w:rPr>
        <w:t>,</w:t>
      </w:r>
      <w:r w:rsidRPr="00B34D4A">
        <w:rPr>
          <w:rFonts w:ascii="Calibri" w:hAnsi="Calibri"/>
          <w:sz w:val="24"/>
          <w:szCs w:val="24"/>
        </w:rPr>
        <w:t xml:space="preserve"> </w:t>
      </w:r>
      <w:r>
        <w:rPr>
          <w:rFonts w:ascii="Calibri" w:hAnsi="Calibri"/>
          <w:sz w:val="24"/>
          <w:szCs w:val="24"/>
        </w:rPr>
        <w:t>Canberra</w:t>
      </w:r>
      <w:r w:rsidRPr="00B34D4A">
        <w:rPr>
          <w:rFonts w:ascii="Calibri" w:hAnsi="Calibri"/>
          <w:sz w:val="24"/>
          <w:szCs w:val="24"/>
        </w:rPr>
        <w:t>.</w:t>
      </w:r>
      <w:r w:rsidR="00A43557">
        <w:rPr>
          <w:rFonts w:ascii="Calibri" w:hAnsi="Calibri"/>
          <w:sz w:val="24"/>
          <w:szCs w:val="24"/>
        </w:rPr>
        <w:t xml:space="preserve"> </w:t>
      </w:r>
    </w:p>
    <w:p w:rsidR="00D45364" w:rsidRDefault="00D45364" w:rsidP="00554BB2">
      <w:pPr>
        <w:tabs>
          <w:tab w:val="left" w:pos="2410"/>
        </w:tabs>
        <w:spacing w:after="200"/>
        <w:rPr>
          <w:rFonts w:ascii="Calibri" w:hAnsi="Calibri"/>
          <w:sz w:val="24"/>
          <w:szCs w:val="24"/>
        </w:rPr>
      </w:pPr>
      <w:proofErr w:type="gramStart"/>
      <w:r w:rsidRPr="00D45364">
        <w:rPr>
          <w:rFonts w:ascii="Calibri" w:hAnsi="Calibri"/>
          <w:sz w:val="24"/>
          <w:szCs w:val="24"/>
        </w:rPr>
        <w:t>Australian Government Department of Families, Housing, Community Services and Indigenous Affairs (FaHCSIA)</w:t>
      </w:r>
      <w:r>
        <w:rPr>
          <w:rFonts w:ascii="Calibri" w:hAnsi="Calibri"/>
          <w:sz w:val="24"/>
          <w:szCs w:val="24"/>
        </w:rPr>
        <w:t xml:space="preserve"> 2012</w:t>
      </w:r>
      <w:r w:rsidR="007C6CB7">
        <w:rPr>
          <w:rFonts w:ascii="Calibri" w:hAnsi="Calibri"/>
          <w:sz w:val="24"/>
          <w:szCs w:val="24"/>
        </w:rPr>
        <w:t>b</w:t>
      </w:r>
      <w:r>
        <w:rPr>
          <w:rFonts w:ascii="Calibri" w:hAnsi="Calibri"/>
          <w:sz w:val="24"/>
          <w:szCs w:val="24"/>
        </w:rPr>
        <w:t xml:space="preserve">, </w:t>
      </w:r>
      <w:r w:rsidRPr="00E00F73">
        <w:rPr>
          <w:rFonts w:ascii="Calibri" w:hAnsi="Calibri"/>
          <w:i/>
          <w:sz w:val="24"/>
          <w:szCs w:val="24"/>
        </w:rPr>
        <w:t>Family Support Program (FSP) 1 July 2011 to 30 June 2012</w:t>
      </w:r>
      <w:r w:rsidR="00E00F73" w:rsidRPr="00E00F73">
        <w:rPr>
          <w:rFonts w:ascii="Calibri" w:hAnsi="Calibri"/>
          <w:sz w:val="24"/>
          <w:szCs w:val="24"/>
        </w:rPr>
        <w:t>, FaHCSIA, Canberra.</w:t>
      </w:r>
      <w:proofErr w:type="gramEnd"/>
      <w:r w:rsidRPr="00E00F73">
        <w:rPr>
          <w:rFonts w:ascii="Calibri" w:hAnsi="Calibri"/>
          <w:sz w:val="24"/>
          <w:szCs w:val="24"/>
        </w:rPr>
        <w:t xml:space="preserve"> </w:t>
      </w:r>
    </w:p>
    <w:p w:rsidR="00254044" w:rsidRDefault="00254044" w:rsidP="00554BB2">
      <w:pPr>
        <w:tabs>
          <w:tab w:val="left" w:pos="2410"/>
        </w:tabs>
        <w:spacing w:after="200"/>
        <w:rPr>
          <w:rFonts w:ascii="Calibri" w:hAnsi="Calibri"/>
          <w:sz w:val="24"/>
          <w:szCs w:val="24"/>
        </w:rPr>
      </w:pPr>
      <w:r w:rsidRPr="00254044">
        <w:rPr>
          <w:rFonts w:ascii="Calibri" w:hAnsi="Calibri"/>
          <w:sz w:val="24"/>
          <w:szCs w:val="24"/>
        </w:rPr>
        <w:t xml:space="preserve">Australian Government Department of Families, Housing, Community Services and Indigenous Affairs (FaHCSIA) 2013, </w:t>
      </w:r>
      <w:r w:rsidRPr="006E33FF">
        <w:rPr>
          <w:rFonts w:ascii="Calibri" w:hAnsi="Calibri"/>
          <w:i/>
          <w:sz w:val="24"/>
          <w:szCs w:val="24"/>
        </w:rPr>
        <w:t>Protecting Children is Everyone’s Business, National Framework for Protecting Australia’s Children 2009–2020: Annual Report to the Council of Australian Governments 2011–12</w:t>
      </w:r>
      <w:r w:rsidRPr="00254044">
        <w:rPr>
          <w:rFonts w:ascii="Calibri" w:hAnsi="Calibri"/>
          <w:sz w:val="24"/>
          <w:szCs w:val="24"/>
        </w:rPr>
        <w:t xml:space="preserve">, FaHCSIA, </w:t>
      </w:r>
      <w:proofErr w:type="gramStart"/>
      <w:r w:rsidRPr="00254044">
        <w:rPr>
          <w:rFonts w:ascii="Calibri" w:hAnsi="Calibri"/>
          <w:sz w:val="24"/>
          <w:szCs w:val="24"/>
        </w:rPr>
        <w:t>Canberra</w:t>
      </w:r>
      <w:proofErr w:type="gramEnd"/>
      <w:r w:rsidRPr="00254044">
        <w:rPr>
          <w:rFonts w:ascii="Calibri" w:hAnsi="Calibri"/>
          <w:sz w:val="24"/>
          <w:szCs w:val="24"/>
        </w:rPr>
        <w:t>.</w:t>
      </w:r>
    </w:p>
    <w:p w:rsidR="00554BB2" w:rsidRPr="00821556" w:rsidRDefault="00554BB2" w:rsidP="00554BB2">
      <w:pPr>
        <w:tabs>
          <w:tab w:val="left" w:pos="2410"/>
        </w:tabs>
        <w:spacing w:after="200"/>
        <w:rPr>
          <w:rFonts w:ascii="Calibri" w:hAnsi="Calibri"/>
          <w:sz w:val="24"/>
          <w:szCs w:val="24"/>
        </w:rPr>
      </w:pPr>
      <w:r w:rsidRPr="00821556">
        <w:rPr>
          <w:rFonts w:ascii="Calibri" w:hAnsi="Calibri"/>
          <w:sz w:val="24"/>
          <w:szCs w:val="24"/>
        </w:rPr>
        <w:t>Australian Institute of Health and Welfare</w:t>
      </w:r>
      <w:r>
        <w:rPr>
          <w:rFonts w:ascii="Calibri" w:hAnsi="Calibri"/>
          <w:sz w:val="24"/>
          <w:szCs w:val="24"/>
        </w:rPr>
        <w:t xml:space="preserve"> (AIHW</w:t>
      </w:r>
      <w:r w:rsidRPr="00821556">
        <w:rPr>
          <w:rFonts w:ascii="Calibri" w:hAnsi="Calibri"/>
          <w:sz w:val="24"/>
          <w:szCs w:val="24"/>
        </w:rPr>
        <w:t>) 2007</w:t>
      </w:r>
      <w:r>
        <w:rPr>
          <w:rFonts w:ascii="Calibri" w:hAnsi="Calibri"/>
          <w:sz w:val="24"/>
          <w:szCs w:val="24"/>
        </w:rPr>
        <w:t>,</w:t>
      </w:r>
      <w:r w:rsidRPr="00821556">
        <w:rPr>
          <w:rFonts w:ascii="Calibri" w:hAnsi="Calibri"/>
          <w:sz w:val="24"/>
          <w:szCs w:val="24"/>
        </w:rPr>
        <w:t xml:space="preserve"> </w:t>
      </w:r>
      <w:r w:rsidRPr="00053C2D">
        <w:rPr>
          <w:rFonts w:ascii="Calibri" w:hAnsi="Calibri"/>
          <w:i/>
          <w:sz w:val="24"/>
          <w:szCs w:val="24"/>
        </w:rPr>
        <w:t>Educational outcomes of children on guardianship or custody orders: a pilot study</w:t>
      </w:r>
      <w:r>
        <w:rPr>
          <w:rFonts w:ascii="Calibri" w:hAnsi="Calibri"/>
          <w:sz w:val="24"/>
          <w:szCs w:val="24"/>
        </w:rPr>
        <w:t>, Child welfare series no. 42,</w:t>
      </w:r>
      <w:r w:rsidRPr="00821556">
        <w:rPr>
          <w:rFonts w:ascii="Calibri" w:hAnsi="Calibri"/>
          <w:sz w:val="24"/>
          <w:szCs w:val="24"/>
        </w:rPr>
        <w:t xml:space="preserve"> </w:t>
      </w:r>
      <w:r>
        <w:rPr>
          <w:rFonts w:ascii="Calibri" w:hAnsi="Calibri"/>
          <w:sz w:val="24"/>
          <w:szCs w:val="24"/>
        </w:rPr>
        <w:t>c</w:t>
      </w:r>
      <w:r w:rsidRPr="00821556">
        <w:rPr>
          <w:rFonts w:ascii="Calibri" w:hAnsi="Calibri"/>
          <w:sz w:val="24"/>
          <w:szCs w:val="24"/>
        </w:rPr>
        <w:t xml:space="preserve">at. </w:t>
      </w:r>
      <w:proofErr w:type="gramStart"/>
      <w:r w:rsidRPr="00821556">
        <w:rPr>
          <w:rFonts w:ascii="Calibri" w:hAnsi="Calibri"/>
          <w:sz w:val="24"/>
          <w:szCs w:val="24"/>
        </w:rPr>
        <w:t>no</w:t>
      </w:r>
      <w:proofErr w:type="gramEnd"/>
      <w:r w:rsidRPr="00821556">
        <w:rPr>
          <w:rFonts w:ascii="Calibri" w:hAnsi="Calibri"/>
          <w:sz w:val="24"/>
          <w:szCs w:val="24"/>
        </w:rPr>
        <w:t>. CWS 30</w:t>
      </w:r>
      <w:r>
        <w:rPr>
          <w:rFonts w:ascii="Calibri" w:hAnsi="Calibri"/>
          <w:sz w:val="24"/>
          <w:szCs w:val="24"/>
        </w:rPr>
        <w:t>, AIHW,</w:t>
      </w:r>
      <w:r w:rsidRPr="00821556">
        <w:rPr>
          <w:rFonts w:ascii="Calibri" w:hAnsi="Calibri"/>
          <w:sz w:val="24"/>
          <w:szCs w:val="24"/>
        </w:rPr>
        <w:t xml:space="preserve"> Canberra.</w:t>
      </w:r>
    </w:p>
    <w:p w:rsidR="00554BB2" w:rsidRDefault="00554BB2" w:rsidP="00554BB2">
      <w:pPr>
        <w:tabs>
          <w:tab w:val="left" w:pos="2410"/>
        </w:tabs>
        <w:spacing w:after="200"/>
        <w:rPr>
          <w:rFonts w:ascii="Calibri" w:hAnsi="Calibri"/>
          <w:sz w:val="24"/>
          <w:szCs w:val="24"/>
        </w:rPr>
      </w:pPr>
      <w:r w:rsidRPr="00134903">
        <w:rPr>
          <w:rFonts w:ascii="Calibri" w:hAnsi="Calibri"/>
          <w:sz w:val="24"/>
          <w:szCs w:val="24"/>
        </w:rPr>
        <w:t xml:space="preserve">Australian Institute of Health and Welfare </w:t>
      </w:r>
      <w:r>
        <w:rPr>
          <w:rFonts w:ascii="Calibri" w:hAnsi="Calibri"/>
          <w:sz w:val="24"/>
          <w:szCs w:val="24"/>
        </w:rPr>
        <w:t>(</w:t>
      </w:r>
      <w:r w:rsidRPr="00134903">
        <w:rPr>
          <w:rFonts w:ascii="Calibri" w:hAnsi="Calibri"/>
          <w:sz w:val="24"/>
          <w:szCs w:val="24"/>
        </w:rPr>
        <w:t>AIHW) 2008</w:t>
      </w:r>
      <w:r>
        <w:rPr>
          <w:rFonts w:ascii="Calibri" w:hAnsi="Calibri"/>
          <w:sz w:val="24"/>
          <w:szCs w:val="24"/>
        </w:rPr>
        <w:t xml:space="preserve">, </w:t>
      </w:r>
      <w:r w:rsidRPr="00066E58">
        <w:rPr>
          <w:rFonts w:ascii="Calibri" w:hAnsi="Calibri"/>
          <w:i/>
          <w:sz w:val="24"/>
          <w:szCs w:val="24"/>
        </w:rPr>
        <w:t>Technical paper on operational definitions and data issues for key national indicators of children's health, development and wellbeing</w:t>
      </w:r>
      <w:r>
        <w:rPr>
          <w:rFonts w:ascii="Calibri" w:hAnsi="Calibri"/>
          <w:sz w:val="24"/>
          <w:szCs w:val="24"/>
        </w:rPr>
        <w:t>, c</w:t>
      </w:r>
      <w:r w:rsidRPr="00134903">
        <w:rPr>
          <w:rFonts w:ascii="Calibri" w:hAnsi="Calibri"/>
          <w:sz w:val="24"/>
          <w:szCs w:val="24"/>
        </w:rPr>
        <w:t xml:space="preserve">at. </w:t>
      </w:r>
      <w:proofErr w:type="gramStart"/>
      <w:r w:rsidRPr="00134903">
        <w:rPr>
          <w:rFonts w:ascii="Calibri" w:hAnsi="Calibri"/>
          <w:sz w:val="24"/>
          <w:szCs w:val="24"/>
        </w:rPr>
        <w:t>no</w:t>
      </w:r>
      <w:proofErr w:type="gramEnd"/>
      <w:r w:rsidRPr="00134903">
        <w:rPr>
          <w:rFonts w:ascii="Calibri" w:hAnsi="Calibri"/>
          <w:sz w:val="24"/>
          <w:szCs w:val="24"/>
        </w:rPr>
        <w:t>. WP 59</w:t>
      </w:r>
      <w:r>
        <w:rPr>
          <w:rFonts w:ascii="Calibri" w:hAnsi="Calibri"/>
          <w:sz w:val="24"/>
          <w:szCs w:val="24"/>
        </w:rPr>
        <w:t xml:space="preserve">, AIHW, </w:t>
      </w:r>
      <w:r w:rsidRPr="00134903">
        <w:rPr>
          <w:rFonts w:ascii="Calibri" w:hAnsi="Calibri"/>
          <w:sz w:val="24"/>
          <w:szCs w:val="24"/>
        </w:rPr>
        <w:t>Canberra.</w:t>
      </w:r>
    </w:p>
    <w:p w:rsidR="00554BB2" w:rsidRDefault="00554BB2" w:rsidP="00554BB2">
      <w:pPr>
        <w:tabs>
          <w:tab w:val="left" w:pos="2410"/>
        </w:tabs>
        <w:spacing w:after="200"/>
        <w:rPr>
          <w:rFonts w:ascii="Calibri" w:hAnsi="Calibri"/>
          <w:sz w:val="24"/>
          <w:szCs w:val="24"/>
        </w:rPr>
      </w:pPr>
      <w:r w:rsidRPr="009A25BF">
        <w:rPr>
          <w:rFonts w:ascii="Calibri" w:hAnsi="Calibri"/>
          <w:sz w:val="24"/>
          <w:szCs w:val="24"/>
        </w:rPr>
        <w:lastRenderedPageBreak/>
        <w:t>Australian Institute of Health and Welfare (AIHW) 2011</w:t>
      </w:r>
      <w:r>
        <w:rPr>
          <w:rFonts w:ascii="Calibri" w:hAnsi="Calibri"/>
          <w:sz w:val="24"/>
          <w:szCs w:val="24"/>
        </w:rPr>
        <w:t>a</w:t>
      </w:r>
      <w:r w:rsidRPr="009A25BF">
        <w:rPr>
          <w:rFonts w:ascii="Calibri" w:hAnsi="Calibri"/>
          <w:sz w:val="24"/>
          <w:szCs w:val="24"/>
        </w:rPr>
        <w:t xml:space="preserve">, </w:t>
      </w:r>
      <w:r w:rsidRPr="00066E58">
        <w:rPr>
          <w:rFonts w:ascii="Calibri" w:hAnsi="Calibri"/>
          <w:i/>
          <w:sz w:val="24"/>
          <w:szCs w:val="24"/>
        </w:rPr>
        <w:t>Headline Indicators for children’s health, development and wellbeing 2011</w:t>
      </w:r>
      <w:r w:rsidRPr="009A25BF">
        <w:rPr>
          <w:rFonts w:ascii="Calibri" w:hAnsi="Calibri"/>
          <w:sz w:val="24"/>
          <w:szCs w:val="24"/>
        </w:rPr>
        <w:t xml:space="preserve">, cat. </w:t>
      </w:r>
      <w:proofErr w:type="gramStart"/>
      <w:r w:rsidRPr="009A25BF">
        <w:rPr>
          <w:rFonts w:ascii="Calibri" w:hAnsi="Calibri"/>
          <w:sz w:val="24"/>
          <w:szCs w:val="24"/>
        </w:rPr>
        <w:t>no</w:t>
      </w:r>
      <w:proofErr w:type="gramEnd"/>
      <w:r w:rsidRPr="009A25BF">
        <w:rPr>
          <w:rFonts w:ascii="Calibri" w:hAnsi="Calibri"/>
          <w:sz w:val="24"/>
          <w:szCs w:val="24"/>
        </w:rPr>
        <w:t>. PHE 144, AIHW, Canberra.</w:t>
      </w:r>
    </w:p>
    <w:p w:rsidR="00554BB2" w:rsidRDefault="00554BB2" w:rsidP="00554BB2">
      <w:pPr>
        <w:tabs>
          <w:tab w:val="left" w:pos="2410"/>
        </w:tabs>
        <w:spacing w:after="200"/>
        <w:rPr>
          <w:rFonts w:ascii="Calibri" w:hAnsi="Calibri"/>
          <w:sz w:val="24"/>
          <w:szCs w:val="24"/>
        </w:rPr>
      </w:pPr>
      <w:r w:rsidRPr="00821556">
        <w:rPr>
          <w:rFonts w:ascii="Calibri" w:hAnsi="Calibri"/>
          <w:sz w:val="24"/>
          <w:szCs w:val="24"/>
        </w:rPr>
        <w:t>Australian Institute of Health and Welfare</w:t>
      </w:r>
      <w:r>
        <w:rPr>
          <w:rFonts w:ascii="Calibri" w:hAnsi="Calibri"/>
          <w:sz w:val="24"/>
          <w:szCs w:val="24"/>
        </w:rPr>
        <w:t xml:space="preserve"> (AIHW</w:t>
      </w:r>
      <w:r w:rsidRPr="00821556">
        <w:rPr>
          <w:rFonts w:ascii="Calibri" w:hAnsi="Calibri"/>
          <w:sz w:val="24"/>
          <w:szCs w:val="24"/>
        </w:rPr>
        <w:t>)</w:t>
      </w:r>
      <w:r w:rsidRPr="00335A2C">
        <w:rPr>
          <w:rFonts w:ascii="Calibri" w:hAnsi="Calibri"/>
          <w:sz w:val="24"/>
          <w:szCs w:val="24"/>
        </w:rPr>
        <w:t xml:space="preserve"> 2011</w:t>
      </w:r>
      <w:r>
        <w:rPr>
          <w:rFonts w:ascii="Calibri" w:hAnsi="Calibri"/>
          <w:sz w:val="24"/>
          <w:szCs w:val="24"/>
        </w:rPr>
        <w:t>b,</w:t>
      </w:r>
      <w:r w:rsidRPr="00335A2C">
        <w:rPr>
          <w:rFonts w:ascii="Calibri" w:hAnsi="Calibri"/>
          <w:sz w:val="24"/>
          <w:szCs w:val="24"/>
        </w:rPr>
        <w:t xml:space="preserve"> </w:t>
      </w:r>
      <w:r w:rsidRPr="00335A2C">
        <w:rPr>
          <w:rFonts w:ascii="Calibri" w:hAnsi="Calibri"/>
          <w:i/>
          <w:sz w:val="24"/>
          <w:szCs w:val="24"/>
        </w:rPr>
        <w:t>2010 National Drug Strategy Household Survey report</w:t>
      </w:r>
      <w:r>
        <w:rPr>
          <w:rFonts w:ascii="Calibri" w:hAnsi="Calibri"/>
          <w:i/>
          <w:sz w:val="24"/>
          <w:szCs w:val="24"/>
        </w:rPr>
        <w:t>,</w:t>
      </w:r>
      <w:r w:rsidRPr="00335A2C">
        <w:rPr>
          <w:rFonts w:ascii="Calibri" w:hAnsi="Calibri"/>
          <w:sz w:val="24"/>
          <w:szCs w:val="24"/>
        </w:rPr>
        <w:t xml:space="preserve"> Drug statistics series no. 25</w:t>
      </w:r>
      <w:r>
        <w:rPr>
          <w:rFonts w:ascii="Calibri" w:hAnsi="Calibri"/>
          <w:sz w:val="24"/>
          <w:szCs w:val="24"/>
        </w:rPr>
        <w:t>, c</w:t>
      </w:r>
      <w:r w:rsidRPr="00335A2C">
        <w:rPr>
          <w:rFonts w:ascii="Calibri" w:hAnsi="Calibri"/>
          <w:sz w:val="24"/>
          <w:szCs w:val="24"/>
        </w:rPr>
        <w:t xml:space="preserve">at. </w:t>
      </w:r>
      <w:proofErr w:type="gramStart"/>
      <w:r w:rsidRPr="00335A2C">
        <w:rPr>
          <w:rFonts w:ascii="Calibri" w:hAnsi="Calibri"/>
          <w:sz w:val="24"/>
          <w:szCs w:val="24"/>
        </w:rPr>
        <w:t>no</w:t>
      </w:r>
      <w:proofErr w:type="gramEnd"/>
      <w:r w:rsidRPr="00335A2C">
        <w:rPr>
          <w:rFonts w:ascii="Calibri" w:hAnsi="Calibri"/>
          <w:sz w:val="24"/>
          <w:szCs w:val="24"/>
        </w:rPr>
        <w:t>. PHE 145</w:t>
      </w:r>
      <w:r>
        <w:rPr>
          <w:rFonts w:ascii="Calibri" w:hAnsi="Calibri"/>
          <w:sz w:val="24"/>
          <w:szCs w:val="24"/>
        </w:rPr>
        <w:t>, AIHW,</w:t>
      </w:r>
      <w:r w:rsidRPr="00335A2C">
        <w:rPr>
          <w:rFonts w:ascii="Calibri" w:hAnsi="Calibri"/>
          <w:sz w:val="24"/>
          <w:szCs w:val="24"/>
        </w:rPr>
        <w:t xml:space="preserve"> Canberra.</w:t>
      </w:r>
    </w:p>
    <w:p w:rsidR="00554BB2" w:rsidRDefault="00554BB2" w:rsidP="00554BB2">
      <w:pPr>
        <w:tabs>
          <w:tab w:val="left" w:pos="2410"/>
        </w:tabs>
        <w:spacing w:after="200"/>
        <w:rPr>
          <w:rFonts w:ascii="Calibri" w:hAnsi="Calibri"/>
          <w:sz w:val="24"/>
          <w:szCs w:val="24"/>
        </w:rPr>
      </w:pPr>
      <w:r w:rsidRPr="004E77A1">
        <w:rPr>
          <w:rFonts w:ascii="Calibri" w:hAnsi="Calibri"/>
          <w:sz w:val="24"/>
          <w:szCs w:val="24"/>
        </w:rPr>
        <w:t>Australian Institute of Health and Welfare (AIHW) 2011</w:t>
      </w:r>
      <w:r>
        <w:rPr>
          <w:rFonts w:ascii="Calibri" w:hAnsi="Calibri"/>
          <w:sz w:val="24"/>
          <w:szCs w:val="24"/>
        </w:rPr>
        <w:t>c</w:t>
      </w:r>
      <w:r w:rsidRPr="004E77A1">
        <w:rPr>
          <w:rFonts w:ascii="Calibri" w:hAnsi="Calibri"/>
          <w:sz w:val="24"/>
          <w:szCs w:val="24"/>
        </w:rPr>
        <w:t xml:space="preserve">, </w:t>
      </w:r>
      <w:r w:rsidRPr="00066E58">
        <w:rPr>
          <w:rFonts w:ascii="Calibri" w:hAnsi="Calibri"/>
          <w:i/>
          <w:sz w:val="24"/>
          <w:szCs w:val="24"/>
        </w:rPr>
        <w:t>Educational outcomes of children under guardianship or custody orders: a pilot study, Stage 2</w:t>
      </w:r>
      <w:r w:rsidRPr="004E77A1">
        <w:rPr>
          <w:rFonts w:ascii="Calibri" w:hAnsi="Calibri"/>
          <w:sz w:val="24"/>
          <w:szCs w:val="24"/>
        </w:rPr>
        <w:t xml:space="preserve">, Child welfare series no. 49, cat. </w:t>
      </w:r>
      <w:proofErr w:type="gramStart"/>
      <w:r w:rsidRPr="004E77A1">
        <w:rPr>
          <w:rFonts w:ascii="Calibri" w:hAnsi="Calibri"/>
          <w:sz w:val="24"/>
          <w:szCs w:val="24"/>
        </w:rPr>
        <w:t>no</w:t>
      </w:r>
      <w:proofErr w:type="gramEnd"/>
      <w:r w:rsidRPr="004E77A1">
        <w:rPr>
          <w:rFonts w:ascii="Calibri" w:hAnsi="Calibri"/>
          <w:sz w:val="24"/>
          <w:szCs w:val="24"/>
        </w:rPr>
        <w:t>. CWS 37, AIHW, Canberra.</w:t>
      </w:r>
    </w:p>
    <w:p w:rsidR="00554BB2" w:rsidRDefault="00554BB2" w:rsidP="00554BB2">
      <w:pPr>
        <w:tabs>
          <w:tab w:val="left" w:pos="2410"/>
        </w:tabs>
        <w:spacing w:after="200"/>
        <w:rPr>
          <w:rFonts w:ascii="Calibri" w:hAnsi="Calibri"/>
          <w:sz w:val="24"/>
          <w:szCs w:val="24"/>
        </w:rPr>
      </w:pPr>
      <w:r w:rsidRPr="00821556">
        <w:rPr>
          <w:rFonts w:ascii="Calibri" w:hAnsi="Calibri"/>
          <w:sz w:val="24"/>
          <w:szCs w:val="24"/>
        </w:rPr>
        <w:t>Australian Institute of Health and Welfare</w:t>
      </w:r>
      <w:r>
        <w:rPr>
          <w:rFonts w:ascii="Calibri" w:hAnsi="Calibri"/>
          <w:sz w:val="24"/>
          <w:szCs w:val="24"/>
        </w:rPr>
        <w:t xml:space="preserve"> (AIHW</w:t>
      </w:r>
      <w:r w:rsidRPr="00821556">
        <w:rPr>
          <w:rFonts w:ascii="Calibri" w:hAnsi="Calibri"/>
          <w:sz w:val="24"/>
          <w:szCs w:val="24"/>
        </w:rPr>
        <w:t xml:space="preserve">) </w:t>
      </w:r>
      <w:r w:rsidRPr="00BD1FBD">
        <w:rPr>
          <w:rFonts w:ascii="Calibri" w:hAnsi="Calibri"/>
          <w:sz w:val="24"/>
          <w:szCs w:val="24"/>
        </w:rPr>
        <w:t>2012</w:t>
      </w:r>
      <w:r>
        <w:rPr>
          <w:rFonts w:ascii="Calibri" w:hAnsi="Calibri"/>
          <w:sz w:val="24"/>
          <w:szCs w:val="24"/>
        </w:rPr>
        <w:t>a,</w:t>
      </w:r>
      <w:r w:rsidRPr="00821556">
        <w:rPr>
          <w:rFonts w:ascii="Calibri" w:hAnsi="Calibri"/>
          <w:sz w:val="24"/>
          <w:szCs w:val="24"/>
        </w:rPr>
        <w:t xml:space="preserve"> </w:t>
      </w:r>
      <w:r w:rsidRPr="00053C2D">
        <w:rPr>
          <w:rFonts w:ascii="Calibri" w:hAnsi="Calibri"/>
          <w:i/>
          <w:sz w:val="24"/>
          <w:szCs w:val="24"/>
        </w:rPr>
        <w:t>A Picture of Australia’s children 2012</w:t>
      </w:r>
      <w:r>
        <w:rPr>
          <w:rFonts w:ascii="Calibri" w:hAnsi="Calibri"/>
          <w:i/>
          <w:sz w:val="24"/>
          <w:szCs w:val="24"/>
        </w:rPr>
        <w:t>,</w:t>
      </w:r>
      <w:r w:rsidRPr="00821556">
        <w:rPr>
          <w:rFonts w:ascii="Calibri" w:hAnsi="Calibri"/>
          <w:sz w:val="24"/>
          <w:szCs w:val="24"/>
        </w:rPr>
        <w:t xml:space="preserve"> </w:t>
      </w:r>
      <w:r>
        <w:rPr>
          <w:rFonts w:ascii="Calibri" w:hAnsi="Calibri"/>
          <w:sz w:val="24"/>
          <w:szCs w:val="24"/>
        </w:rPr>
        <w:t>c</w:t>
      </w:r>
      <w:r w:rsidRPr="00821556">
        <w:rPr>
          <w:rFonts w:ascii="Calibri" w:hAnsi="Calibri"/>
          <w:sz w:val="24"/>
          <w:szCs w:val="24"/>
        </w:rPr>
        <w:t xml:space="preserve">at. </w:t>
      </w:r>
      <w:proofErr w:type="gramStart"/>
      <w:r w:rsidRPr="00821556">
        <w:rPr>
          <w:rFonts w:ascii="Calibri" w:hAnsi="Calibri"/>
          <w:sz w:val="24"/>
          <w:szCs w:val="24"/>
        </w:rPr>
        <w:t>no</w:t>
      </w:r>
      <w:proofErr w:type="gramEnd"/>
      <w:r w:rsidRPr="00821556">
        <w:rPr>
          <w:rFonts w:ascii="Calibri" w:hAnsi="Calibri"/>
          <w:sz w:val="24"/>
          <w:szCs w:val="24"/>
        </w:rPr>
        <w:t>. PHE 167</w:t>
      </w:r>
      <w:r>
        <w:rPr>
          <w:rFonts w:ascii="Calibri" w:hAnsi="Calibri"/>
          <w:sz w:val="24"/>
          <w:szCs w:val="24"/>
        </w:rPr>
        <w:t>, AIHW,</w:t>
      </w:r>
      <w:r w:rsidRPr="00821556">
        <w:rPr>
          <w:rFonts w:ascii="Calibri" w:hAnsi="Calibri"/>
          <w:sz w:val="24"/>
          <w:szCs w:val="24"/>
        </w:rPr>
        <w:t xml:space="preserve"> Canberra.</w:t>
      </w:r>
    </w:p>
    <w:p w:rsidR="00554BB2" w:rsidRPr="00821556" w:rsidRDefault="00554BB2" w:rsidP="00554BB2">
      <w:pPr>
        <w:tabs>
          <w:tab w:val="left" w:pos="2410"/>
        </w:tabs>
        <w:spacing w:after="200"/>
        <w:rPr>
          <w:rFonts w:ascii="Calibri" w:hAnsi="Calibri"/>
          <w:sz w:val="24"/>
          <w:szCs w:val="24"/>
        </w:rPr>
      </w:pPr>
      <w:r w:rsidRPr="00B11C33">
        <w:rPr>
          <w:rFonts w:ascii="Calibri" w:hAnsi="Calibri"/>
          <w:sz w:val="24"/>
          <w:szCs w:val="24"/>
        </w:rPr>
        <w:t xml:space="preserve">Australian Institute of Health and Welfare </w:t>
      </w:r>
      <w:r>
        <w:rPr>
          <w:rFonts w:ascii="Calibri" w:hAnsi="Calibri"/>
          <w:sz w:val="24"/>
          <w:szCs w:val="24"/>
        </w:rPr>
        <w:t xml:space="preserve">(AIHW) </w:t>
      </w:r>
      <w:r w:rsidRPr="00B11C33">
        <w:rPr>
          <w:rFonts w:ascii="Calibri" w:hAnsi="Calibri"/>
          <w:sz w:val="24"/>
          <w:szCs w:val="24"/>
        </w:rPr>
        <w:t>2012</w:t>
      </w:r>
      <w:r>
        <w:rPr>
          <w:rFonts w:ascii="Calibri" w:hAnsi="Calibri"/>
          <w:sz w:val="24"/>
          <w:szCs w:val="24"/>
        </w:rPr>
        <w:t>b,</w:t>
      </w:r>
      <w:r w:rsidRPr="00B11C33">
        <w:rPr>
          <w:rFonts w:ascii="Calibri" w:hAnsi="Calibri"/>
          <w:sz w:val="24"/>
          <w:szCs w:val="24"/>
        </w:rPr>
        <w:t xml:space="preserve"> </w:t>
      </w:r>
      <w:r w:rsidRPr="0044231C">
        <w:rPr>
          <w:rFonts w:ascii="Calibri" w:hAnsi="Calibri"/>
          <w:i/>
          <w:sz w:val="24"/>
          <w:szCs w:val="24"/>
        </w:rPr>
        <w:t xml:space="preserve">Specialist Homelessness Services </w:t>
      </w:r>
      <w:r>
        <w:rPr>
          <w:rFonts w:ascii="Calibri" w:hAnsi="Calibri"/>
          <w:i/>
          <w:sz w:val="24"/>
          <w:szCs w:val="24"/>
        </w:rPr>
        <w:br/>
      </w:r>
      <w:r w:rsidRPr="0044231C">
        <w:rPr>
          <w:rFonts w:ascii="Calibri" w:hAnsi="Calibri"/>
          <w:i/>
          <w:sz w:val="24"/>
          <w:szCs w:val="24"/>
        </w:rPr>
        <w:t>2011–12</w:t>
      </w:r>
      <w:r>
        <w:rPr>
          <w:rFonts w:ascii="Calibri" w:hAnsi="Calibri"/>
          <w:sz w:val="24"/>
          <w:szCs w:val="24"/>
        </w:rPr>
        <w:t>, c</w:t>
      </w:r>
      <w:r w:rsidRPr="00B11C33">
        <w:rPr>
          <w:rFonts w:ascii="Calibri" w:hAnsi="Calibri"/>
          <w:sz w:val="24"/>
          <w:szCs w:val="24"/>
        </w:rPr>
        <w:t xml:space="preserve">at. </w:t>
      </w:r>
      <w:proofErr w:type="gramStart"/>
      <w:r w:rsidRPr="00B11C33">
        <w:rPr>
          <w:rFonts w:ascii="Calibri" w:hAnsi="Calibri"/>
          <w:sz w:val="24"/>
          <w:szCs w:val="24"/>
        </w:rPr>
        <w:t>no</w:t>
      </w:r>
      <w:proofErr w:type="gramEnd"/>
      <w:r w:rsidRPr="00B11C33">
        <w:rPr>
          <w:rFonts w:ascii="Calibri" w:hAnsi="Calibri"/>
          <w:sz w:val="24"/>
          <w:szCs w:val="24"/>
        </w:rPr>
        <w:t>.</w:t>
      </w:r>
      <w:r>
        <w:rPr>
          <w:rFonts w:ascii="Calibri" w:hAnsi="Calibri"/>
          <w:sz w:val="24"/>
          <w:szCs w:val="24"/>
        </w:rPr>
        <w:t xml:space="preserve"> </w:t>
      </w:r>
      <w:r w:rsidRPr="00B11C33">
        <w:rPr>
          <w:rFonts w:ascii="Calibri" w:hAnsi="Calibri"/>
          <w:sz w:val="24"/>
          <w:szCs w:val="24"/>
        </w:rPr>
        <w:t>HOU 267</w:t>
      </w:r>
      <w:r>
        <w:rPr>
          <w:rFonts w:ascii="Calibri" w:hAnsi="Calibri"/>
          <w:sz w:val="24"/>
          <w:szCs w:val="24"/>
        </w:rPr>
        <w:t xml:space="preserve">, AIHW, </w:t>
      </w:r>
      <w:r w:rsidRPr="00B11C33">
        <w:rPr>
          <w:rFonts w:ascii="Calibri" w:hAnsi="Calibri"/>
          <w:sz w:val="24"/>
          <w:szCs w:val="24"/>
        </w:rPr>
        <w:t>Canberra.</w:t>
      </w:r>
    </w:p>
    <w:p w:rsidR="00554BB2" w:rsidRDefault="00554BB2" w:rsidP="00554BB2">
      <w:pPr>
        <w:tabs>
          <w:tab w:val="left" w:pos="2410"/>
        </w:tabs>
        <w:spacing w:after="200"/>
        <w:rPr>
          <w:rFonts w:ascii="Calibri" w:hAnsi="Calibri"/>
          <w:sz w:val="24"/>
          <w:szCs w:val="24"/>
        </w:rPr>
      </w:pPr>
      <w:r w:rsidRPr="00B11C33">
        <w:rPr>
          <w:rFonts w:ascii="Calibri" w:hAnsi="Calibri"/>
          <w:sz w:val="24"/>
          <w:szCs w:val="24"/>
        </w:rPr>
        <w:t xml:space="preserve">Australian Institute of Health and Welfare </w:t>
      </w:r>
      <w:r>
        <w:rPr>
          <w:rFonts w:ascii="Calibri" w:hAnsi="Calibri"/>
          <w:sz w:val="24"/>
          <w:szCs w:val="24"/>
        </w:rPr>
        <w:t xml:space="preserve">(AIHW) </w:t>
      </w:r>
      <w:r w:rsidRPr="00841313">
        <w:rPr>
          <w:rFonts w:ascii="Calibri" w:hAnsi="Calibri"/>
          <w:sz w:val="24"/>
          <w:szCs w:val="24"/>
        </w:rPr>
        <w:t>2012</w:t>
      </w:r>
      <w:r>
        <w:rPr>
          <w:rFonts w:ascii="Calibri" w:hAnsi="Calibri"/>
          <w:sz w:val="24"/>
          <w:szCs w:val="24"/>
        </w:rPr>
        <w:t xml:space="preserve">c, </w:t>
      </w:r>
      <w:r w:rsidRPr="00066E58">
        <w:rPr>
          <w:rFonts w:ascii="Calibri" w:hAnsi="Calibri"/>
          <w:i/>
          <w:sz w:val="24"/>
          <w:szCs w:val="24"/>
        </w:rPr>
        <w:t>Children and young people at risk of social exclusion: links between homelessness, child protection and juvenile justice</w:t>
      </w:r>
      <w:r>
        <w:rPr>
          <w:rFonts w:ascii="Calibri" w:hAnsi="Calibri"/>
          <w:sz w:val="24"/>
          <w:szCs w:val="24"/>
        </w:rPr>
        <w:t xml:space="preserve">, </w:t>
      </w:r>
      <w:r w:rsidRPr="00841313">
        <w:rPr>
          <w:rFonts w:ascii="Calibri" w:hAnsi="Calibri"/>
          <w:sz w:val="24"/>
          <w:szCs w:val="24"/>
        </w:rPr>
        <w:t>Data linkage series no. 13</w:t>
      </w:r>
      <w:r>
        <w:rPr>
          <w:rFonts w:ascii="Calibri" w:hAnsi="Calibri"/>
          <w:sz w:val="24"/>
          <w:szCs w:val="24"/>
        </w:rPr>
        <w:t>, c</w:t>
      </w:r>
      <w:r w:rsidRPr="00841313">
        <w:rPr>
          <w:rFonts w:ascii="Calibri" w:hAnsi="Calibri"/>
          <w:sz w:val="24"/>
          <w:szCs w:val="24"/>
        </w:rPr>
        <w:t xml:space="preserve">at. </w:t>
      </w:r>
      <w:proofErr w:type="gramStart"/>
      <w:r w:rsidRPr="00841313">
        <w:rPr>
          <w:rFonts w:ascii="Calibri" w:hAnsi="Calibri"/>
          <w:sz w:val="24"/>
          <w:szCs w:val="24"/>
        </w:rPr>
        <w:t>no</w:t>
      </w:r>
      <w:proofErr w:type="gramEnd"/>
      <w:r w:rsidRPr="00841313">
        <w:rPr>
          <w:rFonts w:ascii="Calibri" w:hAnsi="Calibri"/>
          <w:sz w:val="24"/>
          <w:szCs w:val="24"/>
        </w:rPr>
        <w:t>. CSI 13</w:t>
      </w:r>
      <w:r>
        <w:rPr>
          <w:rFonts w:ascii="Calibri" w:hAnsi="Calibri"/>
          <w:sz w:val="24"/>
          <w:szCs w:val="24"/>
        </w:rPr>
        <w:t xml:space="preserve">, AIHW, </w:t>
      </w:r>
      <w:r w:rsidRPr="00841313">
        <w:rPr>
          <w:rFonts w:ascii="Calibri" w:hAnsi="Calibri"/>
          <w:sz w:val="24"/>
          <w:szCs w:val="24"/>
        </w:rPr>
        <w:t>Canberra.</w:t>
      </w:r>
    </w:p>
    <w:p w:rsidR="00345C45" w:rsidRDefault="00345C45" w:rsidP="00554BB2">
      <w:pPr>
        <w:tabs>
          <w:tab w:val="left" w:pos="2410"/>
        </w:tabs>
        <w:spacing w:after="200"/>
        <w:rPr>
          <w:rFonts w:ascii="Calibri" w:hAnsi="Calibri"/>
          <w:sz w:val="24"/>
          <w:szCs w:val="24"/>
        </w:rPr>
      </w:pPr>
      <w:r w:rsidRPr="00644A1E">
        <w:rPr>
          <w:rFonts w:ascii="Calibri" w:hAnsi="Calibri" w:cs="Calibri"/>
          <w:sz w:val="24"/>
          <w:szCs w:val="24"/>
          <w:lang w:val="en-US"/>
        </w:rPr>
        <w:t xml:space="preserve">Australian Institute of Health and Welfare (AIHW) </w:t>
      </w:r>
      <w:r>
        <w:rPr>
          <w:rFonts w:ascii="Calibri" w:hAnsi="Calibri" w:cs="Calibri"/>
          <w:sz w:val="24"/>
          <w:szCs w:val="24"/>
          <w:lang w:val="en-US"/>
        </w:rPr>
        <w:t xml:space="preserve">2012d, </w:t>
      </w:r>
      <w:r w:rsidRPr="00EB3547">
        <w:rPr>
          <w:rFonts w:ascii="Calibri" w:hAnsi="Calibri" w:cs="Calibri"/>
          <w:i/>
          <w:sz w:val="24"/>
          <w:szCs w:val="24"/>
          <w:lang w:val="en-US"/>
        </w:rPr>
        <w:t>Development of an Ongoing Educational Outcomes National Data Collection on the Educational Outcomes of Children in Child Protection Services</w:t>
      </w:r>
      <w:r>
        <w:rPr>
          <w:rFonts w:ascii="Calibri" w:hAnsi="Calibri" w:cs="Calibri"/>
          <w:sz w:val="24"/>
          <w:szCs w:val="24"/>
          <w:lang w:val="en-US"/>
        </w:rPr>
        <w:t>,</w:t>
      </w:r>
      <w:r w:rsidRPr="00644A1E">
        <w:rPr>
          <w:rFonts w:ascii="Calibri" w:hAnsi="Calibri" w:cs="Calibri"/>
          <w:sz w:val="24"/>
          <w:szCs w:val="24"/>
          <w:lang w:val="en-US"/>
        </w:rPr>
        <w:t xml:space="preserve"> </w:t>
      </w:r>
      <w:r>
        <w:rPr>
          <w:rFonts w:ascii="Calibri" w:hAnsi="Calibri" w:cs="Calibri"/>
          <w:sz w:val="24"/>
          <w:szCs w:val="24"/>
          <w:lang w:val="en-US"/>
        </w:rPr>
        <w:t>unpublished report for the National Framework Implementation Working Group.</w:t>
      </w:r>
    </w:p>
    <w:p w:rsidR="00554BB2" w:rsidRDefault="00554BB2" w:rsidP="00554BB2">
      <w:pPr>
        <w:tabs>
          <w:tab w:val="left" w:pos="2410"/>
        </w:tabs>
        <w:spacing w:after="200"/>
        <w:rPr>
          <w:rFonts w:ascii="Calibri" w:hAnsi="Calibri"/>
          <w:sz w:val="24"/>
          <w:szCs w:val="24"/>
        </w:rPr>
      </w:pPr>
      <w:r w:rsidRPr="00821556">
        <w:rPr>
          <w:rFonts w:ascii="Calibri" w:hAnsi="Calibri"/>
          <w:sz w:val="24"/>
          <w:szCs w:val="24"/>
        </w:rPr>
        <w:t>Australian Institute of Health and Welfare</w:t>
      </w:r>
      <w:r>
        <w:rPr>
          <w:rFonts w:ascii="Calibri" w:hAnsi="Calibri"/>
          <w:sz w:val="24"/>
          <w:szCs w:val="24"/>
        </w:rPr>
        <w:t xml:space="preserve"> (AIHW</w:t>
      </w:r>
      <w:r w:rsidRPr="00821556">
        <w:rPr>
          <w:rFonts w:ascii="Calibri" w:hAnsi="Calibri"/>
          <w:sz w:val="24"/>
          <w:szCs w:val="24"/>
        </w:rPr>
        <w:t>)</w:t>
      </w:r>
      <w:r>
        <w:rPr>
          <w:rFonts w:ascii="Calibri" w:hAnsi="Calibri"/>
          <w:sz w:val="24"/>
          <w:szCs w:val="24"/>
        </w:rPr>
        <w:t xml:space="preserve"> 2013a, </w:t>
      </w:r>
      <w:r w:rsidRPr="00053C2D">
        <w:rPr>
          <w:rFonts w:ascii="Calibri" w:hAnsi="Calibri"/>
          <w:i/>
          <w:sz w:val="24"/>
          <w:szCs w:val="24"/>
        </w:rPr>
        <w:t>Child Protection Australia 2011–12</w:t>
      </w:r>
      <w:r>
        <w:rPr>
          <w:rFonts w:ascii="Calibri" w:hAnsi="Calibri"/>
          <w:sz w:val="24"/>
          <w:szCs w:val="24"/>
        </w:rPr>
        <w:t xml:space="preserve">, </w:t>
      </w:r>
      <w:r w:rsidRPr="00821556">
        <w:rPr>
          <w:rFonts w:ascii="Calibri" w:hAnsi="Calibri"/>
          <w:sz w:val="24"/>
          <w:szCs w:val="24"/>
        </w:rPr>
        <w:t>Child welfare series no.</w:t>
      </w:r>
      <w:r>
        <w:rPr>
          <w:rFonts w:ascii="Calibri" w:hAnsi="Calibri"/>
          <w:sz w:val="24"/>
          <w:szCs w:val="24"/>
        </w:rPr>
        <w:t xml:space="preserve"> 55, cat. </w:t>
      </w:r>
      <w:proofErr w:type="gramStart"/>
      <w:r>
        <w:rPr>
          <w:rFonts w:ascii="Calibri" w:hAnsi="Calibri"/>
          <w:sz w:val="24"/>
          <w:szCs w:val="24"/>
        </w:rPr>
        <w:t>no</w:t>
      </w:r>
      <w:proofErr w:type="gramEnd"/>
      <w:r>
        <w:rPr>
          <w:rFonts w:ascii="Calibri" w:hAnsi="Calibri"/>
          <w:sz w:val="24"/>
          <w:szCs w:val="24"/>
        </w:rPr>
        <w:t xml:space="preserve">. CWS 43, AIHW, </w:t>
      </w:r>
      <w:r w:rsidRPr="00821556">
        <w:rPr>
          <w:rFonts w:ascii="Calibri" w:hAnsi="Calibri"/>
          <w:sz w:val="24"/>
          <w:szCs w:val="24"/>
        </w:rPr>
        <w:t>Canberra.</w:t>
      </w:r>
    </w:p>
    <w:p w:rsidR="00554BB2" w:rsidRPr="00821556" w:rsidRDefault="00554BB2" w:rsidP="00554BB2">
      <w:pPr>
        <w:tabs>
          <w:tab w:val="left" w:pos="2410"/>
        </w:tabs>
        <w:spacing w:after="200"/>
        <w:rPr>
          <w:rFonts w:ascii="Calibri" w:hAnsi="Calibri"/>
          <w:sz w:val="24"/>
          <w:szCs w:val="24"/>
        </w:rPr>
      </w:pPr>
      <w:r w:rsidRPr="00821556">
        <w:rPr>
          <w:rFonts w:ascii="Calibri" w:hAnsi="Calibri"/>
          <w:sz w:val="24"/>
          <w:szCs w:val="24"/>
        </w:rPr>
        <w:t>Australian Institute of Health and Welfare</w:t>
      </w:r>
      <w:r>
        <w:rPr>
          <w:rFonts w:ascii="Calibri" w:hAnsi="Calibri"/>
          <w:sz w:val="24"/>
          <w:szCs w:val="24"/>
        </w:rPr>
        <w:t xml:space="preserve"> (AIHW) 2013b,</w:t>
      </w:r>
      <w:r w:rsidRPr="00821556">
        <w:rPr>
          <w:rFonts w:ascii="Calibri" w:hAnsi="Calibri"/>
          <w:sz w:val="24"/>
          <w:szCs w:val="24"/>
        </w:rPr>
        <w:t xml:space="preserve"> </w:t>
      </w:r>
      <w:r w:rsidRPr="00053C2D">
        <w:rPr>
          <w:rFonts w:ascii="Calibri" w:hAnsi="Calibri"/>
          <w:i/>
          <w:sz w:val="24"/>
          <w:szCs w:val="24"/>
        </w:rPr>
        <w:t>Children’s Headline Indicators</w:t>
      </w:r>
      <w:r>
        <w:rPr>
          <w:rFonts w:ascii="Calibri" w:hAnsi="Calibri"/>
          <w:sz w:val="24"/>
          <w:szCs w:val="24"/>
        </w:rPr>
        <w:t>,</w:t>
      </w:r>
      <w:r w:rsidRPr="00821556">
        <w:rPr>
          <w:rFonts w:ascii="Calibri" w:hAnsi="Calibri"/>
          <w:sz w:val="24"/>
          <w:szCs w:val="24"/>
        </w:rPr>
        <w:t xml:space="preserve"> </w:t>
      </w:r>
      <w:r>
        <w:rPr>
          <w:rFonts w:ascii="Calibri" w:hAnsi="Calibri"/>
          <w:sz w:val="24"/>
          <w:szCs w:val="24"/>
        </w:rPr>
        <w:t xml:space="preserve">AIHW, </w:t>
      </w:r>
      <w:r w:rsidRPr="00821556">
        <w:rPr>
          <w:rFonts w:ascii="Calibri" w:hAnsi="Calibri"/>
          <w:sz w:val="24"/>
          <w:szCs w:val="24"/>
        </w:rPr>
        <w:t>Canberra</w:t>
      </w:r>
      <w:r>
        <w:rPr>
          <w:rFonts w:ascii="Calibri" w:hAnsi="Calibri"/>
          <w:sz w:val="24"/>
          <w:szCs w:val="24"/>
        </w:rPr>
        <w:t>, v</w:t>
      </w:r>
      <w:r w:rsidRPr="00821556">
        <w:rPr>
          <w:rFonts w:ascii="Calibri" w:hAnsi="Calibri"/>
          <w:sz w:val="24"/>
          <w:szCs w:val="24"/>
        </w:rPr>
        <w:t xml:space="preserve">iewed </w:t>
      </w:r>
      <w:r>
        <w:rPr>
          <w:rFonts w:ascii="Calibri" w:hAnsi="Calibri"/>
          <w:sz w:val="24"/>
          <w:szCs w:val="24"/>
        </w:rPr>
        <w:t>5 August 2013</w:t>
      </w:r>
      <w:r w:rsidRPr="00821556">
        <w:rPr>
          <w:rFonts w:ascii="Calibri" w:hAnsi="Calibri"/>
          <w:sz w:val="24"/>
          <w:szCs w:val="24"/>
        </w:rPr>
        <w:t>,</w:t>
      </w:r>
      <w:r w:rsidR="009A0121">
        <w:rPr>
          <w:rFonts w:ascii="Calibri" w:hAnsi="Calibri"/>
          <w:sz w:val="24"/>
          <w:szCs w:val="24"/>
        </w:rPr>
        <w:t xml:space="preserve"> at the </w:t>
      </w:r>
      <w:hyperlink r:id="rId40" w:history="1">
        <w:r w:rsidR="009A0121">
          <w:rPr>
            <w:rStyle w:val="Hyperlink"/>
            <w:rFonts w:ascii="Calibri" w:hAnsi="Calibri"/>
            <w:sz w:val="24"/>
            <w:szCs w:val="24"/>
          </w:rPr>
          <w:t>Australian Institute of Health and Welfare</w:t>
        </w:r>
      </w:hyperlink>
      <w:r w:rsidR="009A0121">
        <w:rPr>
          <w:rFonts w:ascii="Calibri" w:hAnsi="Calibri"/>
          <w:sz w:val="24"/>
          <w:szCs w:val="24"/>
        </w:rPr>
        <w:t xml:space="preserve"> website.</w:t>
      </w:r>
    </w:p>
    <w:p w:rsidR="00554BB2" w:rsidRDefault="00554BB2" w:rsidP="00554BB2">
      <w:pPr>
        <w:tabs>
          <w:tab w:val="left" w:pos="2410"/>
        </w:tabs>
        <w:spacing w:after="200"/>
        <w:rPr>
          <w:rFonts w:ascii="Calibri" w:hAnsi="Calibri"/>
          <w:sz w:val="24"/>
          <w:szCs w:val="24"/>
        </w:rPr>
      </w:pPr>
      <w:r w:rsidRPr="00821556">
        <w:rPr>
          <w:rFonts w:ascii="Calibri" w:hAnsi="Calibri"/>
          <w:sz w:val="24"/>
          <w:szCs w:val="24"/>
        </w:rPr>
        <w:t>Australian Institute of Health and Welfare</w:t>
      </w:r>
      <w:r>
        <w:rPr>
          <w:rFonts w:ascii="Calibri" w:hAnsi="Calibri"/>
          <w:sz w:val="24"/>
          <w:szCs w:val="24"/>
        </w:rPr>
        <w:t xml:space="preserve"> (AIHW</w:t>
      </w:r>
      <w:r w:rsidRPr="00821556">
        <w:rPr>
          <w:rFonts w:ascii="Calibri" w:hAnsi="Calibri"/>
          <w:sz w:val="24"/>
          <w:szCs w:val="24"/>
        </w:rPr>
        <w:t>)</w:t>
      </w:r>
      <w:r>
        <w:rPr>
          <w:rFonts w:ascii="Calibri" w:hAnsi="Calibri"/>
          <w:sz w:val="24"/>
          <w:szCs w:val="24"/>
        </w:rPr>
        <w:t xml:space="preserve"> 2013c, </w:t>
      </w:r>
      <w:r w:rsidRPr="000E2B9B">
        <w:rPr>
          <w:rFonts w:ascii="Calibri" w:hAnsi="Calibri"/>
          <w:i/>
          <w:sz w:val="24"/>
          <w:szCs w:val="24"/>
        </w:rPr>
        <w:t>Australia’s Welfare 2013</w:t>
      </w:r>
      <w:r w:rsidR="00F8404B">
        <w:rPr>
          <w:rFonts w:ascii="Calibri" w:hAnsi="Calibri"/>
          <w:sz w:val="24"/>
          <w:szCs w:val="24"/>
        </w:rPr>
        <w:t>,</w:t>
      </w:r>
      <w:r>
        <w:rPr>
          <w:rFonts w:ascii="Calibri" w:hAnsi="Calibri"/>
          <w:sz w:val="24"/>
          <w:szCs w:val="24"/>
        </w:rPr>
        <w:t xml:space="preserve"> Australia’s welfare series no. 11</w:t>
      </w:r>
      <w:r w:rsidR="00F8404B">
        <w:rPr>
          <w:rFonts w:ascii="Calibri" w:hAnsi="Calibri"/>
          <w:sz w:val="24"/>
          <w:szCs w:val="24"/>
        </w:rPr>
        <w:t>,</w:t>
      </w:r>
      <w:r>
        <w:rPr>
          <w:rFonts w:ascii="Calibri" w:hAnsi="Calibri"/>
          <w:sz w:val="24"/>
          <w:szCs w:val="24"/>
        </w:rPr>
        <w:t xml:space="preserve"> </w:t>
      </w:r>
      <w:r w:rsidR="00F8404B">
        <w:rPr>
          <w:rFonts w:ascii="Calibri" w:hAnsi="Calibri"/>
          <w:sz w:val="24"/>
          <w:szCs w:val="24"/>
        </w:rPr>
        <w:t>c</w:t>
      </w:r>
      <w:r>
        <w:rPr>
          <w:rFonts w:ascii="Calibri" w:hAnsi="Calibri"/>
          <w:sz w:val="24"/>
          <w:szCs w:val="24"/>
        </w:rPr>
        <w:t xml:space="preserve">at. </w:t>
      </w:r>
      <w:proofErr w:type="gramStart"/>
      <w:r>
        <w:rPr>
          <w:rFonts w:ascii="Calibri" w:hAnsi="Calibri"/>
          <w:sz w:val="24"/>
          <w:szCs w:val="24"/>
        </w:rPr>
        <w:t>no</w:t>
      </w:r>
      <w:proofErr w:type="gramEnd"/>
      <w:r>
        <w:rPr>
          <w:rFonts w:ascii="Calibri" w:hAnsi="Calibri"/>
          <w:sz w:val="24"/>
          <w:szCs w:val="24"/>
        </w:rPr>
        <w:t xml:space="preserve">. AUS 174, AIHW, </w:t>
      </w:r>
      <w:r w:rsidRPr="00821556">
        <w:rPr>
          <w:rFonts w:ascii="Calibri" w:hAnsi="Calibri"/>
          <w:sz w:val="24"/>
          <w:szCs w:val="24"/>
        </w:rPr>
        <w:t>Canberra.</w:t>
      </w:r>
    </w:p>
    <w:p w:rsidR="00554BB2" w:rsidRDefault="00554BB2" w:rsidP="00554BB2">
      <w:pPr>
        <w:tabs>
          <w:tab w:val="left" w:pos="2410"/>
        </w:tabs>
        <w:spacing w:after="200"/>
        <w:rPr>
          <w:rFonts w:ascii="Calibri" w:hAnsi="Calibri"/>
          <w:sz w:val="24"/>
          <w:szCs w:val="24"/>
        </w:rPr>
      </w:pPr>
      <w:r w:rsidRPr="00821556">
        <w:rPr>
          <w:rFonts w:ascii="Calibri" w:hAnsi="Calibri"/>
          <w:sz w:val="24"/>
          <w:szCs w:val="24"/>
        </w:rPr>
        <w:t>Australian Institute of Health and Welfare</w:t>
      </w:r>
      <w:r>
        <w:rPr>
          <w:rFonts w:ascii="Calibri" w:hAnsi="Calibri"/>
          <w:sz w:val="24"/>
          <w:szCs w:val="24"/>
        </w:rPr>
        <w:t xml:space="preserve"> (AIHW</w:t>
      </w:r>
      <w:r w:rsidRPr="00821556">
        <w:rPr>
          <w:rFonts w:ascii="Calibri" w:hAnsi="Calibri"/>
          <w:sz w:val="24"/>
          <w:szCs w:val="24"/>
        </w:rPr>
        <w:t>)</w:t>
      </w:r>
      <w:r>
        <w:rPr>
          <w:rFonts w:ascii="Calibri" w:hAnsi="Calibri"/>
          <w:sz w:val="24"/>
          <w:szCs w:val="24"/>
        </w:rPr>
        <w:t xml:space="preserve"> 2013d, </w:t>
      </w:r>
      <w:r w:rsidRPr="00C941CE">
        <w:rPr>
          <w:rFonts w:ascii="Calibri" w:hAnsi="Calibri"/>
          <w:i/>
          <w:sz w:val="24"/>
          <w:szCs w:val="24"/>
        </w:rPr>
        <w:t>National Framework for Protecting Australia’s Children 2009–2020: Technical paper on operational definitions and data issues for key national indicators</w:t>
      </w:r>
      <w:r>
        <w:rPr>
          <w:rFonts w:ascii="Calibri" w:hAnsi="Calibri"/>
          <w:sz w:val="24"/>
          <w:szCs w:val="24"/>
        </w:rPr>
        <w:t xml:space="preserve">, cat. </w:t>
      </w:r>
      <w:proofErr w:type="gramStart"/>
      <w:r>
        <w:rPr>
          <w:rFonts w:ascii="Calibri" w:hAnsi="Calibri"/>
          <w:sz w:val="24"/>
          <w:szCs w:val="24"/>
        </w:rPr>
        <w:t>no</w:t>
      </w:r>
      <w:proofErr w:type="gramEnd"/>
      <w:r>
        <w:rPr>
          <w:rFonts w:ascii="Calibri" w:hAnsi="Calibri"/>
          <w:sz w:val="24"/>
          <w:szCs w:val="24"/>
        </w:rPr>
        <w:t xml:space="preserve">. CWS 44, AIHW, Canberra. </w:t>
      </w:r>
    </w:p>
    <w:p w:rsidR="00554BB2" w:rsidRPr="00821556" w:rsidRDefault="00554BB2" w:rsidP="00554BB2">
      <w:pPr>
        <w:tabs>
          <w:tab w:val="left" w:pos="2410"/>
        </w:tabs>
        <w:spacing w:after="200"/>
        <w:rPr>
          <w:rFonts w:ascii="Calibri" w:hAnsi="Calibri"/>
          <w:sz w:val="24"/>
          <w:szCs w:val="24"/>
        </w:rPr>
      </w:pPr>
      <w:r w:rsidRPr="00821556">
        <w:rPr>
          <w:rFonts w:ascii="Calibri" w:hAnsi="Calibri"/>
          <w:sz w:val="24"/>
          <w:szCs w:val="24"/>
        </w:rPr>
        <w:t>Bromfield</w:t>
      </w:r>
      <w:r w:rsidR="00380BE5">
        <w:rPr>
          <w:rFonts w:ascii="Calibri" w:hAnsi="Calibri"/>
          <w:sz w:val="24"/>
          <w:szCs w:val="24"/>
        </w:rPr>
        <w:t>,</w:t>
      </w:r>
      <w:r w:rsidRPr="00821556">
        <w:rPr>
          <w:rFonts w:ascii="Calibri" w:hAnsi="Calibri"/>
          <w:sz w:val="24"/>
          <w:szCs w:val="24"/>
        </w:rPr>
        <w:t xml:space="preserve"> L, Higgins</w:t>
      </w:r>
      <w:r w:rsidR="00380BE5">
        <w:rPr>
          <w:rFonts w:ascii="Calibri" w:hAnsi="Calibri"/>
          <w:sz w:val="24"/>
          <w:szCs w:val="24"/>
        </w:rPr>
        <w:t>,</w:t>
      </w:r>
      <w:r w:rsidRPr="00821556">
        <w:rPr>
          <w:rFonts w:ascii="Calibri" w:hAnsi="Calibri"/>
          <w:sz w:val="24"/>
          <w:szCs w:val="24"/>
        </w:rPr>
        <w:t xml:space="preserve"> JR, Higgins</w:t>
      </w:r>
      <w:r>
        <w:rPr>
          <w:rFonts w:ascii="Calibri" w:hAnsi="Calibri"/>
          <w:sz w:val="24"/>
          <w:szCs w:val="24"/>
        </w:rPr>
        <w:t>,</w:t>
      </w:r>
      <w:r w:rsidRPr="00821556">
        <w:rPr>
          <w:rFonts w:ascii="Calibri" w:hAnsi="Calibri"/>
          <w:sz w:val="24"/>
          <w:szCs w:val="24"/>
        </w:rPr>
        <w:t xml:space="preserve"> DJ and Richardson</w:t>
      </w:r>
      <w:r w:rsidR="00380BE5">
        <w:rPr>
          <w:rFonts w:ascii="Calibri" w:hAnsi="Calibri"/>
          <w:sz w:val="24"/>
          <w:szCs w:val="24"/>
        </w:rPr>
        <w:t>,</w:t>
      </w:r>
      <w:r w:rsidRPr="00821556">
        <w:rPr>
          <w:rFonts w:ascii="Calibri" w:hAnsi="Calibri"/>
          <w:sz w:val="24"/>
          <w:szCs w:val="24"/>
        </w:rPr>
        <w:t xml:space="preserve"> N 2007</w:t>
      </w:r>
      <w:r>
        <w:rPr>
          <w:rFonts w:ascii="Calibri" w:hAnsi="Calibri"/>
          <w:sz w:val="24"/>
          <w:szCs w:val="24"/>
        </w:rPr>
        <w:t>,</w:t>
      </w:r>
      <w:r w:rsidRPr="00821556">
        <w:rPr>
          <w:rFonts w:ascii="Calibri" w:hAnsi="Calibri"/>
          <w:sz w:val="24"/>
          <w:szCs w:val="24"/>
        </w:rPr>
        <w:t xml:space="preserve"> </w:t>
      </w:r>
      <w:r w:rsidRPr="008C3B31">
        <w:rPr>
          <w:rFonts w:ascii="Calibri" w:hAnsi="Calibri"/>
          <w:i/>
          <w:sz w:val="24"/>
          <w:szCs w:val="24"/>
        </w:rPr>
        <w:t>Why is there a shortage of Aboriginal and Torres Strait Islander carers?</w:t>
      </w:r>
      <w:r w:rsidRPr="00821556">
        <w:rPr>
          <w:rFonts w:ascii="Calibri" w:hAnsi="Calibri"/>
          <w:sz w:val="24"/>
          <w:szCs w:val="24"/>
        </w:rPr>
        <w:t xml:space="preserve"> </w:t>
      </w:r>
      <w:proofErr w:type="gramStart"/>
      <w:r w:rsidRPr="00821556">
        <w:rPr>
          <w:rFonts w:ascii="Calibri" w:hAnsi="Calibri"/>
          <w:sz w:val="24"/>
          <w:szCs w:val="24"/>
        </w:rPr>
        <w:t>Australian Institute of Family Studies</w:t>
      </w:r>
      <w:r>
        <w:rPr>
          <w:rFonts w:ascii="Calibri" w:hAnsi="Calibri"/>
          <w:sz w:val="24"/>
          <w:szCs w:val="24"/>
        </w:rPr>
        <w:t>, Melbourne</w:t>
      </w:r>
      <w:r w:rsidRPr="00821556">
        <w:rPr>
          <w:rFonts w:ascii="Calibri" w:hAnsi="Calibri"/>
          <w:sz w:val="24"/>
          <w:szCs w:val="24"/>
        </w:rPr>
        <w:t>.</w:t>
      </w:r>
      <w:proofErr w:type="gramEnd"/>
    </w:p>
    <w:p w:rsidR="00554BB2" w:rsidRPr="00821556" w:rsidRDefault="00554BB2" w:rsidP="00554BB2">
      <w:pPr>
        <w:tabs>
          <w:tab w:val="left" w:pos="2410"/>
        </w:tabs>
        <w:spacing w:after="200"/>
        <w:rPr>
          <w:rFonts w:ascii="Calibri" w:hAnsi="Calibri"/>
          <w:sz w:val="24"/>
          <w:szCs w:val="24"/>
        </w:rPr>
      </w:pPr>
      <w:r w:rsidRPr="0079569B">
        <w:rPr>
          <w:rFonts w:ascii="Calibri" w:hAnsi="Calibri"/>
          <w:sz w:val="24"/>
          <w:szCs w:val="24"/>
        </w:rPr>
        <w:t>Bromfield L, Lamont</w:t>
      </w:r>
      <w:r w:rsidR="00380BE5">
        <w:rPr>
          <w:rFonts w:ascii="Calibri" w:hAnsi="Calibri"/>
          <w:sz w:val="24"/>
          <w:szCs w:val="24"/>
        </w:rPr>
        <w:t>,</w:t>
      </w:r>
      <w:r w:rsidRPr="0079569B">
        <w:rPr>
          <w:rFonts w:ascii="Calibri" w:hAnsi="Calibri"/>
          <w:sz w:val="24"/>
          <w:szCs w:val="24"/>
        </w:rPr>
        <w:t xml:space="preserve"> A, Parker</w:t>
      </w:r>
      <w:r w:rsidR="00380BE5">
        <w:rPr>
          <w:rFonts w:ascii="Calibri" w:hAnsi="Calibri"/>
          <w:sz w:val="24"/>
          <w:szCs w:val="24"/>
        </w:rPr>
        <w:t>,</w:t>
      </w:r>
      <w:r w:rsidRPr="0079569B">
        <w:rPr>
          <w:rFonts w:ascii="Calibri" w:hAnsi="Calibri"/>
          <w:sz w:val="24"/>
          <w:szCs w:val="24"/>
        </w:rPr>
        <w:t xml:space="preserve"> R </w:t>
      </w:r>
      <w:r>
        <w:rPr>
          <w:rFonts w:ascii="Calibri" w:hAnsi="Calibri"/>
          <w:sz w:val="24"/>
          <w:szCs w:val="24"/>
        </w:rPr>
        <w:t>and</w:t>
      </w:r>
      <w:r w:rsidRPr="0079569B">
        <w:rPr>
          <w:rFonts w:ascii="Calibri" w:hAnsi="Calibri"/>
          <w:sz w:val="24"/>
          <w:szCs w:val="24"/>
        </w:rPr>
        <w:t xml:space="preserve"> </w:t>
      </w:r>
      <w:proofErr w:type="spellStart"/>
      <w:r w:rsidRPr="0079569B">
        <w:rPr>
          <w:rFonts w:ascii="Calibri" w:hAnsi="Calibri"/>
          <w:sz w:val="24"/>
          <w:szCs w:val="24"/>
        </w:rPr>
        <w:t>Horsfall</w:t>
      </w:r>
      <w:proofErr w:type="spellEnd"/>
      <w:r w:rsidR="00380BE5">
        <w:rPr>
          <w:rFonts w:ascii="Calibri" w:hAnsi="Calibri"/>
          <w:sz w:val="24"/>
          <w:szCs w:val="24"/>
        </w:rPr>
        <w:t>,</w:t>
      </w:r>
      <w:r w:rsidRPr="0079569B">
        <w:rPr>
          <w:rFonts w:ascii="Calibri" w:hAnsi="Calibri"/>
          <w:sz w:val="24"/>
          <w:szCs w:val="24"/>
        </w:rPr>
        <w:t xml:space="preserve"> B 2010</w:t>
      </w:r>
      <w:r w:rsidR="00380BE5">
        <w:rPr>
          <w:rFonts w:ascii="Calibri" w:hAnsi="Calibri"/>
          <w:sz w:val="24"/>
          <w:szCs w:val="24"/>
        </w:rPr>
        <w:t>,</w:t>
      </w:r>
      <w:r w:rsidRPr="0079569B">
        <w:rPr>
          <w:rFonts w:ascii="Calibri" w:hAnsi="Calibri"/>
          <w:sz w:val="24"/>
          <w:szCs w:val="24"/>
        </w:rPr>
        <w:t xml:space="preserve"> </w:t>
      </w:r>
      <w:r w:rsidRPr="003C6099">
        <w:rPr>
          <w:rFonts w:ascii="Calibri" w:hAnsi="Calibri"/>
          <w:i/>
          <w:sz w:val="24"/>
          <w:szCs w:val="24"/>
        </w:rPr>
        <w:t>Issues for the safety and wellbeing of children in families with multiple and complex problems: The co-occur</w:t>
      </w:r>
      <w:r>
        <w:rPr>
          <w:rFonts w:ascii="Calibri" w:hAnsi="Calibri"/>
          <w:i/>
          <w:sz w:val="24"/>
          <w:szCs w:val="24"/>
        </w:rPr>
        <w:t>re</w:t>
      </w:r>
      <w:r w:rsidRPr="003C6099">
        <w:rPr>
          <w:rFonts w:ascii="Calibri" w:hAnsi="Calibri"/>
          <w:i/>
          <w:sz w:val="24"/>
          <w:szCs w:val="24"/>
        </w:rPr>
        <w:t>nce of domestic violence, parental substance misuse and mental health problems</w:t>
      </w:r>
      <w:r>
        <w:rPr>
          <w:rFonts w:ascii="Calibri" w:hAnsi="Calibri"/>
          <w:sz w:val="24"/>
          <w:szCs w:val="24"/>
        </w:rPr>
        <w:t xml:space="preserve">, </w:t>
      </w:r>
      <w:r w:rsidRPr="00821556">
        <w:rPr>
          <w:rFonts w:ascii="Calibri" w:hAnsi="Calibri"/>
          <w:sz w:val="24"/>
          <w:szCs w:val="24"/>
        </w:rPr>
        <w:t>Australian Institute of Family Studies</w:t>
      </w:r>
      <w:r>
        <w:rPr>
          <w:rFonts w:ascii="Calibri" w:hAnsi="Calibri"/>
          <w:sz w:val="24"/>
          <w:szCs w:val="24"/>
        </w:rPr>
        <w:t>, Melbourne</w:t>
      </w:r>
      <w:r w:rsidRPr="00821556">
        <w:rPr>
          <w:rFonts w:ascii="Calibri" w:hAnsi="Calibri"/>
          <w:sz w:val="24"/>
          <w:szCs w:val="24"/>
        </w:rPr>
        <w:t>.</w:t>
      </w:r>
    </w:p>
    <w:p w:rsidR="00554BB2" w:rsidRDefault="00554BB2" w:rsidP="00554BB2">
      <w:pPr>
        <w:tabs>
          <w:tab w:val="left" w:pos="2410"/>
        </w:tabs>
        <w:spacing w:after="200"/>
        <w:rPr>
          <w:rFonts w:ascii="Calibri" w:hAnsi="Calibri"/>
          <w:sz w:val="24"/>
          <w:szCs w:val="24"/>
        </w:rPr>
      </w:pPr>
      <w:r w:rsidRPr="00821556">
        <w:rPr>
          <w:rFonts w:ascii="Calibri" w:hAnsi="Calibri"/>
          <w:sz w:val="24"/>
          <w:szCs w:val="24"/>
        </w:rPr>
        <w:t>Bromfield</w:t>
      </w:r>
      <w:r>
        <w:rPr>
          <w:rFonts w:ascii="Calibri" w:hAnsi="Calibri"/>
          <w:sz w:val="24"/>
          <w:szCs w:val="24"/>
        </w:rPr>
        <w:t>,</w:t>
      </w:r>
      <w:r w:rsidRPr="00821556">
        <w:rPr>
          <w:rFonts w:ascii="Calibri" w:hAnsi="Calibri"/>
          <w:sz w:val="24"/>
          <w:szCs w:val="24"/>
        </w:rPr>
        <w:t xml:space="preserve"> L and Osborn</w:t>
      </w:r>
      <w:r>
        <w:rPr>
          <w:rFonts w:ascii="Calibri" w:hAnsi="Calibri"/>
          <w:sz w:val="24"/>
          <w:szCs w:val="24"/>
        </w:rPr>
        <w:t>,</w:t>
      </w:r>
      <w:r w:rsidRPr="00821556">
        <w:rPr>
          <w:rFonts w:ascii="Calibri" w:hAnsi="Calibri"/>
          <w:sz w:val="24"/>
          <w:szCs w:val="24"/>
        </w:rPr>
        <w:t xml:space="preserve"> A 2007</w:t>
      </w:r>
      <w:r>
        <w:rPr>
          <w:rFonts w:ascii="Calibri" w:hAnsi="Calibri"/>
          <w:sz w:val="24"/>
          <w:szCs w:val="24"/>
        </w:rPr>
        <w:t>,</w:t>
      </w:r>
      <w:r w:rsidRPr="00821556">
        <w:rPr>
          <w:rFonts w:ascii="Calibri" w:hAnsi="Calibri"/>
          <w:sz w:val="24"/>
          <w:szCs w:val="24"/>
        </w:rPr>
        <w:t xml:space="preserve"> </w:t>
      </w:r>
      <w:proofErr w:type="gramStart"/>
      <w:r w:rsidRPr="008C3B31">
        <w:rPr>
          <w:rFonts w:ascii="Calibri" w:hAnsi="Calibri"/>
          <w:i/>
          <w:sz w:val="24"/>
          <w:szCs w:val="24"/>
        </w:rPr>
        <w:t>Getting</w:t>
      </w:r>
      <w:proofErr w:type="gramEnd"/>
      <w:r w:rsidRPr="008C3B31">
        <w:rPr>
          <w:rFonts w:ascii="Calibri" w:hAnsi="Calibri"/>
          <w:i/>
          <w:sz w:val="24"/>
          <w:szCs w:val="24"/>
        </w:rPr>
        <w:t xml:space="preserve"> the big picture: A synopsis and critique of Australian out</w:t>
      </w:r>
      <w:r>
        <w:rPr>
          <w:rFonts w:ascii="Calibri" w:hAnsi="Calibri"/>
          <w:i/>
          <w:sz w:val="24"/>
          <w:szCs w:val="24"/>
        </w:rPr>
        <w:t>-</w:t>
      </w:r>
      <w:r w:rsidRPr="008C3B31">
        <w:rPr>
          <w:rFonts w:ascii="Calibri" w:hAnsi="Calibri"/>
          <w:i/>
          <w:sz w:val="24"/>
          <w:szCs w:val="24"/>
        </w:rPr>
        <w:t>of</w:t>
      </w:r>
      <w:r>
        <w:rPr>
          <w:rFonts w:ascii="Calibri" w:hAnsi="Calibri"/>
          <w:i/>
          <w:sz w:val="24"/>
          <w:szCs w:val="24"/>
        </w:rPr>
        <w:t>-</w:t>
      </w:r>
      <w:r w:rsidRPr="008C3B31">
        <w:rPr>
          <w:rFonts w:ascii="Calibri" w:hAnsi="Calibri"/>
          <w:i/>
          <w:sz w:val="24"/>
          <w:szCs w:val="24"/>
        </w:rPr>
        <w:t>home care research</w:t>
      </w:r>
      <w:r>
        <w:rPr>
          <w:rFonts w:ascii="Calibri" w:hAnsi="Calibri"/>
          <w:i/>
          <w:sz w:val="24"/>
          <w:szCs w:val="24"/>
        </w:rPr>
        <w:t>,</w:t>
      </w:r>
      <w:r w:rsidRPr="00821556">
        <w:rPr>
          <w:rFonts w:ascii="Calibri" w:hAnsi="Calibri"/>
          <w:sz w:val="24"/>
          <w:szCs w:val="24"/>
        </w:rPr>
        <w:t xml:space="preserve"> Australian Institute of Family Studies</w:t>
      </w:r>
      <w:r>
        <w:rPr>
          <w:rFonts w:ascii="Calibri" w:hAnsi="Calibri"/>
          <w:sz w:val="24"/>
          <w:szCs w:val="24"/>
        </w:rPr>
        <w:t>, Melbourne</w:t>
      </w:r>
      <w:r w:rsidRPr="00821556">
        <w:rPr>
          <w:rFonts w:ascii="Calibri" w:hAnsi="Calibri"/>
          <w:sz w:val="24"/>
          <w:szCs w:val="24"/>
        </w:rPr>
        <w:t>.</w:t>
      </w:r>
    </w:p>
    <w:p w:rsidR="00554BB2" w:rsidRPr="00821556" w:rsidRDefault="00554BB2" w:rsidP="00554BB2">
      <w:pPr>
        <w:tabs>
          <w:tab w:val="left" w:pos="2410"/>
        </w:tabs>
        <w:spacing w:after="200"/>
        <w:rPr>
          <w:rFonts w:ascii="Calibri" w:hAnsi="Calibri"/>
          <w:sz w:val="24"/>
          <w:szCs w:val="24"/>
        </w:rPr>
      </w:pPr>
      <w:r w:rsidRPr="008C3B31">
        <w:rPr>
          <w:rFonts w:ascii="Calibri" w:hAnsi="Calibri"/>
          <w:sz w:val="24"/>
          <w:szCs w:val="24"/>
        </w:rPr>
        <w:t>Centre for Community Child Health and Telethon Institute for Child Health Research</w:t>
      </w:r>
      <w:r w:rsidRPr="00821556">
        <w:rPr>
          <w:rFonts w:ascii="Calibri" w:hAnsi="Calibri"/>
          <w:sz w:val="24"/>
          <w:szCs w:val="24"/>
        </w:rPr>
        <w:t xml:space="preserve"> 2009</w:t>
      </w:r>
      <w:r>
        <w:rPr>
          <w:rFonts w:ascii="Calibri" w:hAnsi="Calibri"/>
          <w:sz w:val="24"/>
          <w:szCs w:val="24"/>
        </w:rPr>
        <w:t>,</w:t>
      </w:r>
      <w:r w:rsidRPr="00821556">
        <w:rPr>
          <w:rFonts w:ascii="Calibri" w:hAnsi="Calibri"/>
          <w:sz w:val="24"/>
          <w:szCs w:val="24"/>
        </w:rPr>
        <w:t xml:space="preserve"> </w:t>
      </w:r>
      <w:proofErr w:type="gramStart"/>
      <w:r w:rsidRPr="008C3B31">
        <w:rPr>
          <w:rFonts w:ascii="Calibri" w:hAnsi="Calibri"/>
          <w:i/>
          <w:sz w:val="24"/>
          <w:szCs w:val="24"/>
        </w:rPr>
        <w:t>A</w:t>
      </w:r>
      <w:proofErr w:type="gramEnd"/>
      <w:r w:rsidRPr="008C3B31">
        <w:rPr>
          <w:rFonts w:ascii="Calibri" w:hAnsi="Calibri"/>
          <w:i/>
          <w:sz w:val="24"/>
          <w:szCs w:val="24"/>
        </w:rPr>
        <w:t xml:space="preserve"> snapshot of early childhood development in Australia: AEDI national report 2009</w:t>
      </w:r>
      <w:r>
        <w:rPr>
          <w:rFonts w:ascii="Calibri" w:hAnsi="Calibri"/>
          <w:i/>
          <w:sz w:val="24"/>
          <w:szCs w:val="24"/>
        </w:rPr>
        <w:t>,</w:t>
      </w:r>
      <w:r w:rsidRPr="00821556">
        <w:rPr>
          <w:rFonts w:ascii="Calibri" w:hAnsi="Calibri"/>
          <w:sz w:val="24"/>
          <w:szCs w:val="24"/>
        </w:rPr>
        <w:t xml:space="preserve"> re-issue March 2011</w:t>
      </w:r>
      <w:r>
        <w:rPr>
          <w:rFonts w:ascii="Calibri" w:hAnsi="Calibri"/>
          <w:sz w:val="24"/>
          <w:szCs w:val="24"/>
        </w:rPr>
        <w:t>, DEEWR,</w:t>
      </w:r>
      <w:r w:rsidRPr="00821556">
        <w:rPr>
          <w:rFonts w:ascii="Calibri" w:hAnsi="Calibri"/>
          <w:sz w:val="24"/>
          <w:szCs w:val="24"/>
        </w:rPr>
        <w:t xml:space="preserve"> Canberra.</w:t>
      </w:r>
    </w:p>
    <w:p w:rsidR="00554BB2" w:rsidRDefault="00554BB2" w:rsidP="00554BB2">
      <w:pPr>
        <w:tabs>
          <w:tab w:val="left" w:pos="2410"/>
        </w:tabs>
        <w:spacing w:after="200"/>
        <w:rPr>
          <w:rFonts w:ascii="Calibri" w:hAnsi="Calibri"/>
          <w:sz w:val="24"/>
          <w:szCs w:val="24"/>
        </w:rPr>
      </w:pPr>
      <w:r w:rsidRPr="00134903">
        <w:rPr>
          <w:rFonts w:ascii="Calibri" w:hAnsi="Calibri"/>
          <w:sz w:val="24"/>
          <w:szCs w:val="24"/>
        </w:rPr>
        <w:t>Chan</w:t>
      </w:r>
      <w:r w:rsidR="00380BE5">
        <w:rPr>
          <w:rFonts w:ascii="Calibri" w:hAnsi="Calibri"/>
          <w:sz w:val="24"/>
          <w:szCs w:val="24"/>
        </w:rPr>
        <w:t>,</w:t>
      </w:r>
      <w:r w:rsidRPr="00134903">
        <w:rPr>
          <w:rFonts w:ascii="Calibri" w:hAnsi="Calibri"/>
          <w:sz w:val="24"/>
          <w:szCs w:val="24"/>
        </w:rPr>
        <w:t xml:space="preserve"> A and Payne</w:t>
      </w:r>
      <w:r w:rsidR="00380BE5">
        <w:rPr>
          <w:rFonts w:ascii="Calibri" w:hAnsi="Calibri"/>
          <w:sz w:val="24"/>
          <w:szCs w:val="24"/>
        </w:rPr>
        <w:t>,</w:t>
      </w:r>
      <w:r w:rsidRPr="00134903">
        <w:rPr>
          <w:rFonts w:ascii="Calibri" w:hAnsi="Calibri"/>
          <w:sz w:val="24"/>
          <w:szCs w:val="24"/>
        </w:rPr>
        <w:t xml:space="preserve"> J 2013</w:t>
      </w:r>
      <w:r>
        <w:rPr>
          <w:rFonts w:ascii="Calibri" w:hAnsi="Calibri"/>
          <w:sz w:val="24"/>
          <w:szCs w:val="24"/>
        </w:rPr>
        <w:t>,</w:t>
      </w:r>
      <w:r w:rsidRPr="00134903">
        <w:rPr>
          <w:rFonts w:ascii="Calibri" w:hAnsi="Calibri"/>
          <w:sz w:val="24"/>
          <w:szCs w:val="24"/>
        </w:rPr>
        <w:t xml:space="preserve"> </w:t>
      </w:r>
      <w:r w:rsidRPr="00FB6919">
        <w:rPr>
          <w:rFonts w:ascii="Calibri" w:hAnsi="Calibri"/>
          <w:i/>
          <w:sz w:val="24"/>
          <w:szCs w:val="24"/>
        </w:rPr>
        <w:t>Homicide in Australia: 2008–09 to 2009–10, National Homicide Monitoring Program annual report</w:t>
      </w:r>
      <w:r>
        <w:rPr>
          <w:rFonts w:ascii="Calibri" w:hAnsi="Calibri"/>
          <w:sz w:val="24"/>
          <w:szCs w:val="24"/>
        </w:rPr>
        <w:t xml:space="preserve">, </w:t>
      </w:r>
      <w:r w:rsidRPr="00134903">
        <w:rPr>
          <w:rFonts w:ascii="Calibri" w:hAnsi="Calibri"/>
          <w:sz w:val="24"/>
          <w:szCs w:val="24"/>
        </w:rPr>
        <w:t>AIC Monitoring Report 21</w:t>
      </w:r>
      <w:r>
        <w:rPr>
          <w:rFonts w:ascii="Calibri" w:hAnsi="Calibri"/>
          <w:sz w:val="24"/>
          <w:szCs w:val="24"/>
        </w:rPr>
        <w:t xml:space="preserve">, </w:t>
      </w:r>
      <w:r w:rsidRPr="00134903">
        <w:rPr>
          <w:rFonts w:ascii="Calibri" w:hAnsi="Calibri"/>
          <w:sz w:val="24"/>
          <w:szCs w:val="24"/>
        </w:rPr>
        <w:t>Australian Institute of Criminology</w:t>
      </w:r>
      <w:r>
        <w:rPr>
          <w:rFonts w:ascii="Calibri" w:hAnsi="Calibri"/>
          <w:sz w:val="24"/>
          <w:szCs w:val="24"/>
        </w:rPr>
        <w:t xml:space="preserve">, </w:t>
      </w:r>
      <w:r w:rsidRPr="00134903">
        <w:rPr>
          <w:rFonts w:ascii="Calibri" w:hAnsi="Calibri"/>
          <w:sz w:val="24"/>
          <w:szCs w:val="24"/>
        </w:rPr>
        <w:t>Canberra.</w:t>
      </w:r>
    </w:p>
    <w:p w:rsidR="000202F8" w:rsidRPr="00821556" w:rsidRDefault="000202F8" w:rsidP="000202F8">
      <w:pPr>
        <w:tabs>
          <w:tab w:val="left" w:pos="2410"/>
        </w:tabs>
        <w:spacing w:after="200"/>
        <w:rPr>
          <w:rFonts w:ascii="Calibri" w:hAnsi="Calibri"/>
          <w:sz w:val="24"/>
          <w:szCs w:val="24"/>
        </w:rPr>
      </w:pPr>
      <w:proofErr w:type="spellStart"/>
      <w:r w:rsidRPr="003C6099">
        <w:rPr>
          <w:rFonts w:ascii="Calibri" w:hAnsi="Calibri"/>
          <w:sz w:val="24"/>
          <w:szCs w:val="24"/>
        </w:rPr>
        <w:lastRenderedPageBreak/>
        <w:t>Dawe</w:t>
      </w:r>
      <w:proofErr w:type="spellEnd"/>
      <w:r w:rsidR="00380BE5">
        <w:rPr>
          <w:rFonts w:ascii="Calibri" w:hAnsi="Calibri"/>
          <w:sz w:val="24"/>
          <w:szCs w:val="24"/>
        </w:rPr>
        <w:t>,</w:t>
      </w:r>
      <w:r w:rsidRPr="003C6099">
        <w:rPr>
          <w:rFonts w:ascii="Calibri" w:hAnsi="Calibri"/>
          <w:sz w:val="24"/>
          <w:szCs w:val="24"/>
        </w:rPr>
        <w:t xml:space="preserve"> S, </w:t>
      </w:r>
      <w:proofErr w:type="spellStart"/>
      <w:r w:rsidRPr="003C6099">
        <w:rPr>
          <w:rFonts w:ascii="Calibri" w:hAnsi="Calibri"/>
          <w:sz w:val="24"/>
          <w:szCs w:val="24"/>
        </w:rPr>
        <w:t>Harnett</w:t>
      </w:r>
      <w:proofErr w:type="spellEnd"/>
      <w:r w:rsidR="00380BE5">
        <w:rPr>
          <w:rFonts w:ascii="Calibri" w:hAnsi="Calibri"/>
          <w:sz w:val="24"/>
          <w:szCs w:val="24"/>
        </w:rPr>
        <w:t>,</w:t>
      </w:r>
      <w:r w:rsidRPr="003C6099">
        <w:rPr>
          <w:rFonts w:ascii="Calibri" w:hAnsi="Calibri"/>
          <w:sz w:val="24"/>
          <w:szCs w:val="24"/>
        </w:rPr>
        <w:t xml:space="preserve"> PH and Frye</w:t>
      </w:r>
      <w:r w:rsidR="00380BE5">
        <w:rPr>
          <w:rFonts w:ascii="Calibri" w:hAnsi="Calibri"/>
          <w:sz w:val="24"/>
          <w:szCs w:val="24"/>
        </w:rPr>
        <w:t>,</w:t>
      </w:r>
      <w:r w:rsidRPr="003C6099">
        <w:rPr>
          <w:rFonts w:ascii="Calibri" w:hAnsi="Calibri"/>
          <w:sz w:val="24"/>
          <w:szCs w:val="24"/>
        </w:rPr>
        <w:t xml:space="preserve"> S 2008, </w:t>
      </w:r>
      <w:proofErr w:type="gramStart"/>
      <w:r w:rsidRPr="003C6099">
        <w:rPr>
          <w:rFonts w:ascii="Calibri" w:hAnsi="Calibri"/>
          <w:i/>
          <w:sz w:val="24"/>
          <w:szCs w:val="24"/>
        </w:rPr>
        <w:t>Improving</w:t>
      </w:r>
      <w:proofErr w:type="gramEnd"/>
      <w:r w:rsidRPr="003C6099">
        <w:rPr>
          <w:rFonts w:ascii="Calibri" w:hAnsi="Calibri"/>
          <w:i/>
          <w:sz w:val="24"/>
          <w:szCs w:val="24"/>
        </w:rPr>
        <w:t xml:space="preserve"> outcomes for children living in families with parental substance misuse: What we know and what should we do</w:t>
      </w:r>
      <w:r w:rsidRPr="003C6099">
        <w:rPr>
          <w:rFonts w:ascii="Calibri" w:hAnsi="Calibri"/>
          <w:sz w:val="24"/>
          <w:szCs w:val="24"/>
        </w:rPr>
        <w:t>, Child Abuse Prevention Issues No. 29, Australian Institute of</w:t>
      </w:r>
      <w:r>
        <w:rPr>
          <w:rFonts w:ascii="Calibri" w:hAnsi="Calibri"/>
          <w:sz w:val="24"/>
          <w:szCs w:val="24"/>
        </w:rPr>
        <w:t xml:space="preserve"> </w:t>
      </w:r>
      <w:r w:rsidRPr="003C6099">
        <w:rPr>
          <w:rFonts w:ascii="Calibri" w:hAnsi="Calibri"/>
          <w:sz w:val="24"/>
          <w:szCs w:val="24"/>
        </w:rPr>
        <w:t>Family Studies, Melbourne.</w:t>
      </w:r>
    </w:p>
    <w:p w:rsidR="00554BB2" w:rsidRPr="00A201A1" w:rsidRDefault="00554BB2" w:rsidP="00554BB2">
      <w:pPr>
        <w:tabs>
          <w:tab w:val="left" w:pos="2410"/>
        </w:tabs>
        <w:spacing w:after="200"/>
        <w:rPr>
          <w:rFonts w:ascii="Calibri" w:hAnsi="Calibri"/>
          <w:sz w:val="24"/>
          <w:szCs w:val="24"/>
        </w:rPr>
      </w:pPr>
      <w:proofErr w:type="spellStart"/>
      <w:r w:rsidRPr="00A201A1">
        <w:rPr>
          <w:rFonts w:ascii="Calibri" w:hAnsi="Calibri"/>
          <w:sz w:val="24"/>
          <w:szCs w:val="24"/>
        </w:rPr>
        <w:t>Geggie</w:t>
      </w:r>
      <w:proofErr w:type="spellEnd"/>
      <w:r w:rsidR="00380BE5">
        <w:rPr>
          <w:rFonts w:ascii="Calibri" w:hAnsi="Calibri"/>
          <w:sz w:val="24"/>
          <w:szCs w:val="24"/>
        </w:rPr>
        <w:t>,</w:t>
      </w:r>
      <w:r w:rsidRPr="00A201A1">
        <w:rPr>
          <w:rFonts w:ascii="Calibri" w:hAnsi="Calibri"/>
          <w:sz w:val="24"/>
          <w:szCs w:val="24"/>
        </w:rPr>
        <w:t xml:space="preserve"> J, </w:t>
      </w:r>
      <w:proofErr w:type="spellStart"/>
      <w:r w:rsidRPr="00A201A1">
        <w:rPr>
          <w:rFonts w:ascii="Calibri" w:hAnsi="Calibri"/>
          <w:sz w:val="24"/>
          <w:szCs w:val="24"/>
        </w:rPr>
        <w:t>DeFrain</w:t>
      </w:r>
      <w:proofErr w:type="spellEnd"/>
      <w:r w:rsidR="00380BE5">
        <w:rPr>
          <w:rFonts w:ascii="Calibri" w:hAnsi="Calibri"/>
          <w:sz w:val="24"/>
          <w:szCs w:val="24"/>
        </w:rPr>
        <w:t>,</w:t>
      </w:r>
      <w:r w:rsidRPr="00A201A1">
        <w:rPr>
          <w:rFonts w:ascii="Calibri" w:hAnsi="Calibri"/>
          <w:sz w:val="24"/>
          <w:szCs w:val="24"/>
        </w:rPr>
        <w:t xml:space="preserve"> J </w:t>
      </w:r>
      <w:r>
        <w:rPr>
          <w:rFonts w:ascii="Calibri" w:hAnsi="Calibri"/>
          <w:sz w:val="24"/>
          <w:szCs w:val="24"/>
        </w:rPr>
        <w:t>and</w:t>
      </w:r>
      <w:r w:rsidRPr="00A201A1">
        <w:rPr>
          <w:rFonts w:ascii="Calibri" w:hAnsi="Calibri"/>
          <w:sz w:val="24"/>
          <w:szCs w:val="24"/>
        </w:rPr>
        <w:t xml:space="preserve"> Hitchcock</w:t>
      </w:r>
      <w:r w:rsidR="00380BE5">
        <w:rPr>
          <w:rFonts w:ascii="Calibri" w:hAnsi="Calibri"/>
          <w:sz w:val="24"/>
          <w:szCs w:val="24"/>
        </w:rPr>
        <w:t>,</w:t>
      </w:r>
      <w:r w:rsidRPr="00A201A1">
        <w:rPr>
          <w:rFonts w:ascii="Calibri" w:hAnsi="Calibri"/>
          <w:sz w:val="24"/>
          <w:szCs w:val="24"/>
        </w:rPr>
        <w:t xml:space="preserve"> S 2000</w:t>
      </w:r>
      <w:r>
        <w:rPr>
          <w:rFonts w:ascii="Calibri" w:hAnsi="Calibri"/>
          <w:sz w:val="24"/>
          <w:szCs w:val="24"/>
        </w:rPr>
        <w:t xml:space="preserve">, </w:t>
      </w:r>
      <w:r w:rsidRPr="000F2DCD">
        <w:rPr>
          <w:rFonts w:ascii="Calibri" w:hAnsi="Calibri"/>
          <w:i/>
          <w:sz w:val="24"/>
          <w:szCs w:val="24"/>
        </w:rPr>
        <w:t>Family strengths research project</w:t>
      </w:r>
      <w:r>
        <w:rPr>
          <w:rFonts w:ascii="Calibri" w:hAnsi="Calibri"/>
          <w:sz w:val="24"/>
          <w:szCs w:val="24"/>
        </w:rPr>
        <w:t>,</w:t>
      </w:r>
      <w:r w:rsidRPr="00A201A1">
        <w:rPr>
          <w:rFonts w:ascii="Calibri" w:hAnsi="Calibri"/>
          <w:sz w:val="24"/>
          <w:szCs w:val="24"/>
        </w:rPr>
        <w:t xml:space="preserve"> University of Newcastle Family Action Centre</w:t>
      </w:r>
      <w:r>
        <w:rPr>
          <w:rFonts w:ascii="Calibri" w:hAnsi="Calibri"/>
          <w:sz w:val="24"/>
          <w:szCs w:val="24"/>
        </w:rPr>
        <w:t>,</w:t>
      </w:r>
      <w:r w:rsidRPr="00A201A1">
        <w:rPr>
          <w:rFonts w:ascii="Calibri" w:hAnsi="Calibri"/>
          <w:sz w:val="24"/>
          <w:szCs w:val="24"/>
        </w:rPr>
        <w:t xml:space="preserve"> Newcastle.</w:t>
      </w:r>
    </w:p>
    <w:p w:rsidR="00554BB2" w:rsidRPr="00821556" w:rsidRDefault="00554BB2" w:rsidP="00554BB2">
      <w:pPr>
        <w:tabs>
          <w:tab w:val="left" w:pos="2410"/>
        </w:tabs>
        <w:spacing w:after="200"/>
        <w:rPr>
          <w:rFonts w:ascii="Calibri" w:hAnsi="Calibri"/>
          <w:sz w:val="24"/>
          <w:szCs w:val="24"/>
        </w:rPr>
      </w:pPr>
      <w:r w:rsidRPr="00821556">
        <w:rPr>
          <w:rFonts w:ascii="Calibri" w:hAnsi="Calibri"/>
          <w:sz w:val="24"/>
          <w:szCs w:val="24"/>
        </w:rPr>
        <w:t>Human Rights and Equal Opportunity Commission</w:t>
      </w:r>
      <w:r w:rsidR="00BC4099">
        <w:rPr>
          <w:rFonts w:ascii="Calibri" w:hAnsi="Calibri"/>
          <w:sz w:val="24"/>
          <w:szCs w:val="24"/>
        </w:rPr>
        <w:t xml:space="preserve"> </w:t>
      </w:r>
      <w:r w:rsidRPr="00821556">
        <w:rPr>
          <w:rFonts w:ascii="Calibri" w:hAnsi="Calibri"/>
          <w:sz w:val="24"/>
          <w:szCs w:val="24"/>
        </w:rPr>
        <w:t>1997</w:t>
      </w:r>
      <w:r>
        <w:rPr>
          <w:rFonts w:ascii="Calibri" w:hAnsi="Calibri"/>
          <w:sz w:val="24"/>
          <w:szCs w:val="24"/>
        </w:rPr>
        <w:t>,</w:t>
      </w:r>
      <w:r w:rsidRPr="00821556">
        <w:rPr>
          <w:rFonts w:ascii="Calibri" w:hAnsi="Calibri"/>
          <w:sz w:val="24"/>
          <w:szCs w:val="24"/>
        </w:rPr>
        <w:t xml:space="preserve"> </w:t>
      </w:r>
      <w:proofErr w:type="gramStart"/>
      <w:r w:rsidRPr="00115579">
        <w:rPr>
          <w:rFonts w:ascii="Calibri" w:hAnsi="Calibri"/>
          <w:i/>
          <w:sz w:val="24"/>
          <w:szCs w:val="24"/>
        </w:rPr>
        <w:t>Bringing</w:t>
      </w:r>
      <w:proofErr w:type="gramEnd"/>
      <w:r w:rsidRPr="00115579">
        <w:rPr>
          <w:rFonts w:ascii="Calibri" w:hAnsi="Calibri"/>
          <w:i/>
          <w:sz w:val="24"/>
          <w:szCs w:val="24"/>
        </w:rPr>
        <w:t xml:space="preserve"> them home: report of the National Inquiry into the Separation of Aboriginal and Torres Strait Islander Children from their Families</w:t>
      </w:r>
      <w:r>
        <w:rPr>
          <w:rFonts w:ascii="Calibri" w:hAnsi="Calibri"/>
          <w:sz w:val="24"/>
          <w:szCs w:val="24"/>
        </w:rPr>
        <w:t>, HREOC,</w:t>
      </w:r>
      <w:r w:rsidRPr="00821556">
        <w:rPr>
          <w:rFonts w:ascii="Calibri" w:hAnsi="Calibri"/>
          <w:sz w:val="24"/>
          <w:szCs w:val="24"/>
        </w:rPr>
        <w:t xml:space="preserve"> Sydney.</w:t>
      </w:r>
    </w:p>
    <w:p w:rsidR="00554BB2" w:rsidRPr="009A25BF" w:rsidRDefault="00554BB2" w:rsidP="00554BB2">
      <w:pPr>
        <w:tabs>
          <w:tab w:val="left" w:pos="2410"/>
        </w:tabs>
        <w:spacing w:after="200"/>
        <w:rPr>
          <w:rFonts w:ascii="Calibri" w:hAnsi="Calibri" w:cs="Calibri"/>
          <w:sz w:val="24"/>
          <w:szCs w:val="24"/>
        </w:rPr>
      </w:pPr>
      <w:proofErr w:type="gramStart"/>
      <w:r w:rsidRPr="009A25BF">
        <w:rPr>
          <w:rFonts w:ascii="Calibri" w:hAnsi="Calibri" w:cs="Calibri"/>
          <w:sz w:val="24"/>
          <w:szCs w:val="24"/>
        </w:rPr>
        <w:t>Lamont</w:t>
      </w:r>
      <w:r w:rsidR="00380BE5">
        <w:rPr>
          <w:rFonts w:ascii="Calibri" w:hAnsi="Calibri" w:cs="Calibri"/>
          <w:sz w:val="24"/>
          <w:szCs w:val="24"/>
        </w:rPr>
        <w:t>,</w:t>
      </w:r>
      <w:r w:rsidRPr="009A25BF">
        <w:rPr>
          <w:rFonts w:ascii="Calibri" w:hAnsi="Calibri" w:cs="Calibri"/>
          <w:sz w:val="24"/>
          <w:szCs w:val="24"/>
        </w:rPr>
        <w:t xml:space="preserve"> A 2010, </w:t>
      </w:r>
      <w:r w:rsidRPr="000F2DCD">
        <w:rPr>
          <w:rFonts w:ascii="Calibri" w:hAnsi="Calibri" w:cs="Calibri"/>
          <w:i/>
          <w:sz w:val="24"/>
          <w:szCs w:val="24"/>
        </w:rPr>
        <w:t>Effects of child abuse and neglect for children and adolescents</w:t>
      </w:r>
      <w:r w:rsidRPr="009A25BF">
        <w:rPr>
          <w:rFonts w:ascii="Calibri" w:hAnsi="Calibri" w:cs="Calibri"/>
          <w:sz w:val="24"/>
          <w:szCs w:val="24"/>
        </w:rPr>
        <w:t>, Australian Institut</w:t>
      </w:r>
      <w:r>
        <w:rPr>
          <w:rFonts w:ascii="Calibri" w:hAnsi="Calibri" w:cs="Calibri"/>
          <w:sz w:val="24"/>
          <w:szCs w:val="24"/>
        </w:rPr>
        <w:t>e of Family Studies, Melbourne.</w:t>
      </w:r>
      <w:proofErr w:type="gramEnd"/>
    </w:p>
    <w:p w:rsidR="00554BB2" w:rsidRDefault="00554BB2" w:rsidP="00554BB2">
      <w:pPr>
        <w:tabs>
          <w:tab w:val="left" w:pos="2410"/>
        </w:tabs>
        <w:spacing w:after="200"/>
        <w:rPr>
          <w:rFonts w:ascii="Calibri" w:hAnsi="Calibri"/>
          <w:sz w:val="24"/>
          <w:szCs w:val="24"/>
        </w:rPr>
      </w:pPr>
      <w:r w:rsidRPr="00BB721F">
        <w:rPr>
          <w:rFonts w:ascii="Calibri" w:hAnsi="Calibri"/>
          <w:sz w:val="24"/>
          <w:szCs w:val="24"/>
        </w:rPr>
        <w:t>Laws</w:t>
      </w:r>
      <w:r w:rsidR="00380BE5">
        <w:rPr>
          <w:rFonts w:ascii="Calibri" w:hAnsi="Calibri"/>
          <w:sz w:val="24"/>
          <w:szCs w:val="24"/>
        </w:rPr>
        <w:t>,</w:t>
      </w:r>
      <w:r w:rsidRPr="00BB721F">
        <w:rPr>
          <w:rFonts w:ascii="Calibri" w:hAnsi="Calibri"/>
          <w:sz w:val="24"/>
          <w:szCs w:val="24"/>
        </w:rPr>
        <w:t xml:space="preserve"> PJ, Li</w:t>
      </w:r>
      <w:r w:rsidR="00380BE5">
        <w:rPr>
          <w:rFonts w:ascii="Calibri" w:hAnsi="Calibri"/>
          <w:sz w:val="24"/>
          <w:szCs w:val="24"/>
        </w:rPr>
        <w:t>,</w:t>
      </w:r>
      <w:r w:rsidRPr="00BB721F">
        <w:rPr>
          <w:rFonts w:ascii="Calibri" w:hAnsi="Calibri"/>
          <w:sz w:val="24"/>
          <w:szCs w:val="24"/>
        </w:rPr>
        <w:t xml:space="preserve"> Z </w:t>
      </w:r>
      <w:r>
        <w:rPr>
          <w:rFonts w:ascii="Calibri" w:hAnsi="Calibri"/>
          <w:sz w:val="24"/>
          <w:szCs w:val="24"/>
        </w:rPr>
        <w:t>and</w:t>
      </w:r>
      <w:r w:rsidRPr="00BB721F">
        <w:rPr>
          <w:rFonts w:ascii="Calibri" w:hAnsi="Calibri"/>
          <w:sz w:val="24"/>
          <w:szCs w:val="24"/>
        </w:rPr>
        <w:t xml:space="preserve"> Sullivan</w:t>
      </w:r>
      <w:r w:rsidR="00380BE5">
        <w:rPr>
          <w:rFonts w:ascii="Calibri" w:hAnsi="Calibri"/>
          <w:sz w:val="24"/>
          <w:szCs w:val="24"/>
        </w:rPr>
        <w:t>,</w:t>
      </w:r>
      <w:r w:rsidRPr="00BB721F">
        <w:rPr>
          <w:rFonts w:ascii="Calibri" w:hAnsi="Calibri"/>
          <w:sz w:val="24"/>
          <w:szCs w:val="24"/>
        </w:rPr>
        <w:t xml:space="preserve"> EA 2010</w:t>
      </w:r>
      <w:r>
        <w:rPr>
          <w:rFonts w:ascii="Calibri" w:hAnsi="Calibri"/>
          <w:sz w:val="24"/>
          <w:szCs w:val="24"/>
        </w:rPr>
        <w:t xml:space="preserve">, </w:t>
      </w:r>
      <w:r w:rsidRPr="00187E90">
        <w:rPr>
          <w:rFonts w:ascii="Calibri" w:hAnsi="Calibri"/>
          <w:i/>
          <w:sz w:val="24"/>
          <w:szCs w:val="24"/>
        </w:rPr>
        <w:t>Australia’s mothers and babies 2008</w:t>
      </w:r>
      <w:r>
        <w:rPr>
          <w:rFonts w:ascii="Calibri" w:hAnsi="Calibri"/>
          <w:sz w:val="24"/>
          <w:szCs w:val="24"/>
        </w:rPr>
        <w:t xml:space="preserve">, </w:t>
      </w:r>
      <w:proofErr w:type="gramStart"/>
      <w:r w:rsidRPr="00BB721F">
        <w:rPr>
          <w:rFonts w:ascii="Calibri" w:hAnsi="Calibri"/>
          <w:sz w:val="24"/>
          <w:szCs w:val="24"/>
        </w:rPr>
        <w:t>Perinatal</w:t>
      </w:r>
      <w:proofErr w:type="gramEnd"/>
      <w:r w:rsidRPr="00BB721F">
        <w:rPr>
          <w:rFonts w:ascii="Calibri" w:hAnsi="Calibri"/>
          <w:sz w:val="24"/>
          <w:szCs w:val="24"/>
        </w:rPr>
        <w:t xml:space="preserve"> statistics series</w:t>
      </w:r>
      <w:r>
        <w:rPr>
          <w:rFonts w:ascii="Calibri" w:hAnsi="Calibri"/>
          <w:sz w:val="24"/>
          <w:szCs w:val="24"/>
        </w:rPr>
        <w:t xml:space="preserve"> </w:t>
      </w:r>
      <w:r w:rsidRPr="00BB721F">
        <w:rPr>
          <w:rFonts w:ascii="Calibri" w:hAnsi="Calibri"/>
          <w:sz w:val="24"/>
          <w:szCs w:val="24"/>
        </w:rPr>
        <w:t>no. 24</w:t>
      </w:r>
      <w:r>
        <w:rPr>
          <w:rFonts w:ascii="Calibri" w:hAnsi="Calibri"/>
          <w:sz w:val="24"/>
          <w:szCs w:val="24"/>
        </w:rPr>
        <w:t>, c</w:t>
      </w:r>
      <w:r w:rsidRPr="00BB721F">
        <w:rPr>
          <w:rFonts w:ascii="Calibri" w:hAnsi="Calibri"/>
          <w:sz w:val="24"/>
          <w:szCs w:val="24"/>
        </w:rPr>
        <w:t xml:space="preserve">at. </w:t>
      </w:r>
      <w:proofErr w:type="gramStart"/>
      <w:r w:rsidRPr="00BB721F">
        <w:rPr>
          <w:rFonts w:ascii="Calibri" w:hAnsi="Calibri"/>
          <w:sz w:val="24"/>
          <w:szCs w:val="24"/>
        </w:rPr>
        <w:t>no</w:t>
      </w:r>
      <w:proofErr w:type="gramEnd"/>
      <w:r w:rsidRPr="00BB721F">
        <w:rPr>
          <w:rFonts w:ascii="Calibri" w:hAnsi="Calibri"/>
          <w:sz w:val="24"/>
          <w:szCs w:val="24"/>
        </w:rPr>
        <w:t xml:space="preserve">. </w:t>
      </w:r>
      <w:proofErr w:type="gramStart"/>
      <w:r w:rsidRPr="00BB721F">
        <w:rPr>
          <w:rFonts w:ascii="Calibri" w:hAnsi="Calibri"/>
          <w:sz w:val="24"/>
          <w:szCs w:val="24"/>
        </w:rPr>
        <w:t>PER 50</w:t>
      </w:r>
      <w:r>
        <w:rPr>
          <w:rFonts w:ascii="Calibri" w:hAnsi="Calibri"/>
          <w:sz w:val="24"/>
          <w:szCs w:val="24"/>
        </w:rPr>
        <w:t>, AIHW, Canberra</w:t>
      </w:r>
      <w:r w:rsidRPr="00BB721F">
        <w:rPr>
          <w:rFonts w:ascii="Calibri" w:hAnsi="Calibri"/>
          <w:sz w:val="24"/>
          <w:szCs w:val="24"/>
        </w:rPr>
        <w:t>.</w:t>
      </w:r>
      <w:proofErr w:type="gramEnd"/>
    </w:p>
    <w:p w:rsidR="00554BB2" w:rsidRDefault="00554BB2" w:rsidP="00554BB2">
      <w:pPr>
        <w:tabs>
          <w:tab w:val="left" w:pos="2410"/>
        </w:tabs>
        <w:spacing w:after="200"/>
        <w:rPr>
          <w:rFonts w:ascii="Calibri" w:hAnsi="Calibri"/>
          <w:sz w:val="24"/>
          <w:szCs w:val="24"/>
        </w:rPr>
      </w:pPr>
      <w:r w:rsidRPr="00BB721F">
        <w:rPr>
          <w:rFonts w:ascii="Calibri" w:hAnsi="Calibri"/>
          <w:sz w:val="24"/>
          <w:szCs w:val="24"/>
        </w:rPr>
        <w:t>Li</w:t>
      </w:r>
      <w:r w:rsidR="00380BE5">
        <w:rPr>
          <w:rFonts w:ascii="Calibri" w:hAnsi="Calibri"/>
          <w:sz w:val="24"/>
          <w:szCs w:val="24"/>
        </w:rPr>
        <w:t>,</w:t>
      </w:r>
      <w:r w:rsidRPr="00BB721F">
        <w:rPr>
          <w:rFonts w:ascii="Calibri" w:hAnsi="Calibri"/>
          <w:sz w:val="24"/>
          <w:szCs w:val="24"/>
        </w:rPr>
        <w:t xml:space="preserve"> Z, McNally</w:t>
      </w:r>
      <w:r w:rsidR="00380BE5">
        <w:rPr>
          <w:rFonts w:ascii="Calibri" w:hAnsi="Calibri"/>
          <w:sz w:val="24"/>
          <w:szCs w:val="24"/>
        </w:rPr>
        <w:t>,</w:t>
      </w:r>
      <w:r w:rsidRPr="00BB721F">
        <w:rPr>
          <w:rFonts w:ascii="Calibri" w:hAnsi="Calibri"/>
          <w:sz w:val="24"/>
          <w:szCs w:val="24"/>
        </w:rPr>
        <w:t xml:space="preserve"> L, </w:t>
      </w:r>
      <w:proofErr w:type="spellStart"/>
      <w:r w:rsidRPr="00BB721F">
        <w:rPr>
          <w:rFonts w:ascii="Calibri" w:hAnsi="Calibri"/>
          <w:sz w:val="24"/>
          <w:szCs w:val="24"/>
        </w:rPr>
        <w:t>Hilder</w:t>
      </w:r>
      <w:proofErr w:type="spellEnd"/>
      <w:r w:rsidR="00380BE5">
        <w:rPr>
          <w:rFonts w:ascii="Calibri" w:hAnsi="Calibri"/>
          <w:sz w:val="24"/>
          <w:szCs w:val="24"/>
        </w:rPr>
        <w:t>,</w:t>
      </w:r>
      <w:r w:rsidRPr="00BB721F">
        <w:rPr>
          <w:rFonts w:ascii="Calibri" w:hAnsi="Calibri"/>
          <w:sz w:val="24"/>
          <w:szCs w:val="24"/>
        </w:rPr>
        <w:t xml:space="preserve"> L </w:t>
      </w:r>
      <w:r>
        <w:rPr>
          <w:rFonts w:ascii="Calibri" w:hAnsi="Calibri"/>
          <w:sz w:val="24"/>
          <w:szCs w:val="24"/>
        </w:rPr>
        <w:t>and</w:t>
      </w:r>
      <w:r w:rsidRPr="00BB721F">
        <w:rPr>
          <w:rFonts w:ascii="Calibri" w:hAnsi="Calibri"/>
          <w:sz w:val="24"/>
          <w:szCs w:val="24"/>
        </w:rPr>
        <w:t xml:space="preserve"> Sullivan</w:t>
      </w:r>
      <w:r w:rsidR="00380BE5">
        <w:rPr>
          <w:rFonts w:ascii="Calibri" w:hAnsi="Calibri"/>
          <w:sz w:val="24"/>
          <w:szCs w:val="24"/>
        </w:rPr>
        <w:t>,</w:t>
      </w:r>
      <w:r w:rsidRPr="00BB721F">
        <w:rPr>
          <w:rFonts w:ascii="Calibri" w:hAnsi="Calibri"/>
          <w:sz w:val="24"/>
          <w:szCs w:val="24"/>
        </w:rPr>
        <w:t xml:space="preserve"> EA 2011</w:t>
      </w:r>
      <w:r>
        <w:rPr>
          <w:rFonts w:ascii="Calibri" w:hAnsi="Calibri"/>
          <w:sz w:val="24"/>
          <w:szCs w:val="24"/>
        </w:rPr>
        <w:t xml:space="preserve">, </w:t>
      </w:r>
      <w:r w:rsidRPr="00187E90">
        <w:rPr>
          <w:rFonts w:ascii="Calibri" w:hAnsi="Calibri"/>
          <w:i/>
          <w:sz w:val="24"/>
          <w:szCs w:val="24"/>
        </w:rPr>
        <w:t>Australia’s mothers and babies 2009</w:t>
      </w:r>
      <w:r>
        <w:rPr>
          <w:rFonts w:ascii="Calibri" w:hAnsi="Calibri"/>
          <w:sz w:val="24"/>
          <w:szCs w:val="24"/>
        </w:rPr>
        <w:t>, P</w:t>
      </w:r>
      <w:r w:rsidRPr="00BB721F">
        <w:rPr>
          <w:rFonts w:ascii="Calibri" w:hAnsi="Calibri"/>
          <w:sz w:val="24"/>
          <w:szCs w:val="24"/>
        </w:rPr>
        <w:t>erinatal statistics series no. 25</w:t>
      </w:r>
      <w:r>
        <w:rPr>
          <w:rFonts w:ascii="Calibri" w:hAnsi="Calibri"/>
          <w:sz w:val="24"/>
          <w:szCs w:val="24"/>
        </w:rPr>
        <w:t>, c</w:t>
      </w:r>
      <w:r w:rsidRPr="00BB721F">
        <w:rPr>
          <w:rFonts w:ascii="Calibri" w:hAnsi="Calibri"/>
          <w:sz w:val="24"/>
          <w:szCs w:val="24"/>
        </w:rPr>
        <w:t xml:space="preserve">at. </w:t>
      </w:r>
      <w:proofErr w:type="gramStart"/>
      <w:r w:rsidRPr="00BB721F">
        <w:rPr>
          <w:rFonts w:ascii="Calibri" w:hAnsi="Calibri"/>
          <w:sz w:val="24"/>
          <w:szCs w:val="24"/>
        </w:rPr>
        <w:t>no</w:t>
      </w:r>
      <w:proofErr w:type="gramEnd"/>
      <w:r w:rsidRPr="00BB721F">
        <w:rPr>
          <w:rFonts w:ascii="Calibri" w:hAnsi="Calibri"/>
          <w:sz w:val="24"/>
          <w:szCs w:val="24"/>
        </w:rPr>
        <w:t xml:space="preserve">. </w:t>
      </w:r>
      <w:proofErr w:type="gramStart"/>
      <w:r w:rsidRPr="00BB721F">
        <w:rPr>
          <w:rFonts w:ascii="Calibri" w:hAnsi="Calibri"/>
          <w:sz w:val="24"/>
          <w:szCs w:val="24"/>
        </w:rPr>
        <w:t>PER 52</w:t>
      </w:r>
      <w:r>
        <w:rPr>
          <w:rFonts w:ascii="Calibri" w:hAnsi="Calibri"/>
          <w:sz w:val="24"/>
          <w:szCs w:val="24"/>
        </w:rPr>
        <w:t xml:space="preserve">, </w:t>
      </w:r>
      <w:r w:rsidRPr="00BB721F">
        <w:rPr>
          <w:rFonts w:ascii="Calibri" w:hAnsi="Calibri"/>
          <w:sz w:val="24"/>
          <w:szCs w:val="24"/>
        </w:rPr>
        <w:t>AIHW National Perinatal Epidemiology and Statistics Unit</w:t>
      </w:r>
      <w:r>
        <w:rPr>
          <w:rFonts w:ascii="Calibri" w:hAnsi="Calibri"/>
          <w:sz w:val="24"/>
          <w:szCs w:val="24"/>
        </w:rPr>
        <w:t xml:space="preserve">, </w:t>
      </w:r>
      <w:r w:rsidRPr="00BB721F">
        <w:rPr>
          <w:rFonts w:ascii="Calibri" w:hAnsi="Calibri"/>
          <w:sz w:val="24"/>
          <w:szCs w:val="24"/>
        </w:rPr>
        <w:t>Sydney</w:t>
      </w:r>
      <w:r>
        <w:rPr>
          <w:rFonts w:ascii="Calibri" w:hAnsi="Calibri"/>
          <w:sz w:val="24"/>
          <w:szCs w:val="24"/>
        </w:rPr>
        <w:t>.</w:t>
      </w:r>
      <w:proofErr w:type="gramEnd"/>
      <w:r w:rsidRPr="00BB721F">
        <w:rPr>
          <w:rFonts w:ascii="Calibri" w:hAnsi="Calibri"/>
          <w:sz w:val="24"/>
          <w:szCs w:val="24"/>
        </w:rPr>
        <w:t xml:space="preserve"> </w:t>
      </w:r>
    </w:p>
    <w:p w:rsidR="00554BB2" w:rsidRDefault="00554BB2" w:rsidP="00554BB2">
      <w:pPr>
        <w:tabs>
          <w:tab w:val="left" w:pos="2410"/>
        </w:tabs>
        <w:spacing w:after="200"/>
        <w:rPr>
          <w:rFonts w:ascii="Calibri" w:hAnsi="Calibri"/>
          <w:sz w:val="24"/>
          <w:szCs w:val="24"/>
        </w:rPr>
      </w:pPr>
      <w:r w:rsidRPr="00821556">
        <w:rPr>
          <w:rFonts w:ascii="Calibri" w:hAnsi="Calibri"/>
          <w:sz w:val="24"/>
          <w:szCs w:val="24"/>
        </w:rPr>
        <w:t>Li</w:t>
      </w:r>
      <w:r>
        <w:rPr>
          <w:rFonts w:ascii="Calibri" w:hAnsi="Calibri"/>
          <w:sz w:val="24"/>
          <w:szCs w:val="24"/>
        </w:rPr>
        <w:t>,</w:t>
      </w:r>
      <w:r w:rsidRPr="00821556">
        <w:rPr>
          <w:rFonts w:ascii="Calibri" w:hAnsi="Calibri"/>
          <w:sz w:val="24"/>
          <w:szCs w:val="24"/>
        </w:rPr>
        <w:t xml:space="preserve"> Z, </w:t>
      </w:r>
      <w:proofErr w:type="spellStart"/>
      <w:r>
        <w:rPr>
          <w:rFonts w:ascii="Calibri" w:hAnsi="Calibri"/>
          <w:sz w:val="24"/>
          <w:szCs w:val="24"/>
        </w:rPr>
        <w:t>Zeki</w:t>
      </w:r>
      <w:proofErr w:type="spellEnd"/>
      <w:r>
        <w:rPr>
          <w:rFonts w:ascii="Calibri" w:hAnsi="Calibri"/>
          <w:sz w:val="24"/>
          <w:szCs w:val="24"/>
        </w:rPr>
        <w:t xml:space="preserve">, R, </w:t>
      </w:r>
      <w:proofErr w:type="spellStart"/>
      <w:r w:rsidRPr="00821556">
        <w:rPr>
          <w:rFonts w:ascii="Calibri" w:hAnsi="Calibri"/>
          <w:sz w:val="24"/>
          <w:szCs w:val="24"/>
        </w:rPr>
        <w:t>Hilder</w:t>
      </w:r>
      <w:proofErr w:type="spellEnd"/>
      <w:r>
        <w:rPr>
          <w:rFonts w:ascii="Calibri" w:hAnsi="Calibri"/>
          <w:sz w:val="24"/>
          <w:szCs w:val="24"/>
        </w:rPr>
        <w:t>,</w:t>
      </w:r>
      <w:r w:rsidRPr="00821556">
        <w:rPr>
          <w:rFonts w:ascii="Calibri" w:hAnsi="Calibri"/>
          <w:sz w:val="24"/>
          <w:szCs w:val="24"/>
        </w:rPr>
        <w:t xml:space="preserve"> L </w:t>
      </w:r>
      <w:r>
        <w:rPr>
          <w:rFonts w:ascii="Calibri" w:hAnsi="Calibri"/>
          <w:sz w:val="24"/>
          <w:szCs w:val="24"/>
        </w:rPr>
        <w:t>and</w:t>
      </w:r>
      <w:r w:rsidRPr="00821556">
        <w:rPr>
          <w:rFonts w:ascii="Calibri" w:hAnsi="Calibri"/>
          <w:sz w:val="24"/>
          <w:szCs w:val="24"/>
        </w:rPr>
        <w:t xml:space="preserve"> Sullivan</w:t>
      </w:r>
      <w:r>
        <w:rPr>
          <w:rFonts w:ascii="Calibri" w:hAnsi="Calibri"/>
          <w:sz w:val="24"/>
          <w:szCs w:val="24"/>
        </w:rPr>
        <w:t>,</w:t>
      </w:r>
      <w:r w:rsidRPr="00821556">
        <w:rPr>
          <w:rFonts w:ascii="Calibri" w:hAnsi="Calibri"/>
          <w:sz w:val="24"/>
          <w:szCs w:val="24"/>
        </w:rPr>
        <w:t xml:space="preserve"> EA 201</w:t>
      </w:r>
      <w:r>
        <w:rPr>
          <w:rFonts w:ascii="Calibri" w:hAnsi="Calibri"/>
          <w:sz w:val="24"/>
          <w:szCs w:val="24"/>
        </w:rPr>
        <w:t>2,</w:t>
      </w:r>
      <w:r w:rsidRPr="00821556">
        <w:rPr>
          <w:rFonts w:ascii="Calibri" w:hAnsi="Calibri"/>
          <w:sz w:val="24"/>
          <w:szCs w:val="24"/>
        </w:rPr>
        <w:t xml:space="preserve"> </w:t>
      </w:r>
      <w:r w:rsidRPr="00322972">
        <w:rPr>
          <w:rFonts w:ascii="Calibri" w:hAnsi="Calibri"/>
          <w:i/>
          <w:sz w:val="24"/>
          <w:szCs w:val="24"/>
        </w:rPr>
        <w:t>Australia’s mothers and babies 20</w:t>
      </w:r>
      <w:r>
        <w:rPr>
          <w:rFonts w:ascii="Calibri" w:hAnsi="Calibri"/>
          <w:i/>
          <w:sz w:val="24"/>
          <w:szCs w:val="24"/>
        </w:rPr>
        <w:t>10</w:t>
      </w:r>
      <w:r>
        <w:rPr>
          <w:rFonts w:ascii="Calibri" w:hAnsi="Calibri"/>
          <w:sz w:val="24"/>
          <w:szCs w:val="24"/>
        </w:rPr>
        <w:t>,</w:t>
      </w:r>
      <w:r w:rsidRPr="00821556">
        <w:rPr>
          <w:rFonts w:ascii="Calibri" w:hAnsi="Calibri"/>
          <w:sz w:val="24"/>
          <w:szCs w:val="24"/>
        </w:rPr>
        <w:t xml:space="preserve"> </w:t>
      </w:r>
      <w:proofErr w:type="gramStart"/>
      <w:r w:rsidRPr="00821556">
        <w:rPr>
          <w:rFonts w:ascii="Calibri" w:hAnsi="Calibri"/>
          <w:sz w:val="24"/>
          <w:szCs w:val="24"/>
        </w:rPr>
        <w:t>Perinatal</w:t>
      </w:r>
      <w:proofErr w:type="gramEnd"/>
      <w:r w:rsidRPr="00821556">
        <w:rPr>
          <w:rFonts w:ascii="Calibri" w:hAnsi="Calibri"/>
          <w:sz w:val="24"/>
          <w:szCs w:val="24"/>
        </w:rPr>
        <w:t xml:space="preserve"> statistics series no. 2</w:t>
      </w:r>
      <w:r>
        <w:rPr>
          <w:rFonts w:ascii="Calibri" w:hAnsi="Calibri"/>
          <w:sz w:val="24"/>
          <w:szCs w:val="24"/>
        </w:rPr>
        <w:t>7, c</w:t>
      </w:r>
      <w:r w:rsidRPr="00821556">
        <w:rPr>
          <w:rFonts w:ascii="Calibri" w:hAnsi="Calibri"/>
          <w:sz w:val="24"/>
          <w:szCs w:val="24"/>
        </w:rPr>
        <w:t xml:space="preserve">at. </w:t>
      </w:r>
      <w:proofErr w:type="gramStart"/>
      <w:r w:rsidRPr="00821556">
        <w:rPr>
          <w:rFonts w:ascii="Calibri" w:hAnsi="Calibri"/>
          <w:sz w:val="24"/>
          <w:szCs w:val="24"/>
        </w:rPr>
        <w:t>no</w:t>
      </w:r>
      <w:proofErr w:type="gramEnd"/>
      <w:r w:rsidRPr="00821556">
        <w:rPr>
          <w:rFonts w:ascii="Calibri" w:hAnsi="Calibri"/>
          <w:sz w:val="24"/>
          <w:szCs w:val="24"/>
        </w:rPr>
        <w:t xml:space="preserve">. </w:t>
      </w:r>
      <w:proofErr w:type="gramStart"/>
      <w:r w:rsidRPr="00821556">
        <w:rPr>
          <w:rFonts w:ascii="Calibri" w:hAnsi="Calibri"/>
          <w:sz w:val="24"/>
          <w:szCs w:val="24"/>
        </w:rPr>
        <w:t>PER 5</w:t>
      </w:r>
      <w:r>
        <w:rPr>
          <w:rFonts w:ascii="Calibri" w:hAnsi="Calibri"/>
          <w:sz w:val="24"/>
          <w:szCs w:val="24"/>
        </w:rPr>
        <w:t>7,</w:t>
      </w:r>
      <w:r w:rsidRPr="00821556">
        <w:rPr>
          <w:rFonts w:ascii="Calibri" w:hAnsi="Calibri"/>
          <w:sz w:val="24"/>
          <w:szCs w:val="24"/>
        </w:rPr>
        <w:t xml:space="preserve"> AIHW National Perinatal Epidemiology and Statistics Unit</w:t>
      </w:r>
      <w:r>
        <w:rPr>
          <w:rFonts w:ascii="Calibri" w:hAnsi="Calibri"/>
          <w:sz w:val="24"/>
          <w:szCs w:val="24"/>
        </w:rPr>
        <w:t>, Sydney</w:t>
      </w:r>
      <w:r w:rsidRPr="00821556">
        <w:rPr>
          <w:rFonts w:ascii="Calibri" w:hAnsi="Calibri"/>
          <w:sz w:val="24"/>
          <w:szCs w:val="24"/>
        </w:rPr>
        <w:t>.</w:t>
      </w:r>
      <w:proofErr w:type="gramEnd"/>
    </w:p>
    <w:p w:rsidR="005F59D1" w:rsidRPr="005F59D1" w:rsidRDefault="005F59D1" w:rsidP="005F59D1">
      <w:pPr>
        <w:tabs>
          <w:tab w:val="left" w:pos="2410"/>
        </w:tabs>
        <w:spacing w:after="200"/>
        <w:rPr>
          <w:rFonts w:ascii="Calibri" w:hAnsi="Calibri"/>
          <w:sz w:val="24"/>
          <w:szCs w:val="24"/>
        </w:rPr>
      </w:pPr>
      <w:r w:rsidRPr="005F59D1">
        <w:rPr>
          <w:rFonts w:ascii="Calibri" w:hAnsi="Calibri"/>
          <w:sz w:val="24"/>
          <w:szCs w:val="24"/>
        </w:rPr>
        <w:t>McArthur</w:t>
      </w:r>
      <w:r>
        <w:rPr>
          <w:rFonts w:ascii="Calibri" w:hAnsi="Calibri"/>
          <w:sz w:val="24"/>
          <w:szCs w:val="24"/>
        </w:rPr>
        <w:t xml:space="preserve">, M and </w:t>
      </w:r>
      <w:r w:rsidRPr="005F59D1">
        <w:rPr>
          <w:rFonts w:ascii="Calibri" w:hAnsi="Calibri"/>
          <w:sz w:val="24"/>
          <w:szCs w:val="24"/>
        </w:rPr>
        <w:t>Thomson</w:t>
      </w:r>
      <w:r>
        <w:rPr>
          <w:rFonts w:ascii="Calibri" w:hAnsi="Calibri"/>
          <w:sz w:val="24"/>
          <w:szCs w:val="24"/>
        </w:rPr>
        <w:t xml:space="preserve">, L 2012, </w:t>
      </w:r>
      <w:r w:rsidRPr="00F63A38">
        <w:rPr>
          <w:rFonts w:ascii="Calibri" w:hAnsi="Calibri" w:cs="Calibri"/>
          <w:i/>
          <w:sz w:val="24"/>
          <w:szCs w:val="24"/>
        </w:rPr>
        <w:t>National Analysis of Workforce Trends in Statutory Child Protection</w:t>
      </w:r>
      <w:r>
        <w:rPr>
          <w:rFonts w:ascii="Calibri" w:hAnsi="Calibri" w:cs="Calibri"/>
          <w:i/>
          <w:sz w:val="24"/>
          <w:szCs w:val="24"/>
        </w:rPr>
        <w:t xml:space="preserve">, </w:t>
      </w:r>
      <w:r w:rsidRPr="005F59D1">
        <w:rPr>
          <w:rFonts w:ascii="Calibri" w:hAnsi="Calibri" w:cs="Calibri"/>
          <w:sz w:val="24"/>
          <w:szCs w:val="24"/>
        </w:rPr>
        <w:t>produced for CDSMAC</w:t>
      </w:r>
      <w:r>
        <w:rPr>
          <w:rFonts w:ascii="Calibri" w:hAnsi="Calibri" w:cs="Calibri"/>
          <w:sz w:val="24"/>
          <w:szCs w:val="24"/>
        </w:rPr>
        <w:t xml:space="preserve"> by the</w:t>
      </w:r>
      <w:r w:rsidRPr="005F59D1">
        <w:rPr>
          <w:rFonts w:ascii="Calibri" w:hAnsi="Calibri"/>
          <w:sz w:val="24"/>
          <w:szCs w:val="24"/>
        </w:rPr>
        <w:t xml:space="preserve"> Institute of Child Protection Studies</w:t>
      </w:r>
      <w:r>
        <w:rPr>
          <w:rFonts w:ascii="Calibri" w:hAnsi="Calibri"/>
          <w:sz w:val="24"/>
          <w:szCs w:val="24"/>
        </w:rPr>
        <w:t xml:space="preserve">, ACU, </w:t>
      </w:r>
      <w:proofErr w:type="gramStart"/>
      <w:r>
        <w:rPr>
          <w:rFonts w:ascii="Calibri" w:hAnsi="Calibri"/>
          <w:sz w:val="24"/>
          <w:szCs w:val="24"/>
        </w:rPr>
        <w:t>Canberra</w:t>
      </w:r>
      <w:proofErr w:type="gramEnd"/>
      <w:r>
        <w:rPr>
          <w:rFonts w:ascii="Calibri" w:hAnsi="Calibri"/>
          <w:sz w:val="24"/>
          <w:szCs w:val="24"/>
        </w:rPr>
        <w:t>.</w:t>
      </w:r>
    </w:p>
    <w:p w:rsidR="00083BB0" w:rsidRDefault="00083BB0" w:rsidP="005F59D1">
      <w:pPr>
        <w:tabs>
          <w:tab w:val="left" w:pos="2410"/>
        </w:tabs>
        <w:spacing w:after="200"/>
        <w:rPr>
          <w:rFonts w:ascii="Calibri" w:hAnsi="Calibri"/>
          <w:sz w:val="24"/>
          <w:szCs w:val="24"/>
        </w:rPr>
      </w:pPr>
      <w:proofErr w:type="gramStart"/>
      <w:r w:rsidRPr="00083BB0">
        <w:rPr>
          <w:rFonts w:ascii="Calibri" w:hAnsi="Calibri"/>
          <w:sz w:val="24"/>
          <w:szCs w:val="24"/>
        </w:rPr>
        <w:t>Martin</w:t>
      </w:r>
      <w:r>
        <w:rPr>
          <w:rFonts w:ascii="Calibri" w:hAnsi="Calibri"/>
          <w:sz w:val="24"/>
          <w:szCs w:val="24"/>
        </w:rPr>
        <w:t>,</w:t>
      </w:r>
      <w:r w:rsidRPr="00083BB0">
        <w:rPr>
          <w:rFonts w:ascii="Calibri" w:hAnsi="Calibri"/>
          <w:sz w:val="24"/>
          <w:szCs w:val="24"/>
        </w:rPr>
        <w:t xml:space="preserve"> B and Healy, J 2010</w:t>
      </w:r>
      <w:r>
        <w:rPr>
          <w:rFonts w:ascii="Calibri" w:hAnsi="Calibri"/>
          <w:sz w:val="24"/>
          <w:szCs w:val="24"/>
        </w:rPr>
        <w:t>,</w:t>
      </w:r>
      <w:r w:rsidRPr="00083BB0">
        <w:rPr>
          <w:rFonts w:ascii="Calibri" w:hAnsi="Calibri"/>
          <w:sz w:val="24"/>
          <w:szCs w:val="24"/>
        </w:rPr>
        <w:t xml:space="preserve"> </w:t>
      </w:r>
      <w:r w:rsidRPr="00083BB0">
        <w:rPr>
          <w:rFonts w:ascii="Calibri" w:hAnsi="Calibri"/>
          <w:i/>
          <w:sz w:val="24"/>
          <w:szCs w:val="24"/>
        </w:rPr>
        <w:t>Who Works in Community Services?</w:t>
      </w:r>
      <w:proofErr w:type="gramEnd"/>
      <w:r w:rsidRPr="00083BB0">
        <w:rPr>
          <w:rFonts w:ascii="Calibri" w:hAnsi="Calibri"/>
          <w:i/>
          <w:sz w:val="24"/>
          <w:szCs w:val="24"/>
        </w:rPr>
        <w:t xml:space="preserve"> A Profile of Australian Workforces in Child Protection, Juvenile Justice, Disability Services and General Community Services</w:t>
      </w:r>
      <w:r>
        <w:rPr>
          <w:rFonts w:ascii="Calibri" w:hAnsi="Calibri"/>
          <w:i/>
          <w:sz w:val="24"/>
          <w:szCs w:val="24"/>
        </w:rPr>
        <w:t>,</w:t>
      </w:r>
      <w:r w:rsidRPr="00083BB0">
        <w:rPr>
          <w:rFonts w:ascii="Calibri" w:hAnsi="Calibri"/>
          <w:sz w:val="24"/>
          <w:szCs w:val="24"/>
        </w:rPr>
        <w:t xml:space="preserve"> Community and Disability Services Ministerial Advisory Council (CDSMAC)</w:t>
      </w:r>
      <w:r w:rsidR="00614C3B">
        <w:rPr>
          <w:rFonts w:ascii="Calibri" w:hAnsi="Calibri"/>
          <w:sz w:val="24"/>
          <w:szCs w:val="24"/>
        </w:rPr>
        <w:t>, Canberra</w:t>
      </w:r>
      <w:r w:rsidRPr="00083BB0">
        <w:rPr>
          <w:rFonts w:ascii="Calibri" w:hAnsi="Calibri"/>
          <w:sz w:val="24"/>
          <w:szCs w:val="24"/>
        </w:rPr>
        <w:t xml:space="preserve">. </w:t>
      </w:r>
    </w:p>
    <w:p w:rsidR="00554BB2" w:rsidRDefault="00554BB2" w:rsidP="00554BB2">
      <w:pPr>
        <w:tabs>
          <w:tab w:val="left" w:pos="2410"/>
        </w:tabs>
        <w:spacing w:after="200"/>
        <w:rPr>
          <w:rFonts w:ascii="Calibri" w:hAnsi="Calibri"/>
          <w:sz w:val="24"/>
          <w:szCs w:val="24"/>
        </w:rPr>
      </w:pPr>
      <w:r w:rsidRPr="00841313">
        <w:rPr>
          <w:rFonts w:ascii="Calibri" w:hAnsi="Calibri"/>
          <w:sz w:val="24"/>
          <w:szCs w:val="24"/>
        </w:rPr>
        <w:t>National Youth Commission 2008</w:t>
      </w:r>
      <w:r>
        <w:rPr>
          <w:rFonts w:ascii="Calibri" w:hAnsi="Calibri"/>
          <w:sz w:val="24"/>
          <w:szCs w:val="24"/>
        </w:rPr>
        <w:t>,</w:t>
      </w:r>
      <w:r w:rsidRPr="00841313">
        <w:rPr>
          <w:rFonts w:ascii="Calibri" w:hAnsi="Calibri"/>
          <w:sz w:val="24"/>
          <w:szCs w:val="24"/>
        </w:rPr>
        <w:t xml:space="preserve"> </w:t>
      </w:r>
      <w:r w:rsidRPr="00187E90">
        <w:rPr>
          <w:rFonts w:ascii="Calibri" w:hAnsi="Calibri"/>
          <w:i/>
          <w:sz w:val="24"/>
          <w:szCs w:val="24"/>
        </w:rPr>
        <w:t xml:space="preserve">Australia’s homeless youth: a report of the National Youth Commission </w:t>
      </w:r>
      <w:r>
        <w:rPr>
          <w:rFonts w:ascii="Calibri" w:hAnsi="Calibri"/>
          <w:i/>
          <w:sz w:val="24"/>
          <w:szCs w:val="24"/>
        </w:rPr>
        <w:t>Inquiry into Y</w:t>
      </w:r>
      <w:r w:rsidRPr="00187E90">
        <w:rPr>
          <w:rFonts w:ascii="Calibri" w:hAnsi="Calibri"/>
          <w:i/>
          <w:sz w:val="24"/>
          <w:szCs w:val="24"/>
        </w:rPr>
        <w:t>outh Homelessness</w:t>
      </w:r>
      <w:r>
        <w:rPr>
          <w:rFonts w:ascii="Calibri" w:hAnsi="Calibri"/>
          <w:sz w:val="24"/>
          <w:szCs w:val="24"/>
        </w:rPr>
        <w:t xml:space="preserve">, </w:t>
      </w:r>
      <w:r w:rsidRPr="00841313">
        <w:rPr>
          <w:rFonts w:ascii="Calibri" w:hAnsi="Calibri"/>
          <w:sz w:val="24"/>
          <w:szCs w:val="24"/>
        </w:rPr>
        <w:t>National Youth Commission</w:t>
      </w:r>
      <w:r>
        <w:rPr>
          <w:rFonts w:ascii="Calibri" w:hAnsi="Calibri"/>
          <w:sz w:val="24"/>
          <w:szCs w:val="24"/>
        </w:rPr>
        <w:t>,</w:t>
      </w:r>
      <w:r w:rsidRPr="00841313">
        <w:rPr>
          <w:rFonts w:ascii="Calibri" w:hAnsi="Calibri"/>
          <w:sz w:val="24"/>
          <w:szCs w:val="24"/>
        </w:rPr>
        <w:t xml:space="preserve"> </w:t>
      </w:r>
      <w:proofErr w:type="gramStart"/>
      <w:r>
        <w:rPr>
          <w:rFonts w:ascii="Calibri" w:hAnsi="Calibri"/>
          <w:sz w:val="24"/>
          <w:szCs w:val="24"/>
        </w:rPr>
        <w:t>Melbourne</w:t>
      </w:r>
      <w:proofErr w:type="gramEnd"/>
      <w:r w:rsidRPr="00841313">
        <w:rPr>
          <w:rFonts w:ascii="Calibri" w:hAnsi="Calibri"/>
          <w:sz w:val="24"/>
          <w:szCs w:val="24"/>
        </w:rPr>
        <w:t>.</w:t>
      </w:r>
    </w:p>
    <w:p w:rsidR="008E3B24" w:rsidRPr="00524FF8" w:rsidRDefault="008E3B24" w:rsidP="008E3B24">
      <w:pPr>
        <w:spacing w:after="200"/>
        <w:rPr>
          <w:rFonts w:ascii="Calibri" w:hAnsi="Calibri"/>
          <w:sz w:val="24"/>
          <w:szCs w:val="24"/>
        </w:rPr>
      </w:pPr>
      <w:r w:rsidRPr="00524FF8">
        <w:rPr>
          <w:rFonts w:ascii="Calibri" w:hAnsi="Calibri"/>
          <w:sz w:val="24"/>
          <w:szCs w:val="24"/>
        </w:rPr>
        <w:t xml:space="preserve">NSW Department of Community Services 2007, </w:t>
      </w:r>
      <w:r w:rsidRPr="00524FF8">
        <w:rPr>
          <w:rFonts w:ascii="Calibri" w:hAnsi="Calibri"/>
          <w:i/>
          <w:sz w:val="24"/>
          <w:szCs w:val="24"/>
        </w:rPr>
        <w:t>Permanency planning and placement stability</w:t>
      </w:r>
      <w:r w:rsidR="00524FF8">
        <w:rPr>
          <w:rFonts w:ascii="Calibri" w:hAnsi="Calibri"/>
          <w:i/>
          <w:sz w:val="24"/>
          <w:szCs w:val="24"/>
        </w:rPr>
        <w:t xml:space="preserve">, </w:t>
      </w:r>
      <w:r w:rsidRPr="00524FF8">
        <w:rPr>
          <w:rFonts w:ascii="Calibri" w:hAnsi="Calibri"/>
          <w:sz w:val="24"/>
          <w:szCs w:val="24"/>
        </w:rPr>
        <w:t xml:space="preserve">Research to </w:t>
      </w:r>
      <w:r w:rsidR="00524FF8">
        <w:rPr>
          <w:rFonts w:ascii="Calibri" w:hAnsi="Calibri"/>
          <w:sz w:val="24"/>
          <w:szCs w:val="24"/>
        </w:rPr>
        <w:t>P</w:t>
      </w:r>
      <w:r w:rsidRPr="00524FF8">
        <w:rPr>
          <w:rFonts w:ascii="Calibri" w:hAnsi="Calibri"/>
          <w:sz w:val="24"/>
          <w:szCs w:val="24"/>
        </w:rPr>
        <w:t xml:space="preserve">ractice </w:t>
      </w:r>
      <w:r w:rsidR="00524FF8">
        <w:rPr>
          <w:rFonts w:ascii="Calibri" w:hAnsi="Calibri"/>
          <w:sz w:val="24"/>
          <w:szCs w:val="24"/>
        </w:rPr>
        <w:t>N</w:t>
      </w:r>
      <w:r w:rsidRPr="00524FF8">
        <w:rPr>
          <w:rFonts w:ascii="Calibri" w:hAnsi="Calibri"/>
          <w:sz w:val="24"/>
          <w:szCs w:val="24"/>
        </w:rPr>
        <w:t>otes, NSW Department of Community Services, Sydney.</w:t>
      </w:r>
    </w:p>
    <w:p w:rsidR="00554BB2" w:rsidRPr="00853DC2" w:rsidRDefault="00554BB2" w:rsidP="00554BB2">
      <w:pPr>
        <w:tabs>
          <w:tab w:val="left" w:pos="2410"/>
        </w:tabs>
        <w:spacing w:after="200"/>
        <w:rPr>
          <w:rFonts w:ascii="Calibri" w:hAnsi="Calibri"/>
          <w:sz w:val="24"/>
          <w:szCs w:val="24"/>
        </w:rPr>
      </w:pPr>
      <w:proofErr w:type="gramStart"/>
      <w:r>
        <w:rPr>
          <w:rFonts w:ascii="Calibri" w:hAnsi="Calibri"/>
          <w:sz w:val="24"/>
          <w:szCs w:val="24"/>
        </w:rPr>
        <w:t>Osborn</w:t>
      </w:r>
      <w:r w:rsidR="007F52DE">
        <w:rPr>
          <w:rFonts w:ascii="Calibri" w:hAnsi="Calibri"/>
          <w:sz w:val="24"/>
          <w:szCs w:val="24"/>
        </w:rPr>
        <w:t>,</w:t>
      </w:r>
      <w:r>
        <w:rPr>
          <w:rFonts w:ascii="Calibri" w:hAnsi="Calibri"/>
          <w:sz w:val="24"/>
          <w:szCs w:val="24"/>
        </w:rPr>
        <w:t xml:space="preserve"> A and Bromfield</w:t>
      </w:r>
      <w:r w:rsidR="007F52DE">
        <w:rPr>
          <w:rFonts w:ascii="Calibri" w:hAnsi="Calibri"/>
          <w:sz w:val="24"/>
          <w:szCs w:val="24"/>
        </w:rPr>
        <w:t>,</w:t>
      </w:r>
      <w:r>
        <w:rPr>
          <w:rFonts w:ascii="Calibri" w:hAnsi="Calibri"/>
          <w:sz w:val="24"/>
          <w:szCs w:val="24"/>
        </w:rPr>
        <w:t xml:space="preserve"> L 2007, </w:t>
      </w:r>
      <w:r>
        <w:rPr>
          <w:rFonts w:ascii="Calibri" w:hAnsi="Calibri"/>
          <w:i/>
          <w:sz w:val="24"/>
          <w:szCs w:val="24"/>
        </w:rPr>
        <w:t>Outcomes for children and young people in care</w:t>
      </w:r>
      <w:r>
        <w:rPr>
          <w:rFonts w:ascii="Calibri" w:hAnsi="Calibri"/>
          <w:sz w:val="24"/>
          <w:szCs w:val="24"/>
        </w:rPr>
        <w:t xml:space="preserve">, </w:t>
      </w:r>
      <w:r w:rsidRPr="00821556">
        <w:rPr>
          <w:rFonts w:ascii="Calibri" w:hAnsi="Calibri"/>
          <w:sz w:val="24"/>
          <w:szCs w:val="24"/>
        </w:rPr>
        <w:t>Australian Institute of Family Studies</w:t>
      </w:r>
      <w:r>
        <w:rPr>
          <w:rFonts w:ascii="Calibri" w:hAnsi="Calibri"/>
          <w:sz w:val="24"/>
          <w:szCs w:val="24"/>
        </w:rPr>
        <w:t>, Melbourne.</w:t>
      </w:r>
      <w:proofErr w:type="gramEnd"/>
    </w:p>
    <w:p w:rsidR="00540D18" w:rsidRDefault="00540D18" w:rsidP="00540D18">
      <w:pPr>
        <w:tabs>
          <w:tab w:val="left" w:pos="2410"/>
        </w:tabs>
        <w:spacing w:after="200"/>
        <w:rPr>
          <w:rFonts w:ascii="Calibri" w:hAnsi="Calibri"/>
          <w:sz w:val="24"/>
          <w:szCs w:val="24"/>
        </w:rPr>
      </w:pPr>
      <w:r>
        <w:rPr>
          <w:rFonts w:ascii="Calibri" w:hAnsi="Calibri"/>
          <w:sz w:val="24"/>
          <w:szCs w:val="24"/>
        </w:rPr>
        <w:t>Price-Robertson</w:t>
      </w:r>
      <w:r w:rsidR="007F52DE">
        <w:rPr>
          <w:rFonts w:ascii="Calibri" w:hAnsi="Calibri"/>
          <w:sz w:val="24"/>
          <w:szCs w:val="24"/>
        </w:rPr>
        <w:t>,</w:t>
      </w:r>
      <w:r>
        <w:rPr>
          <w:rFonts w:ascii="Calibri" w:hAnsi="Calibri"/>
          <w:sz w:val="24"/>
          <w:szCs w:val="24"/>
        </w:rPr>
        <w:t xml:space="preserve"> R, Bromfield, L and </w:t>
      </w:r>
      <w:proofErr w:type="spellStart"/>
      <w:r>
        <w:rPr>
          <w:rFonts w:ascii="Calibri" w:hAnsi="Calibri"/>
          <w:sz w:val="24"/>
          <w:szCs w:val="24"/>
        </w:rPr>
        <w:t>Vassallo</w:t>
      </w:r>
      <w:proofErr w:type="spellEnd"/>
      <w:r>
        <w:rPr>
          <w:rFonts w:ascii="Calibri" w:hAnsi="Calibri"/>
          <w:sz w:val="24"/>
          <w:szCs w:val="24"/>
        </w:rPr>
        <w:t>,</w:t>
      </w:r>
      <w:r w:rsidRPr="009263B9">
        <w:rPr>
          <w:rFonts w:ascii="Calibri" w:hAnsi="Calibri"/>
          <w:sz w:val="24"/>
          <w:szCs w:val="24"/>
        </w:rPr>
        <w:t xml:space="preserve"> S 2010, </w:t>
      </w:r>
      <w:proofErr w:type="gramStart"/>
      <w:r w:rsidRPr="00187E90">
        <w:rPr>
          <w:rFonts w:ascii="Calibri" w:hAnsi="Calibri"/>
          <w:i/>
          <w:sz w:val="24"/>
          <w:szCs w:val="24"/>
        </w:rPr>
        <w:t>The</w:t>
      </w:r>
      <w:proofErr w:type="gramEnd"/>
      <w:r w:rsidRPr="00187E90">
        <w:rPr>
          <w:rFonts w:ascii="Calibri" w:hAnsi="Calibri"/>
          <w:i/>
          <w:sz w:val="24"/>
          <w:szCs w:val="24"/>
        </w:rPr>
        <w:t xml:space="preserve"> prevalence of child abuse and neglect</w:t>
      </w:r>
      <w:r w:rsidRPr="009263B9">
        <w:rPr>
          <w:rFonts w:ascii="Calibri" w:hAnsi="Calibri"/>
          <w:sz w:val="24"/>
          <w:szCs w:val="24"/>
        </w:rPr>
        <w:t>, Australian Institute of Family Studies, Melbourne.</w:t>
      </w:r>
    </w:p>
    <w:p w:rsidR="00554BB2" w:rsidRDefault="00554BB2" w:rsidP="00554BB2">
      <w:pPr>
        <w:tabs>
          <w:tab w:val="left" w:pos="2410"/>
        </w:tabs>
        <w:spacing w:after="200"/>
        <w:rPr>
          <w:rFonts w:ascii="Calibri" w:hAnsi="Calibri"/>
          <w:sz w:val="24"/>
          <w:szCs w:val="24"/>
        </w:rPr>
      </w:pPr>
      <w:r w:rsidRPr="00841313">
        <w:rPr>
          <w:rFonts w:ascii="Calibri" w:hAnsi="Calibri"/>
          <w:sz w:val="24"/>
          <w:szCs w:val="24"/>
        </w:rPr>
        <w:t>Prichard</w:t>
      </w:r>
      <w:r w:rsidR="007F52DE">
        <w:rPr>
          <w:rFonts w:ascii="Calibri" w:hAnsi="Calibri"/>
          <w:sz w:val="24"/>
          <w:szCs w:val="24"/>
        </w:rPr>
        <w:t>,</w:t>
      </w:r>
      <w:r w:rsidRPr="00841313">
        <w:rPr>
          <w:rFonts w:ascii="Calibri" w:hAnsi="Calibri"/>
          <w:sz w:val="24"/>
          <w:szCs w:val="24"/>
        </w:rPr>
        <w:t xml:space="preserve"> J </w:t>
      </w:r>
      <w:r>
        <w:rPr>
          <w:rFonts w:ascii="Calibri" w:hAnsi="Calibri"/>
          <w:sz w:val="24"/>
          <w:szCs w:val="24"/>
        </w:rPr>
        <w:t>and</w:t>
      </w:r>
      <w:r w:rsidRPr="00841313">
        <w:rPr>
          <w:rFonts w:ascii="Calibri" w:hAnsi="Calibri"/>
          <w:sz w:val="24"/>
          <w:szCs w:val="24"/>
        </w:rPr>
        <w:t xml:space="preserve"> Payne</w:t>
      </w:r>
      <w:r w:rsidR="007F52DE">
        <w:rPr>
          <w:rFonts w:ascii="Calibri" w:hAnsi="Calibri"/>
          <w:sz w:val="24"/>
          <w:szCs w:val="24"/>
        </w:rPr>
        <w:t>,</w:t>
      </w:r>
      <w:r w:rsidRPr="00841313">
        <w:rPr>
          <w:rFonts w:ascii="Calibri" w:hAnsi="Calibri"/>
          <w:sz w:val="24"/>
          <w:szCs w:val="24"/>
        </w:rPr>
        <w:t xml:space="preserve"> J 2005</w:t>
      </w:r>
      <w:r>
        <w:rPr>
          <w:rFonts w:ascii="Calibri" w:hAnsi="Calibri"/>
          <w:sz w:val="24"/>
          <w:szCs w:val="24"/>
        </w:rPr>
        <w:t xml:space="preserve">, </w:t>
      </w:r>
      <w:r w:rsidRPr="004059EC">
        <w:rPr>
          <w:rFonts w:ascii="Calibri" w:hAnsi="Calibri"/>
          <w:i/>
          <w:sz w:val="24"/>
          <w:szCs w:val="24"/>
        </w:rPr>
        <w:t>Alcohol, drugs and crime: a study of juveniles in detention</w:t>
      </w:r>
      <w:r>
        <w:rPr>
          <w:rFonts w:ascii="Calibri" w:hAnsi="Calibri"/>
          <w:sz w:val="24"/>
          <w:szCs w:val="24"/>
        </w:rPr>
        <w:t xml:space="preserve">, </w:t>
      </w:r>
      <w:r w:rsidRPr="00841313">
        <w:rPr>
          <w:rFonts w:ascii="Calibri" w:hAnsi="Calibri"/>
          <w:sz w:val="24"/>
          <w:szCs w:val="24"/>
        </w:rPr>
        <w:t>Research and public</w:t>
      </w:r>
      <w:r>
        <w:rPr>
          <w:rFonts w:ascii="Calibri" w:hAnsi="Calibri"/>
          <w:sz w:val="24"/>
          <w:szCs w:val="24"/>
        </w:rPr>
        <w:t xml:space="preserve"> </w:t>
      </w:r>
      <w:r w:rsidRPr="00841313">
        <w:rPr>
          <w:rFonts w:ascii="Calibri" w:hAnsi="Calibri"/>
          <w:sz w:val="24"/>
          <w:szCs w:val="24"/>
        </w:rPr>
        <w:t>policy series no. 67</w:t>
      </w:r>
      <w:r>
        <w:rPr>
          <w:rFonts w:ascii="Calibri" w:hAnsi="Calibri"/>
          <w:sz w:val="24"/>
          <w:szCs w:val="24"/>
        </w:rPr>
        <w:t xml:space="preserve">, </w:t>
      </w:r>
      <w:r w:rsidRPr="00841313">
        <w:rPr>
          <w:rFonts w:ascii="Calibri" w:hAnsi="Calibri"/>
          <w:sz w:val="24"/>
          <w:szCs w:val="24"/>
        </w:rPr>
        <w:t>Australian Institute of Criminology</w:t>
      </w:r>
      <w:r>
        <w:rPr>
          <w:rFonts w:ascii="Calibri" w:hAnsi="Calibri"/>
          <w:sz w:val="24"/>
          <w:szCs w:val="24"/>
        </w:rPr>
        <w:t>,</w:t>
      </w:r>
      <w:r w:rsidRPr="00841313">
        <w:rPr>
          <w:rFonts w:ascii="Calibri" w:hAnsi="Calibri"/>
          <w:sz w:val="24"/>
          <w:szCs w:val="24"/>
        </w:rPr>
        <w:t xml:space="preserve"> </w:t>
      </w:r>
      <w:r>
        <w:rPr>
          <w:rFonts w:ascii="Calibri" w:hAnsi="Calibri"/>
          <w:sz w:val="24"/>
          <w:szCs w:val="24"/>
        </w:rPr>
        <w:t>Canberra</w:t>
      </w:r>
      <w:r w:rsidRPr="00841313">
        <w:rPr>
          <w:rFonts w:ascii="Calibri" w:hAnsi="Calibri"/>
          <w:sz w:val="24"/>
          <w:szCs w:val="24"/>
        </w:rPr>
        <w:t>.</w:t>
      </w:r>
    </w:p>
    <w:p w:rsidR="00554BB2" w:rsidRDefault="00554BB2" w:rsidP="00554BB2">
      <w:pPr>
        <w:tabs>
          <w:tab w:val="left" w:pos="2410"/>
        </w:tabs>
        <w:spacing w:after="200"/>
        <w:rPr>
          <w:rFonts w:ascii="Calibri" w:hAnsi="Calibri"/>
          <w:sz w:val="24"/>
          <w:szCs w:val="24"/>
        </w:rPr>
      </w:pPr>
      <w:proofErr w:type="spellStart"/>
      <w:proofErr w:type="gramStart"/>
      <w:r w:rsidRPr="00A201A1">
        <w:rPr>
          <w:rFonts w:ascii="Calibri" w:hAnsi="Calibri"/>
          <w:sz w:val="24"/>
          <w:szCs w:val="24"/>
        </w:rPr>
        <w:t>Shek</w:t>
      </w:r>
      <w:proofErr w:type="spellEnd"/>
      <w:r w:rsidR="007F52DE">
        <w:rPr>
          <w:rFonts w:ascii="Calibri" w:hAnsi="Calibri"/>
          <w:sz w:val="24"/>
          <w:szCs w:val="24"/>
        </w:rPr>
        <w:t>,</w:t>
      </w:r>
      <w:r w:rsidRPr="00A201A1">
        <w:rPr>
          <w:rFonts w:ascii="Calibri" w:hAnsi="Calibri"/>
          <w:sz w:val="24"/>
          <w:szCs w:val="24"/>
        </w:rPr>
        <w:t xml:space="preserve"> D 2002</w:t>
      </w:r>
      <w:r>
        <w:rPr>
          <w:rFonts w:ascii="Calibri" w:hAnsi="Calibri"/>
          <w:sz w:val="24"/>
          <w:szCs w:val="24"/>
        </w:rPr>
        <w:t xml:space="preserve">, </w:t>
      </w:r>
      <w:r w:rsidR="00524FF8">
        <w:rPr>
          <w:rFonts w:ascii="Calibri" w:hAnsi="Calibri"/>
          <w:sz w:val="24"/>
          <w:szCs w:val="24"/>
        </w:rPr>
        <w:t>‘</w:t>
      </w:r>
      <w:r w:rsidRPr="00524FF8">
        <w:rPr>
          <w:rFonts w:ascii="Calibri" w:hAnsi="Calibri"/>
          <w:sz w:val="24"/>
          <w:szCs w:val="24"/>
        </w:rPr>
        <w:t>Family functioning and psychological well-being, school adjustment, and problem behaviour in Chinese adolescents with and without economic disadvantage</w:t>
      </w:r>
      <w:r w:rsidR="00524FF8">
        <w:rPr>
          <w:rFonts w:ascii="Calibri" w:hAnsi="Calibri"/>
          <w:sz w:val="24"/>
          <w:szCs w:val="24"/>
        </w:rPr>
        <w:t>’</w:t>
      </w:r>
      <w:r>
        <w:rPr>
          <w:rFonts w:ascii="Calibri" w:hAnsi="Calibri"/>
          <w:sz w:val="24"/>
          <w:szCs w:val="24"/>
        </w:rPr>
        <w:t xml:space="preserve">, </w:t>
      </w:r>
      <w:r w:rsidRPr="00524FF8">
        <w:rPr>
          <w:rFonts w:ascii="Calibri" w:hAnsi="Calibri"/>
          <w:i/>
          <w:sz w:val="24"/>
          <w:szCs w:val="24"/>
        </w:rPr>
        <w:t>The Journal of Genetic Psychology</w:t>
      </w:r>
      <w:r w:rsidRPr="00A201A1">
        <w:rPr>
          <w:rFonts w:ascii="Calibri" w:hAnsi="Calibri"/>
          <w:sz w:val="24"/>
          <w:szCs w:val="24"/>
        </w:rPr>
        <w:t xml:space="preserve"> 163</w:t>
      </w:r>
      <w:r w:rsidR="00524FF8">
        <w:rPr>
          <w:rFonts w:ascii="Calibri" w:hAnsi="Calibri"/>
          <w:sz w:val="24"/>
          <w:szCs w:val="24"/>
        </w:rPr>
        <w:t xml:space="preserve">, pp. </w:t>
      </w:r>
      <w:r w:rsidRPr="00A201A1">
        <w:rPr>
          <w:rFonts w:ascii="Calibri" w:hAnsi="Calibri"/>
          <w:sz w:val="24"/>
          <w:szCs w:val="24"/>
        </w:rPr>
        <w:t>497–502.</w:t>
      </w:r>
      <w:proofErr w:type="gramEnd"/>
    </w:p>
    <w:p w:rsidR="00554BB2" w:rsidRDefault="00554BB2" w:rsidP="00554BB2">
      <w:pPr>
        <w:tabs>
          <w:tab w:val="left" w:pos="2410"/>
        </w:tabs>
        <w:spacing w:after="200"/>
        <w:rPr>
          <w:rFonts w:ascii="Calibri" w:hAnsi="Calibri"/>
          <w:sz w:val="24"/>
          <w:szCs w:val="24"/>
        </w:rPr>
      </w:pPr>
      <w:proofErr w:type="gramStart"/>
      <w:r w:rsidRPr="0079569B">
        <w:rPr>
          <w:rFonts w:ascii="Calibri" w:hAnsi="Calibri"/>
          <w:sz w:val="24"/>
          <w:szCs w:val="24"/>
        </w:rPr>
        <w:t>Steering Committee for the Review of Government Service Provision 201</w:t>
      </w:r>
      <w:r>
        <w:rPr>
          <w:rFonts w:ascii="Calibri" w:hAnsi="Calibri"/>
          <w:sz w:val="24"/>
          <w:szCs w:val="24"/>
        </w:rPr>
        <w:t xml:space="preserve">3, </w:t>
      </w:r>
      <w:r w:rsidRPr="00AF5EDB">
        <w:rPr>
          <w:rFonts w:ascii="Calibri" w:hAnsi="Calibri"/>
          <w:i/>
          <w:sz w:val="24"/>
          <w:szCs w:val="24"/>
        </w:rPr>
        <w:t>Report on Government Services 201</w:t>
      </w:r>
      <w:r>
        <w:rPr>
          <w:rFonts w:ascii="Calibri" w:hAnsi="Calibri"/>
          <w:i/>
          <w:sz w:val="24"/>
          <w:szCs w:val="24"/>
        </w:rPr>
        <w:t>3</w:t>
      </w:r>
      <w:r>
        <w:rPr>
          <w:rFonts w:ascii="Calibri" w:hAnsi="Calibri"/>
          <w:sz w:val="24"/>
          <w:szCs w:val="24"/>
        </w:rPr>
        <w:t xml:space="preserve">, </w:t>
      </w:r>
      <w:r w:rsidRPr="0079569B">
        <w:rPr>
          <w:rFonts w:ascii="Calibri" w:hAnsi="Calibri"/>
          <w:sz w:val="24"/>
          <w:szCs w:val="24"/>
        </w:rPr>
        <w:t>Productivity Commission</w:t>
      </w:r>
      <w:r>
        <w:rPr>
          <w:rFonts w:ascii="Calibri" w:hAnsi="Calibri"/>
          <w:sz w:val="24"/>
          <w:szCs w:val="24"/>
        </w:rPr>
        <w:t xml:space="preserve">, </w:t>
      </w:r>
      <w:r w:rsidRPr="0079569B">
        <w:rPr>
          <w:rFonts w:ascii="Calibri" w:hAnsi="Calibri"/>
          <w:sz w:val="24"/>
          <w:szCs w:val="24"/>
        </w:rPr>
        <w:t>Canberra.</w:t>
      </w:r>
      <w:proofErr w:type="gramEnd"/>
    </w:p>
    <w:p w:rsidR="00554BB2" w:rsidRDefault="00554BB2" w:rsidP="00554BB2">
      <w:pPr>
        <w:tabs>
          <w:tab w:val="left" w:pos="2410"/>
        </w:tabs>
        <w:spacing w:after="200"/>
        <w:rPr>
          <w:rFonts w:ascii="Calibri" w:hAnsi="Calibri"/>
          <w:sz w:val="24"/>
          <w:szCs w:val="24"/>
        </w:rPr>
      </w:pPr>
      <w:r w:rsidRPr="00841313">
        <w:rPr>
          <w:rFonts w:ascii="Calibri" w:hAnsi="Calibri"/>
          <w:sz w:val="24"/>
          <w:szCs w:val="24"/>
        </w:rPr>
        <w:lastRenderedPageBreak/>
        <w:t>Stewart</w:t>
      </w:r>
      <w:r w:rsidR="007F52DE">
        <w:rPr>
          <w:rFonts w:ascii="Calibri" w:hAnsi="Calibri"/>
          <w:sz w:val="24"/>
          <w:szCs w:val="24"/>
        </w:rPr>
        <w:t>,</w:t>
      </w:r>
      <w:r w:rsidRPr="00841313">
        <w:rPr>
          <w:rFonts w:ascii="Calibri" w:hAnsi="Calibri"/>
          <w:sz w:val="24"/>
          <w:szCs w:val="24"/>
        </w:rPr>
        <w:t xml:space="preserve"> A, Dennison</w:t>
      </w:r>
      <w:r w:rsidR="007F52DE">
        <w:rPr>
          <w:rFonts w:ascii="Calibri" w:hAnsi="Calibri"/>
          <w:sz w:val="24"/>
          <w:szCs w:val="24"/>
        </w:rPr>
        <w:t>,</w:t>
      </w:r>
      <w:r w:rsidRPr="00841313">
        <w:rPr>
          <w:rFonts w:ascii="Calibri" w:hAnsi="Calibri"/>
          <w:sz w:val="24"/>
          <w:szCs w:val="24"/>
        </w:rPr>
        <w:t xml:space="preserve"> S </w:t>
      </w:r>
      <w:r>
        <w:rPr>
          <w:rFonts w:ascii="Calibri" w:hAnsi="Calibri"/>
          <w:sz w:val="24"/>
          <w:szCs w:val="24"/>
        </w:rPr>
        <w:t>and</w:t>
      </w:r>
      <w:r w:rsidRPr="00841313">
        <w:rPr>
          <w:rFonts w:ascii="Calibri" w:hAnsi="Calibri"/>
          <w:sz w:val="24"/>
          <w:szCs w:val="24"/>
        </w:rPr>
        <w:t xml:space="preserve"> </w:t>
      </w:r>
      <w:proofErr w:type="spellStart"/>
      <w:r w:rsidRPr="00841313">
        <w:rPr>
          <w:rFonts w:ascii="Calibri" w:hAnsi="Calibri"/>
          <w:sz w:val="24"/>
          <w:szCs w:val="24"/>
        </w:rPr>
        <w:t>Hurren</w:t>
      </w:r>
      <w:proofErr w:type="spellEnd"/>
      <w:r w:rsidR="007F52DE">
        <w:rPr>
          <w:rFonts w:ascii="Calibri" w:hAnsi="Calibri"/>
          <w:sz w:val="24"/>
          <w:szCs w:val="24"/>
        </w:rPr>
        <w:t>,</w:t>
      </w:r>
      <w:r w:rsidRPr="00841313">
        <w:rPr>
          <w:rFonts w:ascii="Calibri" w:hAnsi="Calibri"/>
          <w:sz w:val="24"/>
          <w:szCs w:val="24"/>
        </w:rPr>
        <w:t xml:space="preserve"> E 2005</w:t>
      </w:r>
      <w:r>
        <w:rPr>
          <w:rFonts w:ascii="Calibri" w:hAnsi="Calibri"/>
          <w:sz w:val="24"/>
          <w:szCs w:val="24"/>
        </w:rPr>
        <w:t xml:space="preserve">, </w:t>
      </w:r>
      <w:r w:rsidRPr="00AF5EDB">
        <w:rPr>
          <w:rFonts w:ascii="Calibri" w:hAnsi="Calibri"/>
          <w:i/>
          <w:sz w:val="24"/>
          <w:szCs w:val="24"/>
        </w:rPr>
        <w:t>Juvenile offending trajectories: pathways from child maltreatment to juvenile offending, and police cautioning in Queensland, Final report</w:t>
      </w:r>
      <w:r>
        <w:rPr>
          <w:rFonts w:ascii="Calibri" w:hAnsi="Calibri"/>
          <w:sz w:val="24"/>
          <w:szCs w:val="24"/>
        </w:rPr>
        <w:t xml:space="preserve">, </w:t>
      </w:r>
      <w:r w:rsidRPr="00841313">
        <w:rPr>
          <w:rFonts w:ascii="Calibri" w:hAnsi="Calibri"/>
          <w:sz w:val="24"/>
          <w:szCs w:val="24"/>
        </w:rPr>
        <w:t>Griffith University</w:t>
      </w:r>
      <w:r>
        <w:rPr>
          <w:rFonts w:ascii="Calibri" w:hAnsi="Calibri"/>
          <w:sz w:val="24"/>
          <w:szCs w:val="24"/>
        </w:rPr>
        <w:t>,</w:t>
      </w:r>
      <w:r w:rsidRPr="00841313">
        <w:rPr>
          <w:rFonts w:ascii="Calibri" w:hAnsi="Calibri"/>
          <w:sz w:val="24"/>
          <w:szCs w:val="24"/>
        </w:rPr>
        <w:t xml:space="preserve"> School of Criminology</w:t>
      </w:r>
      <w:r>
        <w:rPr>
          <w:rFonts w:ascii="Calibri" w:hAnsi="Calibri"/>
          <w:sz w:val="24"/>
          <w:szCs w:val="24"/>
        </w:rPr>
        <w:t xml:space="preserve"> </w:t>
      </w:r>
      <w:r w:rsidRPr="00841313">
        <w:rPr>
          <w:rFonts w:ascii="Calibri" w:hAnsi="Calibri"/>
          <w:sz w:val="24"/>
          <w:szCs w:val="24"/>
        </w:rPr>
        <w:t>and Criminal Justice, Brisbane.</w:t>
      </w:r>
    </w:p>
    <w:p w:rsidR="00554BB2" w:rsidRDefault="00554BB2" w:rsidP="00554BB2">
      <w:pPr>
        <w:tabs>
          <w:tab w:val="left" w:pos="2410"/>
        </w:tabs>
        <w:spacing w:after="200"/>
        <w:rPr>
          <w:rFonts w:ascii="Calibri" w:hAnsi="Calibri"/>
          <w:sz w:val="24"/>
          <w:szCs w:val="24"/>
        </w:rPr>
      </w:pPr>
      <w:r w:rsidRPr="00546DB2">
        <w:rPr>
          <w:rFonts w:ascii="Calibri" w:hAnsi="Calibri"/>
          <w:sz w:val="24"/>
          <w:szCs w:val="24"/>
        </w:rPr>
        <w:t>Tseng</w:t>
      </w:r>
      <w:r w:rsidR="007F52DE">
        <w:rPr>
          <w:rFonts w:ascii="Calibri" w:hAnsi="Calibri"/>
          <w:sz w:val="24"/>
          <w:szCs w:val="24"/>
        </w:rPr>
        <w:t>,</w:t>
      </w:r>
      <w:r w:rsidRPr="00546DB2">
        <w:rPr>
          <w:rFonts w:ascii="Calibri" w:hAnsi="Calibri"/>
          <w:sz w:val="24"/>
          <w:szCs w:val="24"/>
        </w:rPr>
        <w:t xml:space="preserve"> Y </w:t>
      </w:r>
      <w:r>
        <w:rPr>
          <w:rFonts w:ascii="Calibri" w:hAnsi="Calibri"/>
          <w:sz w:val="24"/>
          <w:szCs w:val="24"/>
        </w:rPr>
        <w:t>and</w:t>
      </w:r>
      <w:r w:rsidRPr="00546DB2">
        <w:rPr>
          <w:rFonts w:ascii="Calibri" w:hAnsi="Calibri"/>
          <w:sz w:val="24"/>
          <w:szCs w:val="24"/>
        </w:rPr>
        <w:t xml:space="preserve"> Wilkins</w:t>
      </w:r>
      <w:r w:rsidR="007F52DE">
        <w:rPr>
          <w:rFonts w:ascii="Calibri" w:hAnsi="Calibri"/>
          <w:sz w:val="24"/>
          <w:szCs w:val="24"/>
        </w:rPr>
        <w:t>,</w:t>
      </w:r>
      <w:r w:rsidRPr="00546DB2">
        <w:rPr>
          <w:rFonts w:ascii="Calibri" w:hAnsi="Calibri"/>
          <w:sz w:val="24"/>
          <w:szCs w:val="24"/>
        </w:rPr>
        <w:t xml:space="preserve"> R 2002</w:t>
      </w:r>
      <w:r>
        <w:rPr>
          <w:rFonts w:ascii="Calibri" w:hAnsi="Calibri"/>
          <w:sz w:val="24"/>
          <w:szCs w:val="24"/>
        </w:rPr>
        <w:t>,</w:t>
      </w:r>
      <w:r w:rsidRPr="00546DB2">
        <w:rPr>
          <w:rFonts w:ascii="Calibri" w:hAnsi="Calibri"/>
          <w:sz w:val="24"/>
          <w:szCs w:val="24"/>
        </w:rPr>
        <w:t xml:space="preserve"> </w:t>
      </w:r>
      <w:r w:rsidRPr="00AF5EDB">
        <w:rPr>
          <w:rFonts w:ascii="Calibri" w:hAnsi="Calibri"/>
          <w:i/>
          <w:sz w:val="24"/>
          <w:szCs w:val="24"/>
        </w:rPr>
        <w:t>Reliance on income support in Australia: Prevalence and persistence</w:t>
      </w:r>
      <w:r>
        <w:rPr>
          <w:rFonts w:ascii="Calibri" w:hAnsi="Calibri"/>
          <w:sz w:val="24"/>
          <w:szCs w:val="24"/>
        </w:rPr>
        <w:t>,</w:t>
      </w:r>
      <w:r w:rsidR="007764A2">
        <w:rPr>
          <w:rFonts w:ascii="Calibri" w:hAnsi="Calibri"/>
          <w:sz w:val="24"/>
          <w:szCs w:val="24"/>
        </w:rPr>
        <w:t xml:space="preserve"> </w:t>
      </w:r>
      <w:r w:rsidRPr="00546DB2">
        <w:rPr>
          <w:rFonts w:ascii="Calibri" w:hAnsi="Calibri"/>
          <w:sz w:val="24"/>
          <w:szCs w:val="24"/>
        </w:rPr>
        <w:t>Melbourne Institute Working Paper No. 6/02</w:t>
      </w:r>
      <w:r>
        <w:rPr>
          <w:rFonts w:ascii="Calibri" w:hAnsi="Calibri"/>
          <w:sz w:val="24"/>
          <w:szCs w:val="24"/>
        </w:rPr>
        <w:t xml:space="preserve">, </w:t>
      </w:r>
      <w:r w:rsidRPr="00546DB2">
        <w:rPr>
          <w:rFonts w:ascii="Calibri" w:hAnsi="Calibri"/>
          <w:sz w:val="24"/>
          <w:szCs w:val="24"/>
        </w:rPr>
        <w:t>Melbourne Institute of Applied Economic and Social Research, University of Melbourne.</w:t>
      </w:r>
    </w:p>
    <w:p w:rsidR="00554BB2" w:rsidRPr="009A25BF" w:rsidRDefault="00554BB2" w:rsidP="00554BB2">
      <w:pPr>
        <w:rPr>
          <w:rFonts w:ascii="Calibri" w:hAnsi="Calibri" w:cs="Calibri"/>
          <w:sz w:val="24"/>
          <w:szCs w:val="24"/>
        </w:rPr>
      </w:pPr>
      <w:proofErr w:type="spellStart"/>
      <w:r>
        <w:rPr>
          <w:rFonts w:ascii="Calibri" w:hAnsi="Calibri"/>
          <w:sz w:val="24"/>
          <w:szCs w:val="24"/>
        </w:rPr>
        <w:t>Zubrick</w:t>
      </w:r>
      <w:proofErr w:type="spellEnd"/>
      <w:r w:rsidR="007F52DE">
        <w:rPr>
          <w:rFonts w:ascii="Calibri" w:hAnsi="Calibri"/>
          <w:sz w:val="24"/>
          <w:szCs w:val="24"/>
        </w:rPr>
        <w:t>,</w:t>
      </w:r>
      <w:r>
        <w:rPr>
          <w:rFonts w:ascii="Calibri" w:hAnsi="Calibri"/>
          <w:sz w:val="24"/>
          <w:szCs w:val="24"/>
        </w:rPr>
        <w:t xml:space="preserve"> S</w:t>
      </w:r>
      <w:r w:rsidRPr="00A201A1">
        <w:rPr>
          <w:rFonts w:ascii="Calibri" w:hAnsi="Calibri"/>
          <w:sz w:val="24"/>
          <w:szCs w:val="24"/>
        </w:rPr>
        <w:t>, Wood</w:t>
      </w:r>
      <w:r w:rsidR="007F52DE">
        <w:rPr>
          <w:rFonts w:ascii="Calibri" w:hAnsi="Calibri"/>
          <w:sz w:val="24"/>
          <w:szCs w:val="24"/>
        </w:rPr>
        <w:t>,</w:t>
      </w:r>
      <w:r w:rsidRPr="00A201A1">
        <w:rPr>
          <w:rFonts w:ascii="Calibri" w:hAnsi="Calibri"/>
          <w:sz w:val="24"/>
          <w:szCs w:val="24"/>
        </w:rPr>
        <w:t xml:space="preserve"> L, Villanueva</w:t>
      </w:r>
      <w:r w:rsidR="007F52DE">
        <w:rPr>
          <w:rFonts w:ascii="Calibri" w:hAnsi="Calibri"/>
          <w:sz w:val="24"/>
          <w:szCs w:val="24"/>
        </w:rPr>
        <w:t>,</w:t>
      </w:r>
      <w:r w:rsidRPr="00A201A1">
        <w:rPr>
          <w:rFonts w:ascii="Calibri" w:hAnsi="Calibri"/>
          <w:sz w:val="24"/>
          <w:szCs w:val="24"/>
        </w:rPr>
        <w:t xml:space="preserve"> K, Wood</w:t>
      </w:r>
      <w:r w:rsidR="007F52DE">
        <w:rPr>
          <w:rFonts w:ascii="Calibri" w:hAnsi="Calibri"/>
          <w:sz w:val="24"/>
          <w:szCs w:val="24"/>
        </w:rPr>
        <w:t>,</w:t>
      </w:r>
      <w:r w:rsidRPr="00A201A1">
        <w:rPr>
          <w:rFonts w:ascii="Calibri" w:hAnsi="Calibri"/>
          <w:sz w:val="24"/>
          <w:szCs w:val="24"/>
        </w:rPr>
        <w:t xml:space="preserve"> G, Giles-</w:t>
      </w:r>
      <w:proofErr w:type="spellStart"/>
      <w:r w:rsidRPr="00A201A1">
        <w:rPr>
          <w:rFonts w:ascii="Calibri" w:hAnsi="Calibri"/>
          <w:sz w:val="24"/>
          <w:szCs w:val="24"/>
        </w:rPr>
        <w:t>Cort</w:t>
      </w:r>
      <w:proofErr w:type="spellEnd"/>
      <w:r w:rsidR="007F52DE">
        <w:rPr>
          <w:rFonts w:ascii="Calibri" w:hAnsi="Calibri"/>
          <w:sz w:val="24"/>
          <w:szCs w:val="24"/>
        </w:rPr>
        <w:t>,</w:t>
      </w:r>
      <w:r w:rsidRPr="00A201A1">
        <w:rPr>
          <w:rFonts w:ascii="Calibri" w:hAnsi="Calibri"/>
          <w:sz w:val="24"/>
          <w:szCs w:val="24"/>
        </w:rPr>
        <w:t xml:space="preserve"> B </w:t>
      </w:r>
      <w:r>
        <w:rPr>
          <w:rFonts w:ascii="Calibri" w:hAnsi="Calibri"/>
          <w:sz w:val="24"/>
          <w:szCs w:val="24"/>
        </w:rPr>
        <w:t>and</w:t>
      </w:r>
      <w:r w:rsidRPr="00A201A1">
        <w:rPr>
          <w:rFonts w:ascii="Calibri" w:hAnsi="Calibri"/>
          <w:sz w:val="24"/>
          <w:szCs w:val="24"/>
        </w:rPr>
        <w:t xml:space="preserve"> Christian</w:t>
      </w:r>
      <w:r w:rsidR="007F52DE">
        <w:rPr>
          <w:rFonts w:ascii="Calibri" w:hAnsi="Calibri"/>
          <w:sz w:val="24"/>
          <w:szCs w:val="24"/>
        </w:rPr>
        <w:t>,</w:t>
      </w:r>
      <w:r w:rsidRPr="00A201A1">
        <w:rPr>
          <w:rFonts w:ascii="Calibri" w:hAnsi="Calibri"/>
          <w:sz w:val="24"/>
          <w:szCs w:val="24"/>
        </w:rPr>
        <w:t xml:space="preserve"> H 2010</w:t>
      </w:r>
      <w:r>
        <w:rPr>
          <w:rFonts w:ascii="Calibri" w:hAnsi="Calibri"/>
          <w:sz w:val="24"/>
          <w:szCs w:val="24"/>
        </w:rPr>
        <w:t xml:space="preserve">, </w:t>
      </w:r>
      <w:proofErr w:type="gramStart"/>
      <w:r w:rsidRPr="00AF5EDB">
        <w:rPr>
          <w:rFonts w:ascii="Calibri" w:hAnsi="Calibri"/>
          <w:i/>
          <w:sz w:val="24"/>
          <w:szCs w:val="24"/>
        </w:rPr>
        <w:t>Nothing</w:t>
      </w:r>
      <w:proofErr w:type="gramEnd"/>
      <w:r w:rsidRPr="00AF5EDB">
        <w:rPr>
          <w:rFonts w:ascii="Calibri" w:hAnsi="Calibri"/>
          <w:i/>
          <w:sz w:val="24"/>
          <w:szCs w:val="24"/>
        </w:rPr>
        <w:t xml:space="preserve"> but fear itself: parental fear as a determinant impacting on child physical activity and independent mobility</w:t>
      </w:r>
      <w:r>
        <w:rPr>
          <w:rFonts w:ascii="Calibri" w:hAnsi="Calibri"/>
          <w:sz w:val="24"/>
          <w:szCs w:val="24"/>
        </w:rPr>
        <w:t xml:space="preserve">, </w:t>
      </w:r>
      <w:r w:rsidRPr="00A201A1">
        <w:rPr>
          <w:rFonts w:ascii="Calibri" w:hAnsi="Calibri"/>
          <w:sz w:val="24"/>
          <w:szCs w:val="24"/>
        </w:rPr>
        <w:t>Victorian Health Promotion Foundation (VicHealth)</w:t>
      </w:r>
      <w:r>
        <w:rPr>
          <w:rFonts w:ascii="Calibri" w:hAnsi="Calibri"/>
          <w:sz w:val="24"/>
          <w:szCs w:val="24"/>
        </w:rPr>
        <w:t>, Carlton</w:t>
      </w:r>
      <w:r w:rsidRPr="00A201A1">
        <w:rPr>
          <w:rFonts w:ascii="Calibri" w:hAnsi="Calibri"/>
          <w:sz w:val="24"/>
          <w:szCs w:val="24"/>
        </w:rPr>
        <w:t>.</w:t>
      </w:r>
    </w:p>
    <w:p w:rsidR="00DB15D7" w:rsidRDefault="00DB15D7" w:rsidP="00B76A42">
      <w:pPr>
        <w:tabs>
          <w:tab w:val="left" w:pos="2410"/>
        </w:tabs>
        <w:spacing w:after="200"/>
        <w:rPr>
          <w:rFonts w:ascii="Calibri" w:hAnsi="Calibri"/>
          <w:sz w:val="24"/>
          <w:szCs w:val="24"/>
        </w:rPr>
      </w:pPr>
    </w:p>
    <w:sectPr w:rsidR="00DB15D7" w:rsidSect="00E40318">
      <w:headerReference w:type="even" r:id="rId41"/>
      <w:headerReference w:type="default" r:id="rId42"/>
      <w:headerReference w:type="first" r:id="rId43"/>
      <w:pgSz w:w="11905" w:h="16837" w:code="9"/>
      <w:pgMar w:top="1134" w:right="709" w:bottom="851" w:left="1134"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CA" w:rsidRDefault="000433CA">
      <w:r>
        <w:separator/>
      </w:r>
    </w:p>
  </w:endnote>
  <w:endnote w:type="continuationSeparator" w:id="0">
    <w:p w:rsidR="000433CA" w:rsidRDefault="0004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ilosofia Regular">
    <w:altName w:val="Filosofia Regular"/>
    <w:panose1 w:val="00000000000000000000"/>
    <w:charset w:val="00"/>
    <w:family w:val="roman"/>
    <w:notTrueType/>
    <w:pitch w:val="default"/>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heSans-B3Light">
    <w:altName w:val="Times New Roman"/>
    <w:panose1 w:val="00000000000000000000"/>
    <w:charset w:val="4D"/>
    <w:family w:val="auto"/>
    <w:notTrueType/>
    <w:pitch w:val="default"/>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Akzidenz Grotesk">
    <w:altName w:val="Akzidenz Grotes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27" w:rsidRDefault="003F5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27" w:rsidRDefault="003F53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27" w:rsidRDefault="003F53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6206"/>
      <w:docPartObj>
        <w:docPartGallery w:val="Page Numbers (Bottom of Page)"/>
        <w:docPartUnique/>
      </w:docPartObj>
    </w:sdtPr>
    <w:sdtEndPr>
      <w:rPr>
        <w:noProof/>
      </w:rPr>
    </w:sdtEndPr>
    <w:sdtContent>
      <w:p w:rsidR="000433CA" w:rsidRDefault="000433CA" w:rsidP="009820B3">
        <w:pPr>
          <w:pStyle w:val="Footer"/>
          <w:jc w:val="center"/>
        </w:pPr>
        <w:r>
          <w:fldChar w:fldCharType="begin"/>
        </w:r>
        <w:r>
          <w:instrText xml:space="preserve"> PAGE   \* MERGEFORMAT </w:instrText>
        </w:r>
        <w:r>
          <w:fldChar w:fldCharType="separate"/>
        </w:r>
        <w:r w:rsidR="00782096">
          <w:rPr>
            <w:noProof/>
          </w:rPr>
          <w:t>iii</w:t>
        </w:r>
        <w:r>
          <w:rPr>
            <w:noProof/>
          </w:rPr>
          <w:fldChar w:fldCharType="end"/>
        </w:r>
      </w:p>
    </w:sdtContent>
  </w:sdt>
  <w:p w:rsidR="000433CA" w:rsidRPr="00DA4CA7" w:rsidRDefault="000433CA" w:rsidP="00DA4C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244172"/>
      <w:docPartObj>
        <w:docPartGallery w:val="Page Numbers (Bottom of Page)"/>
        <w:docPartUnique/>
      </w:docPartObj>
    </w:sdtPr>
    <w:sdtEndPr>
      <w:rPr>
        <w:rFonts w:ascii="Arial" w:hAnsi="Arial" w:cs="Arial"/>
        <w:noProof/>
        <w:sz w:val="18"/>
        <w:szCs w:val="18"/>
      </w:rPr>
    </w:sdtEndPr>
    <w:sdtContent>
      <w:p w:rsidR="000433CA" w:rsidRPr="009820B3" w:rsidRDefault="000433CA" w:rsidP="009820B3">
        <w:pPr>
          <w:pStyle w:val="Footer"/>
          <w:pBdr>
            <w:top w:val="single" w:sz="4" w:space="1" w:color="BFBFBF" w:themeColor="background1" w:themeShade="BF"/>
          </w:pBdr>
          <w:spacing w:before="120"/>
          <w:jc w:val="center"/>
          <w:rPr>
            <w:rFonts w:ascii="Arial" w:hAnsi="Arial" w:cs="Arial"/>
            <w:sz w:val="18"/>
            <w:szCs w:val="18"/>
          </w:rPr>
        </w:pPr>
        <w:r w:rsidRPr="009820B3">
          <w:rPr>
            <w:rFonts w:ascii="Arial" w:hAnsi="Arial" w:cs="Arial"/>
            <w:sz w:val="18"/>
            <w:szCs w:val="18"/>
          </w:rPr>
          <w:fldChar w:fldCharType="begin"/>
        </w:r>
        <w:r w:rsidRPr="009820B3">
          <w:rPr>
            <w:rFonts w:ascii="Arial" w:hAnsi="Arial" w:cs="Arial"/>
            <w:sz w:val="18"/>
            <w:szCs w:val="18"/>
          </w:rPr>
          <w:instrText xml:space="preserve"> PAGE   \* MERGEFORMAT </w:instrText>
        </w:r>
        <w:r w:rsidRPr="009820B3">
          <w:rPr>
            <w:rFonts w:ascii="Arial" w:hAnsi="Arial" w:cs="Arial"/>
            <w:sz w:val="18"/>
            <w:szCs w:val="18"/>
          </w:rPr>
          <w:fldChar w:fldCharType="separate"/>
        </w:r>
        <w:r w:rsidR="0037350F">
          <w:rPr>
            <w:rFonts w:ascii="Arial" w:hAnsi="Arial" w:cs="Arial"/>
            <w:noProof/>
            <w:sz w:val="18"/>
            <w:szCs w:val="18"/>
          </w:rPr>
          <w:t>2</w:t>
        </w:r>
        <w:r w:rsidRPr="009820B3">
          <w:rPr>
            <w:rFonts w:ascii="Arial" w:hAnsi="Arial" w:cs="Arial"/>
            <w:noProof/>
            <w:sz w:val="18"/>
            <w:szCs w:val="18"/>
          </w:rPr>
          <w:fldChar w:fldCharType="end"/>
        </w:r>
      </w:p>
    </w:sdtContent>
  </w:sdt>
  <w:p w:rsidR="000433CA" w:rsidRPr="00B84C23" w:rsidRDefault="000433CA" w:rsidP="00B84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CA" w:rsidRDefault="000433CA">
      <w:r>
        <w:separator/>
      </w:r>
    </w:p>
  </w:footnote>
  <w:footnote w:type="continuationSeparator" w:id="0">
    <w:p w:rsidR="000433CA" w:rsidRDefault="00043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27" w:rsidRDefault="003F532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CA" w:rsidRDefault="000433C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CA" w:rsidRPr="00D27F3A" w:rsidRDefault="000433CA" w:rsidP="00D27F3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CA" w:rsidRDefault="000433C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CA" w:rsidRDefault="000433C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CA" w:rsidRDefault="000433CA" w:rsidP="001A707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CA" w:rsidRDefault="00043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CA" w:rsidRDefault="000433CA" w:rsidP="00C61D7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27" w:rsidRDefault="003F53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CA" w:rsidRDefault="000433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CA" w:rsidRPr="004134A3" w:rsidRDefault="000433CA" w:rsidP="004134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CA" w:rsidRDefault="000433C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CA" w:rsidRDefault="000433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CA" w:rsidRPr="006E144E" w:rsidRDefault="000433CA" w:rsidP="006E144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CA" w:rsidRDefault="000433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560E18"/>
    <w:lvl w:ilvl="0">
      <w:start w:val="1"/>
      <w:numFmt w:val="decimal"/>
      <w:lvlText w:val="%1."/>
      <w:lvlJc w:val="left"/>
      <w:pPr>
        <w:tabs>
          <w:tab w:val="num" w:pos="1492"/>
        </w:tabs>
        <w:ind w:left="1492" w:hanging="360"/>
      </w:pPr>
    </w:lvl>
  </w:abstractNum>
  <w:abstractNum w:abstractNumId="1">
    <w:nsid w:val="FFFFFF7D"/>
    <w:multiLevelType w:val="singleLevel"/>
    <w:tmpl w:val="1E04F8D6"/>
    <w:lvl w:ilvl="0">
      <w:start w:val="1"/>
      <w:numFmt w:val="decimal"/>
      <w:lvlText w:val="%1."/>
      <w:lvlJc w:val="left"/>
      <w:pPr>
        <w:tabs>
          <w:tab w:val="num" w:pos="1209"/>
        </w:tabs>
        <w:ind w:left="1209" w:hanging="360"/>
      </w:pPr>
    </w:lvl>
  </w:abstractNum>
  <w:abstractNum w:abstractNumId="2">
    <w:nsid w:val="FFFFFF7E"/>
    <w:multiLevelType w:val="singleLevel"/>
    <w:tmpl w:val="4FA61AAE"/>
    <w:lvl w:ilvl="0">
      <w:start w:val="1"/>
      <w:numFmt w:val="decimal"/>
      <w:lvlText w:val="%1."/>
      <w:lvlJc w:val="left"/>
      <w:pPr>
        <w:tabs>
          <w:tab w:val="num" w:pos="926"/>
        </w:tabs>
        <w:ind w:left="926" w:hanging="360"/>
      </w:pPr>
    </w:lvl>
  </w:abstractNum>
  <w:abstractNum w:abstractNumId="3">
    <w:nsid w:val="FFFFFF7F"/>
    <w:multiLevelType w:val="singleLevel"/>
    <w:tmpl w:val="D9785F50"/>
    <w:lvl w:ilvl="0">
      <w:start w:val="1"/>
      <w:numFmt w:val="decimal"/>
      <w:lvlText w:val="%1."/>
      <w:lvlJc w:val="left"/>
      <w:pPr>
        <w:tabs>
          <w:tab w:val="num" w:pos="643"/>
        </w:tabs>
        <w:ind w:left="643" w:hanging="360"/>
      </w:pPr>
    </w:lvl>
  </w:abstractNum>
  <w:abstractNum w:abstractNumId="4">
    <w:nsid w:val="00D23690"/>
    <w:multiLevelType w:val="hybridMultilevel"/>
    <w:tmpl w:val="6096B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2A23158"/>
    <w:multiLevelType w:val="multilevel"/>
    <w:tmpl w:val="CEEE21F2"/>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Calibri" w:hAnsi="Calibri" w:hint="default"/>
      </w:rPr>
    </w:lvl>
    <w:lvl w:ilvl="3">
      <w:start w:val="1"/>
      <w:numFmt w:val="bullet"/>
      <w:pStyle w:val="ListBullet4"/>
      <w:lvlText w:val=""/>
      <w:lvlJc w:val="left"/>
      <w:pPr>
        <w:ind w:left="1440" w:hanging="360"/>
      </w:pPr>
      <w:rPr>
        <w:rFonts w:ascii="Wingdings" w:hAnsi="Wingdings" w:hint="default"/>
      </w:rPr>
    </w:lvl>
    <w:lvl w:ilvl="4">
      <w:start w:val="1"/>
      <w:numFmt w:val="bullet"/>
      <w:pStyle w:val="ListBullet5"/>
      <w:lvlText w:val="–"/>
      <w:lvlJc w:val="left"/>
      <w:pPr>
        <w:ind w:left="1800" w:hanging="360"/>
      </w:pPr>
      <w:rPr>
        <w:rFonts w:ascii="Calibri" w:hAnsi="Calibri"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nsid w:val="0C9150CD"/>
    <w:multiLevelType w:val="hybridMultilevel"/>
    <w:tmpl w:val="37B6A89C"/>
    <w:lvl w:ilvl="0" w:tplc="D17653BC">
      <w:start w:val="1"/>
      <w:numFmt w:val="bullet"/>
      <w:lvlText w:val=""/>
      <w:lvlJc w:val="left"/>
      <w:pPr>
        <w:tabs>
          <w:tab w:val="num" w:pos="1800"/>
        </w:tabs>
        <w:ind w:left="180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2D3811"/>
    <w:multiLevelType w:val="hybridMultilevel"/>
    <w:tmpl w:val="2B68B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3504D1"/>
    <w:multiLevelType w:val="hybridMultilevel"/>
    <w:tmpl w:val="DA767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E562EC"/>
    <w:multiLevelType w:val="hybridMultilevel"/>
    <w:tmpl w:val="91B40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1BEF4C3B"/>
    <w:multiLevelType w:val="hybridMultilevel"/>
    <w:tmpl w:val="4EB03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0670F8"/>
    <w:multiLevelType w:val="hybridMultilevel"/>
    <w:tmpl w:val="5250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F6001D"/>
    <w:multiLevelType w:val="hybridMultilevel"/>
    <w:tmpl w:val="00ECDC32"/>
    <w:lvl w:ilvl="0" w:tplc="0D96A1FA">
      <w:start w:val="1"/>
      <w:numFmt w:val="decimal"/>
      <w:lvlText w:val="%1."/>
      <w:lvlJc w:val="left"/>
      <w:pPr>
        <w:ind w:left="360" w:hanging="360"/>
      </w:pPr>
      <w:rPr>
        <w:rFonts w:hint="default"/>
        <w:b w:val="0"/>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8D64B5A"/>
    <w:multiLevelType w:val="multilevel"/>
    <w:tmpl w:val="DED64484"/>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A302CDF"/>
    <w:multiLevelType w:val="hybridMultilevel"/>
    <w:tmpl w:val="4A700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2151AD"/>
    <w:multiLevelType w:val="hybridMultilevel"/>
    <w:tmpl w:val="58CE3546"/>
    <w:lvl w:ilvl="0" w:tplc="7CBE254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513DC0"/>
    <w:multiLevelType w:val="hybridMultilevel"/>
    <w:tmpl w:val="BFDE4CF4"/>
    <w:lvl w:ilvl="0" w:tplc="C2245098">
      <w:start w:val="1"/>
      <w:numFmt w:val="bullet"/>
      <w:pStyle w:val="dashbullettable"/>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691111"/>
    <w:multiLevelType w:val="multilevel"/>
    <w:tmpl w:val="B67C5EE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mbria" w:hAnsi="Cambria" w:hint="default"/>
        <w:color w:val="auto"/>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Calibri" w:hAnsi="Calibri"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nsid w:val="342B253F"/>
    <w:multiLevelType w:val="hybridMultilevel"/>
    <w:tmpl w:val="D83E667E"/>
    <w:lvl w:ilvl="0" w:tplc="D17653BC">
      <w:start w:val="1"/>
      <w:numFmt w:val="bullet"/>
      <w:lvlText w:val=""/>
      <w:lvlJc w:val="left"/>
      <w:pPr>
        <w:tabs>
          <w:tab w:val="num" w:pos="1800"/>
        </w:tabs>
        <w:ind w:left="180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23460E"/>
    <w:multiLevelType w:val="hybridMultilevel"/>
    <w:tmpl w:val="C52A4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642EF5"/>
    <w:multiLevelType w:val="hybridMultilevel"/>
    <w:tmpl w:val="250A7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6D587E"/>
    <w:multiLevelType w:val="hybridMultilevel"/>
    <w:tmpl w:val="2536D2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3E120925"/>
    <w:multiLevelType w:val="hybridMultilevel"/>
    <w:tmpl w:val="D25E1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E16246E"/>
    <w:multiLevelType w:val="hybridMultilevel"/>
    <w:tmpl w:val="0DB2C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9048CD"/>
    <w:multiLevelType w:val="hybridMultilevel"/>
    <w:tmpl w:val="6D76B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24E6368"/>
    <w:multiLevelType w:val="hybridMultilevel"/>
    <w:tmpl w:val="3E9692EE"/>
    <w:lvl w:ilvl="0" w:tplc="D17653BC">
      <w:start w:val="1"/>
      <w:numFmt w:val="bullet"/>
      <w:lvlText w:val=""/>
      <w:lvlJc w:val="left"/>
      <w:pPr>
        <w:tabs>
          <w:tab w:val="num" w:pos="1855"/>
        </w:tabs>
        <w:ind w:left="1855" w:hanging="360"/>
      </w:pPr>
      <w:rPr>
        <w:rFonts w:ascii="Symbol" w:hAnsi="Symbol" w:hint="default"/>
        <w:color w:val="auto"/>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6">
    <w:nsid w:val="485E7B31"/>
    <w:multiLevelType w:val="hybridMultilevel"/>
    <w:tmpl w:val="338E54F0"/>
    <w:lvl w:ilvl="0" w:tplc="D17653BC">
      <w:start w:val="1"/>
      <w:numFmt w:val="bullet"/>
      <w:lvlText w:val=""/>
      <w:lvlJc w:val="left"/>
      <w:pPr>
        <w:tabs>
          <w:tab w:val="num" w:pos="1800"/>
        </w:tabs>
        <w:ind w:left="180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B5F490C"/>
    <w:multiLevelType w:val="hybridMultilevel"/>
    <w:tmpl w:val="626680B6"/>
    <w:lvl w:ilvl="0" w:tplc="D17653BC">
      <w:start w:val="1"/>
      <w:numFmt w:val="bullet"/>
      <w:lvlText w:val=""/>
      <w:lvlJc w:val="left"/>
      <w:pPr>
        <w:tabs>
          <w:tab w:val="num" w:pos="1800"/>
        </w:tabs>
        <w:ind w:left="180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DF57ACA"/>
    <w:multiLevelType w:val="multilevel"/>
    <w:tmpl w:val="DAFEC85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Calibri" w:hAnsi="Calibri"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nsid w:val="51515653"/>
    <w:multiLevelType w:val="multilevel"/>
    <w:tmpl w:val="CB727E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mbria" w:hAnsi="Cambria" w:hint="default"/>
        <w:color w:val="auto"/>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Calibri" w:hAnsi="Calibri"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nsid w:val="52955318"/>
    <w:multiLevelType w:val="hybridMultilevel"/>
    <w:tmpl w:val="AA1EC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4CA112A"/>
    <w:multiLevelType w:val="hybridMultilevel"/>
    <w:tmpl w:val="CDC0D3FA"/>
    <w:lvl w:ilvl="0" w:tplc="D17653BC">
      <w:start w:val="1"/>
      <w:numFmt w:val="bullet"/>
      <w:lvlText w:val=""/>
      <w:lvlJc w:val="left"/>
      <w:pPr>
        <w:tabs>
          <w:tab w:val="num" w:pos="1800"/>
        </w:tabs>
        <w:ind w:left="1800" w:hanging="360"/>
      </w:pPr>
      <w:rPr>
        <w:rFonts w:ascii="Symbol" w:hAnsi="Symbol" w:hint="default"/>
        <w:color w:val="auto"/>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2">
    <w:nsid w:val="58160435"/>
    <w:multiLevelType w:val="hybridMultilevel"/>
    <w:tmpl w:val="23084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8917605"/>
    <w:multiLevelType w:val="hybridMultilevel"/>
    <w:tmpl w:val="2C8EAA3E"/>
    <w:lvl w:ilvl="0" w:tplc="0654FF92">
      <w:numFmt w:val="bullet"/>
      <w:lvlText w:val="·"/>
      <w:lvlJc w:val="left"/>
      <w:pPr>
        <w:ind w:left="855" w:hanging="495"/>
      </w:pPr>
      <w:rPr>
        <w:rFonts w:ascii="Cambria" w:eastAsiaTheme="majorEastAsia" w:hAnsi="Cambria" w:cstheme="majorBidi" w:hint="default"/>
        <w:b/>
        <w:i/>
        <w:color w:val="4F81BD" w:themeColor="accen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DEC6E0C"/>
    <w:multiLevelType w:val="multilevel"/>
    <w:tmpl w:val="248C69E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Calibri" w:hAnsi="Calibri"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5">
    <w:nsid w:val="5F9A5272"/>
    <w:multiLevelType w:val="multilevel"/>
    <w:tmpl w:val="6B38A8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Calibri" w:hAnsi="Calibri"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6">
    <w:nsid w:val="61ED03D8"/>
    <w:multiLevelType w:val="hybridMultilevel"/>
    <w:tmpl w:val="746A7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3AE66EB"/>
    <w:multiLevelType w:val="hybridMultilevel"/>
    <w:tmpl w:val="5AF0FBF0"/>
    <w:lvl w:ilvl="0" w:tplc="0C090001">
      <w:start w:val="1"/>
      <w:numFmt w:val="bullet"/>
      <w:lvlText w:val=""/>
      <w:lvlJc w:val="left"/>
      <w:pPr>
        <w:ind w:left="1080" w:hanging="360"/>
      </w:pPr>
      <w:rPr>
        <w:rFonts w:ascii="Symbol" w:hAnsi="Symbol" w:hint="default"/>
      </w:rPr>
    </w:lvl>
    <w:lvl w:ilvl="1" w:tplc="C270F2C4">
      <w:numFmt w:val="bullet"/>
      <w:lvlText w:val="-"/>
      <w:lvlJc w:val="left"/>
      <w:pPr>
        <w:ind w:left="2160" w:hanging="720"/>
      </w:pPr>
      <w:rPr>
        <w:rFonts w:ascii="Calibri" w:eastAsia="Times New Roman" w:hAnsi="Calibri"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65623A72"/>
    <w:multiLevelType w:val="hybridMultilevel"/>
    <w:tmpl w:val="9006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6F90CED"/>
    <w:multiLevelType w:val="hybridMultilevel"/>
    <w:tmpl w:val="B80895A6"/>
    <w:lvl w:ilvl="0" w:tplc="D17653BC">
      <w:start w:val="1"/>
      <w:numFmt w:val="bullet"/>
      <w:lvlText w:val=""/>
      <w:lvlJc w:val="left"/>
      <w:pPr>
        <w:tabs>
          <w:tab w:val="num" w:pos="1800"/>
        </w:tabs>
        <w:ind w:left="180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1"/>
  </w:num>
  <w:num w:numId="4">
    <w:abstractNumId w:val="16"/>
  </w:num>
  <w:num w:numId="5">
    <w:abstractNumId w:val="28"/>
  </w:num>
  <w:num w:numId="6">
    <w:abstractNumId w:val="35"/>
  </w:num>
  <w:num w:numId="7">
    <w:abstractNumId w:val="34"/>
  </w:num>
  <w:num w:numId="8">
    <w:abstractNumId w:val="30"/>
  </w:num>
  <w:num w:numId="9">
    <w:abstractNumId w:val="19"/>
  </w:num>
  <w:num w:numId="10">
    <w:abstractNumId w:val="11"/>
  </w:num>
  <w:num w:numId="11">
    <w:abstractNumId w:val="26"/>
  </w:num>
  <w:num w:numId="12">
    <w:abstractNumId w:val="18"/>
  </w:num>
  <w:num w:numId="13">
    <w:abstractNumId w:val="25"/>
  </w:num>
  <w:num w:numId="14">
    <w:abstractNumId w:val="27"/>
  </w:num>
  <w:num w:numId="15">
    <w:abstractNumId w:val="24"/>
  </w:num>
  <w:num w:numId="16">
    <w:abstractNumId w:val="6"/>
  </w:num>
  <w:num w:numId="17">
    <w:abstractNumId w:val="39"/>
  </w:num>
  <w:num w:numId="18">
    <w:abstractNumId w:val="14"/>
  </w:num>
  <w:num w:numId="19">
    <w:abstractNumId w:val="9"/>
  </w:num>
  <w:num w:numId="20">
    <w:abstractNumId w:val="33"/>
  </w:num>
  <w:num w:numId="21">
    <w:abstractNumId w:val="37"/>
  </w:num>
  <w:num w:numId="22">
    <w:abstractNumId w:val="36"/>
  </w:num>
  <w:num w:numId="23">
    <w:abstractNumId w:val="23"/>
  </w:num>
  <w:num w:numId="24">
    <w:abstractNumId w:val="15"/>
  </w:num>
  <w:num w:numId="25">
    <w:abstractNumId w:val="10"/>
  </w:num>
  <w:num w:numId="26">
    <w:abstractNumId w:val="32"/>
  </w:num>
  <w:num w:numId="27">
    <w:abstractNumId w:val="21"/>
  </w:num>
  <w:num w:numId="28">
    <w:abstractNumId w:val="17"/>
  </w:num>
  <w:num w:numId="29">
    <w:abstractNumId w:val="29"/>
  </w:num>
  <w:num w:numId="30">
    <w:abstractNumId w:val="20"/>
  </w:num>
  <w:num w:numId="31">
    <w:abstractNumId w:val="8"/>
  </w:num>
  <w:num w:numId="32">
    <w:abstractNumId w:val="4"/>
  </w:num>
  <w:num w:numId="33">
    <w:abstractNumId w:val="7"/>
  </w:num>
  <w:num w:numId="34">
    <w:abstractNumId w:val="38"/>
  </w:num>
  <w:num w:numId="35">
    <w:abstractNumId w:val="13"/>
  </w:num>
  <w:num w:numId="36">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
  </w:num>
  <w:num w:numId="39">
    <w:abstractNumId w:val="2"/>
  </w:num>
  <w:num w:numId="40">
    <w:abstractNumId w:val="1"/>
  </w:num>
  <w:num w:numId="41">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20"/>
  <w:displayHorizontalDrawingGridEvery w:val="0"/>
  <w:displayVerticalDrawingGridEvery w:val="3"/>
  <w:doNotShadeFormData/>
  <w:characterSpacingControl w:val="compressPunctuation"/>
  <w:hdrShapeDefaults>
    <o:shapedefaults v:ext="edit" spidmax="30721">
      <o:colormru v:ext="edit" colors="#060,#0075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94"/>
    <w:rsid w:val="00000153"/>
    <w:rsid w:val="000006E4"/>
    <w:rsid w:val="0000073E"/>
    <w:rsid w:val="00000AB9"/>
    <w:rsid w:val="00000CC1"/>
    <w:rsid w:val="00000D7B"/>
    <w:rsid w:val="00001DB3"/>
    <w:rsid w:val="00002503"/>
    <w:rsid w:val="00002724"/>
    <w:rsid w:val="00002790"/>
    <w:rsid w:val="0000291E"/>
    <w:rsid w:val="00002F9F"/>
    <w:rsid w:val="0000366E"/>
    <w:rsid w:val="0000397D"/>
    <w:rsid w:val="00003A32"/>
    <w:rsid w:val="000044C6"/>
    <w:rsid w:val="000048B7"/>
    <w:rsid w:val="00005533"/>
    <w:rsid w:val="000056E3"/>
    <w:rsid w:val="00005A52"/>
    <w:rsid w:val="00006797"/>
    <w:rsid w:val="00006903"/>
    <w:rsid w:val="00006BD4"/>
    <w:rsid w:val="00006CA5"/>
    <w:rsid w:val="000070C7"/>
    <w:rsid w:val="00007264"/>
    <w:rsid w:val="000072B2"/>
    <w:rsid w:val="000102AF"/>
    <w:rsid w:val="000102BB"/>
    <w:rsid w:val="0001043F"/>
    <w:rsid w:val="00010685"/>
    <w:rsid w:val="00010CAC"/>
    <w:rsid w:val="00011870"/>
    <w:rsid w:val="00011E01"/>
    <w:rsid w:val="0001201E"/>
    <w:rsid w:val="00012C2B"/>
    <w:rsid w:val="0001307F"/>
    <w:rsid w:val="00014160"/>
    <w:rsid w:val="000141DD"/>
    <w:rsid w:val="00014AAA"/>
    <w:rsid w:val="00014E1B"/>
    <w:rsid w:val="00014EF0"/>
    <w:rsid w:val="00015672"/>
    <w:rsid w:val="00016092"/>
    <w:rsid w:val="00016266"/>
    <w:rsid w:val="00016DC8"/>
    <w:rsid w:val="00017789"/>
    <w:rsid w:val="000202F8"/>
    <w:rsid w:val="000206B4"/>
    <w:rsid w:val="00020DD5"/>
    <w:rsid w:val="00021544"/>
    <w:rsid w:val="000217E7"/>
    <w:rsid w:val="00023D4C"/>
    <w:rsid w:val="000243E5"/>
    <w:rsid w:val="000246B3"/>
    <w:rsid w:val="0002494E"/>
    <w:rsid w:val="00024C88"/>
    <w:rsid w:val="000252D4"/>
    <w:rsid w:val="000253B7"/>
    <w:rsid w:val="000255A4"/>
    <w:rsid w:val="00025CA0"/>
    <w:rsid w:val="00026101"/>
    <w:rsid w:val="000265E0"/>
    <w:rsid w:val="00027081"/>
    <w:rsid w:val="00027141"/>
    <w:rsid w:val="00027200"/>
    <w:rsid w:val="00027241"/>
    <w:rsid w:val="00027737"/>
    <w:rsid w:val="0002796C"/>
    <w:rsid w:val="00027D51"/>
    <w:rsid w:val="00030033"/>
    <w:rsid w:val="000307B3"/>
    <w:rsid w:val="00030CB2"/>
    <w:rsid w:val="00031128"/>
    <w:rsid w:val="00031767"/>
    <w:rsid w:val="00031852"/>
    <w:rsid w:val="00031A20"/>
    <w:rsid w:val="0003251A"/>
    <w:rsid w:val="00032865"/>
    <w:rsid w:val="00032D55"/>
    <w:rsid w:val="00032F4C"/>
    <w:rsid w:val="0003305B"/>
    <w:rsid w:val="0003359F"/>
    <w:rsid w:val="00033716"/>
    <w:rsid w:val="000339AA"/>
    <w:rsid w:val="000341A5"/>
    <w:rsid w:val="00034370"/>
    <w:rsid w:val="00034449"/>
    <w:rsid w:val="000349D9"/>
    <w:rsid w:val="00034A1A"/>
    <w:rsid w:val="00034CEE"/>
    <w:rsid w:val="00034F79"/>
    <w:rsid w:val="000352D6"/>
    <w:rsid w:val="0003618A"/>
    <w:rsid w:val="00036205"/>
    <w:rsid w:val="00036429"/>
    <w:rsid w:val="00036576"/>
    <w:rsid w:val="00036755"/>
    <w:rsid w:val="0003677D"/>
    <w:rsid w:val="00036F0B"/>
    <w:rsid w:val="000377E9"/>
    <w:rsid w:val="0003796D"/>
    <w:rsid w:val="00037B1A"/>
    <w:rsid w:val="00037B46"/>
    <w:rsid w:val="0004048C"/>
    <w:rsid w:val="00040CD7"/>
    <w:rsid w:val="000411E6"/>
    <w:rsid w:val="000413A5"/>
    <w:rsid w:val="00041902"/>
    <w:rsid w:val="00041C71"/>
    <w:rsid w:val="0004261B"/>
    <w:rsid w:val="000429B3"/>
    <w:rsid w:val="00042E7E"/>
    <w:rsid w:val="000433CA"/>
    <w:rsid w:val="000436C1"/>
    <w:rsid w:val="000439DA"/>
    <w:rsid w:val="00043FA4"/>
    <w:rsid w:val="0004400E"/>
    <w:rsid w:val="000441F5"/>
    <w:rsid w:val="00044435"/>
    <w:rsid w:val="00044AA8"/>
    <w:rsid w:val="00044BDC"/>
    <w:rsid w:val="00044C2D"/>
    <w:rsid w:val="00044CE3"/>
    <w:rsid w:val="00045135"/>
    <w:rsid w:val="00045D72"/>
    <w:rsid w:val="00045F5A"/>
    <w:rsid w:val="00045FAA"/>
    <w:rsid w:val="0004600C"/>
    <w:rsid w:val="000472A7"/>
    <w:rsid w:val="00047893"/>
    <w:rsid w:val="00050436"/>
    <w:rsid w:val="000508A1"/>
    <w:rsid w:val="00050D21"/>
    <w:rsid w:val="00051573"/>
    <w:rsid w:val="00052EA2"/>
    <w:rsid w:val="00053415"/>
    <w:rsid w:val="00053C2D"/>
    <w:rsid w:val="00053D09"/>
    <w:rsid w:val="0005401F"/>
    <w:rsid w:val="00054163"/>
    <w:rsid w:val="00054CE1"/>
    <w:rsid w:val="0005544C"/>
    <w:rsid w:val="000556CE"/>
    <w:rsid w:val="00056109"/>
    <w:rsid w:val="000563C7"/>
    <w:rsid w:val="00057066"/>
    <w:rsid w:val="000572E0"/>
    <w:rsid w:val="00057ACA"/>
    <w:rsid w:val="0006041F"/>
    <w:rsid w:val="00060930"/>
    <w:rsid w:val="00060A05"/>
    <w:rsid w:val="00060C54"/>
    <w:rsid w:val="00060E32"/>
    <w:rsid w:val="00060FB7"/>
    <w:rsid w:val="000612B4"/>
    <w:rsid w:val="00061441"/>
    <w:rsid w:val="00061606"/>
    <w:rsid w:val="00061FDE"/>
    <w:rsid w:val="00062C6F"/>
    <w:rsid w:val="00063158"/>
    <w:rsid w:val="00063479"/>
    <w:rsid w:val="000636CF"/>
    <w:rsid w:val="0006442D"/>
    <w:rsid w:val="0006462E"/>
    <w:rsid w:val="000646C4"/>
    <w:rsid w:val="00064805"/>
    <w:rsid w:val="00065900"/>
    <w:rsid w:val="0006640F"/>
    <w:rsid w:val="0006656F"/>
    <w:rsid w:val="00066A36"/>
    <w:rsid w:val="00066B02"/>
    <w:rsid w:val="00067306"/>
    <w:rsid w:val="00067BB2"/>
    <w:rsid w:val="00070296"/>
    <w:rsid w:val="0007046F"/>
    <w:rsid w:val="00070696"/>
    <w:rsid w:val="00070828"/>
    <w:rsid w:val="0007162D"/>
    <w:rsid w:val="00071D60"/>
    <w:rsid w:val="00072276"/>
    <w:rsid w:val="000732A2"/>
    <w:rsid w:val="0007351F"/>
    <w:rsid w:val="000737C5"/>
    <w:rsid w:val="00073F44"/>
    <w:rsid w:val="00074456"/>
    <w:rsid w:val="000747A3"/>
    <w:rsid w:val="00075102"/>
    <w:rsid w:val="00075203"/>
    <w:rsid w:val="00075643"/>
    <w:rsid w:val="00075861"/>
    <w:rsid w:val="00075E36"/>
    <w:rsid w:val="000767E1"/>
    <w:rsid w:val="000767F2"/>
    <w:rsid w:val="00077A8F"/>
    <w:rsid w:val="000804AC"/>
    <w:rsid w:val="00080781"/>
    <w:rsid w:val="00080902"/>
    <w:rsid w:val="00080B81"/>
    <w:rsid w:val="000812B0"/>
    <w:rsid w:val="000816DF"/>
    <w:rsid w:val="000817D5"/>
    <w:rsid w:val="00081C92"/>
    <w:rsid w:val="00081ED1"/>
    <w:rsid w:val="00081EEB"/>
    <w:rsid w:val="00082607"/>
    <w:rsid w:val="00082757"/>
    <w:rsid w:val="00082D09"/>
    <w:rsid w:val="00083116"/>
    <w:rsid w:val="0008326E"/>
    <w:rsid w:val="00083500"/>
    <w:rsid w:val="0008372E"/>
    <w:rsid w:val="000837A5"/>
    <w:rsid w:val="00083BB0"/>
    <w:rsid w:val="00083ED1"/>
    <w:rsid w:val="00083EFE"/>
    <w:rsid w:val="00084113"/>
    <w:rsid w:val="0008415B"/>
    <w:rsid w:val="00084396"/>
    <w:rsid w:val="00084772"/>
    <w:rsid w:val="00084D07"/>
    <w:rsid w:val="00084FFD"/>
    <w:rsid w:val="00085409"/>
    <w:rsid w:val="00085439"/>
    <w:rsid w:val="00085658"/>
    <w:rsid w:val="00085F52"/>
    <w:rsid w:val="00085F82"/>
    <w:rsid w:val="0008658B"/>
    <w:rsid w:val="00086CA2"/>
    <w:rsid w:val="000873DF"/>
    <w:rsid w:val="00087F8C"/>
    <w:rsid w:val="00090071"/>
    <w:rsid w:val="000901C7"/>
    <w:rsid w:val="00090644"/>
    <w:rsid w:val="00090917"/>
    <w:rsid w:val="0009232D"/>
    <w:rsid w:val="0009243E"/>
    <w:rsid w:val="00092A80"/>
    <w:rsid w:val="00092A82"/>
    <w:rsid w:val="00092E9A"/>
    <w:rsid w:val="0009341C"/>
    <w:rsid w:val="0009382F"/>
    <w:rsid w:val="0009423E"/>
    <w:rsid w:val="000945AD"/>
    <w:rsid w:val="00094BB4"/>
    <w:rsid w:val="000952AC"/>
    <w:rsid w:val="00095539"/>
    <w:rsid w:val="0009587B"/>
    <w:rsid w:val="00095BA9"/>
    <w:rsid w:val="00096862"/>
    <w:rsid w:val="00096D09"/>
    <w:rsid w:val="00097279"/>
    <w:rsid w:val="000973A1"/>
    <w:rsid w:val="000A04C9"/>
    <w:rsid w:val="000A05D8"/>
    <w:rsid w:val="000A1068"/>
    <w:rsid w:val="000A1522"/>
    <w:rsid w:val="000A22A3"/>
    <w:rsid w:val="000A2410"/>
    <w:rsid w:val="000A2CA7"/>
    <w:rsid w:val="000A3C7A"/>
    <w:rsid w:val="000A487D"/>
    <w:rsid w:val="000A4929"/>
    <w:rsid w:val="000A4F4B"/>
    <w:rsid w:val="000A5432"/>
    <w:rsid w:val="000A559F"/>
    <w:rsid w:val="000A739D"/>
    <w:rsid w:val="000A7B7A"/>
    <w:rsid w:val="000A7D5D"/>
    <w:rsid w:val="000B072F"/>
    <w:rsid w:val="000B0748"/>
    <w:rsid w:val="000B0BDD"/>
    <w:rsid w:val="000B15B7"/>
    <w:rsid w:val="000B1661"/>
    <w:rsid w:val="000B25CF"/>
    <w:rsid w:val="000B29AC"/>
    <w:rsid w:val="000B36C6"/>
    <w:rsid w:val="000B3945"/>
    <w:rsid w:val="000B44B2"/>
    <w:rsid w:val="000B44F3"/>
    <w:rsid w:val="000B5678"/>
    <w:rsid w:val="000B5F11"/>
    <w:rsid w:val="000B6510"/>
    <w:rsid w:val="000B6AEE"/>
    <w:rsid w:val="000B7C60"/>
    <w:rsid w:val="000B7FD4"/>
    <w:rsid w:val="000C038E"/>
    <w:rsid w:val="000C07C1"/>
    <w:rsid w:val="000C0ACD"/>
    <w:rsid w:val="000C0AD2"/>
    <w:rsid w:val="000C1009"/>
    <w:rsid w:val="000C2638"/>
    <w:rsid w:val="000C2825"/>
    <w:rsid w:val="000C284B"/>
    <w:rsid w:val="000C2E3B"/>
    <w:rsid w:val="000C31F2"/>
    <w:rsid w:val="000C3B0F"/>
    <w:rsid w:val="000C3B31"/>
    <w:rsid w:val="000C43F0"/>
    <w:rsid w:val="000C44E0"/>
    <w:rsid w:val="000C4DB6"/>
    <w:rsid w:val="000C4DD6"/>
    <w:rsid w:val="000C512A"/>
    <w:rsid w:val="000C5BAD"/>
    <w:rsid w:val="000C5F1A"/>
    <w:rsid w:val="000C6788"/>
    <w:rsid w:val="000C6AD3"/>
    <w:rsid w:val="000C6C24"/>
    <w:rsid w:val="000C7D27"/>
    <w:rsid w:val="000D07BE"/>
    <w:rsid w:val="000D1744"/>
    <w:rsid w:val="000D199E"/>
    <w:rsid w:val="000D19D5"/>
    <w:rsid w:val="000D1EF8"/>
    <w:rsid w:val="000D1F61"/>
    <w:rsid w:val="000D237F"/>
    <w:rsid w:val="000D23F3"/>
    <w:rsid w:val="000D2557"/>
    <w:rsid w:val="000D2560"/>
    <w:rsid w:val="000D27B7"/>
    <w:rsid w:val="000D280E"/>
    <w:rsid w:val="000D2CE2"/>
    <w:rsid w:val="000D3009"/>
    <w:rsid w:val="000D31B0"/>
    <w:rsid w:val="000D3470"/>
    <w:rsid w:val="000D39AB"/>
    <w:rsid w:val="000D3E1B"/>
    <w:rsid w:val="000D401C"/>
    <w:rsid w:val="000D46EC"/>
    <w:rsid w:val="000D4CC6"/>
    <w:rsid w:val="000D5291"/>
    <w:rsid w:val="000D69A2"/>
    <w:rsid w:val="000D6AD8"/>
    <w:rsid w:val="000D6E5B"/>
    <w:rsid w:val="000D73DA"/>
    <w:rsid w:val="000D7497"/>
    <w:rsid w:val="000D76A5"/>
    <w:rsid w:val="000D788B"/>
    <w:rsid w:val="000D7BFA"/>
    <w:rsid w:val="000D7E3A"/>
    <w:rsid w:val="000E0118"/>
    <w:rsid w:val="000E05FC"/>
    <w:rsid w:val="000E0953"/>
    <w:rsid w:val="000E0D22"/>
    <w:rsid w:val="000E0E1E"/>
    <w:rsid w:val="000E1414"/>
    <w:rsid w:val="000E1C34"/>
    <w:rsid w:val="000E1CB3"/>
    <w:rsid w:val="000E2094"/>
    <w:rsid w:val="000E25D0"/>
    <w:rsid w:val="000E2804"/>
    <w:rsid w:val="000E2AAE"/>
    <w:rsid w:val="000E42E6"/>
    <w:rsid w:val="000E4463"/>
    <w:rsid w:val="000E4751"/>
    <w:rsid w:val="000E4C30"/>
    <w:rsid w:val="000E4D64"/>
    <w:rsid w:val="000E5774"/>
    <w:rsid w:val="000E5DBB"/>
    <w:rsid w:val="000E61CC"/>
    <w:rsid w:val="000E61EA"/>
    <w:rsid w:val="000E6EF8"/>
    <w:rsid w:val="000E71A9"/>
    <w:rsid w:val="000E71C8"/>
    <w:rsid w:val="000E7563"/>
    <w:rsid w:val="000E78F7"/>
    <w:rsid w:val="000E7A68"/>
    <w:rsid w:val="000F0846"/>
    <w:rsid w:val="000F0F3C"/>
    <w:rsid w:val="000F1499"/>
    <w:rsid w:val="000F15F2"/>
    <w:rsid w:val="000F193A"/>
    <w:rsid w:val="000F1AD8"/>
    <w:rsid w:val="000F1D46"/>
    <w:rsid w:val="000F215A"/>
    <w:rsid w:val="000F2FD3"/>
    <w:rsid w:val="000F3D73"/>
    <w:rsid w:val="000F4433"/>
    <w:rsid w:val="000F458D"/>
    <w:rsid w:val="000F59EC"/>
    <w:rsid w:val="000F5A11"/>
    <w:rsid w:val="000F634A"/>
    <w:rsid w:val="000F7D80"/>
    <w:rsid w:val="000F7DE0"/>
    <w:rsid w:val="001002D7"/>
    <w:rsid w:val="00100954"/>
    <w:rsid w:val="00100DDD"/>
    <w:rsid w:val="00101440"/>
    <w:rsid w:val="00101A0E"/>
    <w:rsid w:val="00101C87"/>
    <w:rsid w:val="00102540"/>
    <w:rsid w:val="001029A9"/>
    <w:rsid w:val="00102F48"/>
    <w:rsid w:val="0010344C"/>
    <w:rsid w:val="001038FD"/>
    <w:rsid w:val="00103994"/>
    <w:rsid w:val="00103B02"/>
    <w:rsid w:val="001040D6"/>
    <w:rsid w:val="0010414E"/>
    <w:rsid w:val="001055FC"/>
    <w:rsid w:val="0010572E"/>
    <w:rsid w:val="00105DF1"/>
    <w:rsid w:val="00105F88"/>
    <w:rsid w:val="00105F9D"/>
    <w:rsid w:val="00106538"/>
    <w:rsid w:val="00107679"/>
    <w:rsid w:val="001106A5"/>
    <w:rsid w:val="001109FE"/>
    <w:rsid w:val="00110E84"/>
    <w:rsid w:val="001110D8"/>
    <w:rsid w:val="00111249"/>
    <w:rsid w:val="00111858"/>
    <w:rsid w:val="00111B03"/>
    <w:rsid w:val="00112B65"/>
    <w:rsid w:val="00113235"/>
    <w:rsid w:val="00113401"/>
    <w:rsid w:val="00114242"/>
    <w:rsid w:val="001143C6"/>
    <w:rsid w:val="001145E1"/>
    <w:rsid w:val="00114650"/>
    <w:rsid w:val="00114CCA"/>
    <w:rsid w:val="00114E2B"/>
    <w:rsid w:val="00114E79"/>
    <w:rsid w:val="00115579"/>
    <w:rsid w:val="00115F51"/>
    <w:rsid w:val="0011620F"/>
    <w:rsid w:val="00116A9E"/>
    <w:rsid w:val="0011744F"/>
    <w:rsid w:val="0012016F"/>
    <w:rsid w:val="001202ED"/>
    <w:rsid w:val="00121165"/>
    <w:rsid w:val="00121245"/>
    <w:rsid w:val="00121421"/>
    <w:rsid w:val="0012186F"/>
    <w:rsid w:val="00122325"/>
    <w:rsid w:val="001223D5"/>
    <w:rsid w:val="001229DB"/>
    <w:rsid w:val="00122E5D"/>
    <w:rsid w:val="00123BDD"/>
    <w:rsid w:val="0012463A"/>
    <w:rsid w:val="0012470A"/>
    <w:rsid w:val="001256CC"/>
    <w:rsid w:val="0012599F"/>
    <w:rsid w:val="0012657E"/>
    <w:rsid w:val="00127522"/>
    <w:rsid w:val="00130346"/>
    <w:rsid w:val="0013086D"/>
    <w:rsid w:val="0013088F"/>
    <w:rsid w:val="001309AB"/>
    <w:rsid w:val="00130C1D"/>
    <w:rsid w:val="00130CBE"/>
    <w:rsid w:val="00131337"/>
    <w:rsid w:val="00131715"/>
    <w:rsid w:val="00131C0C"/>
    <w:rsid w:val="00132007"/>
    <w:rsid w:val="001332DB"/>
    <w:rsid w:val="00133365"/>
    <w:rsid w:val="00133970"/>
    <w:rsid w:val="00133EE6"/>
    <w:rsid w:val="00134B05"/>
    <w:rsid w:val="001352B2"/>
    <w:rsid w:val="00135409"/>
    <w:rsid w:val="00135E1D"/>
    <w:rsid w:val="0013624A"/>
    <w:rsid w:val="001363B4"/>
    <w:rsid w:val="001365FC"/>
    <w:rsid w:val="001369A2"/>
    <w:rsid w:val="0013779D"/>
    <w:rsid w:val="001377C6"/>
    <w:rsid w:val="0014149D"/>
    <w:rsid w:val="00141C68"/>
    <w:rsid w:val="00143A55"/>
    <w:rsid w:val="00143C32"/>
    <w:rsid w:val="001448AD"/>
    <w:rsid w:val="001448B7"/>
    <w:rsid w:val="0014529A"/>
    <w:rsid w:val="00145908"/>
    <w:rsid w:val="00145C60"/>
    <w:rsid w:val="00145D6A"/>
    <w:rsid w:val="001466E1"/>
    <w:rsid w:val="001469DF"/>
    <w:rsid w:val="0014785F"/>
    <w:rsid w:val="00150257"/>
    <w:rsid w:val="001505D7"/>
    <w:rsid w:val="00151CBC"/>
    <w:rsid w:val="00152151"/>
    <w:rsid w:val="00152760"/>
    <w:rsid w:val="00152A10"/>
    <w:rsid w:val="00152ADA"/>
    <w:rsid w:val="00152CE6"/>
    <w:rsid w:val="00152E05"/>
    <w:rsid w:val="00152FA2"/>
    <w:rsid w:val="0015307F"/>
    <w:rsid w:val="00153660"/>
    <w:rsid w:val="001538EF"/>
    <w:rsid w:val="00153A04"/>
    <w:rsid w:val="0015405A"/>
    <w:rsid w:val="001560B2"/>
    <w:rsid w:val="00156C91"/>
    <w:rsid w:val="00156FE4"/>
    <w:rsid w:val="00157708"/>
    <w:rsid w:val="001600EE"/>
    <w:rsid w:val="00160536"/>
    <w:rsid w:val="0016110B"/>
    <w:rsid w:val="001612A2"/>
    <w:rsid w:val="00161796"/>
    <w:rsid w:val="00161C81"/>
    <w:rsid w:val="00161FB2"/>
    <w:rsid w:val="00162136"/>
    <w:rsid w:val="00162290"/>
    <w:rsid w:val="00162426"/>
    <w:rsid w:val="001624C1"/>
    <w:rsid w:val="00162624"/>
    <w:rsid w:val="001626FC"/>
    <w:rsid w:val="0016270E"/>
    <w:rsid w:val="00162D58"/>
    <w:rsid w:val="001634C6"/>
    <w:rsid w:val="0016376C"/>
    <w:rsid w:val="0016379C"/>
    <w:rsid w:val="00163941"/>
    <w:rsid w:val="00163BCD"/>
    <w:rsid w:val="00163D51"/>
    <w:rsid w:val="00163D5D"/>
    <w:rsid w:val="00163E95"/>
    <w:rsid w:val="00163F04"/>
    <w:rsid w:val="0016426C"/>
    <w:rsid w:val="001642C0"/>
    <w:rsid w:val="00164694"/>
    <w:rsid w:val="001648C3"/>
    <w:rsid w:val="00164F36"/>
    <w:rsid w:val="001652A2"/>
    <w:rsid w:val="001653E6"/>
    <w:rsid w:val="0016593D"/>
    <w:rsid w:val="00165CF0"/>
    <w:rsid w:val="00165E5A"/>
    <w:rsid w:val="00165FC3"/>
    <w:rsid w:val="00166D50"/>
    <w:rsid w:val="00166E59"/>
    <w:rsid w:val="00166F7E"/>
    <w:rsid w:val="00166FD9"/>
    <w:rsid w:val="00167176"/>
    <w:rsid w:val="00167ADB"/>
    <w:rsid w:val="00167B5B"/>
    <w:rsid w:val="00167E42"/>
    <w:rsid w:val="00170AC3"/>
    <w:rsid w:val="00170B6D"/>
    <w:rsid w:val="001718B7"/>
    <w:rsid w:val="00171BF8"/>
    <w:rsid w:val="00171CE7"/>
    <w:rsid w:val="00171FCC"/>
    <w:rsid w:val="00172A10"/>
    <w:rsid w:val="00172C36"/>
    <w:rsid w:val="0017341E"/>
    <w:rsid w:val="00173B22"/>
    <w:rsid w:val="00173F4F"/>
    <w:rsid w:val="00175B5D"/>
    <w:rsid w:val="00175F77"/>
    <w:rsid w:val="001760F5"/>
    <w:rsid w:val="00176105"/>
    <w:rsid w:val="00176450"/>
    <w:rsid w:val="00176825"/>
    <w:rsid w:val="00177273"/>
    <w:rsid w:val="001774A7"/>
    <w:rsid w:val="00177C3F"/>
    <w:rsid w:val="00177D1F"/>
    <w:rsid w:val="001801BC"/>
    <w:rsid w:val="00180473"/>
    <w:rsid w:val="001812CB"/>
    <w:rsid w:val="001816C5"/>
    <w:rsid w:val="00181BDD"/>
    <w:rsid w:val="00181C43"/>
    <w:rsid w:val="0018276D"/>
    <w:rsid w:val="001827E8"/>
    <w:rsid w:val="00182A28"/>
    <w:rsid w:val="00183271"/>
    <w:rsid w:val="00184166"/>
    <w:rsid w:val="0018422A"/>
    <w:rsid w:val="00184D0C"/>
    <w:rsid w:val="00184D9C"/>
    <w:rsid w:val="00185826"/>
    <w:rsid w:val="00185A05"/>
    <w:rsid w:val="00185A17"/>
    <w:rsid w:val="00186D23"/>
    <w:rsid w:val="00186F01"/>
    <w:rsid w:val="00187691"/>
    <w:rsid w:val="001876D4"/>
    <w:rsid w:val="001877E4"/>
    <w:rsid w:val="001878D8"/>
    <w:rsid w:val="00190092"/>
    <w:rsid w:val="00190341"/>
    <w:rsid w:val="0019085E"/>
    <w:rsid w:val="00191051"/>
    <w:rsid w:val="00191294"/>
    <w:rsid w:val="00193323"/>
    <w:rsid w:val="0019367F"/>
    <w:rsid w:val="0019409B"/>
    <w:rsid w:val="001947D8"/>
    <w:rsid w:val="0019525C"/>
    <w:rsid w:val="00195927"/>
    <w:rsid w:val="00195CD3"/>
    <w:rsid w:val="00196561"/>
    <w:rsid w:val="00196980"/>
    <w:rsid w:val="00196EAF"/>
    <w:rsid w:val="00197541"/>
    <w:rsid w:val="00197F41"/>
    <w:rsid w:val="00197F95"/>
    <w:rsid w:val="001A06E0"/>
    <w:rsid w:val="001A0864"/>
    <w:rsid w:val="001A13E8"/>
    <w:rsid w:val="001A1875"/>
    <w:rsid w:val="001A1EA8"/>
    <w:rsid w:val="001A216F"/>
    <w:rsid w:val="001A21C0"/>
    <w:rsid w:val="001A245D"/>
    <w:rsid w:val="001A24CF"/>
    <w:rsid w:val="001A26A6"/>
    <w:rsid w:val="001A2A89"/>
    <w:rsid w:val="001A2C11"/>
    <w:rsid w:val="001A2E07"/>
    <w:rsid w:val="001A3B7B"/>
    <w:rsid w:val="001A41ED"/>
    <w:rsid w:val="001A50D3"/>
    <w:rsid w:val="001A58B6"/>
    <w:rsid w:val="001A5935"/>
    <w:rsid w:val="001A6349"/>
    <w:rsid w:val="001A681C"/>
    <w:rsid w:val="001A6961"/>
    <w:rsid w:val="001A6DAF"/>
    <w:rsid w:val="001A6F37"/>
    <w:rsid w:val="001A7071"/>
    <w:rsid w:val="001A7121"/>
    <w:rsid w:val="001A76C9"/>
    <w:rsid w:val="001B0477"/>
    <w:rsid w:val="001B07AD"/>
    <w:rsid w:val="001B106E"/>
    <w:rsid w:val="001B159F"/>
    <w:rsid w:val="001B1A51"/>
    <w:rsid w:val="001B1D5D"/>
    <w:rsid w:val="001B257C"/>
    <w:rsid w:val="001B2ADF"/>
    <w:rsid w:val="001B2EE4"/>
    <w:rsid w:val="001B35C4"/>
    <w:rsid w:val="001B38EA"/>
    <w:rsid w:val="001B3B86"/>
    <w:rsid w:val="001B415B"/>
    <w:rsid w:val="001B48DE"/>
    <w:rsid w:val="001B4A06"/>
    <w:rsid w:val="001B4C89"/>
    <w:rsid w:val="001B546B"/>
    <w:rsid w:val="001B551D"/>
    <w:rsid w:val="001B5567"/>
    <w:rsid w:val="001B62BA"/>
    <w:rsid w:val="001B6392"/>
    <w:rsid w:val="001B63AE"/>
    <w:rsid w:val="001B68D7"/>
    <w:rsid w:val="001B68FE"/>
    <w:rsid w:val="001B6B0B"/>
    <w:rsid w:val="001B7E4F"/>
    <w:rsid w:val="001C1E5F"/>
    <w:rsid w:val="001C2D76"/>
    <w:rsid w:val="001C33B9"/>
    <w:rsid w:val="001C35D5"/>
    <w:rsid w:val="001C383D"/>
    <w:rsid w:val="001C3A42"/>
    <w:rsid w:val="001C3ED2"/>
    <w:rsid w:val="001C413A"/>
    <w:rsid w:val="001C4241"/>
    <w:rsid w:val="001C456D"/>
    <w:rsid w:val="001C4BA4"/>
    <w:rsid w:val="001C4E91"/>
    <w:rsid w:val="001C5108"/>
    <w:rsid w:val="001C5425"/>
    <w:rsid w:val="001C552D"/>
    <w:rsid w:val="001C5ADB"/>
    <w:rsid w:val="001C5B3D"/>
    <w:rsid w:val="001C5DFF"/>
    <w:rsid w:val="001C6A73"/>
    <w:rsid w:val="001C6D65"/>
    <w:rsid w:val="001C71CA"/>
    <w:rsid w:val="001D051D"/>
    <w:rsid w:val="001D1063"/>
    <w:rsid w:val="001D1423"/>
    <w:rsid w:val="001D1486"/>
    <w:rsid w:val="001D1F71"/>
    <w:rsid w:val="001D22B2"/>
    <w:rsid w:val="001D253E"/>
    <w:rsid w:val="001D3309"/>
    <w:rsid w:val="001D391D"/>
    <w:rsid w:val="001D3E91"/>
    <w:rsid w:val="001D432B"/>
    <w:rsid w:val="001D49B3"/>
    <w:rsid w:val="001D4AD7"/>
    <w:rsid w:val="001D4D81"/>
    <w:rsid w:val="001D4FB2"/>
    <w:rsid w:val="001D5D29"/>
    <w:rsid w:val="001D6727"/>
    <w:rsid w:val="001D6C32"/>
    <w:rsid w:val="001D6CF1"/>
    <w:rsid w:val="001D722E"/>
    <w:rsid w:val="001D7308"/>
    <w:rsid w:val="001D7EA8"/>
    <w:rsid w:val="001E012E"/>
    <w:rsid w:val="001E084D"/>
    <w:rsid w:val="001E1487"/>
    <w:rsid w:val="001E2433"/>
    <w:rsid w:val="001E260F"/>
    <w:rsid w:val="001E2658"/>
    <w:rsid w:val="001E27EB"/>
    <w:rsid w:val="001E3148"/>
    <w:rsid w:val="001E3A62"/>
    <w:rsid w:val="001E3B19"/>
    <w:rsid w:val="001E4210"/>
    <w:rsid w:val="001E4317"/>
    <w:rsid w:val="001E4382"/>
    <w:rsid w:val="001E4697"/>
    <w:rsid w:val="001E4AE9"/>
    <w:rsid w:val="001E4B51"/>
    <w:rsid w:val="001E4E63"/>
    <w:rsid w:val="001E505D"/>
    <w:rsid w:val="001E53BC"/>
    <w:rsid w:val="001E573B"/>
    <w:rsid w:val="001E6E25"/>
    <w:rsid w:val="001E7258"/>
    <w:rsid w:val="001E79FB"/>
    <w:rsid w:val="001F0375"/>
    <w:rsid w:val="001F03E8"/>
    <w:rsid w:val="001F11A3"/>
    <w:rsid w:val="001F12E8"/>
    <w:rsid w:val="001F197B"/>
    <w:rsid w:val="001F29AA"/>
    <w:rsid w:val="001F2AFE"/>
    <w:rsid w:val="001F32AF"/>
    <w:rsid w:val="001F49D7"/>
    <w:rsid w:val="001F524F"/>
    <w:rsid w:val="001F52A6"/>
    <w:rsid w:val="001F56DF"/>
    <w:rsid w:val="001F5985"/>
    <w:rsid w:val="001F5AF3"/>
    <w:rsid w:val="001F6E6F"/>
    <w:rsid w:val="001F7140"/>
    <w:rsid w:val="001F7381"/>
    <w:rsid w:val="001F79B2"/>
    <w:rsid w:val="001F7C49"/>
    <w:rsid w:val="001F7C86"/>
    <w:rsid w:val="001F7E75"/>
    <w:rsid w:val="00200322"/>
    <w:rsid w:val="002005E5"/>
    <w:rsid w:val="00200CFC"/>
    <w:rsid w:val="00201043"/>
    <w:rsid w:val="00201048"/>
    <w:rsid w:val="00201189"/>
    <w:rsid w:val="00201C01"/>
    <w:rsid w:val="002020B0"/>
    <w:rsid w:val="00202252"/>
    <w:rsid w:val="00202AB2"/>
    <w:rsid w:val="00202B6C"/>
    <w:rsid w:val="002035A4"/>
    <w:rsid w:val="002041AC"/>
    <w:rsid w:val="00204360"/>
    <w:rsid w:val="00204490"/>
    <w:rsid w:val="002049C5"/>
    <w:rsid w:val="00204CBA"/>
    <w:rsid w:val="00204D24"/>
    <w:rsid w:val="00204DAF"/>
    <w:rsid w:val="002052D4"/>
    <w:rsid w:val="002056C5"/>
    <w:rsid w:val="00206485"/>
    <w:rsid w:val="00206536"/>
    <w:rsid w:val="002069A7"/>
    <w:rsid w:val="0020775A"/>
    <w:rsid w:val="0020788C"/>
    <w:rsid w:val="00207F11"/>
    <w:rsid w:val="00210A58"/>
    <w:rsid w:val="00210ACD"/>
    <w:rsid w:val="00211101"/>
    <w:rsid w:val="002115C4"/>
    <w:rsid w:val="002119CC"/>
    <w:rsid w:val="00212372"/>
    <w:rsid w:val="002124AD"/>
    <w:rsid w:val="002124BA"/>
    <w:rsid w:val="00212802"/>
    <w:rsid w:val="00213218"/>
    <w:rsid w:val="00213308"/>
    <w:rsid w:val="00213B14"/>
    <w:rsid w:val="00213BA3"/>
    <w:rsid w:val="0021413A"/>
    <w:rsid w:val="00214197"/>
    <w:rsid w:val="0021431E"/>
    <w:rsid w:val="00214A0E"/>
    <w:rsid w:val="00215EE0"/>
    <w:rsid w:val="0021605F"/>
    <w:rsid w:val="002161BC"/>
    <w:rsid w:val="00216807"/>
    <w:rsid w:val="00216C13"/>
    <w:rsid w:val="00216CAC"/>
    <w:rsid w:val="002174F7"/>
    <w:rsid w:val="00217DDB"/>
    <w:rsid w:val="00220352"/>
    <w:rsid w:val="00220D06"/>
    <w:rsid w:val="00221BCA"/>
    <w:rsid w:val="00222F16"/>
    <w:rsid w:val="00222FE5"/>
    <w:rsid w:val="002238EA"/>
    <w:rsid w:val="002239D7"/>
    <w:rsid w:val="00223D97"/>
    <w:rsid w:val="00224047"/>
    <w:rsid w:val="00224BC9"/>
    <w:rsid w:val="00225044"/>
    <w:rsid w:val="00225160"/>
    <w:rsid w:val="0022520D"/>
    <w:rsid w:val="0022566F"/>
    <w:rsid w:val="00225714"/>
    <w:rsid w:val="00226170"/>
    <w:rsid w:val="002263B0"/>
    <w:rsid w:val="002263F6"/>
    <w:rsid w:val="00227F14"/>
    <w:rsid w:val="00227FCD"/>
    <w:rsid w:val="00230428"/>
    <w:rsid w:val="002308B5"/>
    <w:rsid w:val="00230A4F"/>
    <w:rsid w:val="00230B2D"/>
    <w:rsid w:val="00230DA3"/>
    <w:rsid w:val="00230E5C"/>
    <w:rsid w:val="00231344"/>
    <w:rsid w:val="00231770"/>
    <w:rsid w:val="002318AF"/>
    <w:rsid w:val="00231DBD"/>
    <w:rsid w:val="002324B2"/>
    <w:rsid w:val="002324CD"/>
    <w:rsid w:val="0023281D"/>
    <w:rsid w:val="00232F69"/>
    <w:rsid w:val="00233FF7"/>
    <w:rsid w:val="0023454B"/>
    <w:rsid w:val="00234FF2"/>
    <w:rsid w:val="002356E2"/>
    <w:rsid w:val="00236116"/>
    <w:rsid w:val="002363FA"/>
    <w:rsid w:val="00236602"/>
    <w:rsid w:val="00237175"/>
    <w:rsid w:val="00237B37"/>
    <w:rsid w:val="00237D27"/>
    <w:rsid w:val="00237EE7"/>
    <w:rsid w:val="00237F8F"/>
    <w:rsid w:val="00240738"/>
    <w:rsid w:val="00241D60"/>
    <w:rsid w:val="00242B06"/>
    <w:rsid w:val="00242DF7"/>
    <w:rsid w:val="002435C0"/>
    <w:rsid w:val="00243C6A"/>
    <w:rsid w:val="00243F8F"/>
    <w:rsid w:val="002441BA"/>
    <w:rsid w:val="00244A07"/>
    <w:rsid w:val="00245291"/>
    <w:rsid w:val="00246760"/>
    <w:rsid w:val="00246C03"/>
    <w:rsid w:val="00246D09"/>
    <w:rsid w:val="00246ED6"/>
    <w:rsid w:val="0024717A"/>
    <w:rsid w:val="002471B4"/>
    <w:rsid w:val="00247650"/>
    <w:rsid w:val="002476B5"/>
    <w:rsid w:val="002479E8"/>
    <w:rsid w:val="00247D7D"/>
    <w:rsid w:val="00247F06"/>
    <w:rsid w:val="00250231"/>
    <w:rsid w:val="00250310"/>
    <w:rsid w:val="002504F8"/>
    <w:rsid w:val="002510D0"/>
    <w:rsid w:val="002513EF"/>
    <w:rsid w:val="00251B97"/>
    <w:rsid w:val="00251BAB"/>
    <w:rsid w:val="00253421"/>
    <w:rsid w:val="00253FB3"/>
    <w:rsid w:val="00254044"/>
    <w:rsid w:val="00254A42"/>
    <w:rsid w:val="00254B34"/>
    <w:rsid w:val="00254DA9"/>
    <w:rsid w:val="00254F91"/>
    <w:rsid w:val="00255C84"/>
    <w:rsid w:val="0025635E"/>
    <w:rsid w:val="0025674A"/>
    <w:rsid w:val="002567BB"/>
    <w:rsid w:val="00256A05"/>
    <w:rsid w:val="00256F92"/>
    <w:rsid w:val="00257E30"/>
    <w:rsid w:val="00260B13"/>
    <w:rsid w:val="00260CD7"/>
    <w:rsid w:val="002615AC"/>
    <w:rsid w:val="002621AE"/>
    <w:rsid w:val="002622C1"/>
    <w:rsid w:val="00263BE7"/>
    <w:rsid w:val="00263E4C"/>
    <w:rsid w:val="00264048"/>
    <w:rsid w:val="002643B6"/>
    <w:rsid w:val="0026493A"/>
    <w:rsid w:val="002652D8"/>
    <w:rsid w:val="002658F9"/>
    <w:rsid w:val="00265A49"/>
    <w:rsid w:val="00266BE2"/>
    <w:rsid w:val="00266C8A"/>
    <w:rsid w:val="00266F5E"/>
    <w:rsid w:val="002670BF"/>
    <w:rsid w:val="002701F0"/>
    <w:rsid w:val="0027038B"/>
    <w:rsid w:val="0027044F"/>
    <w:rsid w:val="0027089F"/>
    <w:rsid w:val="00270E32"/>
    <w:rsid w:val="00270EDA"/>
    <w:rsid w:val="00270F98"/>
    <w:rsid w:val="00271157"/>
    <w:rsid w:val="0027135C"/>
    <w:rsid w:val="00271BFD"/>
    <w:rsid w:val="002722EF"/>
    <w:rsid w:val="00272479"/>
    <w:rsid w:val="0027258F"/>
    <w:rsid w:val="002725B2"/>
    <w:rsid w:val="00272D5B"/>
    <w:rsid w:val="00273962"/>
    <w:rsid w:val="00273C4E"/>
    <w:rsid w:val="002740B8"/>
    <w:rsid w:val="00274637"/>
    <w:rsid w:val="00274D6C"/>
    <w:rsid w:val="0027503D"/>
    <w:rsid w:val="00275505"/>
    <w:rsid w:val="002758BA"/>
    <w:rsid w:val="00276F87"/>
    <w:rsid w:val="00277252"/>
    <w:rsid w:val="0027796B"/>
    <w:rsid w:val="00277BF6"/>
    <w:rsid w:val="00280510"/>
    <w:rsid w:val="00281147"/>
    <w:rsid w:val="002812CE"/>
    <w:rsid w:val="002813EE"/>
    <w:rsid w:val="00282469"/>
    <w:rsid w:val="0028258F"/>
    <w:rsid w:val="00282A40"/>
    <w:rsid w:val="00282EA4"/>
    <w:rsid w:val="00283017"/>
    <w:rsid w:val="00283363"/>
    <w:rsid w:val="002833A6"/>
    <w:rsid w:val="0028364A"/>
    <w:rsid w:val="00283784"/>
    <w:rsid w:val="00283825"/>
    <w:rsid w:val="00284154"/>
    <w:rsid w:val="00285095"/>
    <w:rsid w:val="00285644"/>
    <w:rsid w:val="0028582D"/>
    <w:rsid w:val="0028636B"/>
    <w:rsid w:val="00286471"/>
    <w:rsid w:val="0028688A"/>
    <w:rsid w:val="00286C93"/>
    <w:rsid w:val="00287064"/>
    <w:rsid w:val="0028771B"/>
    <w:rsid w:val="002877F1"/>
    <w:rsid w:val="00287D3E"/>
    <w:rsid w:val="00290A03"/>
    <w:rsid w:val="00291177"/>
    <w:rsid w:val="00291895"/>
    <w:rsid w:val="00291EC1"/>
    <w:rsid w:val="00292331"/>
    <w:rsid w:val="00293B74"/>
    <w:rsid w:val="002945F0"/>
    <w:rsid w:val="00294866"/>
    <w:rsid w:val="00294EA2"/>
    <w:rsid w:val="00294F57"/>
    <w:rsid w:val="002956FB"/>
    <w:rsid w:val="002957C6"/>
    <w:rsid w:val="002961FD"/>
    <w:rsid w:val="0029656E"/>
    <w:rsid w:val="0029665B"/>
    <w:rsid w:val="00296BB5"/>
    <w:rsid w:val="00296D7E"/>
    <w:rsid w:val="00296E0A"/>
    <w:rsid w:val="00296F82"/>
    <w:rsid w:val="002970AB"/>
    <w:rsid w:val="00297307"/>
    <w:rsid w:val="00297A0B"/>
    <w:rsid w:val="002A05D3"/>
    <w:rsid w:val="002A0628"/>
    <w:rsid w:val="002A06E0"/>
    <w:rsid w:val="002A0ACC"/>
    <w:rsid w:val="002A0D43"/>
    <w:rsid w:val="002A0DCB"/>
    <w:rsid w:val="002A119C"/>
    <w:rsid w:val="002A155F"/>
    <w:rsid w:val="002A26C6"/>
    <w:rsid w:val="002A2DF3"/>
    <w:rsid w:val="002A343E"/>
    <w:rsid w:val="002A3475"/>
    <w:rsid w:val="002A38B6"/>
    <w:rsid w:val="002A3BDE"/>
    <w:rsid w:val="002A3FF7"/>
    <w:rsid w:val="002A4243"/>
    <w:rsid w:val="002A4630"/>
    <w:rsid w:val="002A4A4F"/>
    <w:rsid w:val="002A5092"/>
    <w:rsid w:val="002A519D"/>
    <w:rsid w:val="002A5CF7"/>
    <w:rsid w:val="002A614A"/>
    <w:rsid w:val="002A6407"/>
    <w:rsid w:val="002A695E"/>
    <w:rsid w:val="002A6ED9"/>
    <w:rsid w:val="002A6F82"/>
    <w:rsid w:val="002A7141"/>
    <w:rsid w:val="002A7225"/>
    <w:rsid w:val="002A72E5"/>
    <w:rsid w:val="002A7E8D"/>
    <w:rsid w:val="002A7FB9"/>
    <w:rsid w:val="002B0189"/>
    <w:rsid w:val="002B0633"/>
    <w:rsid w:val="002B071D"/>
    <w:rsid w:val="002B0835"/>
    <w:rsid w:val="002B0849"/>
    <w:rsid w:val="002B090E"/>
    <w:rsid w:val="002B0C26"/>
    <w:rsid w:val="002B0CE4"/>
    <w:rsid w:val="002B146C"/>
    <w:rsid w:val="002B1484"/>
    <w:rsid w:val="002B14A7"/>
    <w:rsid w:val="002B196C"/>
    <w:rsid w:val="002B1A65"/>
    <w:rsid w:val="002B1CF4"/>
    <w:rsid w:val="002B2503"/>
    <w:rsid w:val="002B3320"/>
    <w:rsid w:val="002B34CC"/>
    <w:rsid w:val="002B3544"/>
    <w:rsid w:val="002B362B"/>
    <w:rsid w:val="002B38B4"/>
    <w:rsid w:val="002B39B4"/>
    <w:rsid w:val="002B3B1D"/>
    <w:rsid w:val="002B3F0D"/>
    <w:rsid w:val="002B416F"/>
    <w:rsid w:val="002B440C"/>
    <w:rsid w:val="002B49BC"/>
    <w:rsid w:val="002B4B19"/>
    <w:rsid w:val="002B4F82"/>
    <w:rsid w:val="002B4F8C"/>
    <w:rsid w:val="002B5588"/>
    <w:rsid w:val="002B607C"/>
    <w:rsid w:val="002B639E"/>
    <w:rsid w:val="002B66C8"/>
    <w:rsid w:val="002B6E63"/>
    <w:rsid w:val="002B77A9"/>
    <w:rsid w:val="002B7805"/>
    <w:rsid w:val="002B7D0F"/>
    <w:rsid w:val="002B7DB6"/>
    <w:rsid w:val="002C05A6"/>
    <w:rsid w:val="002C09D5"/>
    <w:rsid w:val="002C0AE0"/>
    <w:rsid w:val="002C0B98"/>
    <w:rsid w:val="002C14C4"/>
    <w:rsid w:val="002C22B5"/>
    <w:rsid w:val="002C3200"/>
    <w:rsid w:val="002C3550"/>
    <w:rsid w:val="002C48A3"/>
    <w:rsid w:val="002C4C88"/>
    <w:rsid w:val="002C513B"/>
    <w:rsid w:val="002C537D"/>
    <w:rsid w:val="002C55A1"/>
    <w:rsid w:val="002C5A11"/>
    <w:rsid w:val="002C5D33"/>
    <w:rsid w:val="002C61F8"/>
    <w:rsid w:val="002C7CB6"/>
    <w:rsid w:val="002D1076"/>
    <w:rsid w:val="002D10A6"/>
    <w:rsid w:val="002D1FE8"/>
    <w:rsid w:val="002D2233"/>
    <w:rsid w:val="002D3635"/>
    <w:rsid w:val="002D3BD2"/>
    <w:rsid w:val="002D3C7B"/>
    <w:rsid w:val="002D3FBE"/>
    <w:rsid w:val="002D42D9"/>
    <w:rsid w:val="002D467E"/>
    <w:rsid w:val="002D483A"/>
    <w:rsid w:val="002D4A57"/>
    <w:rsid w:val="002D4E7F"/>
    <w:rsid w:val="002D59A4"/>
    <w:rsid w:val="002D6255"/>
    <w:rsid w:val="002D6594"/>
    <w:rsid w:val="002D6DD6"/>
    <w:rsid w:val="002D7115"/>
    <w:rsid w:val="002D71A9"/>
    <w:rsid w:val="002D7309"/>
    <w:rsid w:val="002E02DC"/>
    <w:rsid w:val="002E0345"/>
    <w:rsid w:val="002E0732"/>
    <w:rsid w:val="002E0CE4"/>
    <w:rsid w:val="002E1C82"/>
    <w:rsid w:val="002E24E0"/>
    <w:rsid w:val="002E3A35"/>
    <w:rsid w:val="002E407E"/>
    <w:rsid w:val="002E40D8"/>
    <w:rsid w:val="002E528B"/>
    <w:rsid w:val="002E558B"/>
    <w:rsid w:val="002E55B6"/>
    <w:rsid w:val="002E57F8"/>
    <w:rsid w:val="002E581E"/>
    <w:rsid w:val="002E5A4B"/>
    <w:rsid w:val="002E5EA0"/>
    <w:rsid w:val="002E6D14"/>
    <w:rsid w:val="002E741C"/>
    <w:rsid w:val="002E7485"/>
    <w:rsid w:val="002E77B8"/>
    <w:rsid w:val="002E7AA1"/>
    <w:rsid w:val="002E7D44"/>
    <w:rsid w:val="002F0130"/>
    <w:rsid w:val="002F09FE"/>
    <w:rsid w:val="002F0F24"/>
    <w:rsid w:val="002F1771"/>
    <w:rsid w:val="002F18D4"/>
    <w:rsid w:val="002F2057"/>
    <w:rsid w:val="002F205A"/>
    <w:rsid w:val="002F2FB0"/>
    <w:rsid w:val="002F32B7"/>
    <w:rsid w:val="002F4272"/>
    <w:rsid w:val="002F4384"/>
    <w:rsid w:val="002F53DF"/>
    <w:rsid w:val="002F5D9E"/>
    <w:rsid w:val="002F61F6"/>
    <w:rsid w:val="002F6753"/>
    <w:rsid w:val="002F6DB4"/>
    <w:rsid w:val="002F758A"/>
    <w:rsid w:val="00300D53"/>
    <w:rsid w:val="0030121F"/>
    <w:rsid w:val="00301E75"/>
    <w:rsid w:val="003020C2"/>
    <w:rsid w:val="00302F8F"/>
    <w:rsid w:val="00303017"/>
    <w:rsid w:val="0030326E"/>
    <w:rsid w:val="00303410"/>
    <w:rsid w:val="003034E7"/>
    <w:rsid w:val="00303574"/>
    <w:rsid w:val="00303580"/>
    <w:rsid w:val="003039FA"/>
    <w:rsid w:val="00303D92"/>
    <w:rsid w:val="00303D9C"/>
    <w:rsid w:val="0030408F"/>
    <w:rsid w:val="003040D2"/>
    <w:rsid w:val="00304929"/>
    <w:rsid w:val="00304E96"/>
    <w:rsid w:val="0030520A"/>
    <w:rsid w:val="00305802"/>
    <w:rsid w:val="00305A63"/>
    <w:rsid w:val="00306281"/>
    <w:rsid w:val="00306284"/>
    <w:rsid w:val="00306832"/>
    <w:rsid w:val="00306AFB"/>
    <w:rsid w:val="00307216"/>
    <w:rsid w:val="00307A98"/>
    <w:rsid w:val="003105F9"/>
    <w:rsid w:val="0031113F"/>
    <w:rsid w:val="00311374"/>
    <w:rsid w:val="00311D61"/>
    <w:rsid w:val="00311DCD"/>
    <w:rsid w:val="00312408"/>
    <w:rsid w:val="003126C8"/>
    <w:rsid w:val="003126CE"/>
    <w:rsid w:val="003129D7"/>
    <w:rsid w:val="00312A79"/>
    <w:rsid w:val="003139BF"/>
    <w:rsid w:val="00313B14"/>
    <w:rsid w:val="00313D79"/>
    <w:rsid w:val="00313F67"/>
    <w:rsid w:val="003146AA"/>
    <w:rsid w:val="00314725"/>
    <w:rsid w:val="00314AAC"/>
    <w:rsid w:val="00314C9F"/>
    <w:rsid w:val="003150B9"/>
    <w:rsid w:val="003156C2"/>
    <w:rsid w:val="00315DDA"/>
    <w:rsid w:val="00316329"/>
    <w:rsid w:val="00316447"/>
    <w:rsid w:val="00316DA6"/>
    <w:rsid w:val="00317178"/>
    <w:rsid w:val="00317563"/>
    <w:rsid w:val="003176ED"/>
    <w:rsid w:val="003178B0"/>
    <w:rsid w:val="00317950"/>
    <w:rsid w:val="00317BE1"/>
    <w:rsid w:val="00320F3E"/>
    <w:rsid w:val="003211DE"/>
    <w:rsid w:val="003214D4"/>
    <w:rsid w:val="003217AC"/>
    <w:rsid w:val="00321AF9"/>
    <w:rsid w:val="0032247C"/>
    <w:rsid w:val="00322972"/>
    <w:rsid w:val="00322D3E"/>
    <w:rsid w:val="003230E7"/>
    <w:rsid w:val="0032383B"/>
    <w:rsid w:val="00323D87"/>
    <w:rsid w:val="00323FA5"/>
    <w:rsid w:val="00324D61"/>
    <w:rsid w:val="00324FA4"/>
    <w:rsid w:val="003254D3"/>
    <w:rsid w:val="00325B1A"/>
    <w:rsid w:val="00325F54"/>
    <w:rsid w:val="0032612B"/>
    <w:rsid w:val="003261D2"/>
    <w:rsid w:val="00327C65"/>
    <w:rsid w:val="003318F0"/>
    <w:rsid w:val="0033197D"/>
    <w:rsid w:val="00331A79"/>
    <w:rsid w:val="003321B8"/>
    <w:rsid w:val="0033243C"/>
    <w:rsid w:val="00332EE1"/>
    <w:rsid w:val="003343BF"/>
    <w:rsid w:val="00334812"/>
    <w:rsid w:val="00334D43"/>
    <w:rsid w:val="00335036"/>
    <w:rsid w:val="00335734"/>
    <w:rsid w:val="0033588B"/>
    <w:rsid w:val="00335A2C"/>
    <w:rsid w:val="003367FC"/>
    <w:rsid w:val="00336CEA"/>
    <w:rsid w:val="00337BBD"/>
    <w:rsid w:val="00337FA6"/>
    <w:rsid w:val="0034020E"/>
    <w:rsid w:val="00340248"/>
    <w:rsid w:val="003405F4"/>
    <w:rsid w:val="003406E4"/>
    <w:rsid w:val="00340880"/>
    <w:rsid w:val="003408BB"/>
    <w:rsid w:val="00340ABE"/>
    <w:rsid w:val="00340AD5"/>
    <w:rsid w:val="00340C53"/>
    <w:rsid w:val="00342090"/>
    <w:rsid w:val="0034219D"/>
    <w:rsid w:val="00342A3C"/>
    <w:rsid w:val="003431F7"/>
    <w:rsid w:val="00343307"/>
    <w:rsid w:val="00343821"/>
    <w:rsid w:val="0034383F"/>
    <w:rsid w:val="00343B6B"/>
    <w:rsid w:val="00343B82"/>
    <w:rsid w:val="00343BEF"/>
    <w:rsid w:val="00343C34"/>
    <w:rsid w:val="003440F9"/>
    <w:rsid w:val="0034506F"/>
    <w:rsid w:val="00345870"/>
    <w:rsid w:val="0034597A"/>
    <w:rsid w:val="00345C45"/>
    <w:rsid w:val="00345F6B"/>
    <w:rsid w:val="0034641D"/>
    <w:rsid w:val="00346885"/>
    <w:rsid w:val="00346A2E"/>
    <w:rsid w:val="00346E8B"/>
    <w:rsid w:val="00350553"/>
    <w:rsid w:val="00352341"/>
    <w:rsid w:val="00352397"/>
    <w:rsid w:val="00352B6E"/>
    <w:rsid w:val="00352BA2"/>
    <w:rsid w:val="00352BD8"/>
    <w:rsid w:val="00352CBD"/>
    <w:rsid w:val="00352FAD"/>
    <w:rsid w:val="00353147"/>
    <w:rsid w:val="00353B8D"/>
    <w:rsid w:val="00354FA2"/>
    <w:rsid w:val="003552BB"/>
    <w:rsid w:val="00355571"/>
    <w:rsid w:val="003556B5"/>
    <w:rsid w:val="00355AE4"/>
    <w:rsid w:val="00356391"/>
    <w:rsid w:val="00356B6E"/>
    <w:rsid w:val="003574B6"/>
    <w:rsid w:val="00357B39"/>
    <w:rsid w:val="00357F7F"/>
    <w:rsid w:val="00361107"/>
    <w:rsid w:val="003614D6"/>
    <w:rsid w:val="00361563"/>
    <w:rsid w:val="003616CD"/>
    <w:rsid w:val="00361E36"/>
    <w:rsid w:val="00362A40"/>
    <w:rsid w:val="003632BB"/>
    <w:rsid w:val="0036374F"/>
    <w:rsid w:val="003638C4"/>
    <w:rsid w:val="00364761"/>
    <w:rsid w:val="00364822"/>
    <w:rsid w:val="00365AED"/>
    <w:rsid w:val="00365BC7"/>
    <w:rsid w:val="003665DB"/>
    <w:rsid w:val="0036709F"/>
    <w:rsid w:val="003676DC"/>
    <w:rsid w:val="003677FC"/>
    <w:rsid w:val="00371808"/>
    <w:rsid w:val="00371BFD"/>
    <w:rsid w:val="003720C3"/>
    <w:rsid w:val="00372B82"/>
    <w:rsid w:val="0037350F"/>
    <w:rsid w:val="003735CC"/>
    <w:rsid w:val="003747C5"/>
    <w:rsid w:val="00374A11"/>
    <w:rsid w:val="00374A42"/>
    <w:rsid w:val="00374CED"/>
    <w:rsid w:val="003751A8"/>
    <w:rsid w:val="00376198"/>
    <w:rsid w:val="003762B9"/>
    <w:rsid w:val="00376744"/>
    <w:rsid w:val="00376FDB"/>
    <w:rsid w:val="00377149"/>
    <w:rsid w:val="00377330"/>
    <w:rsid w:val="0037735A"/>
    <w:rsid w:val="00377376"/>
    <w:rsid w:val="00377C6A"/>
    <w:rsid w:val="003801F4"/>
    <w:rsid w:val="0038046D"/>
    <w:rsid w:val="003807F2"/>
    <w:rsid w:val="00380871"/>
    <w:rsid w:val="00380BE5"/>
    <w:rsid w:val="00380EE5"/>
    <w:rsid w:val="00380FE8"/>
    <w:rsid w:val="00381642"/>
    <w:rsid w:val="00381A13"/>
    <w:rsid w:val="00381B25"/>
    <w:rsid w:val="00381FF4"/>
    <w:rsid w:val="00382103"/>
    <w:rsid w:val="0038210C"/>
    <w:rsid w:val="0038213D"/>
    <w:rsid w:val="003826D0"/>
    <w:rsid w:val="0038399B"/>
    <w:rsid w:val="00383B17"/>
    <w:rsid w:val="00383DD3"/>
    <w:rsid w:val="00383F93"/>
    <w:rsid w:val="003840F0"/>
    <w:rsid w:val="00384357"/>
    <w:rsid w:val="00384E06"/>
    <w:rsid w:val="00384FF8"/>
    <w:rsid w:val="00385289"/>
    <w:rsid w:val="003852D6"/>
    <w:rsid w:val="003854BC"/>
    <w:rsid w:val="00385536"/>
    <w:rsid w:val="00385697"/>
    <w:rsid w:val="00385D9B"/>
    <w:rsid w:val="00386D5F"/>
    <w:rsid w:val="00386D8E"/>
    <w:rsid w:val="00386F7A"/>
    <w:rsid w:val="00387A84"/>
    <w:rsid w:val="003909CA"/>
    <w:rsid w:val="00390C1E"/>
    <w:rsid w:val="00390DD1"/>
    <w:rsid w:val="00390E7F"/>
    <w:rsid w:val="0039150F"/>
    <w:rsid w:val="00391664"/>
    <w:rsid w:val="0039171E"/>
    <w:rsid w:val="00391A58"/>
    <w:rsid w:val="00391C55"/>
    <w:rsid w:val="003926FA"/>
    <w:rsid w:val="00392A4F"/>
    <w:rsid w:val="00392DB4"/>
    <w:rsid w:val="00393264"/>
    <w:rsid w:val="0039354E"/>
    <w:rsid w:val="00393D1F"/>
    <w:rsid w:val="00393D2C"/>
    <w:rsid w:val="00395332"/>
    <w:rsid w:val="0039609E"/>
    <w:rsid w:val="00396275"/>
    <w:rsid w:val="00396A64"/>
    <w:rsid w:val="00396D10"/>
    <w:rsid w:val="0039740E"/>
    <w:rsid w:val="003A0617"/>
    <w:rsid w:val="003A0738"/>
    <w:rsid w:val="003A277F"/>
    <w:rsid w:val="003A2E48"/>
    <w:rsid w:val="003A3A82"/>
    <w:rsid w:val="003A4369"/>
    <w:rsid w:val="003A46D7"/>
    <w:rsid w:val="003A4EB2"/>
    <w:rsid w:val="003A4F04"/>
    <w:rsid w:val="003A4F26"/>
    <w:rsid w:val="003A5CE4"/>
    <w:rsid w:val="003A5FA3"/>
    <w:rsid w:val="003A631C"/>
    <w:rsid w:val="003A652A"/>
    <w:rsid w:val="003A66DB"/>
    <w:rsid w:val="003A6813"/>
    <w:rsid w:val="003A6A15"/>
    <w:rsid w:val="003A6FD4"/>
    <w:rsid w:val="003A70CF"/>
    <w:rsid w:val="003A7477"/>
    <w:rsid w:val="003A75BA"/>
    <w:rsid w:val="003A78AF"/>
    <w:rsid w:val="003A7D4E"/>
    <w:rsid w:val="003A7DD5"/>
    <w:rsid w:val="003A7FE8"/>
    <w:rsid w:val="003B003F"/>
    <w:rsid w:val="003B04E1"/>
    <w:rsid w:val="003B0AB3"/>
    <w:rsid w:val="003B1F25"/>
    <w:rsid w:val="003B22A9"/>
    <w:rsid w:val="003B294F"/>
    <w:rsid w:val="003B302A"/>
    <w:rsid w:val="003B332C"/>
    <w:rsid w:val="003B334B"/>
    <w:rsid w:val="003B33D3"/>
    <w:rsid w:val="003B38A3"/>
    <w:rsid w:val="003B40B3"/>
    <w:rsid w:val="003B40F6"/>
    <w:rsid w:val="003B4454"/>
    <w:rsid w:val="003B4864"/>
    <w:rsid w:val="003B4BF0"/>
    <w:rsid w:val="003B4FD0"/>
    <w:rsid w:val="003B5080"/>
    <w:rsid w:val="003B5169"/>
    <w:rsid w:val="003B5655"/>
    <w:rsid w:val="003B579F"/>
    <w:rsid w:val="003B59D3"/>
    <w:rsid w:val="003B6A53"/>
    <w:rsid w:val="003B7075"/>
    <w:rsid w:val="003C02DF"/>
    <w:rsid w:val="003C0424"/>
    <w:rsid w:val="003C04DD"/>
    <w:rsid w:val="003C0862"/>
    <w:rsid w:val="003C0E43"/>
    <w:rsid w:val="003C0E8A"/>
    <w:rsid w:val="003C12D9"/>
    <w:rsid w:val="003C139E"/>
    <w:rsid w:val="003C1412"/>
    <w:rsid w:val="003C1751"/>
    <w:rsid w:val="003C18DA"/>
    <w:rsid w:val="003C1B6E"/>
    <w:rsid w:val="003C1BC0"/>
    <w:rsid w:val="003C1F3D"/>
    <w:rsid w:val="003C230F"/>
    <w:rsid w:val="003C25D0"/>
    <w:rsid w:val="003C28EC"/>
    <w:rsid w:val="003C36AD"/>
    <w:rsid w:val="003C3BCA"/>
    <w:rsid w:val="003C3FFE"/>
    <w:rsid w:val="003C4089"/>
    <w:rsid w:val="003C414F"/>
    <w:rsid w:val="003C4E11"/>
    <w:rsid w:val="003C5248"/>
    <w:rsid w:val="003C53A6"/>
    <w:rsid w:val="003C5615"/>
    <w:rsid w:val="003C5AB6"/>
    <w:rsid w:val="003C5F8B"/>
    <w:rsid w:val="003C6B4E"/>
    <w:rsid w:val="003C73B7"/>
    <w:rsid w:val="003C749D"/>
    <w:rsid w:val="003C75AF"/>
    <w:rsid w:val="003C7774"/>
    <w:rsid w:val="003C7B98"/>
    <w:rsid w:val="003C7DBA"/>
    <w:rsid w:val="003C7E56"/>
    <w:rsid w:val="003D07E1"/>
    <w:rsid w:val="003D09A8"/>
    <w:rsid w:val="003D1808"/>
    <w:rsid w:val="003D1993"/>
    <w:rsid w:val="003D19EA"/>
    <w:rsid w:val="003D1F11"/>
    <w:rsid w:val="003D1FED"/>
    <w:rsid w:val="003D220E"/>
    <w:rsid w:val="003D2320"/>
    <w:rsid w:val="003D277D"/>
    <w:rsid w:val="003D2BB5"/>
    <w:rsid w:val="003D30B0"/>
    <w:rsid w:val="003D330C"/>
    <w:rsid w:val="003D3DB7"/>
    <w:rsid w:val="003D41A4"/>
    <w:rsid w:val="003D423C"/>
    <w:rsid w:val="003D435B"/>
    <w:rsid w:val="003D45E2"/>
    <w:rsid w:val="003D4B9B"/>
    <w:rsid w:val="003D4D8A"/>
    <w:rsid w:val="003D515C"/>
    <w:rsid w:val="003D5294"/>
    <w:rsid w:val="003D5637"/>
    <w:rsid w:val="003D5879"/>
    <w:rsid w:val="003D6407"/>
    <w:rsid w:val="003D646F"/>
    <w:rsid w:val="003D6CA9"/>
    <w:rsid w:val="003D727F"/>
    <w:rsid w:val="003D78AB"/>
    <w:rsid w:val="003D7C1E"/>
    <w:rsid w:val="003D7C5C"/>
    <w:rsid w:val="003D7E9E"/>
    <w:rsid w:val="003E0267"/>
    <w:rsid w:val="003E12FF"/>
    <w:rsid w:val="003E1F04"/>
    <w:rsid w:val="003E238F"/>
    <w:rsid w:val="003E27F4"/>
    <w:rsid w:val="003E2CB1"/>
    <w:rsid w:val="003E2CBE"/>
    <w:rsid w:val="003E2D87"/>
    <w:rsid w:val="003E2F35"/>
    <w:rsid w:val="003E3134"/>
    <w:rsid w:val="003E314F"/>
    <w:rsid w:val="003E43D9"/>
    <w:rsid w:val="003E4A9F"/>
    <w:rsid w:val="003E4BC2"/>
    <w:rsid w:val="003E5305"/>
    <w:rsid w:val="003E5673"/>
    <w:rsid w:val="003E5B38"/>
    <w:rsid w:val="003E699C"/>
    <w:rsid w:val="003E6CD1"/>
    <w:rsid w:val="003E70A9"/>
    <w:rsid w:val="003E73A9"/>
    <w:rsid w:val="003E7C72"/>
    <w:rsid w:val="003F0363"/>
    <w:rsid w:val="003F08CF"/>
    <w:rsid w:val="003F130D"/>
    <w:rsid w:val="003F2F16"/>
    <w:rsid w:val="003F2F40"/>
    <w:rsid w:val="003F403B"/>
    <w:rsid w:val="003F4566"/>
    <w:rsid w:val="003F4657"/>
    <w:rsid w:val="003F4717"/>
    <w:rsid w:val="003F4913"/>
    <w:rsid w:val="003F4AD7"/>
    <w:rsid w:val="003F50E5"/>
    <w:rsid w:val="003F5327"/>
    <w:rsid w:val="003F53EA"/>
    <w:rsid w:val="003F5789"/>
    <w:rsid w:val="003F6151"/>
    <w:rsid w:val="003F631B"/>
    <w:rsid w:val="003F6E1C"/>
    <w:rsid w:val="003F7128"/>
    <w:rsid w:val="003F77B8"/>
    <w:rsid w:val="003F7871"/>
    <w:rsid w:val="003F7F7E"/>
    <w:rsid w:val="004004DF"/>
    <w:rsid w:val="004006D1"/>
    <w:rsid w:val="0040111B"/>
    <w:rsid w:val="004013B9"/>
    <w:rsid w:val="004018C6"/>
    <w:rsid w:val="0040210E"/>
    <w:rsid w:val="00402F2D"/>
    <w:rsid w:val="004038CD"/>
    <w:rsid w:val="004040AE"/>
    <w:rsid w:val="0040414D"/>
    <w:rsid w:val="004046E0"/>
    <w:rsid w:val="00404999"/>
    <w:rsid w:val="00404E0F"/>
    <w:rsid w:val="004056E7"/>
    <w:rsid w:val="00405CB0"/>
    <w:rsid w:val="00405D97"/>
    <w:rsid w:val="0040692D"/>
    <w:rsid w:val="00407022"/>
    <w:rsid w:val="004071A8"/>
    <w:rsid w:val="004076C5"/>
    <w:rsid w:val="00407999"/>
    <w:rsid w:val="0041002E"/>
    <w:rsid w:val="004103C2"/>
    <w:rsid w:val="00411311"/>
    <w:rsid w:val="00411515"/>
    <w:rsid w:val="00411C14"/>
    <w:rsid w:val="00411DA4"/>
    <w:rsid w:val="00411E48"/>
    <w:rsid w:val="004121AA"/>
    <w:rsid w:val="004121C9"/>
    <w:rsid w:val="00412544"/>
    <w:rsid w:val="004127CB"/>
    <w:rsid w:val="00412A61"/>
    <w:rsid w:val="00412C9C"/>
    <w:rsid w:val="00412CE5"/>
    <w:rsid w:val="0041304F"/>
    <w:rsid w:val="0041312A"/>
    <w:rsid w:val="0041326D"/>
    <w:rsid w:val="00413488"/>
    <w:rsid w:val="004134A3"/>
    <w:rsid w:val="00414D77"/>
    <w:rsid w:val="00414DC0"/>
    <w:rsid w:val="00414F3F"/>
    <w:rsid w:val="0041516D"/>
    <w:rsid w:val="00415709"/>
    <w:rsid w:val="00415888"/>
    <w:rsid w:val="004163B1"/>
    <w:rsid w:val="00417006"/>
    <w:rsid w:val="00417CCB"/>
    <w:rsid w:val="00420756"/>
    <w:rsid w:val="00420FA8"/>
    <w:rsid w:val="00421924"/>
    <w:rsid w:val="004219C1"/>
    <w:rsid w:val="00421C6B"/>
    <w:rsid w:val="00421DD4"/>
    <w:rsid w:val="0042299A"/>
    <w:rsid w:val="00422DCB"/>
    <w:rsid w:val="00423BA5"/>
    <w:rsid w:val="00423E61"/>
    <w:rsid w:val="004244AC"/>
    <w:rsid w:val="004255AC"/>
    <w:rsid w:val="00425ACF"/>
    <w:rsid w:val="00425B69"/>
    <w:rsid w:val="0042621B"/>
    <w:rsid w:val="00426270"/>
    <w:rsid w:val="00426CB4"/>
    <w:rsid w:val="00426F50"/>
    <w:rsid w:val="00426F77"/>
    <w:rsid w:val="00427289"/>
    <w:rsid w:val="0042770B"/>
    <w:rsid w:val="004301A3"/>
    <w:rsid w:val="00430A41"/>
    <w:rsid w:val="00430BB5"/>
    <w:rsid w:val="00430C38"/>
    <w:rsid w:val="00431049"/>
    <w:rsid w:val="004315F8"/>
    <w:rsid w:val="00431E10"/>
    <w:rsid w:val="00433170"/>
    <w:rsid w:val="00433205"/>
    <w:rsid w:val="00434058"/>
    <w:rsid w:val="00434918"/>
    <w:rsid w:val="00434C7D"/>
    <w:rsid w:val="00434E7D"/>
    <w:rsid w:val="00434F06"/>
    <w:rsid w:val="004350A8"/>
    <w:rsid w:val="004351AF"/>
    <w:rsid w:val="0043558A"/>
    <w:rsid w:val="004362CF"/>
    <w:rsid w:val="00436819"/>
    <w:rsid w:val="00436B73"/>
    <w:rsid w:val="00436FC7"/>
    <w:rsid w:val="004370B2"/>
    <w:rsid w:val="004371AA"/>
    <w:rsid w:val="004374C1"/>
    <w:rsid w:val="00437857"/>
    <w:rsid w:val="004378E3"/>
    <w:rsid w:val="004405D6"/>
    <w:rsid w:val="004408CB"/>
    <w:rsid w:val="0044162C"/>
    <w:rsid w:val="0044256F"/>
    <w:rsid w:val="0044293A"/>
    <w:rsid w:val="00442A5E"/>
    <w:rsid w:val="0044507B"/>
    <w:rsid w:val="00445A90"/>
    <w:rsid w:val="00445BA0"/>
    <w:rsid w:val="00445DA8"/>
    <w:rsid w:val="00445F4F"/>
    <w:rsid w:val="00446047"/>
    <w:rsid w:val="004461FA"/>
    <w:rsid w:val="004467FB"/>
    <w:rsid w:val="004469E0"/>
    <w:rsid w:val="00447404"/>
    <w:rsid w:val="0044744C"/>
    <w:rsid w:val="004475A1"/>
    <w:rsid w:val="00447BE9"/>
    <w:rsid w:val="00450207"/>
    <w:rsid w:val="0045031B"/>
    <w:rsid w:val="0045075C"/>
    <w:rsid w:val="00450A9D"/>
    <w:rsid w:val="00450D04"/>
    <w:rsid w:val="00450E0C"/>
    <w:rsid w:val="00450FC0"/>
    <w:rsid w:val="00451044"/>
    <w:rsid w:val="0045196A"/>
    <w:rsid w:val="00451D7C"/>
    <w:rsid w:val="00452077"/>
    <w:rsid w:val="004521E7"/>
    <w:rsid w:val="00452B93"/>
    <w:rsid w:val="004531F4"/>
    <w:rsid w:val="00453503"/>
    <w:rsid w:val="004539E8"/>
    <w:rsid w:val="00453D32"/>
    <w:rsid w:val="00453E3C"/>
    <w:rsid w:val="0045403F"/>
    <w:rsid w:val="004544FF"/>
    <w:rsid w:val="0045579B"/>
    <w:rsid w:val="00455EB5"/>
    <w:rsid w:val="00456243"/>
    <w:rsid w:val="00456B67"/>
    <w:rsid w:val="00456C33"/>
    <w:rsid w:val="00456DF7"/>
    <w:rsid w:val="0045723D"/>
    <w:rsid w:val="0045760F"/>
    <w:rsid w:val="00457E8B"/>
    <w:rsid w:val="00460642"/>
    <w:rsid w:val="00460AD8"/>
    <w:rsid w:val="00460CD7"/>
    <w:rsid w:val="00461C5A"/>
    <w:rsid w:val="004628A1"/>
    <w:rsid w:val="004628FF"/>
    <w:rsid w:val="00462B2D"/>
    <w:rsid w:val="00463227"/>
    <w:rsid w:val="00463901"/>
    <w:rsid w:val="00463933"/>
    <w:rsid w:val="0046534E"/>
    <w:rsid w:val="0046613C"/>
    <w:rsid w:val="004668C8"/>
    <w:rsid w:val="00466AA7"/>
    <w:rsid w:val="00467A90"/>
    <w:rsid w:val="004713F7"/>
    <w:rsid w:val="00471747"/>
    <w:rsid w:val="00471E83"/>
    <w:rsid w:val="00472139"/>
    <w:rsid w:val="00472358"/>
    <w:rsid w:val="00472571"/>
    <w:rsid w:val="0047265A"/>
    <w:rsid w:val="004745C2"/>
    <w:rsid w:val="0047483B"/>
    <w:rsid w:val="004750F1"/>
    <w:rsid w:val="00475868"/>
    <w:rsid w:val="00475AE1"/>
    <w:rsid w:val="00475D85"/>
    <w:rsid w:val="00475E78"/>
    <w:rsid w:val="00475E9E"/>
    <w:rsid w:val="004772E0"/>
    <w:rsid w:val="00477841"/>
    <w:rsid w:val="00477BCE"/>
    <w:rsid w:val="00477DDC"/>
    <w:rsid w:val="00480042"/>
    <w:rsid w:val="0048014D"/>
    <w:rsid w:val="00480DA0"/>
    <w:rsid w:val="00481588"/>
    <w:rsid w:val="00481BF7"/>
    <w:rsid w:val="00481EB2"/>
    <w:rsid w:val="00481ECC"/>
    <w:rsid w:val="0048226D"/>
    <w:rsid w:val="004824BC"/>
    <w:rsid w:val="004829F5"/>
    <w:rsid w:val="00482C5B"/>
    <w:rsid w:val="0048310C"/>
    <w:rsid w:val="00483305"/>
    <w:rsid w:val="00483680"/>
    <w:rsid w:val="00484563"/>
    <w:rsid w:val="00484C59"/>
    <w:rsid w:val="00485007"/>
    <w:rsid w:val="004851D2"/>
    <w:rsid w:val="00485698"/>
    <w:rsid w:val="00485B8B"/>
    <w:rsid w:val="00487931"/>
    <w:rsid w:val="00487E0A"/>
    <w:rsid w:val="004903ED"/>
    <w:rsid w:val="00490AB7"/>
    <w:rsid w:val="00490E90"/>
    <w:rsid w:val="00490EED"/>
    <w:rsid w:val="00491380"/>
    <w:rsid w:val="004918C2"/>
    <w:rsid w:val="00491A4B"/>
    <w:rsid w:val="00491D20"/>
    <w:rsid w:val="004921FB"/>
    <w:rsid w:val="004922EA"/>
    <w:rsid w:val="00492657"/>
    <w:rsid w:val="00492D4A"/>
    <w:rsid w:val="00493F42"/>
    <w:rsid w:val="00494216"/>
    <w:rsid w:val="0049475A"/>
    <w:rsid w:val="00494B95"/>
    <w:rsid w:val="00496238"/>
    <w:rsid w:val="00496497"/>
    <w:rsid w:val="00496654"/>
    <w:rsid w:val="004968E0"/>
    <w:rsid w:val="00496B5D"/>
    <w:rsid w:val="004973A1"/>
    <w:rsid w:val="00497952"/>
    <w:rsid w:val="00497E09"/>
    <w:rsid w:val="00497EE7"/>
    <w:rsid w:val="004A041B"/>
    <w:rsid w:val="004A0FA4"/>
    <w:rsid w:val="004A1313"/>
    <w:rsid w:val="004A148C"/>
    <w:rsid w:val="004A1BC0"/>
    <w:rsid w:val="004A1E57"/>
    <w:rsid w:val="004A1F0D"/>
    <w:rsid w:val="004A1F24"/>
    <w:rsid w:val="004A2D17"/>
    <w:rsid w:val="004A2F3C"/>
    <w:rsid w:val="004A3468"/>
    <w:rsid w:val="004A369E"/>
    <w:rsid w:val="004A3779"/>
    <w:rsid w:val="004A40C5"/>
    <w:rsid w:val="004A4A13"/>
    <w:rsid w:val="004A4A9A"/>
    <w:rsid w:val="004A4C06"/>
    <w:rsid w:val="004A4EA6"/>
    <w:rsid w:val="004A4F6A"/>
    <w:rsid w:val="004A5152"/>
    <w:rsid w:val="004A5971"/>
    <w:rsid w:val="004A6A9E"/>
    <w:rsid w:val="004A6D15"/>
    <w:rsid w:val="004A734B"/>
    <w:rsid w:val="004A75CC"/>
    <w:rsid w:val="004B02E7"/>
    <w:rsid w:val="004B0409"/>
    <w:rsid w:val="004B0A0A"/>
    <w:rsid w:val="004B0B64"/>
    <w:rsid w:val="004B193A"/>
    <w:rsid w:val="004B1AFB"/>
    <w:rsid w:val="004B1DAB"/>
    <w:rsid w:val="004B230B"/>
    <w:rsid w:val="004B26BA"/>
    <w:rsid w:val="004B30C4"/>
    <w:rsid w:val="004B3342"/>
    <w:rsid w:val="004B3587"/>
    <w:rsid w:val="004B3C86"/>
    <w:rsid w:val="004B3D51"/>
    <w:rsid w:val="004B43A4"/>
    <w:rsid w:val="004B4663"/>
    <w:rsid w:val="004B48CF"/>
    <w:rsid w:val="004B5016"/>
    <w:rsid w:val="004B58FB"/>
    <w:rsid w:val="004B5C65"/>
    <w:rsid w:val="004B5CAE"/>
    <w:rsid w:val="004B6026"/>
    <w:rsid w:val="004B62FF"/>
    <w:rsid w:val="004B658F"/>
    <w:rsid w:val="004B6962"/>
    <w:rsid w:val="004B69C3"/>
    <w:rsid w:val="004B6CAA"/>
    <w:rsid w:val="004B754A"/>
    <w:rsid w:val="004B7645"/>
    <w:rsid w:val="004B7FA6"/>
    <w:rsid w:val="004C0B0D"/>
    <w:rsid w:val="004C0C03"/>
    <w:rsid w:val="004C152E"/>
    <w:rsid w:val="004C1840"/>
    <w:rsid w:val="004C26AF"/>
    <w:rsid w:val="004C2A26"/>
    <w:rsid w:val="004C2DB3"/>
    <w:rsid w:val="004C3424"/>
    <w:rsid w:val="004C391B"/>
    <w:rsid w:val="004C3A1C"/>
    <w:rsid w:val="004C3C13"/>
    <w:rsid w:val="004C3FAC"/>
    <w:rsid w:val="004C4409"/>
    <w:rsid w:val="004C4CF6"/>
    <w:rsid w:val="004C59A5"/>
    <w:rsid w:val="004C5E51"/>
    <w:rsid w:val="004C6131"/>
    <w:rsid w:val="004C6E06"/>
    <w:rsid w:val="004C750A"/>
    <w:rsid w:val="004C779A"/>
    <w:rsid w:val="004C7840"/>
    <w:rsid w:val="004C7AAB"/>
    <w:rsid w:val="004C7D7B"/>
    <w:rsid w:val="004C7F37"/>
    <w:rsid w:val="004D0945"/>
    <w:rsid w:val="004D0BDE"/>
    <w:rsid w:val="004D10F2"/>
    <w:rsid w:val="004D1133"/>
    <w:rsid w:val="004D11C4"/>
    <w:rsid w:val="004D1A3B"/>
    <w:rsid w:val="004D1F4C"/>
    <w:rsid w:val="004D1F63"/>
    <w:rsid w:val="004D2193"/>
    <w:rsid w:val="004D3663"/>
    <w:rsid w:val="004D3907"/>
    <w:rsid w:val="004D3BCF"/>
    <w:rsid w:val="004D3F1D"/>
    <w:rsid w:val="004D559D"/>
    <w:rsid w:val="004D5C30"/>
    <w:rsid w:val="004D6A03"/>
    <w:rsid w:val="004D6DCF"/>
    <w:rsid w:val="004D6E45"/>
    <w:rsid w:val="004D7A78"/>
    <w:rsid w:val="004E0055"/>
    <w:rsid w:val="004E0518"/>
    <w:rsid w:val="004E078E"/>
    <w:rsid w:val="004E0E57"/>
    <w:rsid w:val="004E134D"/>
    <w:rsid w:val="004E1A22"/>
    <w:rsid w:val="004E1B79"/>
    <w:rsid w:val="004E1BBA"/>
    <w:rsid w:val="004E29EE"/>
    <w:rsid w:val="004E2A48"/>
    <w:rsid w:val="004E2ABD"/>
    <w:rsid w:val="004E2F7D"/>
    <w:rsid w:val="004E33D0"/>
    <w:rsid w:val="004E3924"/>
    <w:rsid w:val="004E3A32"/>
    <w:rsid w:val="004E427E"/>
    <w:rsid w:val="004E4783"/>
    <w:rsid w:val="004E5091"/>
    <w:rsid w:val="004E513D"/>
    <w:rsid w:val="004E56D5"/>
    <w:rsid w:val="004E707C"/>
    <w:rsid w:val="004E70AF"/>
    <w:rsid w:val="004E79CE"/>
    <w:rsid w:val="004F0E5F"/>
    <w:rsid w:val="004F1521"/>
    <w:rsid w:val="004F17C7"/>
    <w:rsid w:val="004F1BA8"/>
    <w:rsid w:val="004F241E"/>
    <w:rsid w:val="004F28D8"/>
    <w:rsid w:val="004F2C2D"/>
    <w:rsid w:val="004F3294"/>
    <w:rsid w:val="004F45D2"/>
    <w:rsid w:val="004F4967"/>
    <w:rsid w:val="004F4DAB"/>
    <w:rsid w:val="004F591D"/>
    <w:rsid w:val="004F5AB4"/>
    <w:rsid w:val="004F6AED"/>
    <w:rsid w:val="004F6E5D"/>
    <w:rsid w:val="004F793E"/>
    <w:rsid w:val="004F7B1A"/>
    <w:rsid w:val="004F7BDD"/>
    <w:rsid w:val="004F7D8A"/>
    <w:rsid w:val="00500A21"/>
    <w:rsid w:val="00501361"/>
    <w:rsid w:val="005017A4"/>
    <w:rsid w:val="00501A3F"/>
    <w:rsid w:val="00501F2F"/>
    <w:rsid w:val="0050234E"/>
    <w:rsid w:val="00502958"/>
    <w:rsid w:val="00502F56"/>
    <w:rsid w:val="0050303E"/>
    <w:rsid w:val="0050480A"/>
    <w:rsid w:val="005049AF"/>
    <w:rsid w:val="00504A28"/>
    <w:rsid w:val="00504ADA"/>
    <w:rsid w:val="00504DB7"/>
    <w:rsid w:val="00505130"/>
    <w:rsid w:val="005055F1"/>
    <w:rsid w:val="00505615"/>
    <w:rsid w:val="00506143"/>
    <w:rsid w:val="0050689D"/>
    <w:rsid w:val="00506D5E"/>
    <w:rsid w:val="00506D8A"/>
    <w:rsid w:val="00506E25"/>
    <w:rsid w:val="00506E58"/>
    <w:rsid w:val="00506EC4"/>
    <w:rsid w:val="00506F7F"/>
    <w:rsid w:val="00507E86"/>
    <w:rsid w:val="00510D9A"/>
    <w:rsid w:val="00511345"/>
    <w:rsid w:val="0051182F"/>
    <w:rsid w:val="00511E8B"/>
    <w:rsid w:val="005121C4"/>
    <w:rsid w:val="00512C20"/>
    <w:rsid w:val="00512DF5"/>
    <w:rsid w:val="005132BE"/>
    <w:rsid w:val="0051363A"/>
    <w:rsid w:val="00514210"/>
    <w:rsid w:val="005143FB"/>
    <w:rsid w:val="00515018"/>
    <w:rsid w:val="00515948"/>
    <w:rsid w:val="00515EDE"/>
    <w:rsid w:val="00515F7A"/>
    <w:rsid w:val="00515F98"/>
    <w:rsid w:val="00516001"/>
    <w:rsid w:val="005161EC"/>
    <w:rsid w:val="005162E7"/>
    <w:rsid w:val="005164EF"/>
    <w:rsid w:val="00516543"/>
    <w:rsid w:val="0051661B"/>
    <w:rsid w:val="00516E4C"/>
    <w:rsid w:val="0051709C"/>
    <w:rsid w:val="00517345"/>
    <w:rsid w:val="00517A48"/>
    <w:rsid w:val="00520178"/>
    <w:rsid w:val="00520569"/>
    <w:rsid w:val="005207D6"/>
    <w:rsid w:val="00520809"/>
    <w:rsid w:val="00520C80"/>
    <w:rsid w:val="00520D0F"/>
    <w:rsid w:val="00520DEC"/>
    <w:rsid w:val="00521229"/>
    <w:rsid w:val="00521885"/>
    <w:rsid w:val="005218AB"/>
    <w:rsid w:val="0052194F"/>
    <w:rsid w:val="00522361"/>
    <w:rsid w:val="0052340D"/>
    <w:rsid w:val="0052345D"/>
    <w:rsid w:val="00523498"/>
    <w:rsid w:val="00523671"/>
    <w:rsid w:val="005236CD"/>
    <w:rsid w:val="00523A25"/>
    <w:rsid w:val="00523BEE"/>
    <w:rsid w:val="005244D5"/>
    <w:rsid w:val="005245F4"/>
    <w:rsid w:val="00524C4B"/>
    <w:rsid w:val="00524E84"/>
    <w:rsid w:val="00524EDA"/>
    <w:rsid w:val="00524FF8"/>
    <w:rsid w:val="00525701"/>
    <w:rsid w:val="00525A3A"/>
    <w:rsid w:val="00525A54"/>
    <w:rsid w:val="0052702F"/>
    <w:rsid w:val="00527826"/>
    <w:rsid w:val="00527A1A"/>
    <w:rsid w:val="00527D28"/>
    <w:rsid w:val="00527E88"/>
    <w:rsid w:val="005302F2"/>
    <w:rsid w:val="005304AC"/>
    <w:rsid w:val="005308E0"/>
    <w:rsid w:val="00530A07"/>
    <w:rsid w:val="00530A2B"/>
    <w:rsid w:val="00531206"/>
    <w:rsid w:val="0053123E"/>
    <w:rsid w:val="005315C4"/>
    <w:rsid w:val="00531C7B"/>
    <w:rsid w:val="00531DE1"/>
    <w:rsid w:val="005324EE"/>
    <w:rsid w:val="0053257F"/>
    <w:rsid w:val="005326CB"/>
    <w:rsid w:val="005328A5"/>
    <w:rsid w:val="00532DE5"/>
    <w:rsid w:val="00533066"/>
    <w:rsid w:val="00533153"/>
    <w:rsid w:val="00533204"/>
    <w:rsid w:val="005335D9"/>
    <w:rsid w:val="00533A4A"/>
    <w:rsid w:val="00533E84"/>
    <w:rsid w:val="00533F42"/>
    <w:rsid w:val="005341E2"/>
    <w:rsid w:val="00534539"/>
    <w:rsid w:val="0053469E"/>
    <w:rsid w:val="00534A6A"/>
    <w:rsid w:val="00534C85"/>
    <w:rsid w:val="00534D1F"/>
    <w:rsid w:val="0053520F"/>
    <w:rsid w:val="005356A0"/>
    <w:rsid w:val="00535BBD"/>
    <w:rsid w:val="00535C93"/>
    <w:rsid w:val="00535E74"/>
    <w:rsid w:val="00536C34"/>
    <w:rsid w:val="0053702F"/>
    <w:rsid w:val="0053789C"/>
    <w:rsid w:val="00537AF1"/>
    <w:rsid w:val="00537B0D"/>
    <w:rsid w:val="00540068"/>
    <w:rsid w:val="005400EF"/>
    <w:rsid w:val="005402E2"/>
    <w:rsid w:val="00540D18"/>
    <w:rsid w:val="00540F30"/>
    <w:rsid w:val="00541CDE"/>
    <w:rsid w:val="00541F54"/>
    <w:rsid w:val="00542F31"/>
    <w:rsid w:val="00543FB7"/>
    <w:rsid w:val="0054408E"/>
    <w:rsid w:val="00544752"/>
    <w:rsid w:val="005448DD"/>
    <w:rsid w:val="00545713"/>
    <w:rsid w:val="00545757"/>
    <w:rsid w:val="005458A9"/>
    <w:rsid w:val="00545977"/>
    <w:rsid w:val="00545B9F"/>
    <w:rsid w:val="00545D2D"/>
    <w:rsid w:val="00545D9A"/>
    <w:rsid w:val="005468E1"/>
    <w:rsid w:val="0054711F"/>
    <w:rsid w:val="00547D90"/>
    <w:rsid w:val="005505F0"/>
    <w:rsid w:val="0055091B"/>
    <w:rsid w:val="005509FB"/>
    <w:rsid w:val="00550DA7"/>
    <w:rsid w:val="00550E6F"/>
    <w:rsid w:val="0055175D"/>
    <w:rsid w:val="005518BC"/>
    <w:rsid w:val="00552C14"/>
    <w:rsid w:val="00552CDA"/>
    <w:rsid w:val="005537EA"/>
    <w:rsid w:val="00553BE0"/>
    <w:rsid w:val="00554477"/>
    <w:rsid w:val="00554801"/>
    <w:rsid w:val="005548A1"/>
    <w:rsid w:val="00554BB2"/>
    <w:rsid w:val="0055504A"/>
    <w:rsid w:val="00555526"/>
    <w:rsid w:val="00555B86"/>
    <w:rsid w:val="0055663B"/>
    <w:rsid w:val="0055678B"/>
    <w:rsid w:val="005568DB"/>
    <w:rsid w:val="005571A0"/>
    <w:rsid w:val="00557201"/>
    <w:rsid w:val="005573B3"/>
    <w:rsid w:val="00560548"/>
    <w:rsid w:val="00560C6A"/>
    <w:rsid w:val="00560E22"/>
    <w:rsid w:val="00560F01"/>
    <w:rsid w:val="005611D5"/>
    <w:rsid w:val="00561571"/>
    <w:rsid w:val="00561793"/>
    <w:rsid w:val="00561911"/>
    <w:rsid w:val="0056192E"/>
    <w:rsid w:val="00562CD9"/>
    <w:rsid w:val="005632B1"/>
    <w:rsid w:val="00563BD6"/>
    <w:rsid w:val="00563BFF"/>
    <w:rsid w:val="0056419E"/>
    <w:rsid w:val="00564351"/>
    <w:rsid w:val="0056480C"/>
    <w:rsid w:val="00564988"/>
    <w:rsid w:val="00564F1C"/>
    <w:rsid w:val="00564FB4"/>
    <w:rsid w:val="00565916"/>
    <w:rsid w:val="0056599F"/>
    <w:rsid w:val="0056644F"/>
    <w:rsid w:val="0056663B"/>
    <w:rsid w:val="00567314"/>
    <w:rsid w:val="005675A9"/>
    <w:rsid w:val="005704D2"/>
    <w:rsid w:val="0057068B"/>
    <w:rsid w:val="005706FF"/>
    <w:rsid w:val="0057087E"/>
    <w:rsid w:val="00570A8F"/>
    <w:rsid w:val="00571A17"/>
    <w:rsid w:val="00571BEA"/>
    <w:rsid w:val="00571CB4"/>
    <w:rsid w:val="00571D0A"/>
    <w:rsid w:val="00572153"/>
    <w:rsid w:val="0057232C"/>
    <w:rsid w:val="0057265F"/>
    <w:rsid w:val="0057285C"/>
    <w:rsid w:val="00572BC6"/>
    <w:rsid w:val="005730B5"/>
    <w:rsid w:val="00573930"/>
    <w:rsid w:val="00574930"/>
    <w:rsid w:val="0057498C"/>
    <w:rsid w:val="00574B68"/>
    <w:rsid w:val="00574C41"/>
    <w:rsid w:val="005753DC"/>
    <w:rsid w:val="005759D7"/>
    <w:rsid w:val="0057621F"/>
    <w:rsid w:val="0057624B"/>
    <w:rsid w:val="005766DB"/>
    <w:rsid w:val="00577005"/>
    <w:rsid w:val="005774D9"/>
    <w:rsid w:val="005774FA"/>
    <w:rsid w:val="0058038F"/>
    <w:rsid w:val="0058127C"/>
    <w:rsid w:val="005812D2"/>
    <w:rsid w:val="00581A65"/>
    <w:rsid w:val="00581B92"/>
    <w:rsid w:val="00581B98"/>
    <w:rsid w:val="00581DD7"/>
    <w:rsid w:val="00581DDC"/>
    <w:rsid w:val="00582663"/>
    <w:rsid w:val="00582AF1"/>
    <w:rsid w:val="00582B3B"/>
    <w:rsid w:val="00582D22"/>
    <w:rsid w:val="00582D4F"/>
    <w:rsid w:val="00582EC4"/>
    <w:rsid w:val="00582F72"/>
    <w:rsid w:val="005831FA"/>
    <w:rsid w:val="005833EF"/>
    <w:rsid w:val="005835B0"/>
    <w:rsid w:val="0058372A"/>
    <w:rsid w:val="00583B63"/>
    <w:rsid w:val="00583BF9"/>
    <w:rsid w:val="0058455C"/>
    <w:rsid w:val="00584B26"/>
    <w:rsid w:val="00584E2C"/>
    <w:rsid w:val="00584F66"/>
    <w:rsid w:val="00585120"/>
    <w:rsid w:val="00585683"/>
    <w:rsid w:val="0058576F"/>
    <w:rsid w:val="00585899"/>
    <w:rsid w:val="00585D8E"/>
    <w:rsid w:val="00585FB0"/>
    <w:rsid w:val="005862EC"/>
    <w:rsid w:val="005863FE"/>
    <w:rsid w:val="00586B49"/>
    <w:rsid w:val="00586E47"/>
    <w:rsid w:val="00586FA2"/>
    <w:rsid w:val="005872BD"/>
    <w:rsid w:val="0058792F"/>
    <w:rsid w:val="0059018C"/>
    <w:rsid w:val="005902B9"/>
    <w:rsid w:val="005902C1"/>
    <w:rsid w:val="00590569"/>
    <w:rsid w:val="00590DC7"/>
    <w:rsid w:val="005911EE"/>
    <w:rsid w:val="005917AD"/>
    <w:rsid w:val="00591AB8"/>
    <w:rsid w:val="00591DB4"/>
    <w:rsid w:val="00591F2A"/>
    <w:rsid w:val="005925F3"/>
    <w:rsid w:val="0059292D"/>
    <w:rsid w:val="0059356C"/>
    <w:rsid w:val="00593820"/>
    <w:rsid w:val="00593B8F"/>
    <w:rsid w:val="005943B9"/>
    <w:rsid w:val="00594BCD"/>
    <w:rsid w:val="00594C13"/>
    <w:rsid w:val="00594E71"/>
    <w:rsid w:val="00595577"/>
    <w:rsid w:val="005956F1"/>
    <w:rsid w:val="005961BE"/>
    <w:rsid w:val="00596642"/>
    <w:rsid w:val="0059699B"/>
    <w:rsid w:val="00596F70"/>
    <w:rsid w:val="005973BF"/>
    <w:rsid w:val="005973EF"/>
    <w:rsid w:val="00597A88"/>
    <w:rsid w:val="00597DBC"/>
    <w:rsid w:val="00597EE7"/>
    <w:rsid w:val="005A03D9"/>
    <w:rsid w:val="005A064C"/>
    <w:rsid w:val="005A0A02"/>
    <w:rsid w:val="005A0A5A"/>
    <w:rsid w:val="005A0CFA"/>
    <w:rsid w:val="005A0DDC"/>
    <w:rsid w:val="005A1209"/>
    <w:rsid w:val="005A14B7"/>
    <w:rsid w:val="005A1648"/>
    <w:rsid w:val="005A197A"/>
    <w:rsid w:val="005A21EB"/>
    <w:rsid w:val="005A22A4"/>
    <w:rsid w:val="005A296E"/>
    <w:rsid w:val="005A2ACF"/>
    <w:rsid w:val="005A3EA2"/>
    <w:rsid w:val="005A3FEA"/>
    <w:rsid w:val="005A4A9B"/>
    <w:rsid w:val="005A54C1"/>
    <w:rsid w:val="005A5F9D"/>
    <w:rsid w:val="005A6427"/>
    <w:rsid w:val="005A6729"/>
    <w:rsid w:val="005B0240"/>
    <w:rsid w:val="005B03C5"/>
    <w:rsid w:val="005B0CBB"/>
    <w:rsid w:val="005B0FC8"/>
    <w:rsid w:val="005B18F6"/>
    <w:rsid w:val="005B2540"/>
    <w:rsid w:val="005B2927"/>
    <w:rsid w:val="005B2BDA"/>
    <w:rsid w:val="005B2BFD"/>
    <w:rsid w:val="005B3445"/>
    <w:rsid w:val="005B3674"/>
    <w:rsid w:val="005B46FA"/>
    <w:rsid w:val="005B4E62"/>
    <w:rsid w:val="005B546C"/>
    <w:rsid w:val="005B5BE5"/>
    <w:rsid w:val="005B62D2"/>
    <w:rsid w:val="005B640A"/>
    <w:rsid w:val="005B67DE"/>
    <w:rsid w:val="005B6C29"/>
    <w:rsid w:val="005B6D54"/>
    <w:rsid w:val="005B6F39"/>
    <w:rsid w:val="005B794D"/>
    <w:rsid w:val="005B7F0B"/>
    <w:rsid w:val="005C0132"/>
    <w:rsid w:val="005C066C"/>
    <w:rsid w:val="005C08DD"/>
    <w:rsid w:val="005C10E3"/>
    <w:rsid w:val="005C12C4"/>
    <w:rsid w:val="005C139A"/>
    <w:rsid w:val="005C14C8"/>
    <w:rsid w:val="005C197C"/>
    <w:rsid w:val="005C1D38"/>
    <w:rsid w:val="005C27CF"/>
    <w:rsid w:val="005C347F"/>
    <w:rsid w:val="005C4D5E"/>
    <w:rsid w:val="005C4F0A"/>
    <w:rsid w:val="005C52DC"/>
    <w:rsid w:val="005C54B2"/>
    <w:rsid w:val="005C5720"/>
    <w:rsid w:val="005C5EB9"/>
    <w:rsid w:val="005C5F84"/>
    <w:rsid w:val="005C6473"/>
    <w:rsid w:val="005C6491"/>
    <w:rsid w:val="005C708D"/>
    <w:rsid w:val="005C7A6D"/>
    <w:rsid w:val="005C7E5A"/>
    <w:rsid w:val="005D078C"/>
    <w:rsid w:val="005D0850"/>
    <w:rsid w:val="005D09BD"/>
    <w:rsid w:val="005D09D1"/>
    <w:rsid w:val="005D12E6"/>
    <w:rsid w:val="005D1306"/>
    <w:rsid w:val="005D1D32"/>
    <w:rsid w:val="005D1FDC"/>
    <w:rsid w:val="005D290A"/>
    <w:rsid w:val="005D2BE2"/>
    <w:rsid w:val="005D3308"/>
    <w:rsid w:val="005D3B31"/>
    <w:rsid w:val="005D3CF5"/>
    <w:rsid w:val="005D421F"/>
    <w:rsid w:val="005D475B"/>
    <w:rsid w:val="005D4BCB"/>
    <w:rsid w:val="005D4EFB"/>
    <w:rsid w:val="005D529D"/>
    <w:rsid w:val="005D583A"/>
    <w:rsid w:val="005D586B"/>
    <w:rsid w:val="005D6799"/>
    <w:rsid w:val="005D76DF"/>
    <w:rsid w:val="005D780B"/>
    <w:rsid w:val="005D7A59"/>
    <w:rsid w:val="005E0107"/>
    <w:rsid w:val="005E0737"/>
    <w:rsid w:val="005E07F2"/>
    <w:rsid w:val="005E0BDA"/>
    <w:rsid w:val="005E0C11"/>
    <w:rsid w:val="005E0CCC"/>
    <w:rsid w:val="005E0E32"/>
    <w:rsid w:val="005E0EA4"/>
    <w:rsid w:val="005E1293"/>
    <w:rsid w:val="005E1558"/>
    <w:rsid w:val="005E1597"/>
    <w:rsid w:val="005E2023"/>
    <w:rsid w:val="005E2145"/>
    <w:rsid w:val="005E2A22"/>
    <w:rsid w:val="005E2F1B"/>
    <w:rsid w:val="005E2F96"/>
    <w:rsid w:val="005E324A"/>
    <w:rsid w:val="005E3CC8"/>
    <w:rsid w:val="005E3DB1"/>
    <w:rsid w:val="005E4058"/>
    <w:rsid w:val="005E4313"/>
    <w:rsid w:val="005E4BA8"/>
    <w:rsid w:val="005E50CA"/>
    <w:rsid w:val="005E5537"/>
    <w:rsid w:val="005E555A"/>
    <w:rsid w:val="005E56F0"/>
    <w:rsid w:val="005E5873"/>
    <w:rsid w:val="005E5939"/>
    <w:rsid w:val="005E594B"/>
    <w:rsid w:val="005E5BE1"/>
    <w:rsid w:val="005E5E08"/>
    <w:rsid w:val="005E678E"/>
    <w:rsid w:val="005E67E8"/>
    <w:rsid w:val="005E6925"/>
    <w:rsid w:val="005E6B7F"/>
    <w:rsid w:val="005E6D4C"/>
    <w:rsid w:val="005E7140"/>
    <w:rsid w:val="005E7C2C"/>
    <w:rsid w:val="005F0419"/>
    <w:rsid w:val="005F047F"/>
    <w:rsid w:val="005F057A"/>
    <w:rsid w:val="005F084F"/>
    <w:rsid w:val="005F1C73"/>
    <w:rsid w:val="005F1D81"/>
    <w:rsid w:val="005F1F39"/>
    <w:rsid w:val="005F1F80"/>
    <w:rsid w:val="005F2374"/>
    <w:rsid w:val="005F2789"/>
    <w:rsid w:val="005F2C49"/>
    <w:rsid w:val="005F2CB6"/>
    <w:rsid w:val="005F3337"/>
    <w:rsid w:val="005F34A4"/>
    <w:rsid w:val="005F36D6"/>
    <w:rsid w:val="005F37A7"/>
    <w:rsid w:val="005F4294"/>
    <w:rsid w:val="005F473D"/>
    <w:rsid w:val="005F513E"/>
    <w:rsid w:val="005F59D1"/>
    <w:rsid w:val="005F5E25"/>
    <w:rsid w:val="005F629F"/>
    <w:rsid w:val="005F6349"/>
    <w:rsid w:val="005F668C"/>
    <w:rsid w:val="005F6698"/>
    <w:rsid w:val="00600382"/>
    <w:rsid w:val="00600B7D"/>
    <w:rsid w:val="00601064"/>
    <w:rsid w:val="006011AB"/>
    <w:rsid w:val="00601201"/>
    <w:rsid w:val="00601213"/>
    <w:rsid w:val="00601614"/>
    <w:rsid w:val="00601E0F"/>
    <w:rsid w:val="00602019"/>
    <w:rsid w:val="006021C3"/>
    <w:rsid w:val="0060244A"/>
    <w:rsid w:val="00602A6F"/>
    <w:rsid w:val="00603A90"/>
    <w:rsid w:val="00603E9B"/>
    <w:rsid w:val="006042A3"/>
    <w:rsid w:val="006043FC"/>
    <w:rsid w:val="0060440E"/>
    <w:rsid w:val="00604CED"/>
    <w:rsid w:val="00604E8E"/>
    <w:rsid w:val="0060550F"/>
    <w:rsid w:val="0060564A"/>
    <w:rsid w:val="0060566E"/>
    <w:rsid w:val="0060580D"/>
    <w:rsid w:val="00605A27"/>
    <w:rsid w:val="00605A45"/>
    <w:rsid w:val="00605BBC"/>
    <w:rsid w:val="00606084"/>
    <w:rsid w:val="006061A9"/>
    <w:rsid w:val="006067F7"/>
    <w:rsid w:val="00606887"/>
    <w:rsid w:val="006068F7"/>
    <w:rsid w:val="00606B28"/>
    <w:rsid w:val="00607973"/>
    <w:rsid w:val="006104AC"/>
    <w:rsid w:val="0061058D"/>
    <w:rsid w:val="00611620"/>
    <w:rsid w:val="006118A7"/>
    <w:rsid w:val="00611E2B"/>
    <w:rsid w:val="006120C8"/>
    <w:rsid w:val="00612AA7"/>
    <w:rsid w:val="00612C0B"/>
    <w:rsid w:val="00612F74"/>
    <w:rsid w:val="006132AA"/>
    <w:rsid w:val="00613A39"/>
    <w:rsid w:val="00613DE0"/>
    <w:rsid w:val="00614C3B"/>
    <w:rsid w:val="00615004"/>
    <w:rsid w:val="0061584D"/>
    <w:rsid w:val="006159B3"/>
    <w:rsid w:val="00615BB9"/>
    <w:rsid w:val="00615BD2"/>
    <w:rsid w:val="00616D66"/>
    <w:rsid w:val="00616FBE"/>
    <w:rsid w:val="00617763"/>
    <w:rsid w:val="00617B4A"/>
    <w:rsid w:val="00617EEA"/>
    <w:rsid w:val="00617FCC"/>
    <w:rsid w:val="0062046E"/>
    <w:rsid w:val="00620F33"/>
    <w:rsid w:val="00620F67"/>
    <w:rsid w:val="00620FA6"/>
    <w:rsid w:val="0062211D"/>
    <w:rsid w:val="00622CDC"/>
    <w:rsid w:val="00622D17"/>
    <w:rsid w:val="00623006"/>
    <w:rsid w:val="006230B8"/>
    <w:rsid w:val="006235C5"/>
    <w:rsid w:val="00623B2C"/>
    <w:rsid w:val="00624114"/>
    <w:rsid w:val="00624497"/>
    <w:rsid w:val="006245EF"/>
    <w:rsid w:val="00625F13"/>
    <w:rsid w:val="0062617A"/>
    <w:rsid w:val="0062658C"/>
    <w:rsid w:val="006265C3"/>
    <w:rsid w:val="006268D6"/>
    <w:rsid w:val="00626D35"/>
    <w:rsid w:val="0062768E"/>
    <w:rsid w:val="0062769F"/>
    <w:rsid w:val="00627E22"/>
    <w:rsid w:val="006306FA"/>
    <w:rsid w:val="0063085D"/>
    <w:rsid w:val="00631492"/>
    <w:rsid w:val="00631B05"/>
    <w:rsid w:val="00631B6C"/>
    <w:rsid w:val="00632AC9"/>
    <w:rsid w:val="0063313E"/>
    <w:rsid w:val="00633457"/>
    <w:rsid w:val="00633DA0"/>
    <w:rsid w:val="006341D2"/>
    <w:rsid w:val="0063421A"/>
    <w:rsid w:val="0063518C"/>
    <w:rsid w:val="006352B9"/>
    <w:rsid w:val="00636373"/>
    <w:rsid w:val="00636B65"/>
    <w:rsid w:val="00637671"/>
    <w:rsid w:val="0063784B"/>
    <w:rsid w:val="00637903"/>
    <w:rsid w:val="0064051C"/>
    <w:rsid w:val="00640530"/>
    <w:rsid w:val="00640D4A"/>
    <w:rsid w:val="00640F0F"/>
    <w:rsid w:val="0064116B"/>
    <w:rsid w:val="00641223"/>
    <w:rsid w:val="006412BA"/>
    <w:rsid w:val="00641797"/>
    <w:rsid w:val="00641A7B"/>
    <w:rsid w:val="00641CCF"/>
    <w:rsid w:val="00641DC7"/>
    <w:rsid w:val="00641E74"/>
    <w:rsid w:val="00642600"/>
    <w:rsid w:val="00642D6A"/>
    <w:rsid w:val="00642FB6"/>
    <w:rsid w:val="006433D3"/>
    <w:rsid w:val="006441D2"/>
    <w:rsid w:val="0064431E"/>
    <w:rsid w:val="006443DE"/>
    <w:rsid w:val="006445FD"/>
    <w:rsid w:val="00644995"/>
    <w:rsid w:val="00644A1E"/>
    <w:rsid w:val="00644CEF"/>
    <w:rsid w:val="00644D7A"/>
    <w:rsid w:val="00644EAD"/>
    <w:rsid w:val="0064542F"/>
    <w:rsid w:val="006457EC"/>
    <w:rsid w:val="00646015"/>
    <w:rsid w:val="00646DAF"/>
    <w:rsid w:val="00646FBB"/>
    <w:rsid w:val="0065025F"/>
    <w:rsid w:val="006506CA"/>
    <w:rsid w:val="00650734"/>
    <w:rsid w:val="00650AC2"/>
    <w:rsid w:val="00650DD6"/>
    <w:rsid w:val="00651586"/>
    <w:rsid w:val="00651CBE"/>
    <w:rsid w:val="00651D32"/>
    <w:rsid w:val="00651E97"/>
    <w:rsid w:val="00651F3A"/>
    <w:rsid w:val="00652FCC"/>
    <w:rsid w:val="00653037"/>
    <w:rsid w:val="0065349A"/>
    <w:rsid w:val="0065362A"/>
    <w:rsid w:val="00653849"/>
    <w:rsid w:val="00653A13"/>
    <w:rsid w:val="00653E81"/>
    <w:rsid w:val="00654015"/>
    <w:rsid w:val="0065412C"/>
    <w:rsid w:val="00654B4F"/>
    <w:rsid w:val="006553DF"/>
    <w:rsid w:val="00655703"/>
    <w:rsid w:val="00656149"/>
    <w:rsid w:val="00656794"/>
    <w:rsid w:val="00656970"/>
    <w:rsid w:val="00656AEB"/>
    <w:rsid w:val="00656C77"/>
    <w:rsid w:val="00656EB7"/>
    <w:rsid w:val="006573FF"/>
    <w:rsid w:val="00657B1A"/>
    <w:rsid w:val="006605C3"/>
    <w:rsid w:val="00660699"/>
    <w:rsid w:val="006606C7"/>
    <w:rsid w:val="00661167"/>
    <w:rsid w:val="00662071"/>
    <w:rsid w:val="0066221E"/>
    <w:rsid w:val="00662715"/>
    <w:rsid w:val="00662A24"/>
    <w:rsid w:val="00662A86"/>
    <w:rsid w:val="00662CD0"/>
    <w:rsid w:val="00662D3C"/>
    <w:rsid w:val="006632D2"/>
    <w:rsid w:val="006634EA"/>
    <w:rsid w:val="0066381D"/>
    <w:rsid w:val="00663A0A"/>
    <w:rsid w:val="00663BE4"/>
    <w:rsid w:val="0066418D"/>
    <w:rsid w:val="006647E8"/>
    <w:rsid w:val="00664DE1"/>
    <w:rsid w:val="00664DEA"/>
    <w:rsid w:val="00664F67"/>
    <w:rsid w:val="006656BA"/>
    <w:rsid w:val="006658C6"/>
    <w:rsid w:val="00665A23"/>
    <w:rsid w:val="00666712"/>
    <w:rsid w:val="00670FDF"/>
    <w:rsid w:val="00671C20"/>
    <w:rsid w:val="00671CD9"/>
    <w:rsid w:val="00671E34"/>
    <w:rsid w:val="0067206C"/>
    <w:rsid w:val="0067240D"/>
    <w:rsid w:val="006725EF"/>
    <w:rsid w:val="00673C09"/>
    <w:rsid w:val="00673C2C"/>
    <w:rsid w:val="00673CC4"/>
    <w:rsid w:val="006746C1"/>
    <w:rsid w:val="00674754"/>
    <w:rsid w:val="00675CD2"/>
    <w:rsid w:val="00675F25"/>
    <w:rsid w:val="006760C8"/>
    <w:rsid w:val="0067647B"/>
    <w:rsid w:val="006764C0"/>
    <w:rsid w:val="006764C6"/>
    <w:rsid w:val="00677103"/>
    <w:rsid w:val="00677155"/>
    <w:rsid w:val="00677A3F"/>
    <w:rsid w:val="00680C97"/>
    <w:rsid w:val="0068109C"/>
    <w:rsid w:val="00681A8A"/>
    <w:rsid w:val="0068248F"/>
    <w:rsid w:val="00682912"/>
    <w:rsid w:val="00683B3B"/>
    <w:rsid w:val="00684007"/>
    <w:rsid w:val="00684548"/>
    <w:rsid w:val="00684559"/>
    <w:rsid w:val="00684D62"/>
    <w:rsid w:val="00684F8F"/>
    <w:rsid w:val="00685770"/>
    <w:rsid w:val="00685B52"/>
    <w:rsid w:val="00685B89"/>
    <w:rsid w:val="006860FB"/>
    <w:rsid w:val="006864CF"/>
    <w:rsid w:val="00686653"/>
    <w:rsid w:val="0069040F"/>
    <w:rsid w:val="00690AFA"/>
    <w:rsid w:val="00690BE1"/>
    <w:rsid w:val="00691013"/>
    <w:rsid w:val="00691521"/>
    <w:rsid w:val="006929FB"/>
    <w:rsid w:val="0069320A"/>
    <w:rsid w:val="00693468"/>
    <w:rsid w:val="006934FE"/>
    <w:rsid w:val="00693513"/>
    <w:rsid w:val="0069353A"/>
    <w:rsid w:val="0069366E"/>
    <w:rsid w:val="00694FF7"/>
    <w:rsid w:val="00695A89"/>
    <w:rsid w:val="00695CD2"/>
    <w:rsid w:val="00695F51"/>
    <w:rsid w:val="00696267"/>
    <w:rsid w:val="006964BD"/>
    <w:rsid w:val="0069683A"/>
    <w:rsid w:val="00697142"/>
    <w:rsid w:val="00697573"/>
    <w:rsid w:val="00697710"/>
    <w:rsid w:val="006978A7"/>
    <w:rsid w:val="00697B3B"/>
    <w:rsid w:val="00697E1B"/>
    <w:rsid w:val="006A0016"/>
    <w:rsid w:val="006A0889"/>
    <w:rsid w:val="006A0DC8"/>
    <w:rsid w:val="006A1051"/>
    <w:rsid w:val="006A1573"/>
    <w:rsid w:val="006A1C03"/>
    <w:rsid w:val="006A2889"/>
    <w:rsid w:val="006A2C1B"/>
    <w:rsid w:val="006A300B"/>
    <w:rsid w:val="006A38D3"/>
    <w:rsid w:val="006A3BF0"/>
    <w:rsid w:val="006A4347"/>
    <w:rsid w:val="006A47DE"/>
    <w:rsid w:val="006A494D"/>
    <w:rsid w:val="006A4B94"/>
    <w:rsid w:val="006A4EFB"/>
    <w:rsid w:val="006A5499"/>
    <w:rsid w:val="006A5622"/>
    <w:rsid w:val="006A56A2"/>
    <w:rsid w:val="006A582C"/>
    <w:rsid w:val="006A6352"/>
    <w:rsid w:val="006A667E"/>
    <w:rsid w:val="006A6D6A"/>
    <w:rsid w:val="006A71B0"/>
    <w:rsid w:val="006A7F8C"/>
    <w:rsid w:val="006B04D8"/>
    <w:rsid w:val="006B1361"/>
    <w:rsid w:val="006B1517"/>
    <w:rsid w:val="006B16A5"/>
    <w:rsid w:val="006B20C5"/>
    <w:rsid w:val="006B230E"/>
    <w:rsid w:val="006B244B"/>
    <w:rsid w:val="006B2522"/>
    <w:rsid w:val="006B2BFA"/>
    <w:rsid w:val="006B32BD"/>
    <w:rsid w:val="006B34E6"/>
    <w:rsid w:val="006B40A3"/>
    <w:rsid w:val="006B4236"/>
    <w:rsid w:val="006B4861"/>
    <w:rsid w:val="006B4A68"/>
    <w:rsid w:val="006B5480"/>
    <w:rsid w:val="006B588C"/>
    <w:rsid w:val="006B58B0"/>
    <w:rsid w:val="006B5910"/>
    <w:rsid w:val="006B5CD1"/>
    <w:rsid w:val="006B5E06"/>
    <w:rsid w:val="006B61C2"/>
    <w:rsid w:val="006B61EE"/>
    <w:rsid w:val="006B66C1"/>
    <w:rsid w:val="006B67FE"/>
    <w:rsid w:val="006B6891"/>
    <w:rsid w:val="006B6B84"/>
    <w:rsid w:val="006B6F63"/>
    <w:rsid w:val="006B716E"/>
    <w:rsid w:val="006C058A"/>
    <w:rsid w:val="006C07D1"/>
    <w:rsid w:val="006C0E77"/>
    <w:rsid w:val="006C12EF"/>
    <w:rsid w:val="006C134B"/>
    <w:rsid w:val="006C1A5D"/>
    <w:rsid w:val="006C1E9B"/>
    <w:rsid w:val="006C2778"/>
    <w:rsid w:val="006C27A7"/>
    <w:rsid w:val="006C3C68"/>
    <w:rsid w:val="006C4D37"/>
    <w:rsid w:val="006C5099"/>
    <w:rsid w:val="006C5522"/>
    <w:rsid w:val="006C5565"/>
    <w:rsid w:val="006C6346"/>
    <w:rsid w:val="006C6421"/>
    <w:rsid w:val="006C64D1"/>
    <w:rsid w:val="006C6DD1"/>
    <w:rsid w:val="006C7268"/>
    <w:rsid w:val="006C7761"/>
    <w:rsid w:val="006C79E2"/>
    <w:rsid w:val="006C7A3F"/>
    <w:rsid w:val="006D00ED"/>
    <w:rsid w:val="006D0122"/>
    <w:rsid w:val="006D06A5"/>
    <w:rsid w:val="006D085E"/>
    <w:rsid w:val="006D0C2C"/>
    <w:rsid w:val="006D14ED"/>
    <w:rsid w:val="006D176C"/>
    <w:rsid w:val="006D24A7"/>
    <w:rsid w:val="006D2D2A"/>
    <w:rsid w:val="006D3887"/>
    <w:rsid w:val="006D3984"/>
    <w:rsid w:val="006D3A94"/>
    <w:rsid w:val="006D3C7D"/>
    <w:rsid w:val="006D3F64"/>
    <w:rsid w:val="006D3FA7"/>
    <w:rsid w:val="006D400A"/>
    <w:rsid w:val="006D40D7"/>
    <w:rsid w:val="006D45C6"/>
    <w:rsid w:val="006D4B55"/>
    <w:rsid w:val="006D4C6A"/>
    <w:rsid w:val="006D4D52"/>
    <w:rsid w:val="006D546C"/>
    <w:rsid w:val="006D5D53"/>
    <w:rsid w:val="006D5DC7"/>
    <w:rsid w:val="006D5FBA"/>
    <w:rsid w:val="006D687B"/>
    <w:rsid w:val="006D69F0"/>
    <w:rsid w:val="006D7C3E"/>
    <w:rsid w:val="006E01C1"/>
    <w:rsid w:val="006E0358"/>
    <w:rsid w:val="006E0DCF"/>
    <w:rsid w:val="006E144E"/>
    <w:rsid w:val="006E1A45"/>
    <w:rsid w:val="006E1ED7"/>
    <w:rsid w:val="006E20D3"/>
    <w:rsid w:val="006E21DD"/>
    <w:rsid w:val="006E298C"/>
    <w:rsid w:val="006E2A94"/>
    <w:rsid w:val="006E2BB0"/>
    <w:rsid w:val="006E3265"/>
    <w:rsid w:val="006E33FF"/>
    <w:rsid w:val="006E3A73"/>
    <w:rsid w:val="006E3D4A"/>
    <w:rsid w:val="006E4356"/>
    <w:rsid w:val="006E4C3D"/>
    <w:rsid w:val="006E4FC0"/>
    <w:rsid w:val="006E50F3"/>
    <w:rsid w:val="006E52C0"/>
    <w:rsid w:val="006E5337"/>
    <w:rsid w:val="006E6225"/>
    <w:rsid w:val="006E65A2"/>
    <w:rsid w:val="006E73D0"/>
    <w:rsid w:val="006F0355"/>
    <w:rsid w:val="006F06E8"/>
    <w:rsid w:val="006F0705"/>
    <w:rsid w:val="006F098B"/>
    <w:rsid w:val="006F100D"/>
    <w:rsid w:val="006F123D"/>
    <w:rsid w:val="006F18F8"/>
    <w:rsid w:val="006F191D"/>
    <w:rsid w:val="006F1B76"/>
    <w:rsid w:val="006F2388"/>
    <w:rsid w:val="006F2A8C"/>
    <w:rsid w:val="006F2BCA"/>
    <w:rsid w:val="006F33FC"/>
    <w:rsid w:val="006F3683"/>
    <w:rsid w:val="006F39BD"/>
    <w:rsid w:val="006F3BAD"/>
    <w:rsid w:val="006F3F82"/>
    <w:rsid w:val="006F41EB"/>
    <w:rsid w:val="006F49CF"/>
    <w:rsid w:val="006F4A31"/>
    <w:rsid w:val="006F4B65"/>
    <w:rsid w:val="006F4CC0"/>
    <w:rsid w:val="006F52EA"/>
    <w:rsid w:val="006F6654"/>
    <w:rsid w:val="006F7131"/>
    <w:rsid w:val="006F787F"/>
    <w:rsid w:val="006F793D"/>
    <w:rsid w:val="006F7CAB"/>
    <w:rsid w:val="006F7FF5"/>
    <w:rsid w:val="007004DB"/>
    <w:rsid w:val="00700CA3"/>
    <w:rsid w:val="00700F7C"/>
    <w:rsid w:val="00702020"/>
    <w:rsid w:val="00702148"/>
    <w:rsid w:val="0070227E"/>
    <w:rsid w:val="007029F7"/>
    <w:rsid w:val="007030AA"/>
    <w:rsid w:val="00703D4E"/>
    <w:rsid w:val="00704086"/>
    <w:rsid w:val="00704181"/>
    <w:rsid w:val="007048D7"/>
    <w:rsid w:val="00704BCC"/>
    <w:rsid w:val="00704E9E"/>
    <w:rsid w:val="00705C1D"/>
    <w:rsid w:val="007060DF"/>
    <w:rsid w:val="00706258"/>
    <w:rsid w:val="00706368"/>
    <w:rsid w:val="00706517"/>
    <w:rsid w:val="00706F00"/>
    <w:rsid w:val="00711069"/>
    <w:rsid w:val="00711775"/>
    <w:rsid w:val="007118CC"/>
    <w:rsid w:val="007119D7"/>
    <w:rsid w:val="00711CFB"/>
    <w:rsid w:val="00711EB3"/>
    <w:rsid w:val="00712C08"/>
    <w:rsid w:val="00712DBB"/>
    <w:rsid w:val="007132B1"/>
    <w:rsid w:val="0071421C"/>
    <w:rsid w:val="00714270"/>
    <w:rsid w:val="00714509"/>
    <w:rsid w:val="00714944"/>
    <w:rsid w:val="00714A1D"/>
    <w:rsid w:val="007151F0"/>
    <w:rsid w:val="00715C6B"/>
    <w:rsid w:val="00716662"/>
    <w:rsid w:val="007166E0"/>
    <w:rsid w:val="007167EE"/>
    <w:rsid w:val="00716805"/>
    <w:rsid w:val="00716E7E"/>
    <w:rsid w:val="0071707E"/>
    <w:rsid w:val="0071757D"/>
    <w:rsid w:val="007175F1"/>
    <w:rsid w:val="00717892"/>
    <w:rsid w:val="00717A9B"/>
    <w:rsid w:val="00720666"/>
    <w:rsid w:val="00721ED7"/>
    <w:rsid w:val="00721F69"/>
    <w:rsid w:val="00722161"/>
    <w:rsid w:val="00722498"/>
    <w:rsid w:val="0072267A"/>
    <w:rsid w:val="00723681"/>
    <w:rsid w:val="007245BB"/>
    <w:rsid w:val="007245D8"/>
    <w:rsid w:val="00724974"/>
    <w:rsid w:val="007249CB"/>
    <w:rsid w:val="00724DB6"/>
    <w:rsid w:val="00724F8E"/>
    <w:rsid w:val="00724FF6"/>
    <w:rsid w:val="0072524B"/>
    <w:rsid w:val="007255C4"/>
    <w:rsid w:val="0072629A"/>
    <w:rsid w:val="00727B8C"/>
    <w:rsid w:val="00727D80"/>
    <w:rsid w:val="007300E8"/>
    <w:rsid w:val="00730A03"/>
    <w:rsid w:val="0073140E"/>
    <w:rsid w:val="00731B7B"/>
    <w:rsid w:val="00731C6E"/>
    <w:rsid w:val="00731D7F"/>
    <w:rsid w:val="00731DB7"/>
    <w:rsid w:val="00731E69"/>
    <w:rsid w:val="00732C68"/>
    <w:rsid w:val="0073305F"/>
    <w:rsid w:val="007334CF"/>
    <w:rsid w:val="00733BC1"/>
    <w:rsid w:val="00733FD4"/>
    <w:rsid w:val="00734174"/>
    <w:rsid w:val="00734B2F"/>
    <w:rsid w:val="0073618E"/>
    <w:rsid w:val="00736899"/>
    <w:rsid w:val="00737582"/>
    <w:rsid w:val="00737AC3"/>
    <w:rsid w:val="00737E15"/>
    <w:rsid w:val="00737E43"/>
    <w:rsid w:val="0074031D"/>
    <w:rsid w:val="00740486"/>
    <w:rsid w:val="007404C0"/>
    <w:rsid w:val="007404C4"/>
    <w:rsid w:val="00740B8B"/>
    <w:rsid w:val="00740B9A"/>
    <w:rsid w:val="00741A28"/>
    <w:rsid w:val="00741D0E"/>
    <w:rsid w:val="0074265B"/>
    <w:rsid w:val="00742B6B"/>
    <w:rsid w:val="00742D6F"/>
    <w:rsid w:val="00742F7B"/>
    <w:rsid w:val="00743511"/>
    <w:rsid w:val="00743A11"/>
    <w:rsid w:val="00744405"/>
    <w:rsid w:val="00744679"/>
    <w:rsid w:val="00744ADA"/>
    <w:rsid w:val="0074552C"/>
    <w:rsid w:val="0074697E"/>
    <w:rsid w:val="007477FC"/>
    <w:rsid w:val="00747972"/>
    <w:rsid w:val="00747A0A"/>
    <w:rsid w:val="00747A7C"/>
    <w:rsid w:val="00747C66"/>
    <w:rsid w:val="00750299"/>
    <w:rsid w:val="007509D8"/>
    <w:rsid w:val="00751415"/>
    <w:rsid w:val="00751B1C"/>
    <w:rsid w:val="00751DA1"/>
    <w:rsid w:val="007535BE"/>
    <w:rsid w:val="00753B9C"/>
    <w:rsid w:val="00753BB0"/>
    <w:rsid w:val="00754225"/>
    <w:rsid w:val="0075472C"/>
    <w:rsid w:val="0075495A"/>
    <w:rsid w:val="007549AD"/>
    <w:rsid w:val="00754A9B"/>
    <w:rsid w:val="00754B9B"/>
    <w:rsid w:val="00754EB2"/>
    <w:rsid w:val="00754EE2"/>
    <w:rsid w:val="00755B9B"/>
    <w:rsid w:val="00755DD5"/>
    <w:rsid w:val="007564E4"/>
    <w:rsid w:val="007568C7"/>
    <w:rsid w:val="0075698E"/>
    <w:rsid w:val="00756C6E"/>
    <w:rsid w:val="0075747E"/>
    <w:rsid w:val="007578DD"/>
    <w:rsid w:val="00757DF1"/>
    <w:rsid w:val="00757F58"/>
    <w:rsid w:val="00760795"/>
    <w:rsid w:val="007611DD"/>
    <w:rsid w:val="0076123F"/>
    <w:rsid w:val="0076193D"/>
    <w:rsid w:val="00761AAF"/>
    <w:rsid w:val="007623FB"/>
    <w:rsid w:val="007634AD"/>
    <w:rsid w:val="00763D53"/>
    <w:rsid w:val="00763F90"/>
    <w:rsid w:val="007647AB"/>
    <w:rsid w:val="007647E1"/>
    <w:rsid w:val="0076533C"/>
    <w:rsid w:val="00765404"/>
    <w:rsid w:val="00765F7B"/>
    <w:rsid w:val="0076604C"/>
    <w:rsid w:val="00766147"/>
    <w:rsid w:val="00766E4D"/>
    <w:rsid w:val="0076780F"/>
    <w:rsid w:val="0077030B"/>
    <w:rsid w:val="007705E7"/>
    <w:rsid w:val="00770E2B"/>
    <w:rsid w:val="007712A8"/>
    <w:rsid w:val="007712F8"/>
    <w:rsid w:val="00771616"/>
    <w:rsid w:val="00771D45"/>
    <w:rsid w:val="00771F39"/>
    <w:rsid w:val="00771F72"/>
    <w:rsid w:val="00771FC3"/>
    <w:rsid w:val="00772030"/>
    <w:rsid w:val="007721BC"/>
    <w:rsid w:val="00773036"/>
    <w:rsid w:val="00773148"/>
    <w:rsid w:val="00773694"/>
    <w:rsid w:val="00774108"/>
    <w:rsid w:val="007742C5"/>
    <w:rsid w:val="00774ACD"/>
    <w:rsid w:val="00775935"/>
    <w:rsid w:val="00775C2D"/>
    <w:rsid w:val="00775FF8"/>
    <w:rsid w:val="00776393"/>
    <w:rsid w:val="007764A2"/>
    <w:rsid w:val="0077668C"/>
    <w:rsid w:val="007766F2"/>
    <w:rsid w:val="00776CA6"/>
    <w:rsid w:val="00776DCB"/>
    <w:rsid w:val="007805AB"/>
    <w:rsid w:val="0078086F"/>
    <w:rsid w:val="00780D82"/>
    <w:rsid w:val="0078149E"/>
    <w:rsid w:val="007814FB"/>
    <w:rsid w:val="00781522"/>
    <w:rsid w:val="00781A30"/>
    <w:rsid w:val="00782096"/>
    <w:rsid w:val="00782887"/>
    <w:rsid w:val="00783672"/>
    <w:rsid w:val="00783CB7"/>
    <w:rsid w:val="007847B7"/>
    <w:rsid w:val="00784A48"/>
    <w:rsid w:val="00784D73"/>
    <w:rsid w:val="00785217"/>
    <w:rsid w:val="007862AD"/>
    <w:rsid w:val="00786510"/>
    <w:rsid w:val="00786A8B"/>
    <w:rsid w:val="007877EB"/>
    <w:rsid w:val="00787EB2"/>
    <w:rsid w:val="007902AC"/>
    <w:rsid w:val="00790492"/>
    <w:rsid w:val="007906B8"/>
    <w:rsid w:val="007907A9"/>
    <w:rsid w:val="00791545"/>
    <w:rsid w:val="007915AE"/>
    <w:rsid w:val="00791757"/>
    <w:rsid w:val="00791DB6"/>
    <w:rsid w:val="00792088"/>
    <w:rsid w:val="007924EA"/>
    <w:rsid w:val="0079264A"/>
    <w:rsid w:val="00792804"/>
    <w:rsid w:val="007929B2"/>
    <w:rsid w:val="00792BAF"/>
    <w:rsid w:val="007953A2"/>
    <w:rsid w:val="007954CA"/>
    <w:rsid w:val="00796704"/>
    <w:rsid w:val="00796F7C"/>
    <w:rsid w:val="0079734E"/>
    <w:rsid w:val="00797E28"/>
    <w:rsid w:val="00797F54"/>
    <w:rsid w:val="007A0D56"/>
    <w:rsid w:val="007A1480"/>
    <w:rsid w:val="007A1768"/>
    <w:rsid w:val="007A20D3"/>
    <w:rsid w:val="007A2A79"/>
    <w:rsid w:val="007A2ABA"/>
    <w:rsid w:val="007A2C15"/>
    <w:rsid w:val="007A2E43"/>
    <w:rsid w:val="007A3DE4"/>
    <w:rsid w:val="007A405C"/>
    <w:rsid w:val="007A467B"/>
    <w:rsid w:val="007A47C6"/>
    <w:rsid w:val="007A48DC"/>
    <w:rsid w:val="007A4A5F"/>
    <w:rsid w:val="007A4B8D"/>
    <w:rsid w:val="007A5797"/>
    <w:rsid w:val="007A6D01"/>
    <w:rsid w:val="007B032E"/>
    <w:rsid w:val="007B0C2C"/>
    <w:rsid w:val="007B0FC4"/>
    <w:rsid w:val="007B113A"/>
    <w:rsid w:val="007B118E"/>
    <w:rsid w:val="007B131C"/>
    <w:rsid w:val="007B167D"/>
    <w:rsid w:val="007B18A4"/>
    <w:rsid w:val="007B19FA"/>
    <w:rsid w:val="007B1ABB"/>
    <w:rsid w:val="007B1CB9"/>
    <w:rsid w:val="007B2F5B"/>
    <w:rsid w:val="007B3F12"/>
    <w:rsid w:val="007B461F"/>
    <w:rsid w:val="007B49B6"/>
    <w:rsid w:val="007B5465"/>
    <w:rsid w:val="007B5517"/>
    <w:rsid w:val="007B592A"/>
    <w:rsid w:val="007B609B"/>
    <w:rsid w:val="007B6609"/>
    <w:rsid w:val="007B6B31"/>
    <w:rsid w:val="007B6F56"/>
    <w:rsid w:val="007B79E6"/>
    <w:rsid w:val="007B7CAB"/>
    <w:rsid w:val="007C01DE"/>
    <w:rsid w:val="007C068A"/>
    <w:rsid w:val="007C0780"/>
    <w:rsid w:val="007C07A8"/>
    <w:rsid w:val="007C12DB"/>
    <w:rsid w:val="007C175E"/>
    <w:rsid w:val="007C1C7D"/>
    <w:rsid w:val="007C1F83"/>
    <w:rsid w:val="007C248D"/>
    <w:rsid w:val="007C24F3"/>
    <w:rsid w:val="007C281E"/>
    <w:rsid w:val="007C53D8"/>
    <w:rsid w:val="007C5E64"/>
    <w:rsid w:val="007C6049"/>
    <w:rsid w:val="007C6A76"/>
    <w:rsid w:val="007C6B38"/>
    <w:rsid w:val="007C6CB7"/>
    <w:rsid w:val="007C7008"/>
    <w:rsid w:val="007C7139"/>
    <w:rsid w:val="007C7156"/>
    <w:rsid w:val="007C7D8E"/>
    <w:rsid w:val="007C7DDE"/>
    <w:rsid w:val="007D0353"/>
    <w:rsid w:val="007D038A"/>
    <w:rsid w:val="007D06B1"/>
    <w:rsid w:val="007D080D"/>
    <w:rsid w:val="007D0AE6"/>
    <w:rsid w:val="007D0C44"/>
    <w:rsid w:val="007D10B2"/>
    <w:rsid w:val="007D1250"/>
    <w:rsid w:val="007D15AD"/>
    <w:rsid w:val="007D1818"/>
    <w:rsid w:val="007D1D19"/>
    <w:rsid w:val="007D1DE5"/>
    <w:rsid w:val="007D2044"/>
    <w:rsid w:val="007D2256"/>
    <w:rsid w:val="007D2889"/>
    <w:rsid w:val="007D2E7F"/>
    <w:rsid w:val="007D2F5A"/>
    <w:rsid w:val="007D30E8"/>
    <w:rsid w:val="007D349F"/>
    <w:rsid w:val="007D3DE6"/>
    <w:rsid w:val="007D4192"/>
    <w:rsid w:val="007D4669"/>
    <w:rsid w:val="007D4A49"/>
    <w:rsid w:val="007D4FBF"/>
    <w:rsid w:val="007D54F5"/>
    <w:rsid w:val="007D553B"/>
    <w:rsid w:val="007D58B5"/>
    <w:rsid w:val="007D5E38"/>
    <w:rsid w:val="007D5EB8"/>
    <w:rsid w:val="007D69DB"/>
    <w:rsid w:val="007D6B9B"/>
    <w:rsid w:val="007D6C65"/>
    <w:rsid w:val="007D6CFD"/>
    <w:rsid w:val="007D6F52"/>
    <w:rsid w:val="007D795A"/>
    <w:rsid w:val="007D7AC1"/>
    <w:rsid w:val="007D7D24"/>
    <w:rsid w:val="007E04ED"/>
    <w:rsid w:val="007E0B04"/>
    <w:rsid w:val="007E0B6B"/>
    <w:rsid w:val="007E0E31"/>
    <w:rsid w:val="007E154B"/>
    <w:rsid w:val="007E1A65"/>
    <w:rsid w:val="007E1A81"/>
    <w:rsid w:val="007E1E65"/>
    <w:rsid w:val="007E2710"/>
    <w:rsid w:val="007E2AAF"/>
    <w:rsid w:val="007E2C50"/>
    <w:rsid w:val="007E2FEC"/>
    <w:rsid w:val="007E32BB"/>
    <w:rsid w:val="007E3A43"/>
    <w:rsid w:val="007E4575"/>
    <w:rsid w:val="007E4874"/>
    <w:rsid w:val="007E48AC"/>
    <w:rsid w:val="007E4D3D"/>
    <w:rsid w:val="007E56EA"/>
    <w:rsid w:val="007E5840"/>
    <w:rsid w:val="007E630B"/>
    <w:rsid w:val="007E65AE"/>
    <w:rsid w:val="007E6FD8"/>
    <w:rsid w:val="007E6FE5"/>
    <w:rsid w:val="007E7374"/>
    <w:rsid w:val="007E766B"/>
    <w:rsid w:val="007E76F4"/>
    <w:rsid w:val="007E7B7D"/>
    <w:rsid w:val="007E7CD0"/>
    <w:rsid w:val="007F071D"/>
    <w:rsid w:val="007F15D3"/>
    <w:rsid w:val="007F1877"/>
    <w:rsid w:val="007F24B5"/>
    <w:rsid w:val="007F2A95"/>
    <w:rsid w:val="007F2F27"/>
    <w:rsid w:val="007F3571"/>
    <w:rsid w:val="007F3F6A"/>
    <w:rsid w:val="007F4079"/>
    <w:rsid w:val="007F41C8"/>
    <w:rsid w:val="007F4912"/>
    <w:rsid w:val="007F4947"/>
    <w:rsid w:val="007F4E0D"/>
    <w:rsid w:val="007F4FED"/>
    <w:rsid w:val="007F52DE"/>
    <w:rsid w:val="007F5A76"/>
    <w:rsid w:val="007F5D2F"/>
    <w:rsid w:val="007F5F5E"/>
    <w:rsid w:val="007F6AD7"/>
    <w:rsid w:val="007F6C4E"/>
    <w:rsid w:val="007F70A1"/>
    <w:rsid w:val="007F7ADB"/>
    <w:rsid w:val="008006B4"/>
    <w:rsid w:val="00800F96"/>
    <w:rsid w:val="008016CD"/>
    <w:rsid w:val="00801E96"/>
    <w:rsid w:val="00801FCA"/>
    <w:rsid w:val="008021B1"/>
    <w:rsid w:val="0080220A"/>
    <w:rsid w:val="0080225B"/>
    <w:rsid w:val="0080237A"/>
    <w:rsid w:val="0080248C"/>
    <w:rsid w:val="00802597"/>
    <w:rsid w:val="00803571"/>
    <w:rsid w:val="008035B4"/>
    <w:rsid w:val="0080366E"/>
    <w:rsid w:val="0080372F"/>
    <w:rsid w:val="0080378D"/>
    <w:rsid w:val="00803B4D"/>
    <w:rsid w:val="00804098"/>
    <w:rsid w:val="00805603"/>
    <w:rsid w:val="00805D67"/>
    <w:rsid w:val="00806371"/>
    <w:rsid w:val="00806833"/>
    <w:rsid w:val="00806A36"/>
    <w:rsid w:val="00806A39"/>
    <w:rsid w:val="00807025"/>
    <w:rsid w:val="008077A4"/>
    <w:rsid w:val="00810797"/>
    <w:rsid w:val="00810CD4"/>
    <w:rsid w:val="0081104D"/>
    <w:rsid w:val="008118CC"/>
    <w:rsid w:val="00811EB7"/>
    <w:rsid w:val="008123F3"/>
    <w:rsid w:val="00812A7E"/>
    <w:rsid w:val="00812B95"/>
    <w:rsid w:val="00812C7F"/>
    <w:rsid w:val="008134BB"/>
    <w:rsid w:val="008134E7"/>
    <w:rsid w:val="00813FCB"/>
    <w:rsid w:val="00814710"/>
    <w:rsid w:val="00814E41"/>
    <w:rsid w:val="00814F59"/>
    <w:rsid w:val="00815851"/>
    <w:rsid w:val="00816AEE"/>
    <w:rsid w:val="00816CA3"/>
    <w:rsid w:val="00816F56"/>
    <w:rsid w:val="008172F5"/>
    <w:rsid w:val="00817561"/>
    <w:rsid w:val="0081789C"/>
    <w:rsid w:val="00817A19"/>
    <w:rsid w:val="00817D31"/>
    <w:rsid w:val="0082016B"/>
    <w:rsid w:val="008204A0"/>
    <w:rsid w:val="00820590"/>
    <w:rsid w:val="008208B5"/>
    <w:rsid w:val="0082147F"/>
    <w:rsid w:val="00821556"/>
    <w:rsid w:val="00821681"/>
    <w:rsid w:val="00821E12"/>
    <w:rsid w:val="00821EAC"/>
    <w:rsid w:val="00822A3A"/>
    <w:rsid w:val="0082307C"/>
    <w:rsid w:val="008232F8"/>
    <w:rsid w:val="008235CC"/>
    <w:rsid w:val="008239D0"/>
    <w:rsid w:val="00824048"/>
    <w:rsid w:val="00824846"/>
    <w:rsid w:val="00824A56"/>
    <w:rsid w:val="0082572E"/>
    <w:rsid w:val="00825DDC"/>
    <w:rsid w:val="008264DE"/>
    <w:rsid w:val="00826D2F"/>
    <w:rsid w:val="00827499"/>
    <w:rsid w:val="008306F4"/>
    <w:rsid w:val="00830893"/>
    <w:rsid w:val="00830968"/>
    <w:rsid w:val="008310B4"/>
    <w:rsid w:val="00831442"/>
    <w:rsid w:val="00831756"/>
    <w:rsid w:val="00831A39"/>
    <w:rsid w:val="00832F45"/>
    <w:rsid w:val="008330A8"/>
    <w:rsid w:val="00833467"/>
    <w:rsid w:val="00833A62"/>
    <w:rsid w:val="00833F53"/>
    <w:rsid w:val="0083420A"/>
    <w:rsid w:val="008344FD"/>
    <w:rsid w:val="00835246"/>
    <w:rsid w:val="008352F8"/>
    <w:rsid w:val="0083567D"/>
    <w:rsid w:val="00835C17"/>
    <w:rsid w:val="00835CCF"/>
    <w:rsid w:val="00835DBB"/>
    <w:rsid w:val="00837C8A"/>
    <w:rsid w:val="00837D95"/>
    <w:rsid w:val="00837FE3"/>
    <w:rsid w:val="008407F8"/>
    <w:rsid w:val="00840B25"/>
    <w:rsid w:val="008410B9"/>
    <w:rsid w:val="008410FF"/>
    <w:rsid w:val="0084147D"/>
    <w:rsid w:val="008417B3"/>
    <w:rsid w:val="00841C45"/>
    <w:rsid w:val="00841CB3"/>
    <w:rsid w:val="00841EFD"/>
    <w:rsid w:val="00842023"/>
    <w:rsid w:val="0084245E"/>
    <w:rsid w:val="0084250A"/>
    <w:rsid w:val="00842A2F"/>
    <w:rsid w:val="00842EF7"/>
    <w:rsid w:val="00843549"/>
    <w:rsid w:val="008438D1"/>
    <w:rsid w:val="00843934"/>
    <w:rsid w:val="00843F5B"/>
    <w:rsid w:val="00844180"/>
    <w:rsid w:val="008447FD"/>
    <w:rsid w:val="00844E7D"/>
    <w:rsid w:val="00846F8C"/>
    <w:rsid w:val="00847158"/>
    <w:rsid w:val="008475D4"/>
    <w:rsid w:val="008501B0"/>
    <w:rsid w:val="00850467"/>
    <w:rsid w:val="00850482"/>
    <w:rsid w:val="00851032"/>
    <w:rsid w:val="008514A0"/>
    <w:rsid w:val="00851AC3"/>
    <w:rsid w:val="00851BA5"/>
    <w:rsid w:val="00852280"/>
    <w:rsid w:val="00852C21"/>
    <w:rsid w:val="00852D18"/>
    <w:rsid w:val="0085314D"/>
    <w:rsid w:val="008537C5"/>
    <w:rsid w:val="00853C61"/>
    <w:rsid w:val="00853DC2"/>
    <w:rsid w:val="00854062"/>
    <w:rsid w:val="00854154"/>
    <w:rsid w:val="00854553"/>
    <w:rsid w:val="00854603"/>
    <w:rsid w:val="00854893"/>
    <w:rsid w:val="00854C40"/>
    <w:rsid w:val="00854FF0"/>
    <w:rsid w:val="008558CE"/>
    <w:rsid w:val="00856456"/>
    <w:rsid w:val="008564A0"/>
    <w:rsid w:val="008564B9"/>
    <w:rsid w:val="008566C0"/>
    <w:rsid w:val="00856799"/>
    <w:rsid w:val="00856FA8"/>
    <w:rsid w:val="008578D4"/>
    <w:rsid w:val="008604A3"/>
    <w:rsid w:val="008604C3"/>
    <w:rsid w:val="0086062C"/>
    <w:rsid w:val="00861132"/>
    <w:rsid w:val="00861E3E"/>
    <w:rsid w:val="00862101"/>
    <w:rsid w:val="00863716"/>
    <w:rsid w:val="00863C9E"/>
    <w:rsid w:val="008642A5"/>
    <w:rsid w:val="00864401"/>
    <w:rsid w:val="00864A69"/>
    <w:rsid w:val="00864DC3"/>
    <w:rsid w:val="00864E95"/>
    <w:rsid w:val="00864F39"/>
    <w:rsid w:val="00864FAE"/>
    <w:rsid w:val="00865215"/>
    <w:rsid w:val="00865299"/>
    <w:rsid w:val="008655EC"/>
    <w:rsid w:val="00865CD9"/>
    <w:rsid w:val="00865D2F"/>
    <w:rsid w:val="008670DD"/>
    <w:rsid w:val="0086723E"/>
    <w:rsid w:val="0086737A"/>
    <w:rsid w:val="00867B2F"/>
    <w:rsid w:val="008705DA"/>
    <w:rsid w:val="008705EA"/>
    <w:rsid w:val="00870B0E"/>
    <w:rsid w:val="008710E4"/>
    <w:rsid w:val="008711BC"/>
    <w:rsid w:val="0087140C"/>
    <w:rsid w:val="0087158B"/>
    <w:rsid w:val="00871590"/>
    <w:rsid w:val="00871647"/>
    <w:rsid w:val="00871649"/>
    <w:rsid w:val="0087199E"/>
    <w:rsid w:val="00872023"/>
    <w:rsid w:val="00872127"/>
    <w:rsid w:val="00872270"/>
    <w:rsid w:val="0087239B"/>
    <w:rsid w:val="0087270B"/>
    <w:rsid w:val="00872EF1"/>
    <w:rsid w:val="00873138"/>
    <w:rsid w:val="0087341D"/>
    <w:rsid w:val="008734AE"/>
    <w:rsid w:val="008735C8"/>
    <w:rsid w:val="00873B9B"/>
    <w:rsid w:val="008742D2"/>
    <w:rsid w:val="00874886"/>
    <w:rsid w:val="00874BBC"/>
    <w:rsid w:val="00875DAB"/>
    <w:rsid w:val="008764E1"/>
    <w:rsid w:val="00876744"/>
    <w:rsid w:val="00876EA1"/>
    <w:rsid w:val="00877155"/>
    <w:rsid w:val="0087736C"/>
    <w:rsid w:val="00877A34"/>
    <w:rsid w:val="0088029B"/>
    <w:rsid w:val="00880BC7"/>
    <w:rsid w:val="00881894"/>
    <w:rsid w:val="00881E61"/>
    <w:rsid w:val="008823AE"/>
    <w:rsid w:val="00882663"/>
    <w:rsid w:val="00882A50"/>
    <w:rsid w:val="00882B80"/>
    <w:rsid w:val="00882D4F"/>
    <w:rsid w:val="00882F9E"/>
    <w:rsid w:val="00883161"/>
    <w:rsid w:val="0088329A"/>
    <w:rsid w:val="00883547"/>
    <w:rsid w:val="00883B4C"/>
    <w:rsid w:val="00883BDB"/>
    <w:rsid w:val="008849AC"/>
    <w:rsid w:val="008852AA"/>
    <w:rsid w:val="008855AF"/>
    <w:rsid w:val="008869C9"/>
    <w:rsid w:val="00886FE1"/>
    <w:rsid w:val="008877EF"/>
    <w:rsid w:val="0088785B"/>
    <w:rsid w:val="00887BED"/>
    <w:rsid w:val="008900C3"/>
    <w:rsid w:val="008903DE"/>
    <w:rsid w:val="00890ACB"/>
    <w:rsid w:val="00890AEB"/>
    <w:rsid w:val="008910A0"/>
    <w:rsid w:val="008910B3"/>
    <w:rsid w:val="00891352"/>
    <w:rsid w:val="00891F9B"/>
    <w:rsid w:val="00892026"/>
    <w:rsid w:val="00892298"/>
    <w:rsid w:val="00892919"/>
    <w:rsid w:val="0089297F"/>
    <w:rsid w:val="008930A8"/>
    <w:rsid w:val="00893681"/>
    <w:rsid w:val="008937D2"/>
    <w:rsid w:val="0089431E"/>
    <w:rsid w:val="00894954"/>
    <w:rsid w:val="00895032"/>
    <w:rsid w:val="008953F8"/>
    <w:rsid w:val="008956B8"/>
    <w:rsid w:val="00896276"/>
    <w:rsid w:val="008966A2"/>
    <w:rsid w:val="0089674C"/>
    <w:rsid w:val="0089692A"/>
    <w:rsid w:val="008978C8"/>
    <w:rsid w:val="00897B45"/>
    <w:rsid w:val="008A10F7"/>
    <w:rsid w:val="008A1566"/>
    <w:rsid w:val="008A242D"/>
    <w:rsid w:val="008A2BC1"/>
    <w:rsid w:val="008A2C8E"/>
    <w:rsid w:val="008A2E89"/>
    <w:rsid w:val="008A2FCE"/>
    <w:rsid w:val="008A317C"/>
    <w:rsid w:val="008A3251"/>
    <w:rsid w:val="008A3309"/>
    <w:rsid w:val="008A3721"/>
    <w:rsid w:val="008A3A8F"/>
    <w:rsid w:val="008A4396"/>
    <w:rsid w:val="008A4474"/>
    <w:rsid w:val="008A468D"/>
    <w:rsid w:val="008A4800"/>
    <w:rsid w:val="008A4E1F"/>
    <w:rsid w:val="008A4FA2"/>
    <w:rsid w:val="008A50D1"/>
    <w:rsid w:val="008A60C0"/>
    <w:rsid w:val="008B00F2"/>
    <w:rsid w:val="008B02D1"/>
    <w:rsid w:val="008B0400"/>
    <w:rsid w:val="008B045A"/>
    <w:rsid w:val="008B0B73"/>
    <w:rsid w:val="008B0CF5"/>
    <w:rsid w:val="008B0F1D"/>
    <w:rsid w:val="008B0FC4"/>
    <w:rsid w:val="008B1389"/>
    <w:rsid w:val="008B14AA"/>
    <w:rsid w:val="008B1A88"/>
    <w:rsid w:val="008B1E95"/>
    <w:rsid w:val="008B1EF1"/>
    <w:rsid w:val="008B2956"/>
    <w:rsid w:val="008B2978"/>
    <w:rsid w:val="008B2FD8"/>
    <w:rsid w:val="008B3AE1"/>
    <w:rsid w:val="008B3F2F"/>
    <w:rsid w:val="008B40D3"/>
    <w:rsid w:val="008B4480"/>
    <w:rsid w:val="008B4498"/>
    <w:rsid w:val="008B466B"/>
    <w:rsid w:val="008B49FB"/>
    <w:rsid w:val="008B4CDC"/>
    <w:rsid w:val="008B4F5A"/>
    <w:rsid w:val="008B51D8"/>
    <w:rsid w:val="008B544F"/>
    <w:rsid w:val="008B547E"/>
    <w:rsid w:val="008B54D9"/>
    <w:rsid w:val="008B5790"/>
    <w:rsid w:val="008B61D4"/>
    <w:rsid w:val="008B6314"/>
    <w:rsid w:val="008B6579"/>
    <w:rsid w:val="008B7667"/>
    <w:rsid w:val="008B783E"/>
    <w:rsid w:val="008B78A1"/>
    <w:rsid w:val="008C0E88"/>
    <w:rsid w:val="008C1200"/>
    <w:rsid w:val="008C1869"/>
    <w:rsid w:val="008C2324"/>
    <w:rsid w:val="008C2B08"/>
    <w:rsid w:val="008C36FA"/>
    <w:rsid w:val="008C3B31"/>
    <w:rsid w:val="008C3C28"/>
    <w:rsid w:val="008C3D48"/>
    <w:rsid w:val="008C46AD"/>
    <w:rsid w:val="008C4956"/>
    <w:rsid w:val="008C4D63"/>
    <w:rsid w:val="008C4E24"/>
    <w:rsid w:val="008C4F09"/>
    <w:rsid w:val="008C5020"/>
    <w:rsid w:val="008C511D"/>
    <w:rsid w:val="008C58BF"/>
    <w:rsid w:val="008C7801"/>
    <w:rsid w:val="008D094B"/>
    <w:rsid w:val="008D0985"/>
    <w:rsid w:val="008D0BFC"/>
    <w:rsid w:val="008D0E51"/>
    <w:rsid w:val="008D13E5"/>
    <w:rsid w:val="008D1953"/>
    <w:rsid w:val="008D274E"/>
    <w:rsid w:val="008D287F"/>
    <w:rsid w:val="008D3683"/>
    <w:rsid w:val="008D36AD"/>
    <w:rsid w:val="008D370F"/>
    <w:rsid w:val="008D3B33"/>
    <w:rsid w:val="008D3BEC"/>
    <w:rsid w:val="008D3EE5"/>
    <w:rsid w:val="008D421A"/>
    <w:rsid w:val="008D4225"/>
    <w:rsid w:val="008D46F4"/>
    <w:rsid w:val="008D4752"/>
    <w:rsid w:val="008D4A32"/>
    <w:rsid w:val="008D4A61"/>
    <w:rsid w:val="008D5BF9"/>
    <w:rsid w:val="008D6764"/>
    <w:rsid w:val="008D6B8C"/>
    <w:rsid w:val="008D6E06"/>
    <w:rsid w:val="008D7C44"/>
    <w:rsid w:val="008E00CA"/>
    <w:rsid w:val="008E0DBD"/>
    <w:rsid w:val="008E1035"/>
    <w:rsid w:val="008E10C8"/>
    <w:rsid w:val="008E1E3B"/>
    <w:rsid w:val="008E25BA"/>
    <w:rsid w:val="008E282D"/>
    <w:rsid w:val="008E2889"/>
    <w:rsid w:val="008E2963"/>
    <w:rsid w:val="008E2E18"/>
    <w:rsid w:val="008E30CE"/>
    <w:rsid w:val="008E36FF"/>
    <w:rsid w:val="008E3B24"/>
    <w:rsid w:val="008E3D79"/>
    <w:rsid w:val="008E3DD9"/>
    <w:rsid w:val="008E4046"/>
    <w:rsid w:val="008E5EF8"/>
    <w:rsid w:val="008E5F25"/>
    <w:rsid w:val="008E5F40"/>
    <w:rsid w:val="008E5FA5"/>
    <w:rsid w:val="008E6D19"/>
    <w:rsid w:val="008E794B"/>
    <w:rsid w:val="008E79D2"/>
    <w:rsid w:val="008F09D8"/>
    <w:rsid w:val="008F0A39"/>
    <w:rsid w:val="008F0D04"/>
    <w:rsid w:val="008F0D27"/>
    <w:rsid w:val="008F1142"/>
    <w:rsid w:val="008F2058"/>
    <w:rsid w:val="008F23C8"/>
    <w:rsid w:val="008F2B57"/>
    <w:rsid w:val="008F30E9"/>
    <w:rsid w:val="008F388F"/>
    <w:rsid w:val="008F393E"/>
    <w:rsid w:val="008F4109"/>
    <w:rsid w:val="008F4A41"/>
    <w:rsid w:val="008F5894"/>
    <w:rsid w:val="008F5DF0"/>
    <w:rsid w:val="008F6320"/>
    <w:rsid w:val="008F6EAF"/>
    <w:rsid w:val="008F706B"/>
    <w:rsid w:val="008F766C"/>
    <w:rsid w:val="00900045"/>
    <w:rsid w:val="00900167"/>
    <w:rsid w:val="00900744"/>
    <w:rsid w:val="009008B7"/>
    <w:rsid w:val="00900C5A"/>
    <w:rsid w:val="009010B6"/>
    <w:rsid w:val="00901278"/>
    <w:rsid w:val="009015FE"/>
    <w:rsid w:val="009019B1"/>
    <w:rsid w:val="00901D0B"/>
    <w:rsid w:val="00902425"/>
    <w:rsid w:val="00902976"/>
    <w:rsid w:val="00903057"/>
    <w:rsid w:val="0090326F"/>
    <w:rsid w:val="00903399"/>
    <w:rsid w:val="009038D1"/>
    <w:rsid w:val="00903B58"/>
    <w:rsid w:val="00903EBB"/>
    <w:rsid w:val="009044DA"/>
    <w:rsid w:val="00904552"/>
    <w:rsid w:val="0090477D"/>
    <w:rsid w:val="00904D8B"/>
    <w:rsid w:val="00904E48"/>
    <w:rsid w:val="0090553E"/>
    <w:rsid w:val="0090590F"/>
    <w:rsid w:val="00905CF1"/>
    <w:rsid w:val="00905F8A"/>
    <w:rsid w:val="00907236"/>
    <w:rsid w:val="00907342"/>
    <w:rsid w:val="00907392"/>
    <w:rsid w:val="00907491"/>
    <w:rsid w:val="00907C32"/>
    <w:rsid w:val="00911A35"/>
    <w:rsid w:val="00911C92"/>
    <w:rsid w:val="00912956"/>
    <w:rsid w:val="00913635"/>
    <w:rsid w:val="00913863"/>
    <w:rsid w:val="00913A19"/>
    <w:rsid w:val="00913A67"/>
    <w:rsid w:val="00913BB6"/>
    <w:rsid w:val="00914066"/>
    <w:rsid w:val="009147CE"/>
    <w:rsid w:val="0091484C"/>
    <w:rsid w:val="0091485F"/>
    <w:rsid w:val="00914F71"/>
    <w:rsid w:val="00915118"/>
    <w:rsid w:val="009153AE"/>
    <w:rsid w:val="00915470"/>
    <w:rsid w:val="00915B2A"/>
    <w:rsid w:val="009168C0"/>
    <w:rsid w:val="00916D23"/>
    <w:rsid w:val="00917247"/>
    <w:rsid w:val="00917308"/>
    <w:rsid w:val="009204A5"/>
    <w:rsid w:val="00920627"/>
    <w:rsid w:val="009212E1"/>
    <w:rsid w:val="00921982"/>
    <w:rsid w:val="00921C18"/>
    <w:rsid w:val="00922157"/>
    <w:rsid w:val="00923274"/>
    <w:rsid w:val="00923B79"/>
    <w:rsid w:val="00923D22"/>
    <w:rsid w:val="00924173"/>
    <w:rsid w:val="00924310"/>
    <w:rsid w:val="00924B16"/>
    <w:rsid w:val="00924BB1"/>
    <w:rsid w:val="009250A1"/>
    <w:rsid w:val="0092525B"/>
    <w:rsid w:val="00925E4D"/>
    <w:rsid w:val="00926A94"/>
    <w:rsid w:val="00926AB7"/>
    <w:rsid w:val="00926DD7"/>
    <w:rsid w:val="00930115"/>
    <w:rsid w:val="00930168"/>
    <w:rsid w:val="009303C8"/>
    <w:rsid w:val="00931027"/>
    <w:rsid w:val="00931D85"/>
    <w:rsid w:val="00932117"/>
    <w:rsid w:val="009322D4"/>
    <w:rsid w:val="0093235A"/>
    <w:rsid w:val="00932624"/>
    <w:rsid w:val="00932DAF"/>
    <w:rsid w:val="00932F55"/>
    <w:rsid w:val="00933856"/>
    <w:rsid w:val="00933C92"/>
    <w:rsid w:val="00934375"/>
    <w:rsid w:val="0093445F"/>
    <w:rsid w:val="00934637"/>
    <w:rsid w:val="00934915"/>
    <w:rsid w:val="00934A64"/>
    <w:rsid w:val="00934FE9"/>
    <w:rsid w:val="00935E4A"/>
    <w:rsid w:val="00936500"/>
    <w:rsid w:val="00936B6F"/>
    <w:rsid w:val="00936CA6"/>
    <w:rsid w:val="00937032"/>
    <w:rsid w:val="00937D2A"/>
    <w:rsid w:val="00937E3D"/>
    <w:rsid w:val="00940831"/>
    <w:rsid w:val="00940EEF"/>
    <w:rsid w:val="00940F32"/>
    <w:rsid w:val="00941133"/>
    <w:rsid w:val="00942EB2"/>
    <w:rsid w:val="0094307C"/>
    <w:rsid w:val="00943DFF"/>
    <w:rsid w:val="0094499E"/>
    <w:rsid w:val="00945F81"/>
    <w:rsid w:val="00946076"/>
    <w:rsid w:val="00946B5E"/>
    <w:rsid w:val="00946CAE"/>
    <w:rsid w:val="00946F83"/>
    <w:rsid w:val="009474D4"/>
    <w:rsid w:val="00950227"/>
    <w:rsid w:val="00950E40"/>
    <w:rsid w:val="00951AEE"/>
    <w:rsid w:val="00951EFC"/>
    <w:rsid w:val="0095255F"/>
    <w:rsid w:val="00952C14"/>
    <w:rsid w:val="009530DA"/>
    <w:rsid w:val="0095320E"/>
    <w:rsid w:val="0095381B"/>
    <w:rsid w:val="00953D89"/>
    <w:rsid w:val="00954626"/>
    <w:rsid w:val="00955B5F"/>
    <w:rsid w:val="00956213"/>
    <w:rsid w:val="00956304"/>
    <w:rsid w:val="0095689A"/>
    <w:rsid w:val="00956F13"/>
    <w:rsid w:val="00957001"/>
    <w:rsid w:val="009575A5"/>
    <w:rsid w:val="009578BB"/>
    <w:rsid w:val="00957FA5"/>
    <w:rsid w:val="009601AA"/>
    <w:rsid w:val="0096034C"/>
    <w:rsid w:val="0096086E"/>
    <w:rsid w:val="00961528"/>
    <w:rsid w:val="00961C28"/>
    <w:rsid w:val="0096232F"/>
    <w:rsid w:val="0096264F"/>
    <w:rsid w:val="00962CE1"/>
    <w:rsid w:val="00962EC1"/>
    <w:rsid w:val="00963443"/>
    <w:rsid w:val="00963913"/>
    <w:rsid w:val="00963915"/>
    <w:rsid w:val="00964043"/>
    <w:rsid w:val="009640C5"/>
    <w:rsid w:val="0096417E"/>
    <w:rsid w:val="00964B50"/>
    <w:rsid w:val="00965041"/>
    <w:rsid w:val="00965599"/>
    <w:rsid w:val="00965CDC"/>
    <w:rsid w:val="009661B5"/>
    <w:rsid w:val="00966233"/>
    <w:rsid w:val="00966C95"/>
    <w:rsid w:val="00967E05"/>
    <w:rsid w:val="00967E13"/>
    <w:rsid w:val="00970584"/>
    <w:rsid w:val="00971A9B"/>
    <w:rsid w:val="009722B5"/>
    <w:rsid w:val="00972D06"/>
    <w:rsid w:val="00972E2F"/>
    <w:rsid w:val="00972E6B"/>
    <w:rsid w:val="00972ED8"/>
    <w:rsid w:val="00973CEA"/>
    <w:rsid w:val="0097459A"/>
    <w:rsid w:val="009748D7"/>
    <w:rsid w:val="00975333"/>
    <w:rsid w:val="009755B3"/>
    <w:rsid w:val="00975B08"/>
    <w:rsid w:val="00975BA5"/>
    <w:rsid w:val="009762AE"/>
    <w:rsid w:val="0097747E"/>
    <w:rsid w:val="009800A0"/>
    <w:rsid w:val="00980191"/>
    <w:rsid w:val="00980AE8"/>
    <w:rsid w:val="00980C0A"/>
    <w:rsid w:val="009820B3"/>
    <w:rsid w:val="009831B6"/>
    <w:rsid w:val="00983C30"/>
    <w:rsid w:val="009841D9"/>
    <w:rsid w:val="0098438A"/>
    <w:rsid w:val="0098493A"/>
    <w:rsid w:val="0098556E"/>
    <w:rsid w:val="00985FD2"/>
    <w:rsid w:val="00985FE8"/>
    <w:rsid w:val="00986E40"/>
    <w:rsid w:val="0098721D"/>
    <w:rsid w:val="009901CA"/>
    <w:rsid w:val="009902C6"/>
    <w:rsid w:val="009906C1"/>
    <w:rsid w:val="009906F2"/>
    <w:rsid w:val="00990A5C"/>
    <w:rsid w:val="00990CFB"/>
    <w:rsid w:val="00991E2D"/>
    <w:rsid w:val="00991E47"/>
    <w:rsid w:val="00991F59"/>
    <w:rsid w:val="0099213C"/>
    <w:rsid w:val="009921E8"/>
    <w:rsid w:val="009928A9"/>
    <w:rsid w:val="00992C71"/>
    <w:rsid w:val="0099367B"/>
    <w:rsid w:val="0099387E"/>
    <w:rsid w:val="00993B34"/>
    <w:rsid w:val="0099528F"/>
    <w:rsid w:val="00995294"/>
    <w:rsid w:val="009953FB"/>
    <w:rsid w:val="00995435"/>
    <w:rsid w:val="009956E9"/>
    <w:rsid w:val="009957AF"/>
    <w:rsid w:val="00996079"/>
    <w:rsid w:val="0099631E"/>
    <w:rsid w:val="009963A7"/>
    <w:rsid w:val="009963D2"/>
    <w:rsid w:val="009965A1"/>
    <w:rsid w:val="00996FBD"/>
    <w:rsid w:val="009A0121"/>
    <w:rsid w:val="009A0979"/>
    <w:rsid w:val="009A0C34"/>
    <w:rsid w:val="009A12A5"/>
    <w:rsid w:val="009A157E"/>
    <w:rsid w:val="009A195D"/>
    <w:rsid w:val="009A1A3A"/>
    <w:rsid w:val="009A235A"/>
    <w:rsid w:val="009A3541"/>
    <w:rsid w:val="009A36CF"/>
    <w:rsid w:val="009A3B21"/>
    <w:rsid w:val="009A3BB2"/>
    <w:rsid w:val="009A4A2A"/>
    <w:rsid w:val="009A5060"/>
    <w:rsid w:val="009A548B"/>
    <w:rsid w:val="009A56B3"/>
    <w:rsid w:val="009A58F0"/>
    <w:rsid w:val="009A5951"/>
    <w:rsid w:val="009A5F3C"/>
    <w:rsid w:val="009A65CD"/>
    <w:rsid w:val="009A6D1E"/>
    <w:rsid w:val="009A74A5"/>
    <w:rsid w:val="009A7E69"/>
    <w:rsid w:val="009B0949"/>
    <w:rsid w:val="009B0B02"/>
    <w:rsid w:val="009B0F3E"/>
    <w:rsid w:val="009B10A6"/>
    <w:rsid w:val="009B147D"/>
    <w:rsid w:val="009B2929"/>
    <w:rsid w:val="009B2A5A"/>
    <w:rsid w:val="009B2ABB"/>
    <w:rsid w:val="009B2B97"/>
    <w:rsid w:val="009B30DA"/>
    <w:rsid w:val="009B325E"/>
    <w:rsid w:val="009B3828"/>
    <w:rsid w:val="009B3B02"/>
    <w:rsid w:val="009B4501"/>
    <w:rsid w:val="009B457C"/>
    <w:rsid w:val="009B5A84"/>
    <w:rsid w:val="009B5ACD"/>
    <w:rsid w:val="009B6283"/>
    <w:rsid w:val="009B63B9"/>
    <w:rsid w:val="009B6F66"/>
    <w:rsid w:val="009B764F"/>
    <w:rsid w:val="009B7661"/>
    <w:rsid w:val="009B79CD"/>
    <w:rsid w:val="009B7A96"/>
    <w:rsid w:val="009B7AC8"/>
    <w:rsid w:val="009B7CEE"/>
    <w:rsid w:val="009C07C6"/>
    <w:rsid w:val="009C0A41"/>
    <w:rsid w:val="009C1192"/>
    <w:rsid w:val="009C123D"/>
    <w:rsid w:val="009C1DDD"/>
    <w:rsid w:val="009C22BA"/>
    <w:rsid w:val="009C26BD"/>
    <w:rsid w:val="009C2AE9"/>
    <w:rsid w:val="009C2CE9"/>
    <w:rsid w:val="009C3022"/>
    <w:rsid w:val="009C31FC"/>
    <w:rsid w:val="009C353A"/>
    <w:rsid w:val="009C3C05"/>
    <w:rsid w:val="009C3C87"/>
    <w:rsid w:val="009C3D5B"/>
    <w:rsid w:val="009C4144"/>
    <w:rsid w:val="009C4288"/>
    <w:rsid w:val="009C4494"/>
    <w:rsid w:val="009C461A"/>
    <w:rsid w:val="009C4A87"/>
    <w:rsid w:val="009C5EA6"/>
    <w:rsid w:val="009C5F74"/>
    <w:rsid w:val="009C7BF8"/>
    <w:rsid w:val="009C7DC1"/>
    <w:rsid w:val="009D08DF"/>
    <w:rsid w:val="009D0B24"/>
    <w:rsid w:val="009D1440"/>
    <w:rsid w:val="009D149B"/>
    <w:rsid w:val="009D1AD6"/>
    <w:rsid w:val="009D305E"/>
    <w:rsid w:val="009D38ED"/>
    <w:rsid w:val="009D3C1C"/>
    <w:rsid w:val="009D3E9C"/>
    <w:rsid w:val="009D4DD4"/>
    <w:rsid w:val="009D5649"/>
    <w:rsid w:val="009D5BFC"/>
    <w:rsid w:val="009D6130"/>
    <w:rsid w:val="009D6470"/>
    <w:rsid w:val="009D68E9"/>
    <w:rsid w:val="009D6EE9"/>
    <w:rsid w:val="009D6F1B"/>
    <w:rsid w:val="009D70E8"/>
    <w:rsid w:val="009D73F0"/>
    <w:rsid w:val="009D74A3"/>
    <w:rsid w:val="009D763D"/>
    <w:rsid w:val="009E0484"/>
    <w:rsid w:val="009E0ED5"/>
    <w:rsid w:val="009E244D"/>
    <w:rsid w:val="009E28DD"/>
    <w:rsid w:val="009E2C1E"/>
    <w:rsid w:val="009E2E08"/>
    <w:rsid w:val="009E2F3E"/>
    <w:rsid w:val="009E2F69"/>
    <w:rsid w:val="009E3303"/>
    <w:rsid w:val="009E380B"/>
    <w:rsid w:val="009E4639"/>
    <w:rsid w:val="009E4667"/>
    <w:rsid w:val="009E4BCD"/>
    <w:rsid w:val="009E4EE5"/>
    <w:rsid w:val="009E5131"/>
    <w:rsid w:val="009E55CF"/>
    <w:rsid w:val="009E5A0A"/>
    <w:rsid w:val="009E62BB"/>
    <w:rsid w:val="009E632B"/>
    <w:rsid w:val="009E6AE3"/>
    <w:rsid w:val="009E6D32"/>
    <w:rsid w:val="009E6F34"/>
    <w:rsid w:val="009E7403"/>
    <w:rsid w:val="009E7492"/>
    <w:rsid w:val="009E77D6"/>
    <w:rsid w:val="009F0461"/>
    <w:rsid w:val="009F07C0"/>
    <w:rsid w:val="009F0AF7"/>
    <w:rsid w:val="009F0B50"/>
    <w:rsid w:val="009F104E"/>
    <w:rsid w:val="009F1093"/>
    <w:rsid w:val="009F11EE"/>
    <w:rsid w:val="009F174B"/>
    <w:rsid w:val="009F17E2"/>
    <w:rsid w:val="009F1F7E"/>
    <w:rsid w:val="009F2102"/>
    <w:rsid w:val="009F2BFE"/>
    <w:rsid w:val="009F3072"/>
    <w:rsid w:val="009F315E"/>
    <w:rsid w:val="009F3546"/>
    <w:rsid w:val="009F3BF8"/>
    <w:rsid w:val="009F3C52"/>
    <w:rsid w:val="009F491C"/>
    <w:rsid w:val="009F4D81"/>
    <w:rsid w:val="009F4E9A"/>
    <w:rsid w:val="009F52BF"/>
    <w:rsid w:val="009F52CC"/>
    <w:rsid w:val="009F55FA"/>
    <w:rsid w:val="009F639C"/>
    <w:rsid w:val="009F643C"/>
    <w:rsid w:val="009F64DE"/>
    <w:rsid w:val="009F68DF"/>
    <w:rsid w:val="009F7365"/>
    <w:rsid w:val="009F77DF"/>
    <w:rsid w:val="009F7BE0"/>
    <w:rsid w:val="00A00525"/>
    <w:rsid w:val="00A009F8"/>
    <w:rsid w:val="00A01408"/>
    <w:rsid w:val="00A01C5D"/>
    <w:rsid w:val="00A028AE"/>
    <w:rsid w:val="00A02B85"/>
    <w:rsid w:val="00A02CAD"/>
    <w:rsid w:val="00A03313"/>
    <w:rsid w:val="00A034B8"/>
    <w:rsid w:val="00A03B4A"/>
    <w:rsid w:val="00A04A7F"/>
    <w:rsid w:val="00A0535B"/>
    <w:rsid w:val="00A05C2D"/>
    <w:rsid w:val="00A06AC0"/>
    <w:rsid w:val="00A0723B"/>
    <w:rsid w:val="00A07914"/>
    <w:rsid w:val="00A10621"/>
    <w:rsid w:val="00A107DA"/>
    <w:rsid w:val="00A10C35"/>
    <w:rsid w:val="00A11155"/>
    <w:rsid w:val="00A114E7"/>
    <w:rsid w:val="00A1177E"/>
    <w:rsid w:val="00A118D4"/>
    <w:rsid w:val="00A11D91"/>
    <w:rsid w:val="00A12034"/>
    <w:rsid w:val="00A123F3"/>
    <w:rsid w:val="00A127A9"/>
    <w:rsid w:val="00A13026"/>
    <w:rsid w:val="00A130BF"/>
    <w:rsid w:val="00A132A8"/>
    <w:rsid w:val="00A13B20"/>
    <w:rsid w:val="00A14835"/>
    <w:rsid w:val="00A14847"/>
    <w:rsid w:val="00A161D6"/>
    <w:rsid w:val="00A16C3B"/>
    <w:rsid w:val="00A16F3A"/>
    <w:rsid w:val="00A17E81"/>
    <w:rsid w:val="00A17F14"/>
    <w:rsid w:val="00A20783"/>
    <w:rsid w:val="00A2088D"/>
    <w:rsid w:val="00A2102A"/>
    <w:rsid w:val="00A213F3"/>
    <w:rsid w:val="00A2145C"/>
    <w:rsid w:val="00A221A5"/>
    <w:rsid w:val="00A22F4B"/>
    <w:rsid w:val="00A22F58"/>
    <w:rsid w:val="00A2317A"/>
    <w:rsid w:val="00A23290"/>
    <w:rsid w:val="00A234B3"/>
    <w:rsid w:val="00A23B7F"/>
    <w:rsid w:val="00A240A6"/>
    <w:rsid w:val="00A24361"/>
    <w:rsid w:val="00A24B3E"/>
    <w:rsid w:val="00A25A23"/>
    <w:rsid w:val="00A25EBF"/>
    <w:rsid w:val="00A25FC9"/>
    <w:rsid w:val="00A26C33"/>
    <w:rsid w:val="00A26EAF"/>
    <w:rsid w:val="00A27FE3"/>
    <w:rsid w:val="00A306F8"/>
    <w:rsid w:val="00A30975"/>
    <w:rsid w:val="00A30B59"/>
    <w:rsid w:val="00A30D04"/>
    <w:rsid w:val="00A3106F"/>
    <w:rsid w:val="00A31CD8"/>
    <w:rsid w:val="00A31D22"/>
    <w:rsid w:val="00A31FDF"/>
    <w:rsid w:val="00A32072"/>
    <w:rsid w:val="00A3245B"/>
    <w:rsid w:val="00A32C3A"/>
    <w:rsid w:val="00A332D1"/>
    <w:rsid w:val="00A3337E"/>
    <w:rsid w:val="00A33769"/>
    <w:rsid w:val="00A33790"/>
    <w:rsid w:val="00A3399E"/>
    <w:rsid w:val="00A33BB1"/>
    <w:rsid w:val="00A33D1B"/>
    <w:rsid w:val="00A33D58"/>
    <w:rsid w:val="00A33F16"/>
    <w:rsid w:val="00A33FD8"/>
    <w:rsid w:val="00A34569"/>
    <w:rsid w:val="00A3496F"/>
    <w:rsid w:val="00A34BD4"/>
    <w:rsid w:val="00A34E73"/>
    <w:rsid w:val="00A3510B"/>
    <w:rsid w:val="00A356B9"/>
    <w:rsid w:val="00A35A2D"/>
    <w:rsid w:val="00A35AD8"/>
    <w:rsid w:val="00A35ED1"/>
    <w:rsid w:val="00A362D1"/>
    <w:rsid w:val="00A36F98"/>
    <w:rsid w:val="00A37181"/>
    <w:rsid w:val="00A37D19"/>
    <w:rsid w:val="00A408FF"/>
    <w:rsid w:val="00A40D41"/>
    <w:rsid w:val="00A4126A"/>
    <w:rsid w:val="00A41A2E"/>
    <w:rsid w:val="00A41D2F"/>
    <w:rsid w:val="00A422D0"/>
    <w:rsid w:val="00A422F0"/>
    <w:rsid w:val="00A4234D"/>
    <w:rsid w:val="00A426B3"/>
    <w:rsid w:val="00A42921"/>
    <w:rsid w:val="00A42A2A"/>
    <w:rsid w:val="00A43273"/>
    <w:rsid w:val="00A43557"/>
    <w:rsid w:val="00A43642"/>
    <w:rsid w:val="00A43B43"/>
    <w:rsid w:val="00A43C4A"/>
    <w:rsid w:val="00A43EA2"/>
    <w:rsid w:val="00A44315"/>
    <w:rsid w:val="00A44550"/>
    <w:rsid w:val="00A44755"/>
    <w:rsid w:val="00A447CC"/>
    <w:rsid w:val="00A44A38"/>
    <w:rsid w:val="00A44F08"/>
    <w:rsid w:val="00A450FA"/>
    <w:rsid w:val="00A4562A"/>
    <w:rsid w:val="00A462FD"/>
    <w:rsid w:val="00A46A08"/>
    <w:rsid w:val="00A46AFE"/>
    <w:rsid w:val="00A46B04"/>
    <w:rsid w:val="00A46F31"/>
    <w:rsid w:val="00A47034"/>
    <w:rsid w:val="00A47591"/>
    <w:rsid w:val="00A47958"/>
    <w:rsid w:val="00A5013F"/>
    <w:rsid w:val="00A50168"/>
    <w:rsid w:val="00A50B82"/>
    <w:rsid w:val="00A51232"/>
    <w:rsid w:val="00A5154F"/>
    <w:rsid w:val="00A51D32"/>
    <w:rsid w:val="00A5238D"/>
    <w:rsid w:val="00A5256A"/>
    <w:rsid w:val="00A52CDD"/>
    <w:rsid w:val="00A538AF"/>
    <w:rsid w:val="00A53A08"/>
    <w:rsid w:val="00A53BB8"/>
    <w:rsid w:val="00A5454C"/>
    <w:rsid w:val="00A54958"/>
    <w:rsid w:val="00A551FB"/>
    <w:rsid w:val="00A55473"/>
    <w:rsid w:val="00A555D0"/>
    <w:rsid w:val="00A55DD7"/>
    <w:rsid w:val="00A55FB6"/>
    <w:rsid w:val="00A55FE8"/>
    <w:rsid w:val="00A5627C"/>
    <w:rsid w:val="00A568F9"/>
    <w:rsid w:val="00A56917"/>
    <w:rsid w:val="00A57195"/>
    <w:rsid w:val="00A571B5"/>
    <w:rsid w:val="00A57F25"/>
    <w:rsid w:val="00A608F3"/>
    <w:rsid w:val="00A6091A"/>
    <w:rsid w:val="00A60A89"/>
    <w:rsid w:val="00A60EB2"/>
    <w:rsid w:val="00A60F84"/>
    <w:rsid w:val="00A619B3"/>
    <w:rsid w:val="00A61EFA"/>
    <w:rsid w:val="00A623C2"/>
    <w:rsid w:val="00A63198"/>
    <w:rsid w:val="00A631D0"/>
    <w:rsid w:val="00A647F8"/>
    <w:rsid w:val="00A650CF"/>
    <w:rsid w:val="00A65A0F"/>
    <w:rsid w:val="00A67288"/>
    <w:rsid w:val="00A67515"/>
    <w:rsid w:val="00A700CE"/>
    <w:rsid w:val="00A7056B"/>
    <w:rsid w:val="00A7139A"/>
    <w:rsid w:val="00A7211A"/>
    <w:rsid w:val="00A7212C"/>
    <w:rsid w:val="00A72467"/>
    <w:rsid w:val="00A7271B"/>
    <w:rsid w:val="00A742B5"/>
    <w:rsid w:val="00A7491A"/>
    <w:rsid w:val="00A74985"/>
    <w:rsid w:val="00A74E4C"/>
    <w:rsid w:val="00A754BE"/>
    <w:rsid w:val="00A75572"/>
    <w:rsid w:val="00A75C04"/>
    <w:rsid w:val="00A77328"/>
    <w:rsid w:val="00A774B8"/>
    <w:rsid w:val="00A77E68"/>
    <w:rsid w:val="00A80668"/>
    <w:rsid w:val="00A815DF"/>
    <w:rsid w:val="00A81824"/>
    <w:rsid w:val="00A81E85"/>
    <w:rsid w:val="00A8222C"/>
    <w:rsid w:val="00A82700"/>
    <w:rsid w:val="00A83401"/>
    <w:rsid w:val="00A83E11"/>
    <w:rsid w:val="00A83EFF"/>
    <w:rsid w:val="00A85A07"/>
    <w:rsid w:val="00A85C24"/>
    <w:rsid w:val="00A860D7"/>
    <w:rsid w:val="00A860F7"/>
    <w:rsid w:val="00A866CC"/>
    <w:rsid w:val="00A867F7"/>
    <w:rsid w:val="00A86B60"/>
    <w:rsid w:val="00A86E91"/>
    <w:rsid w:val="00A87234"/>
    <w:rsid w:val="00A87268"/>
    <w:rsid w:val="00A8730A"/>
    <w:rsid w:val="00A8762A"/>
    <w:rsid w:val="00A87C9C"/>
    <w:rsid w:val="00A87D5A"/>
    <w:rsid w:val="00A90114"/>
    <w:rsid w:val="00A9042E"/>
    <w:rsid w:val="00A90936"/>
    <w:rsid w:val="00A909AF"/>
    <w:rsid w:val="00A90F97"/>
    <w:rsid w:val="00A91473"/>
    <w:rsid w:val="00A92A96"/>
    <w:rsid w:val="00A92B07"/>
    <w:rsid w:val="00A936EE"/>
    <w:rsid w:val="00A93CAE"/>
    <w:rsid w:val="00A93EC7"/>
    <w:rsid w:val="00A944F5"/>
    <w:rsid w:val="00A94B8C"/>
    <w:rsid w:val="00A94FF7"/>
    <w:rsid w:val="00A95314"/>
    <w:rsid w:val="00A955FE"/>
    <w:rsid w:val="00A95816"/>
    <w:rsid w:val="00A95AAD"/>
    <w:rsid w:val="00A9645C"/>
    <w:rsid w:val="00A96797"/>
    <w:rsid w:val="00A967DD"/>
    <w:rsid w:val="00A969A8"/>
    <w:rsid w:val="00A96EED"/>
    <w:rsid w:val="00A96FFA"/>
    <w:rsid w:val="00A97354"/>
    <w:rsid w:val="00A973E8"/>
    <w:rsid w:val="00A97AC1"/>
    <w:rsid w:val="00A97F92"/>
    <w:rsid w:val="00AA0189"/>
    <w:rsid w:val="00AA15F1"/>
    <w:rsid w:val="00AA1850"/>
    <w:rsid w:val="00AA18E3"/>
    <w:rsid w:val="00AA1BC5"/>
    <w:rsid w:val="00AA1CB1"/>
    <w:rsid w:val="00AA214F"/>
    <w:rsid w:val="00AA2B27"/>
    <w:rsid w:val="00AA3256"/>
    <w:rsid w:val="00AA38BB"/>
    <w:rsid w:val="00AA3904"/>
    <w:rsid w:val="00AA43B7"/>
    <w:rsid w:val="00AA4E0B"/>
    <w:rsid w:val="00AA522D"/>
    <w:rsid w:val="00AA57D5"/>
    <w:rsid w:val="00AA6767"/>
    <w:rsid w:val="00AA6A4C"/>
    <w:rsid w:val="00AA747E"/>
    <w:rsid w:val="00AA7524"/>
    <w:rsid w:val="00AA7E5C"/>
    <w:rsid w:val="00AB047F"/>
    <w:rsid w:val="00AB056D"/>
    <w:rsid w:val="00AB0B63"/>
    <w:rsid w:val="00AB1F5E"/>
    <w:rsid w:val="00AB223E"/>
    <w:rsid w:val="00AB2574"/>
    <w:rsid w:val="00AB258D"/>
    <w:rsid w:val="00AB2F79"/>
    <w:rsid w:val="00AB3060"/>
    <w:rsid w:val="00AB3570"/>
    <w:rsid w:val="00AB3D3F"/>
    <w:rsid w:val="00AB3EC5"/>
    <w:rsid w:val="00AB428E"/>
    <w:rsid w:val="00AB4512"/>
    <w:rsid w:val="00AB4E31"/>
    <w:rsid w:val="00AB5F68"/>
    <w:rsid w:val="00AB65E9"/>
    <w:rsid w:val="00AB66CD"/>
    <w:rsid w:val="00AB76B1"/>
    <w:rsid w:val="00AB7AAB"/>
    <w:rsid w:val="00AB7F1B"/>
    <w:rsid w:val="00AC0014"/>
    <w:rsid w:val="00AC044C"/>
    <w:rsid w:val="00AC0584"/>
    <w:rsid w:val="00AC0923"/>
    <w:rsid w:val="00AC0A0C"/>
    <w:rsid w:val="00AC0E40"/>
    <w:rsid w:val="00AC0FB8"/>
    <w:rsid w:val="00AC12E1"/>
    <w:rsid w:val="00AC2D71"/>
    <w:rsid w:val="00AC2D85"/>
    <w:rsid w:val="00AC40AF"/>
    <w:rsid w:val="00AC442E"/>
    <w:rsid w:val="00AC4C0C"/>
    <w:rsid w:val="00AC5162"/>
    <w:rsid w:val="00AC5289"/>
    <w:rsid w:val="00AC56A6"/>
    <w:rsid w:val="00AC57EA"/>
    <w:rsid w:val="00AC57F0"/>
    <w:rsid w:val="00AC61F3"/>
    <w:rsid w:val="00AC6675"/>
    <w:rsid w:val="00AC68FE"/>
    <w:rsid w:val="00AC6F8C"/>
    <w:rsid w:val="00AC7484"/>
    <w:rsid w:val="00AC7977"/>
    <w:rsid w:val="00AC7EAC"/>
    <w:rsid w:val="00AD0457"/>
    <w:rsid w:val="00AD04AF"/>
    <w:rsid w:val="00AD04BC"/>
    <w:rsid w:val="00AD13A0"/>
    <w:rsid w:val="00AD1558"/>
    <w:rsid w:val="00AD16F3"/>
    <w:rsid w:val="00AD1AF4"/>
    <w:rsid w:val="00AD1E13"/>
    <w:rsid w:val="00AD20C3"/>
    <w:rsid w:val="00AD268A"/>
    <w:rsid w:val="00AD2CAD"/>
    <w:rsid w:val="00AD31AA"/>
    <w:rsid w:val="00AD32A7"/>
    <w:rsid w:val="00AD38AD"/>
    <w:rsid w:val="00AD3B74"/>
    <w:rsid w:val="00AD411A"/>
    <w:rsid w:val="00AD4331"/>
    <w:rsid w:val="00AD4543"/>
    <w:rsid w:val="00AD53FA"/>
    <w:rsid w:val="00AD59C5"/>
    <w:rsid w:val="00AD60A0"/>
    <w:rsid w:val="00AD6480"/>
    <w:rsid w:val="00AD7117"/>
    <w:rsid w:val="00AD735B"/>
    <w:rsid w:val="00AD7C9F"/>
    <w:rsid w:val="00AD7D09"/>
    <w:rsid w:val="00AE0062"/>
    <w:rsid w:val="00AE00D1"/>
    <w:rsid w:val="00AE02CA"/>
    <w:rsid w:val="00AE0C1E"/>
    <w:rsid w:val="00AE0EC2"/>
    <w:rsid w:val="00AE1306"/>
    <w:rsid w:val="00AE16DC"/>
    <w:rsid w:val="00AE17A8"/>
    <w:rsid w:val="00AE1B54"/>
    <w:rsid w:val="00AE1D68"/>
    <w:rsid w:val="00AE287F"/>
    <w:rsid w:val="00AE29A0"/>
    <w:rsid w:val="00AE3CFF"/>
    <w:rsid w:val="00AE3D20"/>
    <w:rsid w:val="00AE3E6F"/>
    <w:rsid w:val="00AE4828"/>
    <w:rsid w:val="00AE492A"/>
    <w:rsid w:val="00AE5291"/>
    <w:rsid w:val="00AE5D6E"/>
    <w:rsid w:val="00AE63DC"/>
    <w:rsid w:val="00AE6CB2"/>
    <w:rsid w:val="00AE708C"/>
    <w:rsid w:val="00AE752D"/>
    <w:rsid w:val="00AE783A"/>
    <w:rsid w:val="00AE7CD4"/>
    <w:rsid w:val="00AE7DB5"/>
    <w:rsid w:val="00AF1091"/>
    <w:rsid w:val="00AF2446"/>
    <w:rsid w:val="00AF26F0"/>
    <w:rsid w:val="00AF29C6"/>
    <w:rsid w:val="00AF2AC2"/>
    <w:rsid w:val="00AF2C22"/>
    <w:rsid w:val="00AF2CA9"/>
    <w:rsid w:val="00AF2ED7"/>
    <w:rsid w:val="00AF33B2"/>
    <w:rsid w:val="00AF36F6"/>
    <w:rsid w:val="00AF39B7"/>
    <w:rsid w:val="00AF4636"/>
    <w:rsid w:val="00AF49D8"/>
    <w:rsid w:val="00AF57CE"/>
    <w:rsid w:val="00AF60C8"/>
    <w:rsid w:val="00AF6333"/>
    <w:rsid w:val="00AF649F"/>
    <w:rsid w:val="00AF6981"/>
    <w:rsid w:val="00AF6A38"/>
    <w:rsid w:val="00AF7007"/>
    <w:rsid w:val="00AF75F9"/>
    <w:rsid w:val="00AF7A76"/>
    <w:rsid w:val="00AF7C8D"/>
    <w:rsid w:val="00AF7F0A"/>
    <w:rsid w:val="00B002A6"/>
    <w:rsid w:val="00B00ECB"/>
    <w:rsid w:val="00B00EE7"/>
    <w:rsid w:val="00B0120A"/>
    <w:rsid w:val="00B01B35"/>
    <w:rsid w:val="00B01B49"/>
    <w:rsid w:val="00B01C5E"/>
    <w:rsid w:val="00B01CAC"/>
    <w:rsid w:val="00B01DF5"/>
    <w:rsid w:val="00B0252E"/>
    <w:rsid w:val="00B02A51"/>
    <w:rsid w:val="00B02DDC"/>
    <w:rsid w:val="00B02E51"/>
    <w:rsid w:val="00B02F41"/>
    <w:rsid w:val="00B032BE"/>
    <w:rsid w:val="00B0351F"/>
    <w:rsid w:val="00B04282"/>
    <w:rsid w:val="00B049AD"/>
    <w:rsid w:val="00B049F2"/>
    <w:rsid w:val="00B04AD1"/>
    <w:rsid w:val="00B0506C"/>
    <w:rsid w:val="00B0516D"/>
    <w:rsid w:val="00B058C5"/>
    <w:rsid w:val="00B05CAE"/>
    <w:rsid w:val="00B06020"/>
    <w:rsid w:val="00B06049"/>
    <w:rsid w:val="00B060A2"/>
    <w:rsid w:val="00B0684F"/>
    <w:rsid w:val="00B069D4"/>
    <w:rsid w:val="00B06A17"/>
    <w:rsid w:val="00B076FD"/>
    <w:rsid w:val="00B07998"/>
    <w:rsid w:val="00B079B0"/>
    <w:rsid w:val="00B07B48"/>
    <w:rsid w:val="00B1099E"/>
    <w:rsid w:val="00B1126E"/>
    <w:rsid w:val="00B11565"/>
    <w:rsid w:val="00B11C33"/>
    <w:rsid w:val="00B1265D"/>
    <w:rsid w:val="00B12D40"/>
    <w:rsid w:val="00B13E18"/>
    <w:rsid w:val="00B14200"/>
    <w:rsid w:val="00B142CF"/>
    <w:rsid w:val="00B14955"/>
    <w:rsid w:val="00B16863"/>
    <w:rsid w:val="00B16D49"/>
    <w:rsid w:val="00B174AA"/>
    <w:rsid w:val="00B17D13"/>
    <w:rsid w:val="00B17D37"/>
    <w:rsid w:val="00B200CB"/>
    <w:rsid w:val="00B202F0"/>
    <w:rsid w:val="00B202F8"/>
    <w:rsid w:val="00B2056D"/>
    <w:rsid w:val="00B20AC3"/>
    <w:rsid w:val="00B20B3A"/>
    <w:rsid w:val="00B2199F"/>
    <w:rsid w:val="00B21AC7"/>
    <w:rsid w:val="00B21D21"/>
    <w:rsid w:val="00B22227"/>
    <w:rsid w:val="00B225B4"/>
    <w:rsid w:val="00B22AF6"/>
    <w:rsid w:val="00B22FF7"/>
    <w:rsid w:val="00B234DD"/>
    <w:rsid w:val="00B2360F"/>
    <w:rsid w:val="00B23FE1"/>
    <w:rsid w:val="00B24271"/>
    <w:rsid w:val="00B24463"/>
    <w:rsid w:val="00B24771"/>
    <w:rsid w:val="00B247B9"/>
    <w:rsid w:val="00B248A1"/>
    <w:rsid w:val="00B25448"/>
    <w:rsid w:val="00B25528"/>
    <w:rsid w:val="00B25669"/>
    <w:rsid w:val="00B25818"/>
    <w:rsid w:val="00B26181"/>
    <w:rsid w:val="00B267F9"/>
    <w:rsid w:val="00B269BA"/>
    <w:rsid w:val="00B26AF0"/>
    <w:rsid w:val="00B27077"/>
    <w:rsid w:val="00B27246"/>
    <w:rsid w:val="00B27CEF"/>
    <w:rsid w:val="00B27E44"/>
    <w:rsid w:val="00B30271"/>
    <w:rsid w:val="00B30B95"/>
    <w:rsid w:val="00B31054"/>
    <w:rsid w:val="00B3182B"/>
    <w:rsid w:val="00B31C82"/>
    <w:rsid w:val="00B31F18"/>
    <w:rsid w:val="00B327E5"/>
    <w:rsid w:val="00B32812"/>
    <w:rsid w:val="00B32844"/>
    <w:rsid w:val="00B334F7"/>
    <w:rsid w:val="00B34112"/>
    <w:rsid w:val="00B346DB"/>
    <w:rsid w:val="00B34C2B"/>
    <w:rsid w:val="00B34ECD"/>
    <w:rsid w:val="00B3508A"/>
    <w:rsid w:val="00B350E8"/>
    <w:rsid w:val="00B35315"/>
    <w:rsid w:val="00B358E1"/>
    <w:rsid w:val="00B359AA"/>
    <w:rsid w:val="00B35AD6"/>
    <w:rsid w:val="00B367E9"/>
    <w:rsid w:val="00B36891"/>
    <w:rsid w:val="00B36B24"/>
    <w:rsid w:val="00B36F50"/>
    <w:rsid w:val="00B37131"/>
    <w:rsid w:val="00B376ED"/>
    <w:rsid w:val="00B40204"/>
    <w:rsid w:val="00B40BB6"/>
    <w:rsid w:val="00B410C6"/>
    <w:rsid w:val="00B41297"/>
    <w:rsid w:val="00B41694"/>
    <w:rsid w:val="00B41AA1"/>
    <w:rsid w:val="00B41BE7"/>
    <w:rsid w:val="00B41E05"/>
    <w:rsid w:val="00B42EF9"/>
    <w:rsid w:val="00B43142"/>
    <w:rsid w:val="00B43461"/>
    <w:rsid w:val="00B434AA"/>
    <w:rsid w:val="00B4363D"/>
    <w:rsid w:val="00B4432F"/>
    <w:rsid w:val="00B449CF"/>
    <w:rsid w:val="00B44E34"/>
    <w:rsid w:val="00B4597F"/>
    <w:rsid w:val="00B45C5D"/>
    <w:rsid w:val="00B46A37"/>
    <w:rsid w:val="00B479D8"/>
    <w:rsid w:val="00B47B90"/>
    <w:rsid w:val="00B5019E"/>
    <w:rsid w:val="00B50F3E"/>
    <w:rsid w:val="00B5151B"/>
    <w:rsid w:val="00B517FC"/>
    <w:rsid w:val="00B51943"/>
    <w:rsid w:val="00B51B3C"/>
    <w:rsid w:val="00B51F50"/>
    <w:rsid w:val="00B5251D"/>
    <w:rsid w:val="00B52911"/>
    <w:rsid w:val="00B52A71"/>
    <w:rsid w:val="00B5307B"/>
    <w:rsid w:val="00B530B5"/>
    <w:rsid w:val="00B53166"/>
    <w:rsid w:val="00B53188"/>
    <w:rsid w:val="00B537B9"/>
    <w:rsid w:val="00B537EC"/>
    <w:rsid w:val="00B53E2D"/>
    <w:rsid w:val="00B53E99"/>
    <w:rsid w:val="00B54212"/>
    <w:rsid w:val="00B5527B"/>
    <w:rsid w:val="00B55603"/>
    <w:rsid w:val="00B56816"/>
    <w:rsid w:val="00B573FF"/>
    <w:rsid w:val="00B57616"/>
    <w:rsid w:val="00B60489"/>
    <w:rsid w:val="00B6159F"/>
    <w:rsid w:val="00B616A7"/>
    <w:rsid w:val="00B61C95"/>
    <w:rsid w:val="00B624A5"/>
    <w:rsid w:val="00B62AF1"/>
    <w:rsid w:val="00B62EF7"/>
    <w:rsid w:val="00B6357E"/>
    <w:rsid w:val="00B63D50"/>
    <w:rsid w:val="00B6445D"/>
    <w:rsid w:val="00B64A7E"/>
    <w:rsid w:val="00B64B6F"/>
    <w:rsid w:val="00B6542C"/>
    <w:rsid w:val="00B65535"/>
    <w:rsid w:val="00B657C7"/>
    <w:rsid w:val="00B65A15"/>
    <w:rsid w:val="00B65E36"/>
    <w:rsid w:val="00B6630B"/>
    <w:rsid w:val="00B66830"/>
    <w:rsid w:val="00B6787F"/>
    <w:rsid w:val="00B710AA"/>
    <w:rsid w:val="00B71ABA"/>
    <w:rsid w:val="00B72C32"/>
    <w:rsid w:val="00B730CA"/>
    <w:rsid w:val="00B73A95"/>
    <w:rsid w:val="00B73BF8"/>
    <w:rsid w:val="00B73CEA"/>
    <w:rsid w:val="00B73E64"/>
    <w:rsid w:val="00B74A47"/>
    <w:rsid w:val="00B76A42"/>
    <w:rsid w:val="00B77383"/>
    <w:rsid w:val="00B7794C"/>
    <w:rsid w:val="00B802BA"/>
    <w:rsid w:val="00B8056C"/>
    <w:rsid w:val="00B8107D"/>
    <w:rsid w:val="00B814F1"/>
    <w:rsid w:val="00B81B2C"/>
    <w:rsid w:val="00B82116"/>
    <w:rsid w:val="00B82221"/>
    <w:rsid w:val="00B82355"/>
    <w:rsid w:val="00B82366"/>
    <w:rsid w:val="00B8276B"/>
    <w:rsid w:val="00B827C1"/>
    <w:rsid w:val="00B82901"/>
    <w:rsid w:val="00B82EB4"/>
    <w:rsid w:val="00B82EFB"/>
    <w:rsid w:val="00B8382E"/>
    <w:rsid w:val="00B83DD8"/>
    <w:rsid w:val="00B84251"/>
    <w:rsid w:val="00B849B4"/>
    <w:rsid w:val="00B849DF"/>
    <w:rsid w:val="00B84C23"/>
    <w:rsid w:val="00B84D58"/>
    <w:rsid w:val="00B85077"/>
    <w:rsid w:val="00B850D8"/>
    <w:rsid w:val="00B85247"/>
    <w:rsid w:val="00B8568C"/>
    <w:rsid w:val="00B85BFC"/>
    <w:rsid w:val="00B860CE"/>
    <w:rsid w:val="00B8615A"/>
    <w:rsid w:val="00B86AB2"/>
    <w:rsid w:val="00B86F11"/>
    <w:rsid w:val="00B87AC1"/>
    <w:rsid w:val="00B87B7E"/>
    <w:rsid w:val="00B87EA5"/>
    <w:rsid w:val="00B87F3C"/>
    <w:rsid w:val="00B87F4C"/>
    <w:rsid w:val="00B90045"/>
    <w:rsid w:val="00B90EC5"/>
    <w:rsid w:val="00B911C6"/>
    <w:rsid w:val="00B914F4"/>
    <w:rsid w:val="00B91C41"/>
    <w:rsid w:val="00B920FB"/>
    <w:rsid w:val="00B92706"/>
    <w:rsid w:val="00B927F3"/>
    <w:rsid w:val="00B92A26"/>
    <w:rsid w:val="00B92A8B"/>
    <w:rsid w:val="00B93F75"/>
    <w:rsid w:val="00B93F81"/>
    <w:rsid w:val="00B940CF"/>
    <w:rsid w:val="00B94189"/>
    <w:rsid w:val="00B943EF"/>
    <w:rsid w:val="00B953D5"/>
    <w:rsid w:val="00B956BC"/>
    <w:rsid w:val="00B963B4"/>
    <w:rsid w:val="00B9651B"/>
    <w:rsid w:val="00B96553"/>
    <w:rsid w:val="00B965B2"/>
    <w:rsid w:val="00B967D1"/>
    <w:rsid w:val="00B96997"/>
    <w:rsid w:val="00B97250"/>
    <w:rsid w:val="00B975AA"/>
    <w:rsid w:val="00BA01A0"/>
    <w:rsid w:val="00BA0FDF"/>
    <w:rsid w:val="00BA261D"/>
    <w:rsid w:val="00BA439B"/>
    <w:rsid w:val="00BA44F8"/>
    <w:rsid w:val="00BA461E"/>
    <w:rsid w:val="00BA4AD5"/>
    <w:rsid w:val="00BA4C78"/>
    <w:rsid w:val="00BA5040"/>
    <w:rsid w:val="00BA5207"/>
    <w:rsid w:val="00BA5330"/>
    <w:rsid w:val="00BA5A97"/>
    <w:rsid w:val="00BA5ADB"/>
    <w:rsid w:val="00BA63C2"/>
    <w:rsid w:val="00BA6C43"/>
    <w:rsid w:val="00BA721D"/>
    <w:rsid w:val="00BB04FA"/>
    <w:rsid w:val="00BB0638"/>
    <w:rsid w:val="00BB12D9"/>
    <w:rsid w:val="00BB2000"/>
    <w:rsid w:val="00BB260E"/>
    <w:rsid w:val="00BB277E"/>
    <w:rsid w:val="00BB2B4D"/>
    <w:rsid w:val="00BB2CB2"/>
    <w:rsid w:val="00BB30C7"/>
    <w:rsid w:val="00BB3700"/>
    <w:rsid w:val="00BB4651"/>
    <w:rsid w:val="00BB46CE"/>
    <w:rsid w:val="00BB52A3"/>
    <w:rsid w:val="00BB5986"/>
    <w:rsid w:val="00BB65A3"/>
    <w:rsid w:val="00BB65B1"/>
    <w:rsid w:val="00BB6B86"/>
    <w:rsid w:val="00BB7510"/>
    <w:rsid w:val="00BB7F5E"/>
    <w:rsid w:val="00BC0348"/>
    <w:rsid w:val="00BC0402"/>
    <w:rsid w:val="00BC1150"/>
    <w:rsid w:val="00BC2175"/>
    <w:rsid w:val="00BC2373"/>
    <w:rsid w:val="00BC2528"/>
    <w:rsid w:val="00BC2617"/>
    <w:rsid w:val="00BC26C3"/>
    <w:rsid w:val="00BC338F"/>
    <w:rsid w:val="00BC4099"/>
    <w:rsid w:val="00BC4264"/>
    <w:rsid w:val="00BC45D1"/>
    <w:rsid w:val="00BC46CD"/>
    <w:rsid w:val="00BC5081"/>
    <w:rsid w:val="00BC5492"/>
    <w:rsid w:val="00BC6372"/>
    <w:rsid w:val="00BC71C3"/>
    <w:rsid w:val="00BC796C"/>
    <w:rsid w:val="00BC7975"/>
    <w:rsid w:val="00BC7AFF"/>
    <w:rsid w:val="00BD0286"/>
    <w:rsid w:val="00BD1594"/>
    <w:rsid w:val="00BD1677"/>
    <w:rsid w:val="00BD1953"/>
    <w:rsid w:val="00BD1A6A"/>
    <w:rsid w:val="00BD21C4"/>
    <w:rsid w:val="00BD2378"/>
    <w:rsid w:val="00BD2594"/>
    <w:rsid w:val="00BD2756"/>
    <w:rsid w:val="00BD2A11"/>
    <w:rsid w:val="00BD2FA1"/>
    <w:rsid w:val="00BD39C3"/>
    <w:rsid w:val="00BD3B70"/>
    <w:rsid w:val="00BD42F8"/>
    <w:rsid w:val="00BD457A"/>
    <w:rsid w:val="00BD49E5"/>
    <w:rsid w:val="00BD51ED"/>
    <w:rsid w:val="00BD57EA"/>
    <w:rsid w:val="00BD5AE7"/>
    <w:rsid w:val="00BD5D4E"/>
    <w:rsid w:val="00BD6ABE"/>
    <w:rsid w:val="00BD6CBB"/>
    <w:rsid w:val="00BD7350"/>
    <w:rsid w:val="00BD7907"/>
    <w:rsid w:val="00BE0B4F"/>
    <w:rsid w:val="00BE0BE1"/>
    <w:rsid w:val="00BE0BF6"/>
    <w:rsid w:val="00BE0DBF"/>
    <w:rsid w:val="00BE0F2A"/>
    <w:rsid w:val="00BE1191"/>
    <w:rsid w:val="00BE1A68"/>
    <w:rsid w:val="00BE24CA"/>
    <w:rsid w:val="00BE2668"/>
    <w:rsid w:val="00BE2C73"/>
    <w:rsid w:val="00BE34D9"/>
    <w:rsid w:val="00BE3548"/>
    <w:rsid w:val="00BE3F07"/>
    <w:rsid w:val="00BE4DE0"/>
    <w:rsid w:val="00BE5166"/>
    <w:rsid w:val="00BE52D6"/>
    <w:rsid w:val="00BE56D9"/>
    <w:rsid w:val="00BE5904"/>
    <w:rsid w:val="00BE5D76"/>
    <w:rsid w:val="00BE626B"/>
    <w:rsid w:val="00BE634C"/>
    <w:rsid w:val="00BE6770"/>
    <w:rsid w:val="00BE6F0A"/>
    <w:rsid w:val="00BE6F5A"/>
    <w:rsid w:val="00BE6F88"/>
    <w:rsid w:val="00BE6F9C"/>
    <w:rsid w:val="00BE7314"/>
    <w:rsid w:val="00BE75D2"/>
    <w:rsid w:val="00BE7AE7"/>
    <w:rsid w:val="00BE7D1F"/>
    <w:rsid w:val="00BF0B24"/>
    <w:rsid w:val="00BF0D49"/>
    <w:rsid w:val="00BF1042"/>
    <w:rsid w:val="00BF12A1"/>
    <w:rsid w:val="00BF1970"/>
    <w:rsid w:val="00BF1EC9"/>
    <w:rsid w:val="00BF22EE"/>
    <w:rsid w:val="00BF2517"/>
    <w:rsid w:val="00BF3283"/>
    <w:rsid w:val="00BF3B30"/>
    <w:rsid w:val="00BF3D25"/>
    <w:rsid w:val="00BF3DF6"/>
    <w:rsid w:val="00BF4A0D"/>
    <w:rsid w:val="00BF5254"/>
    <w:rsid w:val="00BF546A"/>
    <w:rsid w:val="00BF58EB"/>
    <w:rsid w:val="00BF5E33"/>
    <w:rsid w:val="00BF6026"/>
    <w:rsid w:val="00BF6511"/>
    <w:rsid w:val="00BF7605"/>
    <w:rsid w:val="00BF7AB2"/>
    <w:rsid w:val="00BF7AD5"/>
    <w:rsid w:val="00C002C2"/>
    <w:rsid w:val="00C00396"/>
    <w:rsid w:val="00C008A0"/>
    <w:rsid w:val="00C0093B"/>
    <w:rsid w:val="00C01024"/>
    <w:rsid w:val="00C01F34"/>
    <w:rsid w:val="00C01F59"/>
    <w:rsid w:val="00C02420"/>
    <w:rsid w:val="00C0245E"/>
    <w:rsid w:val="00C02695"/>
    <w:rsid w:val="00C028D7"/>
    <w:rsid w:val="00C02DCC"/>
    <w:rsid w:val="00C030C5"/>
    <w:rsid w:val="00C03282"/>
    <w:rsid w:val="00C033C8"/>
    <w:rsid w:val="00C039CE"/>
    <w:rsid w:val="00C04445"/>
    <w:rsid w:val="00C04C98"/>
    <w:rsid w:val="00C04FE7"/>
    <w:rsid w:val="00C05434"/>
    <w:rsid w:val="00C055EC"/>
    <w:rsid w:val="00C0578D"/>
    <w:rsid w:val="00C0653B"/>
    <w:rsid w:val="00C067E0"/>
    <w:rsid w:val="00C06998"/>
    <w:rsid w:val="00C06A10"/>
    <w:rsid w:val="00C079E4"/>
    <w:rsid w:val="00C07B65"/>
    <w:rsid w:val="00C07C93"/>
    <w:rsid w:val="00C103FB"/>
    <w:rsid w:val="00C10500"/>
    <w:rsid w:val="00C10CE9"/>
    <w:rsid w:val="00C116B1"/>
    <w:rsid w:val="00C12AA4"/>
    <w:rsid w:val="00C12CDA"/>
    <w:rsid w:val="00C13267"/>
    <w:rsid w:val="00C13275"/>
    <w:rsid w:val="00C13BC0"/>
    <w:rsid w:val="00C13D91"/>
    <w:rsid w:val="00C13E58"/>
    <w:rsid w:val="00C14120"/>
    <w:rsid w:val="00C141CA"/>
    <w:rsid w:val="00C14C2F"/>
    <w:rsid w:val="00C15096"/>
    <w:rsid w:val="00C15169"/>
    <w:rsid w:val="00C15E71"/>
    <w:rsid w:val="00C16A42"/>
    <w:rsid w:val="00C16CC4"/>
    <w:rsid w:val="00C171AD"/>
    <w:rsid w:val="00C1796F"/>
    <w:rsid w:val="00C17FFD"/>
    <w:rsid w:val="00C2087A"/>
    <w:rsid w:val="00C209D2"/>
    <w:rsid w:val="00C20ABA"/>
    <w:rsid w:val="00C20CC4"/>
    <w:rsid w:val="00C2103C"/>
    <w:rsid w:val="00C21684"/>
    <w:rsid w:val="00C2224C"/>
    <w:rsid w:val="00C22259"/>
    <w:rsid w:val="00C22263"/>
    <w:rsid w:val="00C2281C"/>
    <w:rsid w:val="00C22C91"/>
    <w:rsid w:val="00C23435"/>
    <w:rsid w:val="00C238F5"/>
    <w:rsid w:val="00C23ED7"/>
    <w:rsid w:val="00C24C28"/>
    <w:rsid w:val="00C24F9A"/>
    <w:rsid w:val="00C24FD6"/>
    <w:rsid w:val="00C253AA"/>
    <w:rsid w:val="00C25B01"/>
    <w:rsid w:val="00C25CA9"/>
    <w:rsid w:val="00C261B5"/>
    <w:rsid w:val="00C263B9"/>
    <w:rsid w:val="00C266D1"/>
    <w:rsid w:val="00C26763"/>
    <w:rsid w:val="00C26D1F"/>
    <w:rsid w:val="00C2713D"/>
    <w:rsid w:val="00C27C0B"/>
    <w:rsid w:val="00C27EF2"/>
    <w:rsid w:val="00C30319"/>
    <w:rsid w:val="00C307F2"/>
    <w:rsid w:val="00C31AA0"/>
    <w:rsid w:val="00C31B87"/>
    <w:rsid w:val="00C3239F"/>
    <w:rsid w:val="00C3259A"/>
    <w:rsid w:val="00C32B9C"/>
    <w:rsid w:val="00C32CC8"/>
    <w:rsid w:val="00C32FAE"/>
    <w:rsid w:val="00C3315D"/>
    <w:rsid w:val="00C333EF"/>
    <w:rsid w:val="00C3340D"/>
    <w:rsid w:val="00C33903"/>
    <w:rsid w:val="00C34242"/>
    <w:rsid w:val="00C34AC4"/>
    <w:rsid w:val="00C350A5"/>
    <w:rsid w:val="00C35779"/>
    <w:rsid w:val="00C35F18"/>
    <w:rsid w:val="00C36016"/>
    <w:rsid w:val="00C36A11"/>
    <w:rsid w:val="00C36C8D"/>
    <w:rsid w:val="00C40165"/>
    <w:rsid w:val="00C40333"/>
    <w:rsid w:val="00C4187E"/>
    <w:rsid w:val="00C41B99"/>
    <w:rsid w:val="00C41EA6"/>
    <w:rsid w:val="00C426D4"/>
    <w:rsid w:val="00C437F9"/>
    <w:rsid w:val="00C43CEE"/>
    <w:rsid w:val="00C43D96"/>
    <w:rsid w:val="00C43FEB"/>
    <w:rsid w:val="00C441F1"/>
    <w:rsid w:val="00C448FE"/>
    <w:rsid w:val="00C44C7F"/>
    <w:rsid w:val="00C45680"/>
    <w:rsid w:val="00C4649F"/>
    <w:rsid w:val="00C46808"/>
    <w:rsid w:val="00C46A8D"/>
    <w:rsid w:val="00C46AF4"/>
    <w:rsid w:val="00C47072"/>
    <w:rsid w:val="00C475E2"/>
    <w:rsid w:val="00C47675"/>
    <w:rsid w:val="00C50144"/>
    <w:rsid w:val="00C50551"/>
    <w:rsid w:val="00C50C94"/>
    <w:rsid w:val="00C50DB1"/>
    <w:rsid w:val="00C5135F"/>
    <w:rsid w:val="00C51738"/>
    <w:rsid w:val="00C51DD7"/>
    <w:rsid w:val="00C528A9"/>
    <w:rsid w:val="00C52946"/>
    <w:rsid w:val="00C534EF"/>
    <w:rsid w:val="00C535F9"/>
    <w:rsid w:val="00C53B1E"/>
    <w:rsid w:val="00C5412E"/>
    <w:rsid w:val="00C543A9"/>
    <w:rsid w:val="00C5468A"/>
    <w:rsid w:val="00C54C9B"/>
    <w:rsid w:val="00C54D6D"/>
    <w:rsid w:val="00C55A98"/>
    <w:rsid w:val="00C55DFD"/>
    <w:rsid w:val="00C55F9D"/>
    <w:rsid w:val="00C56454"/>
    <w:rsid w:val="00C56651"/>
    <w:rsid w:val="00C56E2E"/>
    <w:rsid w:val="00C5700A"/>
    <w:rsid w:val="00C60818"/>
    <w:rsid w:val="00C609D2"/>
    <w:rsid w:val="00C61485"/>
    <w:rsid w:val="00C61860"/>
    <w:rsid w:val="00C61C8B"/>
    <w:rsid w:val="00C61D75"/>
    <w:rsid w:val="00C61D7A"/>
    <w:rsid w:val="00C62063"/>
    <w:rsid w:val="00C6214B"/>
    <w:rsid w:val="00C62416"/>
    <w:rsid w:val="00C63322"/>
    <w:rsid w:val="00C635E9"/>
    <w:rsid w:val="00C636E2"/>
    <w:rsid w:val="00C63E3A"/>
    <w:rsid w:val="00C63F98"/>
    <w:rsid w:val="00C640C8"/>
    <w:rsid w:val="00C645AB"/>
    <w:rsid w:val="00C64757"/>
    <w:rsid w:val="00C648E5"/>
    <w:rsid w:val="00C64954"/>
    <w:rsid w:val="00C64E21"/>
    <w:rsid w:val="00C6523A"/>
    <w:rsid w:val="00C65BF3"/>
    <w:rsid w:val="00C65CCD"/>
    <w:rsid w:val="00C65EF0"/>
    <w:rsid w:val="00C66FFA"/>
    <w:rsid w:val="00C673D1"/>
    <w:rsid w:val="00C673F8"/>
    <w:rsid w:val="00C67509"/>
    <w:rsid w:val="00C7008B"/>
    <w:rsid w:val="00C70256"/>
    <w:rsid w:val="00C7031A"/>
    <w:rsid w:val="00C7092B"/>
    <w:rsid w:val="00C70A8E"/>
    <w:rsid w:val="00C70AE0"/>
    <w:rsid w:val="00C70EFF"/>
    <w:rsid w:val="00C72093"/>
    <w:rsid w:val="00C729FA"/>
    <w:rsid w:val="00C73089"/>
    <w:rsid w:val="00C73228"/>
    <w:rsid w:val="00C7363A"/>
    <w:rsid w:val="00C7391D"/>
    <w:rsid w:val="00C73C17"/>
    <w:rsid w:val="00C73C4F"/>
    <w:rsid w:val="00C73D82"/>
    <w:rsid w:val="00C75657"/>
    <w:rsid w:val="00C75674"/>
    <w:rsid w:val="00C7596B"/>
    <w:rsid w:val="00C77392"/>
    <w:rsid w:val="00C7757D"/>
    <w:rsid w:val="00C7791E"/>
    <w:rsid w:val="00C77E18"/>
    <w:rsid w:val="00C81476"/>
    <w:rsid w:val="00C81A0F"/>
    <w:rsid w:val="00C82936"/>
    <w:rsid w:val="00C8305C"/>
    <w:rsid w:val="00C8316D"/>
    <w:rsid w:val="00C83E42"/>
    <w:rsid w:val="00C84A17"/>
    <w:rsid w:val="00C84D1F"/>
    <w:rsid w:val="00C84F8C"/>
    <w:rsid w:val="00C861D3"/>
    <w:rsid w:val="00C8629C"/>
    <w:rsid w:val="00C86943"/>
    <w:rsid w:val="00C86C4A"/>
    <w:rsid w:val="00C900AB"/>
    <w:rsid w:val="00C90404"/>
    <w:rsid w:val="00C9051E"/>
    <w:rsid w:val="00C90659"/>
    <w:rsid w:val="00C9088A"/>
    <w:rsid w:val="00C90F6B"/>
    <w:rsid w:val="00C910B4"/>
    <w:rsid w:val="00C91D70"/>
    <w:rsid w:val="00C9241F"/>
    <w:rsid w:val="00C927DE"/>
    <w:rsid w:val="00C92A21"/>
    <w:rsid w:val="00C92FC0"/>
    <w:rsid w:val="00C92FD2"/>
    <w:rsid w:val="00C934B2"/>
    <w:rsid w:val="00C936FE"/>
    <w:rsid w:val="00C93CE9"/>
    <w:rsid w:val="00C94A49"/>
    <w:rsid w:val="00C94CE3"/>
    <w:rsid w:val="00C955A3"/>
    <w:rsid w:val="00C962D2"/>
    <w:rsid w:val="00C965BB"/>
    <w:rsid w:val="00C9666F"/>
    <w:rsid w:val="00C96976"/>
    <w:rsid w:val="00C9739A"/>
    <w:rsid w:val="00C973A6"/>
    <w:rsid w:val="00C97557"/>
    <w:rsid w:val="00C976A7"/>
    <w:rsid w:val="00C97A8B"/>
    <w:rsid w:val="00C97D58"/>
    <w:rsid w:val="00CA0058"/>
    <w:rsid w:val="00CA0113"/>
    <w:rsid w:val="00CA02BE"/>
    <w:rsid w:val="00CA050C"/>
    <w:rsid w:val="00CA07AF"/>
    <w:rsid w:val="00CA09E9"/>
    <w:rsid w:val="00CA0ED3"/>
    <w:rsid w:val="00CA1998"/>
    <w:rsid w:val="00CA2BA9"/>
    <w:rsid w:val="00CA2D37"/>
    <w:rsid w:val="00CA2F24"/>
    <w:rsid w:val="00CA2F55"/>
    <w:rsid w:val="00CA32E2"/>
    <w:rsid w:val="00CA35D6"/>
    <w:rsid w:val="00CA3848"/>
    <w:rsid w:val="00CA39FE"/>
    <w:rsid w:val="00CA3D2E"/>
    <w:rsid w:val="00CA3D3C"/>
    <w:rsid w:val="00CA3EA0"/>
    <w:rsid w:val="00CA4316"/>
    <w:rsid w:val="00CA4CCC"/>
    <w:rsid w:val="00CA5B04"/>
    <w:rsid w:val="00CA7515"/>
    <w:rsid w:val="00CA7775"/>
    <w:rsid w:val="00CB0068"/>
    <w:rsid w:val="00CB0CC6"/>
    <w:rsid w:val="00CB155B"/>
    <w:rsid w:val="00CB17B7"/>
    <w:rsid w:val="00CB27ED"/>
    <w:rsid w:val="00CB318C"/>
    <w:rsid w:val="00CB341E"/>
    <w:rsid w:val="00CB3596"/>
    <w:rsid w:val="00CB35E5"/>
    <w:rsid w:val="00CB3F13"/>
    <w:rsid w:val="00CB426E"/>
    <w:rsid w:val="00CB43CB"/>
    <w:rsid w:val="00CB59BD"/>
    <w:rsid w:val="00CB5C7A"/>
    <w:rsid w:val="00CB5DE9"/>
    <w:rsid w:val="00CB6872"/>
    <w:rsid w:val="00CB6A5C"/>
    <w:rsid w:val="00CB6C81"/>
    <w:rsid w:val="00CB728E"/>
    <w:rsid w:val="00CB770B"/>
    <w:rsid w:val="00CB7D13"/>
    <w:rsid w:val="00CB7DEA"/>
    <w:rsid w:val="00CC0291"/>
    <w:rsid w:val="00CC0803"/>
    <w:rsid w:val="00CC16F4"/>
    <w:rsid w:val="00CC1871"/>
    <w:rsid w:val="00CC23F9"/>
    <w:rsid w:val="00CC310D"/>
    <w:rsid w:val="00CC39B3"/>
    <w:rsid w:val="00CC3B5C"/>
    <w:rsid w:val="00CC3E9B"/>
    <w:rsid w:val="00CC4D14"/>
    <w:rsid w:val="00CC4FA8"/>
    <w:rsid w:val="00CC5669"/>
    <w:rsid w:val="00CC5A72"/>
    <w:rsid w:val="00CC610F"/>
    <w:rsid w:val="00CC6209"/>
    <w:rsid w:val="00CC6334"/>
    <w:rsid w:val="00CC6695"/>
    <w:rsid w:val="00CC6D85"/>
    <w:rsid w:val="00CC7472"/>
    <w:rsid w:val="00CC76F1"/>
    <w:rsid w:val="00CC7D5E"/>
    <w:rsid w:val="00CC7FAF"/>
    <w:rsid w:val="00CD0507"/>
    <w:rsid w:val="00CD0B89"/>
    <w:rsid w:val="00CD0FD8"/>
    <w:rsid w:val="00CD10FC"/>
    <w:rsid w:val="00CD1609"/>
    <w:rsid w:val="00CD2468"/>
    <w:rsid w:val="00CD2542"/>
    <w:rsid w:val="00CD260D"/>
    <w:rsid w:val="00CD26FD"/>
    <w:rsid w:val="00CD3741"/>
    <w:rsid w:val="00CD3A6B"/>
    <w:rsid w:val="00CD3D9B"/>
    <w:rsid w:val="00CD446B"/>
    <w:rsid w:val="00CD44B4"/>
    <w:rsid w:val="00CD4AE8"/>
    <w:rsid w:val="00CD4B5E"/>
    <w:rsid w:val="00CD5100"/>
    <w:rsid w:val="00CD553B"/>
    <w:rsid w:val="00CD5596"/>
    <w:rsid w:val="00CD6299"/>
    <w:rsid w:val="00CD6343"/>
    <w:rsid w:val="00CD650A"/>
    <w:rsid w:val="00CD7F4D"/>
    <w:rsid w:val="00CD7FE9"/>
    <w:rsid w:val="00CE0360"/>
    <w:rsid w:val="00CE0BFF"/>
    <w:rsid w:val="00CE161B"/>
    <w:rsid w:val="00CE18BF"/>
    <w:rsid w:val="00CE1B76"/>
    <w:rsid w:val="00CE1E8C"/>
    <w:rsid w:val="00CE266C"/>
    <w:rsid w:val="00CE27B3"/>
    <w:rsid w:val="00CE2CE0"/>
    <w:rsid w:val="00CE2F3C"/>
    <w:rsid w:val="00CE3014"/>
    <w:rsid w:val="00CE38A6"/>
    <w:rsid w:val="00CE3E85"/>
    <w:rsid w:val="00CE4861"/>
    <w:rsid w:val="00CE4888"/>
    <w:rsid w:val="00CE5EB0"/>
    <w:rsid w:val="00CE5EF4"/>
    <w:rsid w:val="00CE6109"/>
    <w:rsid w:val="00CE6F07"/>
    <w:rsid w:val="00CE713C"/>
    <w:rsid w:val="00CE74AE"/>
    <w:rsid w:val="00CE75DD"/>
    <w:rsid w:val="00CF0227"/>
    <w:rsid w:val="00CF09AD"/>
    <w:rsid w:val="00CF1081"/>
    <w:rsid w:val="00CF12D2"/>
    <w:rsid w:val="00CF1335"/>
    <w:rsid w:val="00CF1644"/>
    <w:rsid w:val="00CF2173"/>
    <w:rsid w:val="00CF23C7"/>
    <w:rsid w:val="00CF2C4B"/>
    <w:rsid w:val="00CF3154"/>
    <w:rsid w:val="00CF3A81"/>
    <w:rsid w:val="00CF4D66"/>
    <w:rsid w:val="00CF4E56"/>
    <w:rsid w:val="00CF5203"/>
    <w:rsid w:val="00CF6617"/>
    <w:rsid w:val="00CF68D3"/>
    <w:rsid w:val="00CF6D0A"/>
    <w:rsid w:val="00CF71B2"/>
    <w:rsid w:val="00CF71F9"/>
    <w:rsid w:val="00CF76CC"/>
    <w:rsid w:val="00CF7ADC"/>
    <w:rsid w:val="00CF7BFA"/>
    <w:rsid w:val="00D00093"/>
    <w:rsid w:val="00D006FF"/>
    <w:rsid w:val="00D00F52"/>
    <w:rsid w:val="00D00FCB"/>
    <w:rsid w:val="00D0122C"/>
    <w:rsid w:val="00D01453"/>
    <w:rsid w:val="00D0168F"/>
    <w:rsid w:val="00D01BF2"/>
    <w:rsid w:val="00D027A0"/>
    <w:rsid w:val="00D02B42"/>
    <w:rsid w:val="00D02BAD"/>
    <w:rsid w:val="00D02BB1"/>
    <w:rsid w:val="00D02DC5"/>
    <w:rsid w:val="00D03160"/>
    <w:rsid w:val="00D03391"/>
    <w:rsid w:val="00D036D9"/>
    <w:rsid w:val="00D03EBA"/>
    <w:rsid w:val="00D041BC"/>
    <w:rsid w:val="00D041F3"/>
    <w:rsid w:val="00D04383"/>
    <w:rsid w:val="00D043EC"/>
    <w:rsid w:val="00D05097"/>
    <w:rsid w:val="00D0706A"/>
    <w:rsid w:val="00D0709F"/>
    <w:rsid w:val="00D07391"/>
    <w:rsid w:val="00D074BB"/>
    <w:rsid w:val="00D0797B"/>
    <w:rsid w:val="00D07A67"/>
    <w:rsid w:val="00D10B33"/>
    <w:rsid w:val="00D10B96"/>
    <w:rsid w:val="00D10D80"/>
    <w:rsid w:val="00D11E37"/>
    <w:rsid w:val="00D12115"/>
    <w:rsid w:val="00D12870"/>
    <w:rsid w:val="00D13324"/>
    <w:rsid w:val="00D133E3"/>
    <w:rsid w:val="00D139FB"/>
    <w:rsid w:val="00D13C47"/>
    <w:rsid w:val="00D1459F"/>
    <w:rsid w:val="00D14CFF"/>
    <w:rsid w:val="00D14DE3"/>
    <w:rsid w:val="00D151FC"/>
    <w:rsid w:val="00D154E8"/>
    <w:rsid w:val="00D1594F"/>
    <w:rsid w:val="00D15D5F"/>
    <w:rsid w:val="00D16216"/>
    <w:rsid w:val="00D17010"/>
    <w:rsid w:val="00D17161"/>
    <w:rsid w:val="00D17497"/>
    <w:rsid w:val="00D176F0"/>
    <w:rsid w:val="00D17A28"/>
    <w:rsid w:val="00D17C5F"/>
    <w:rsid w:val="00D203D8"/>
    <w:rsid w:val="00D207A7"/>
    <w:rsid w:val="00D20BCD"/>
    <w:rsid w:val="00D213C1"/>
    <w:rsid w:val="00D2354B"/>
    <w:rsid w:val="00D24A08"/>
    <w:rsid w:val="00D24AF0"/>
    <w:rsid w:val="00D25616"/>
    <w:rsid w:val="00D265FB"/>
    <w:rsid w:val="00D26B57"/>
    <w:rsid w:val="00D26B5B"/>
    <w:rsid w:val="00D26C7E"/>
    <w:rsid w:val="00D27522"/>
    <w:rsid w:val="00D279C6"/>
    <w:rsid w:val="00D27DD4"/>
    <w:rsid w:val="00D27F3A"/>
    <w:rsid w:val="00D306AD"/>
    <w:rsid w:val="00D308C3"/>
    <w:rsid w:val="00D30D6A"/>
    <w:rsid w:val="00D30F90"/>
    <w:rsid w:val="00D31623"/>
    <w:rsid w:val="00D31C59"/>
    <w:rsid w:val="00D31DFF"/>
    <w:rsid w:val="00D32400"/>
    <w:rsid w:val="00D326FC"/>
    <w:rsid w:val="00D32821"/>
    <w:rsid w:val="00D32BB3"/>
    <w:rsid w:val="00D333E2"/>
    <w:rsid w:val="00D33475"/>
    <w:rsid w:val="00D3374D"/>
    <w:rsid w:val="00D33F7C"/>
    <w:rsid w:val="00D341EF"/>
    <w:rsid w:val="00D34242"/>
    <w:rsid w:val="00D34D0B"/>
    <w:rsid w:val="00D35218"/>
    <w:rsid w:val="00D358EF"/>
    <w:rsid w:val="00D359A0"/>
    <w:rsid w:val="00D36819"/>
    <w:rsid w:val="00D36B99"/>
    <w:rsid w:val="00D37C71"/>
    <w:rsid w:val="00D400A7"/>
    <w:rsid w:val="00D402EC"/>
    <w:rsid w:val="00D40D55"/>
    <w:rsid w:val="00D41313"/>
    <w:rsid w:val="00D41577"/>
    <w:rsid w:val="00D415FA"/>
    <w:rsid w:val="00D417E7"/>
    <w:rsid w:val="00D425AB"/>
    <w:rsid w:val="00D42DD1"/>
    <w:rsid w:val="00D42E46"/>
    <w:rsid w:val="00D4317B"/>
    <w:rsid w:val="00D43228"/>
    <w:rsid w:val="00D44059"/>
    <w:rsid w:val="00D44281"/>
    <w:rsid w:val="00D44332"/>
    <w:rsid w:val="00D445CB"/>
    <w:rsid w:val="00D44AA1"/>
    <w:rsid w:val="00D45364"/>
    <w:rsid w:val="00D4576A"/>
    <w:rsid w:val="00D457EE"/>
    <w:rsid w:val="00D45A93"/>
    <w:rsid w:val="00D45E50"/>
    <w:rsid w:val="00D4615F"/>
    <w:rsid w:val="00D4666A"/>
    <w:rsid w:val="00D46E5C"/>
    <w:rsid w:val="00D46E9A"/>
    <w:rsid w:val="00D47DCC"/>
    <w:rsid w:val="00D47EC1"/>
    <w:rsid w:val="00D500C4"/>
    <w:rsid w:val="00D50EB6"/>
    <w:rsid w:val="00D51013"/>
    <w:rsid w:val="00D515D3"/>
    <w:rsid w:val="00D521B3"/>
    <w:rsid w:val="00D52A40"/>
    <w:rsid w:val="00D52B8E"/>
    <w:rsid w:val="00D52BC7"/>
    <w:rsid w:val="00D53081"/>
    <w:rsid w:val="00D53C79"/>
    <w:rsid w:val="00D5406C"/>
    <w:rsid w:val="00D542E9"/>
    <w:rsid w:val="00D544B5"/>
    <w:rsid w:val="00D54C5D"/>
    <w:rsid w:val="00D5506F"/>
    <w:rsid w:val="00D55382"/>
    <w:rsid w:val="00D5545A"/>
    <w:rsid w:val="00D555A2"/>
    <w:rsid w:val="00D5651E"/>
    <w:rsid w:val="00D56E3A"/>
    <w:rsid w:val="00D57093"/>
    <w:rsid w:val="00D57D64"/>
    <w:rsid w:val="00D605E9"/>
    <w:rsid w:val="00D60BF2"/>
    <w:rsid w:val="00D60DC2"/>
    <w:rsid w:val="00D61865"/>
    <w:rsid w:val="00D6195F"/>
    <w:rsid w:val="00D61D57"/>
    <w:rsid w:val="00D62034"/>
    <w:rsid w:val="00D6253D"/>
    <w:rsid w:val="00D62723"/>
    <w:rsid w:val="00D62CF6"/>
    <w:rsid w:val="00D62F15"/>
    <w:rsid w:val="00D63390"/>
    <w:rsid w:val="00D6387D"/>
    <w:rsid w:val="00D63C5B"/>
    <w:rsid w:val="00D6554F"/>
    <w:rsid w:val="00D65BD6"/>
    <w:rsid w:val="00D65DDC"/>
    <w:rsid w:val="00D65DFB"/>
    <w:rsid w:val="00D65EFA"/>
    <w:rsid w:val="00D662ED"/>
    <w:rsid w:val="00D6669A"/>
    <w:rsid w:val="00D6675C"/>
    <w:rsid w:val="00D668F2"/>
    <w:rsid w:val="00D66B64"/>
    <w:rsid w:val="00D66FAA"/>
    <w:rsid w:val="00D673C0"/>
    <w:rsid w:val="00D6790C"/>
    <w:rsid w:val="00D67C1A"/>
    <w:rsid w:val="00D700C8"/>
    <w:rsid w:val="00D705C9"/>
    <w:rsid w:val="00D707BB"/>
    <w:rsid w:val="00D709C0"/>
    <w:rsid w:val="00D70A2B"/>
    <w:rsid w:val="00D71221"/>
    <w:rsid w:val="00D720E4"/>
    <w:rsid w:val="00D72282"/>
    <w:rsid w:val="00D72FA7"/>
    <w:rsid w:val="00D730B1"/>
    <w:rsid w:val="00D732AC"/>
    <w:rsid w:val="00D732C5"/>
    <w:rsid w:val="00D733F6"/>
    <w:rsid w:val="00D7344F"/>
    <w:rsid w:val="00D73992"/>
    <w:rsid w:val="00D74204"/>
    <w:rsid w:val="00D742C9"/>
    <w:rsid w:val="00D745AF"/>
    <w:rsid w:val="00D7490C"/>
    <w:rsid w:val="00D74926"/>
    <w:rsid w:val="00D74E35"/>
    <w:rsid w:val="00D75078"/>
    <w:rsid w:val="00D752F6"/>
    <w:rsid w:val="00D75E7C"/>
    <w:rsid w:val="00D767A7"/>
    <w:rsid w:val="00D76A22"/>
    <w:rsid w:val="00D76DCA"/>
    <w:rsid w:val="00D7753C"/>
    <w:rsid w:val="00D77865"/>
    <w:rsid w:val="00D77D9E"/>
    <w:rsid w:val="00D8079C"/>
    <w:rsid w:val="00D80852"/>
    <w:rsid w:val="00D809BB"/>
    <w:rsid w:val="00D80AE7"/>
    <w:rsid w:val="00D80BD5"/>
    <w:rsid w:val="00D80D96"/>
    <w:rsid w:val="00D80EC3"/>
    <w:rsid w:val="00D80F28"/>
    <w:rsid w:val="00D80F54"/>
    <w:rsid w:val="00D81563"/>
    <w:rsid w:val="00D81603"/>
    <w:rsid w:val="00D816E8"/>
    <w:rsid w:val="00D816EB"/>
    <w:rsid w:val="00D81859"/>
    <w:rsid w:val="00D82C0E"/>
    <w:rsid w:val="00D8419A"/>
    <w:rsid w:val="00D84797"/>
    <w:rsid w:val="00D84CDB"/>
    <w:rsid w:val="00D8505B"/>
    <w:rsid w:val="00D850DD"/>
    <w:rsid w:val="00D851EB"/>
    <w:rsid w:val="00D85521"/>
    <w:rsid w:val="00D86867"/>
    <w:rsid w:val="00D86966"/>
    <w:rsid w:val="00D86B2B"/>
    <w:rsid w:val="00D8789C"/>
    <w:rsid w:val="00D90404"/>
    <w:rsid w:val="00D9079C"/>
    <w:rsid w:val="00D90AE5"/>
    <w:rsid w:val="00D9103F"/>
    <w:rsid w:val="00D91383"/>
    <w:rsid w:val="00D916EC"/>
    <w:rsid w:val="00D91771"/>
    <w:rsid w:val="00D91F72"/>
    <w:rsid w:val="00D92332"/>
    <w:rsid w:val="00D9249B"/>
    <w:rsid w:val="00D92634"/>
    <w:rsid w:val="00D92BEA"/>
    <w:rsid w:val="00D93496"/>
    <w:rsid w:val="00D936E3"/>
    <w:rsid w:val="00D93909"/>
    <w:rsid w:val="00D9464B"/>
    <w:rsid w:val="00D94977"/>
    <w:rsid w:val="00D949E9"/>
    <w:rsid w:val="00D949F6"/>
    <w:rsid w:val="00D951BF"/>
    <w:rsid w:val="00D9543A"/>
    <w:rsid w:val="00D95CC8"/>
    <w:rsid w:val="00D96C3C"/>
    <w:rsid w:val="00D97971"/>
    <w:rsid w:val="00D97E5F"/>
    <w:rsid w:val="00DA0096"/>
    <w:rsid w:val="00DA1231"/>
    <w:rsid w:val="00DA1575"/>
    <w:rsid w:val="00DA17D5"/>
    <w:rsid w:val="00DA1886"/>
    <w:rsid w:val="00DA1AD6"/>
    <w:rsid w:val="00DA385A"/>
    <w:rsid w:val="00DA39A5"/>
    <w:rsid w:val="00DA4027"/>
    <w:rsid w:val="00DA42F9"/>
    <w:rsid w:val="00DA4CA7"/>
    <w:rsid w:val="00DA51E6"/>
    <w:rsid w:val="00DA60CB"/>
    <w:rsid w:val="00DA62A5"/>
    <w:rsid w:val="00DA687C"/>
    <w:rsid w:val="00DA6ECA"/>
    <w:rsid w:val="00DA7347"/>
    <w:rsid w:val="00DA74EB"/>
    <w:rsid w:val="00DA7A5C"/>
    <w:rsid w:val="00DB00EA"/>
    <w:rsid w:val="00DB0214"/>
    <w:rsid w:val="00DB09B9"/>
    <w:rsid w:val="00DB15D7"/>
    <w:rsid w:val="00DB27CD"/>
    <w:rsid w:val="00DB2A28"/>
    <w:rsid w:val="00DB2F6D"/>
    <w:rsid w:val="00DB357E"/>
    <w:rsid w:val="00DB3581"/>
    <w:rsid w:val="00DB4022"/>
    <w:rsid w:val="00DB404C"/>
    <w:rsid w:val="00DB4322"/>
    <w:rsid w:val="00DB4F53"/>
    <w:rsid w:val="00DB5004"/>
    <w:rsid w:val="00DB504A"/>
    <w:rsid w:val="00DB57E1"/>
    <w:rsid w:val="00DB5A7F"/>
    <w:rsid w:val="00DB5E89"/>
    <w:rsid w:val="00DB5EE7"/>
    <w:rsid w:val="00DB5F0F"/>
    <w:rsid w:val="00DB5F5E"/>
    <w:rsid w:val="00DB654D"/>
    <w:rsid w:val="00DB6632"/>
    <w:rsid w:val="00DB69B1"/>
    <w:rsid w:val="00DB6A60"/>
    <w:rsid w:val="00DB6B7B"/>
    <w:rsid w:val="00DB7473"/>
    <w:rsid w:val="00DB7DAE"/>
    <w:rsid w:val="00DC0648"/>
    <w:rsid w:val="00DC06FD"/>
    <w:rsid w:val="00DC0AD7"/>
    <w:rsid w:val="00DC0E7C"/>
    <w:rsid w:val="00DC15D4"/>
    <w:rsid w:val="00DC1722"/>
    <w:rsid w:val="00DC1723"/>
    <w:rsid w:val="00DC178D"/>
    <w:rsid w:val="00DC1A15"/>
    <w:rsid w:val="00DC1B19"/>
    <w:rsid w:val="00DC1DC2"/>
    <w:rsid w:val="00DC1EA6"/>
    <w:rsid w:val="00DC20DC"/>
    <w:rsid w:val="00DC27F3"/>
    <w:rsid w:val="00DC2B11"/>
    <w:rsid w:val="00DC2DA0"/>
    <w:rsid w:val="00DC3C76"/>
    <w:rsid w:val="00DC4622"/>
    <w:rsid w:val="00DC4662"/>
    <w:rsid w:val="00DC505D"/>
    <w:rsid w:val="00DC6091"/>
    <w:rsid w:val="00DC6558"/>
    <w:rsid w:val="00DC6DA8"/>
    <w:rsid w:val="00DC6F17"/>
    <w:rsid w:val="00DC73D7"/>
    <w:rsid w:val="00DC7494"/>
    <w:rsid w:val="00DC79A0"/>
    <w:rsid w:val="00DC7E11"/>
    <w:rsid w:val="00DD0EE4"/>
    <w:rsid w:val="00DD0FCB"/>
    <w:rsid w:val="00DD172E"/>
    <w:rsid w:val="00DD1BB1"/>
    <w:rsid w:val="00DD2196"/>
    <w:rsid w:val="00DD225D"/>
    <w:rsid w:val="00DD279F"/>
    <w:rsid w:val="00DD307E"/>
    <w:rsid w:val="00DD3E81"/>
    <w:rsid w:val="00DD4273"/>
    <w:rsid w:val="00DD4408"/>
    <w:rsid w:val="00DD4BAE"/>
    <w:rsid w:val="00DD4D7C"/>
    <w:rsid w:val="00DD4F56"/>
    <w:rsid w:val="00DD7256"/>
    <w:rsid w:val="00DE07A5"/>
    <w:rsid w:val="00DE122E"/>
    <w:rsid w:val="00DE1C3D"/>
    <w:rsid w:val="00DE2E13"/>
    <w:rsid w:val="00DE2FEE"/>
    <w:rsid w:val="00DE3091"/>
    <w:rsid w:val="00DE3132"/>
    <w:rsid w:val="00DE3484"/>
    <w:rsid w:val="00DE3548"/>
    <w:rsid w:val="00DE362D"/>
    <w:rsid w:val="00DE4632"/>
    <w:rsid w:val="00DE4821"/>
    <w:rsid w:val="00DE4878"/>
    <w:rsid w:val="00DE4B02"/>
    <w:rsid w:val="00DE5338"/>
    <w:rsid w:val="00DE5836"/>
    <w:rsid w:val="00DE5FDF"/>
    <w:rsid w:val="00DE6399"/>
    <w:rsid w:val="00DE6C92"/>
    <w:rsid w:val="00DE6CE1"/>
    <w:rsid w:val="00DE6E5D"/>
    <w:rsid w:val="00DE723D"/>
    <w:rsid w:val="00DE7DE7"/>
    <w:rsid w:val="00DF02D8"/>
    <w:rsid w:val="00DF0C75"/>
    <w:rsid w:val="00DF10EF"/>
    <w:rsid w:val="00DF1341"/>
    <w:rsid w:val="00DF195A"/>
    <w:rsid w:val="00DF24F0"/>
    <w:rsid w:val="00DF29FD"/>
    <w:rsid w:val="00DF2A6E"/>
    <w:rsid w:val="00DF3159"/>
    <w:rsid w:val="00DF342F"/>
    <w:rsid w:val="00DF399C"/>
    <w:rsid w:val="00DF3B6C"/>
    <w:rsid w:val="00DF519B"/>
    <w:rsid w:val="00DF6590"/>
    <w:rsid w:val="00DF6A9B"/>
    <w:rsid w:val="00DF6E63"/>
    <w:rsid w:val="00DF6EF5"/>
    <w:rsid w:val="00DF7468"/>
    <w:rsid w:val="00E00F73"/>
    <w:rsid w:val="00E00FBC"/>
    <w:rsid w:val="00E010AD"/>
    <w:rsid w:val="00E017BF"/>
    <w:rsid w:val="00E022AC"/>
    <w:rsid w:val="00E0294E"/>
    <w:rsid w:val="00E0358F"/>
    <w:rsid w:val="00E03D28"/>
    <w:rsid w:val="00E043D7"/>
    <w:rsid w:val="00E04658"/>
    <w:rsid w:val="00E04ACE"/>
    <w:rsid w:val="00E0511B"/>
    <w:rsid w:val="00E05953"/>
    <w:rsid w:val="00E059C7"/>
    <w:rsid w:val="00E0613F"/>
    <w:rsid w:val="00E06563"/>
    <w:rsid w:val="00E06939"/>
    <w:rsid w:val="00E06A3D"/>
    <w:rsid w:val="00E06D77"/>
    <w:rsid w:val="00E10C02"/>
    <w:rsid w:val="00E110A5"/>
    <w:rsid w:val="00E110BF"/>
    <w:rsid w:val="00E11B86"/>
    <w:rsid w:val="00E11C5B"/>
    <w:rsid w:val="00E1252F"/>
    <w:rsid w:val="00E12C15"/>
    <w:rsid w:val="00E130A4"/>
    <w:rsid w:val="00E13157"/>
    <w:rsid w:val="00E13274"/>
    <w:rsid w:val="00E13B1E"/>
    <w:rsid w:val="00E13B25"/>
    <w:rsid w:val="00E144E3"/>
    <w:rsid w:val="00E14AAB"/>
    <w:rsid w:val="00E14F1E"/>
    <w:rsid w:val="00E15520"/>
    <w:rsid w:val="00E164A7"/>
    <w:rsid w:val="00E17089"/>
    <w:rsid w:val="00E17ECF"/>
    <w:rsid w:val="00E200A9"/>
    <w:rsid w:val="00E20269"/>
    <w:rsid w:val="00E20B1E"/>
    <w:rsid w:val="00E21788"/>
    <w:rsid w:val="00E22141"/>
    <w:rsid w:val="00E22217"/>
    <w:rsid w:val="00E2230D"/>
    <w:rsid w:val="00E23583"/>
    <w:rsid w:val="00E239E4"/>
    <w:rsid w:val="00E24188"/>
    <w:rsid w:val="00E24664"/>
    <w:rsid w:val="00E24D56"/>
    <w:rsid w:val="00E25843"/>
    <w:rsid w:val="00E26041"/>
    <w:rsid w:val="00E269EF"/>
    <w:rsid w:val="00E30282"/>
    <w:rsid w:val="00E302D7"/>
    <w:rsid w:val="00E30334"/>
    <w:rsid w:val="00E30791"/>
    <w:rsid w:val="00E310C5"/>
    <w:rsid w:val="00E315DD"/>
    <w:rsid w:val="00E31639"/>
    <w:rsid w:val="00E317CA"/>
    <w:rsid w:val="00E31A23"/>
    <w:rsid w:val="00E31B9E"/>
    <w:rsid w:val="00E31C2C"/>
    <w:rsid w:val="00E32253"/>
    <w:rsid w:val="00E32457"/>
    <w:rsid w:val="00E32772"/>
    <w:rsid w:val="00E32A46"/>
    <w:rsid w:val="00E3320E"/>
    <w:rsid w:val="00E3341F"/>
    <w:rsid w:val="00E33530"/>
    <w:rsid w:val="00E339A3"/>
    <w:rsid w:val="00E33BF7"/>
    <w:rsid w:val="00E3445F"/>
    <w:rsid w:val="00E3560A"/>
    <w:rsid w:val="00E36249"/>
    <w:rsid w:val="00E365D3"/>
    <w:rsid w:val="00E36CD1"/>
    <w:rsid w:val="00E3701F"/>
    <w:rsid w:val="00E374DD"/>
    <w:rsid w:val="00E374FE"/>
    <w:rsid w:val="00E37943"/>
    <w:rsid w:val="00E37A00"/>
    <w:rsid w:val="00E40318"/>
    <w:rsid w:val="00E4053E"/>
    <w:rsid w:val="00E40603"/>
    <w:rsid w:val="00E40FDD"/>
    <w:rsid w:val="00E41395"/>
    <w:rsid w:val="00E443FB"/>
    <w:rsid w:val="00E4441E"/>
    <w:rsid w:val="00E444F3"/>
    <w:rsid w:val="00E44646"/>
    <w:rsid w:val="00E4489D"/>
    <w:rsid w:val="00E448B9"/>
    <w:rsid w:val="00E4642B"/>
    <w:rsid w:val="00E4645D"/>
    <w:rsid w:val="00E464DB"/>
    <w:rsid w:val="00E475ED"/>
    <w:rsid w:val="00E47AEA"/>
    <w:rsid w:val="00E47B06"/>
    <w:rsid w:val="00E47C83"/>
    <w:rsid w:val="00E501B8"/>
    <w:rsid w:val="00E50578"/>
    <w:rsid w:val="00E50C10"/>
    <w:rsid w:val="00E50E98"/>
    <w:rsid w:val="00E50FF5"/>
    <w:rsid w:val="00E5187D"/>
    <w:rsid w:val="00E5250F"/>
    <w:rsid w:val="00E52908"/>
    <w:rsid w:val="00E52BDD"/>
    <w:rsid w:val="00E53252"/>
    <w:rsid w:val="00E532AD"/>
    <w:rsid w:val="00E54D0A"/>
    <w:rsid w:val="00E553BB"/>
    <w:rsid w:val="00E557BA"/>
    <w:rsid w:val="00E5629A"/>
    <w:rsid w:val="00E56699"/>
    <w:rsid w:val="00E56FB4"/>
    <w:rsid w:val="00E571CF"/>
    <w:rsid w:val="00E571F3"/>
    <w:rsid w:val="00E57C0C"/>
    <w:rsid w:val="00E57D32"/>
    <w:rsid w:val="00E60A43"/>
    <w:rsid w:val="00E60DE9"/>
    <w:rsid w:val="00E60EC0"/>
    <w:rsid w:val="00E611F8"/>
    <w:rsid w:val="00E61D8F"/>
    <w:rsid w:val="00E62112"/>
    <w:rsid w:val="00E62E42"/>
    <w:rsid w:val="00E63133"/>
    <w:rsid w:val="00E637EE"/>
    <w:rsid w:val="00E639A4"/>
    <w:rsid w:val="00E63EB8"/>
    <w:rsid w:val="00E6429A"/>
    <w:rsid w:val="00E6449A"/>
    <w:rsid w:val="00E64F6B"/>
    <w:rsid w:val="00E650FF"/>
    <w:rsid w:val="00E65297"/>
    <w:rsid w:val="00E6605F"/>
    <w:rsid w:val="00E66069"/>
    <w:rsid w:val="00E666CE"/>
    <w:rsid w:val="00E6723F"/>
    <w:rsid w:val="00E6747A"/>
    <w:rsid w:val="00E67918"/>
    <w:rsid w:val="00E67B25"/>
    <w:rsid w:val="00E70056"/>
    <w:rsid w:val="00E711C5"/>
    <w:rsid w:val="00E71294"/>
    <w:rsid w:val="00E712BE"/>
    <w:rsid w:val="00E713D3"/>
    <w:rsid w:val="00E718BF"/>
    <w:rsid w:val="00E71C4F"/>
    <w:rsid w:val="00E72265"/>
    <w:rsid w:val="00E7240F"/>
    <w:rsid w:val="00E72425"/>
    <w:rsid w:val="00E7263D"/>
    <w:rsid w:val="00E72F05"/>
    <w:rsid w:val="00E74048"/>
    <w:rsid w:val="00E7453A"/>
    <w:rsid w:val="00E74C32"/>
    <w:rsid w:val="00E74CBC"/>
    <w:rsid w:val="00E74E05"/>
    <w:rsid w:val="00E754FC"/>
    <w:rsid w:val="00E75B8A"/>
    <w:rsid w:val="00E76C42"/>
    <w:rsid w:val="00E77634"/>
    <w:rsid w:val="00E77AEC"/>
    <w:rsid w:val="00E80384"/>
    <w:rsid w:val="00E80570"/>
    <w:rsid w:val="00E807C3"/>
    <w:rsid w:val="00E80EE2"/>
    <w:rsid w:val="00E80EEE"/>
    <w:rsid w:val="00E8106B"/>
    <w:rsid w:val="00E8139F"/>
    <w:rsid w:val="00E8141E"/>
    <w:rsid w:val="00E81B62"/>
    <w:rsid w:val="00E81C5E"/>
    <w:rsid w:val="00E81D4E"/>
    <w:rsid w:val="00E8261F"/>
    <w:rsid w:val="00E8285A"/>
    <w:rsid w:val="00E84798"/>
    <w:rsid w:val="00E847E2"/>
    <w:rsid w:val="00E84882"/>
    <w:rsid w:val="00E855D9"/>
    <w:rsid w:val="00E8647F"/>
    <w:rsid w:val="00E86B3D"/>
    <w:rsid w:val="00E86EF1"/>
    <w:rsid w:val="00E87B2A"/>
    <w:rsid w:val="00E87B4C"/>
    <w:rsid w:val="00E87BC7"/>
    <w:rsid w:val="00E9029C"/>
    <w:rsid w:val="00E90475"/>
    <w:rsid w:val="00E90B6F"/>
    <w:rsid w:val="00E9133D"/>
    <w:rsid w:val="00E91509"/>
    <w:rsid w:val="00E919A8"/>
    <w:rsid w:val="00E91B16"/>
    <w:rsid w:val="00E91B6A"/>
    <w:rsid w:val="00E91EC2"/>
    <w:rsid w:val="00E92602"/>
    <w:rsid w:val="00E9260D"/>
    <w:rsid w:val="00E9266D"/>
    <w:rsid w:val="00E92701"/>
    <w:rsid w:val="00E928B4"/>
    <w:rsid w:val="00E929AE"/>
    <w:rsid w:val="00E93413"/>
    <w:rsid w:val="00E935E7"/>
    <w:rsid w:val="00E9362A"/>
    <w:rsid w:val="00E93F23"/>
    <w:rsid w:val="00E94393"/>
    <w:rsid w:val="00E9455B"/>
    <w:rsid w:val="00E94632"/>
    <w:rsid w:val="00E94A79"/>
    <w:rsid w:val="00E95A03"/>
    <w:rsid w:val="00E96545"/>
    <w:rsid w:val="00E965B4"/>
    <w:rsid w:val="00E96B6D"/>
    <w:rsid w:val="00E96FF9"/>
    <w:rsid w:val="00E97246"/>
    <w:rsid w:val="00E9728B"/>
    <w:rsid w:val="00E9736D"/>
    <w:rsid w:val="00E97DAC"/>
    <w:rsid w:val="00EA0978"/>
    <w:rsid w:val="00EA0C0D"/>
    <w:rsid w:val="00EA1557"/>
    <w:rsid w:val="00EA1BB1"/>
    <w:rsid w:val="00EA2954"/>
    <w:rsid w:val="00EA2A1C"/>
    <w:rsid w:val="00EA32F6"/>
    <w:rsid w:val="00EA33B7"/>
    <w:rsid w:val="00EA3677"/>
    <w:rsid w:val="00EA3786"/>
    <w:rsid w:val="00EA38C9"/>
    <w:rsid w:val="00EA4695"/>
    <w:rsid w:val="00EA47A6"/>
    <w:rsid w:val="00EA4CAD"/>
    <w:rsid w:val="00EA57E9"/>
    <w:rsid w:val="00EA590D"/>
    <w:rsid w:val="00EA68CA"/>
    <w:rsid w:val="00EA6D24"/>
    <w:rsid w:val="00EA7A09"/>
    <w:rsid w:val="00EA7C35"/>
    <w:rsid w:val="00EB0250"/>
    <w:rsid w:val="00EB02C2"/>
    <w:rsid w:val="00EB0527"/>
    <w:rsid w:val="00EB073F"/>
    <w:rsid w:val="00EB0926"/>
    <w:rsid w:val="00EB09A6"/>
    <w:rsid w:val="00EB16EE"/>
    <w:rsid w:val="00EB17A9"/>
    <w:rsid w:val="00EB25EE"/>
    <w:rsid w:val="00EB2874"/>
    <w:rsid w:val="00EB2C72"/>
    <w:rsid w:val="00EB2E72"/>
    <w:rsid w:val="00EB33AA"/>
    <w:rsid w:val="00EB3547"/>
    <w:rsid w:val="00EB3577"/>
    <w:rsid w:val="00EB3703"/>
    <w:rsid w:val="00EB3994"/>
    <w:rsid w:val="00EB39E3"/>
    <w:rsid w:val="00EB3AC6"/>
    <w:rsid w:val="00EB3B33"/>
    <w:rsid w:val="00EB3BBB"/>
    <w:rsid w:val="00EB3D9A"/>
    <w:rsid w:val="00EB41B0"/>
    <w:rsid w:val="00EB4972"/>
    <w:rsid w:val="00EB4D64"/>
    <w:rsid w:val="00EB63D0"/>
    <w:rsid w:val="00EB6B55"/>
    <w:rsid w:val="00EB6C84"/>
    <w:rsid w:val="00EB77BB"/>
    <w:rsid w:val="00EB7DE8"/>
    <w:rsid w:val="00EB7DF1"/>
    <w:rsid w:val="00EC0A76"/>
    <w:rsid w:val="00EC1136"/>
    <w:rsid w:val="00EC1190"/>
    <w:rsid w:val="00EC216D"/>
    <w:rsid w:val="00EC221E"/>
    <w:rsid w:val="00EC2476"/>
    <w:rsid w:val="00EC2DE3"/>
    <w:rsid w:val="00EC30AC"/>
    <w:rsid w:val="00EC32CF"/>
    <w:rsid w:val="00EC36A2"/>
    <w:rsid w:val="00EC4473"/>
    <w:rsid w:val="00EC4B77"/>
    <w:rsid w:val="00EC4ED1"/>
    <w:rsid w:val="00EC54E3"/>
    <w:rsid w:val="00EC5572"/>
    <w:rsid w:val="00EC57D4"/>
    <w:rsid w:val="00EC5A36"/>
    <w:rsid w:val="00EC5BB4"/>
    <w:rsid w:val="00EC61CA"/>
    <w:rsid w:val="00EC6348"/>
    <w:rsid w:val="00EC6A69"/>
    <w:rsid w:val="00EC6C5B"/>
    <w:rsid w:val="00EC6FDC"/>
    <w:rsid w:val="00EC7A4E"/>
    <w:rsid w:val="00ED02AE"/>
    <w:rsid w:val="00ED0334"/>
    <w:rsid w:val="00ED04D3"/>
    <w:rsid w:val="00ED097C"/>
    <w:rsid w:val="00ED0BA3"/>
    <w:rsid w:val="00ED0E0F"/>
    <w:rsid w:val="00ED2006"/>
    <w:rsid w:val="00ED239E"/>
    <w:rsid w:val="00ED264D"/>
    <w:rsid w:val="00ED284B"/>
    <w:rsid w:val="00ED31F1"/>
    <w:rsid w:val="00ED33D2"/>
    <w:rsid w:val="00ED395F"/>
    <w:rsid w:val="00ED4370"/>
    <w:rsid w:val="00ED4FA5"/>
    <w:rsid w:val="00ED5311"/>
    <w:rsid w:val="00ED5542"/>
    <w:rsid w:val="00ED556A"/>
    <w:rsid w:val="00ED574A"/>
    <w:rsid w:val="00ED64AC"/>
    <w:rsid w:val="00ED6E80"/>
    <w:rsid w:val="00ED746B"/>
    <w:rsid w:val="00EE0448"/>
    <w:rsid w:val="00EE0609"/>
    <w:rsid w:val="00EE10B7"/>
    <w:rsid w:val="00EE1505"/>
    <w:rsid w:val="00EE1B56"/>
    <w:rsid w:val="00EE309B"/>
    <w:rsid w:val="00EE3108"/>
    <w:rsid w:val="00EE4251"/>
    <w:rsid w:val="00EE479A"/>
    <w:rsid w:val="00EE48CA"/>
    <w:rsid w:val="00EE491D"/>
    <w:rsid w:val="00EE4980"/>
    <w:rsid w:val="00EE4A4B"/>
    <w:rsid w:val="00EE5593"/>
    <w:rsid w:val="00EE58B4"/>
    <w:rsid w:val="00EE5CF1"/>
    <w:rsid w:val="00EE5EF1"/>
    <w:rsid w:val="00EE6524"/>
    <w:rsid w:val="00EE68F1"/>
    <w:rsid w:val="00EE7025"/>
    <w:rsid w:val="00EE7288"/>
    <w:rsid w:val="00EE7880"/>
    <w:rsid w:val="00EE7AA3"/>
    <w:rsid w:val="00EF0135"/>
    <w:rsid w:val="00EF04BE"/>
    <w:rsid w:val="00EF0E83"/>
    <w:rsid w:val="00EF13C6"/>
    <w:rsid w:val="00EF1F3F"/>
    <w:rsid w:val="00EF30A5"/>
    <w:rsid w:val="00EF3A0B"/>
    <w:rsid w:val="00EF3A0C"/>
    <w:rsid w:val="00EF460F"/>
    <w:rsid w:val="00EF4DE8"/>
    <w:rsid w:val="00EF566C"/>
    <w:rsid w:val="00EF5AC2"/>
    <w:rsid w:val="00EF7142"/>
    <w:rsid w:val="00EF728B"/>
    <w:rsid w:val="00EF7775"/>
    <w:rsid w:val="00EF7CE8"/>
    <w:rsid w:val="00EF7D7A"/>
    <w:rsid w:val="00F00210"/>
    <w:rsid w:val="00F004A9"/>
    <w:rsid w:val="00F00C10"/>
    <w:rsid w:val="00F00FA4"/>
    <w:rsid w:val="00F01321"/>
    <w:rsid w:val="00F013CB"/>
    <w:rsid w:val="00F01416"/>
    <w:rsid w:val="00F0214F"/>
    <w:rsid w:val="00F02501"/>
    <w:rsid w:val="00F02A28"/>
    <w:rsid w:val="00F031B3"/>
    <w:rsid w:val="00F037B9"/>
    <w:rsid w:val="00F04502"/>
    <w:rsid w:val="00F046DD"/>
    <w:rsid w:val="00F04764"/>
    <w:rsid w:val="00F0493A"/>
    <w:rsid w:val="00F059B4"/>
    <w:rsid w:val="00F05ACE"/>
    <w:rsid w:val="00F05B35"/>
    <w:rsid w:val="00F05D5E"/>
    <w:rsid w:val="00F05E18"/>
    <w:rsid w:val="00F063AF"/>
    <w:rsid w:val="00F06820"/>
    <w:rsid w:val="00F069C8"/>
    <w:rsid w:val="00F06D18"/>
    <w:rsid w:val="00F06EBC"/>
    <w:rsid w:val="00F0794D"/>
    <w:rsid w:val="00F07AFF"/>
    <w:rsid w:val="00F07C14"/>
    <w:rsid w:val="00F07C4A"/>
    <w:rsid w:val="00F07E40"/>
    <w:rsid w:val="00F10220"/>
    <w:rsid w:val="00F10305"/>
    <w:rsid w:val="00F1030D"/>
    <w:rsid w:val="00F10CB7"/>
    <w:rsid w:val="00F10F4F"/>
    <w:rsid w:val="00F11438"/>
    <w:rsid w:val="00F1169E"/>
    <w:rsid w:val="00F11700"/>
    <w:rsid w:val="00F11CB3"/>
    <w:rsid w:val="00F11DBA"/>
    <w:rsid w:val="00F1225D"/>
    <w:rsid w:val="00F122D3"/>
    <w:rsid w:val="00F124EC"/>
    <w:rsid w:val="00F12571"/>
    <w:rsid w:val="00F125D5"/>
    <w:rsid w:val="00F12675"/>
    <w:rsid w:val="00F126F6"/>
    <w:rsid w:val="00F12826"/>
    <w:rsid w:val="00F1299E"/>
    <w:rsid w:val="00F12AE5"/>
    <w:rsid w:val="00F12C38"/>
    <w:rsid w:val="00F12CE0"/>
    <w:rsid w:val="00F13829"/>
    <w:rsid w:val="00F13FB5"/>
    <w:rsid w:val="00F14072"/>
    <w:rsid w:val="00F1479D"/>
    <w:rsid w:val="00F147A6"/>
    <w:rsid w:val="00F15AD4"/>
    <w:rsid w:val="00F16628"/>
    <w:rsid w:val="00F16A51"/>
    <w:rsid w:val="00F17136"/>
    <w:rsid w:val="00F17FC9"/>
    <w:rsid w:val="00F201FA"/>
    <w:rsid w:val="00F2034B"/>
    <w:rsid w:val="00F2044A"/>
    <w:rsid w:val="00F206BB"/>
    <w:rsid w:val="00F20AF3"/>
    <w:rsid w:val="00F20F14"/>
    <w:rsid w:val="00F21098"/>
    <w:rsid w:val="00F21411"/>
    <w:rsid w:val="00F21D8D"/>
    <w:rsid w:val="00F2281E"/>
    <w:rsid w:val="00F231C5"/>
    <w:rsid w:val="00F23549"/>
    <w:rsid w:val="00F2370D"/>
    <w:rsid w:val="00F24106"/>
    <w:rsid w:val="00F24315"/>
    <w:rsid w:val="00F24344"/>
    <w:rsid w:val="00F24B6E"/>
    <w:rsid w:val="00F24E88"/>
    <w:rsid w:val="00F25686"/>
    <w:rsid w:val="00F257A1"/>
    <w:rsid w:val="00F2658B"/>
    <w:rsid w:val="00F26BDC"/>
    <w:rsid w:val="00F27448"/>
    <w:rsid w:val="00F2765E"/>
    <w:rsid w:val="00F276C8"/>
    <w:rsid w:val="00F30930"/>
    <w:rsid w:val="00F309D5"/>
    <w:rsid w:val="00F30B50"/>
    <w:rsid w:val="00F30D14"/>
    <w:rsid w:val="00F30E0A"/>
    <w:rsid w:val="00F30F0B"/>
    <w:rsid w:val="00F310F1"/>
    <w:rsid w:val="00F314BA"/>
    <w:rsid w:val="00F31CF5"/>
    <w:rsid w:val="00F320A8"/>
    <w:rsid w:val="00F32537"/>
    <w:rsid w:val="00F32813"/>
    <w:rsid w:val="00F32A06"/>
    <w:rsid w:val="00F32BE7"/>
    <w:rsid w:val="00F332C2"/>
    <w:rsid w:val="00F33330"/>
    <w:rsid w:val="00F333FC"/>
    <w:rsid w:val="00F334FA"/>
    <w:rsid w:val="00F336B2"/>
    <w:rsid w:val="00F338EA"/>
    <w:rsid w:val="00F33EBA"/>
    <w:rsid w:val="00F350B2"/>
    <w:rsid w:val="00F35230"/>
    <w:rsid w:val="00F3546B"/>
    <w:rsid w:val="00F3575A"/>
    <w:rsid w:val="00F35BA5"/>
    <w:rsid w:val="00F3604C"/>
    <w:rsid w:val="00F36B79"/>
    <w:rsid w:val="00F36BBE"/>
    <w:rsid w:val="00F37806"/>
    <w:rsid w:val="00F37865"/>
    <w:rsid w:val="00F37C62"/>
    <w:rsid w:val="00F37EBA"/>
    <w:rsid w:val="00F37FEB"/>
    <w:rsid w:val="00F404BD"/>
    <w:rsid w:val="00F409F5"/>
    <w:rsid w:val="00F40AD7"/>
    <w:rsid w:val="00F415B7"/>
    <w:rsid w:val="00F42140"/>
    <w:rsid w:val="00F421C0"/>
    <w:rsid w:val="00F42569"/>
    <w:rsid w:val="00F425A6"/>
    <w:rsid w:val="00F4338A"/>
    <w:rsid w:val="00F43AB7"/>
    <w:rsid w:val="00F444C3"/>
    <w:rsid w:val="00F4464B"/>
    <w:rsid w:val="00F44EED"/>
    <w:rsid w:val="00F45542"/>
    <w:rsid w:val="00F4565A"/>
    <w:rsid w:val="00F4581E"/>
    <w:rsid w:val="00F470E2"/>
    <w:rsid w:val="00F47681"/>
    <w:rsid w:val="00F47BBF"/>
    <w:rsid w:val="00F47E07"/>
    <w:rsid w:val="00F47E80"/>
    <w:rsid w:val="00F51392"/>
    <w:rsid w:val="00F518C5"/>
    <w:rsid w:val="00F519EA"/>
    <w:rsid w:val="00F52435"/>
    <w:rsid w:val="00F53078"/>
    <w:rsid w:val="00F53463"/>
    <w:rsid w:val="00F534CE"/>
    <w:rsid w:val="00F53BB3"/>
    <w:rsid w:val="00F54220"/>
    <w:rsid w:val="00F54336"/>
    <w:rsid w:val="00F5454D"/>
    <w:rsid w:val="00F547B2"/>
    <w:rsid w:val="00F54DE3"/>
    <w:rsid w:val="00F5543A"/>
    <w:rsid w:val="00F5609A"/>
    <w:rsid w:val="00F5611D"/>
    <w:rsid w:val="00F56A4C"/>
    <w:rsid w:val="00F56EE0"/>
    <w:rsid w:val="00F56F9B"/>
    <w:rsid w:val="00F57198"/>
    <w:rsid w:val="00F57C42"/>
    <w:rsid w:val="00F57C9D"/>
    <w:rsid w:val="00F604D7"/>
    <w:rsid w:val="00F6059B"/>
    <w:rsid w:val="00F609B6"/>
    <w:rsid w:val="00F60A8B"/>
    <w:rsid w:val="00F6102B"/>
    <w:rsid w:val="00F61034"/>
    <w:rsid w:val="00F61C09"/>
    <w:rsid w:val="00F62118"/>
    <w:rsid w:val="00F621C4"/>
    <w:rsid w:val="00F62628"/>
    <w:rsid w:val="00F62647"/>
    <w:rsid w:val="00F62655"/>
    <w:rsid w:val="00F62B0B"/>
    <w:rsid w:val="00F62E1D"/>
    <w:rsid w:val="00F632B6"/>
    <w:rsid w:val="00F633CD"/>
    <w:rsid w:val="00F636DB"/>
    <w:rsid w:val="00F63A38"/>
    <w:rsid w:val="00F6472A"/>
    <w:rsid w:val="00F64B79"/>
    <w:rsid w:val="00F64EB1"/>
    <w:rsid w:val="00F652A6"/>
    <w:rsid w:val="00F656DB"/>
    <w:rsid w:val="00F659F8"/>
    <w:rsid w:val="00F66347"/>
    <w:rsid w:val="00F6671B"/>
    <w:rsid w:val="00F66D8A"/>
    <w:rsid w:val="00F66FC8"/>
    <w:rsid w:val="00F671AB"/>
    <w:rsid w:val="00F676C6"/>
    <w:rsid w:val="00F67785"/>
    <w:rsid w:val="00F70CDC"/>
    <w:rsid w:val="00F70D59"/>
    <w:rsid w:val="00F7146D"/>
    <w:rsid w:val="00F71BC2"/>
    <w:rsid w:val="00F7208C"/>
    <w:rsid w:val="00F7344E"/>
    <w:rsid w:val="00F73C5E"/>
    <w:rsid w:val="00F73EC3"/>
    <w:rsid w:val="00F742A5"/>
    <w:rsid w:val="00F74822"/>
    <w:rsid w:val="00F74F84"/>
    <w:rsid w:val="00F754F6"/>
    <w:rsid w:val="00F7617E"/>
    <w:rsid w:val="00F7630E"/>
    <w:rsid w:val="00F765F0"/>
    <w:rsid w:val="00F76DB0"/>
    <w:rsid w:val="00F772A3"/>
    <w:rsid w:val="00F7784E"/>
    <w:rsid w:val="00F77886"/>
    <w:rsid w:val="00F77A3C"/>
    <w:rsid w:val="00F80644"/>
    <w:rsid w:val="00F811E7"/>
    <w:rsid w:val="00F8227B"/>
    <w:rsid w:val="00F822ED"/>
    <w:rsid w:val="00F826A6"/>
    <w:rsid w:val="00F82C30"/>
    <w:rsid w:val="00F837E7"/>
    <w:rsid w:val="00F8404B"/>
    <w:rsid w:val="00F84962"/>
    <w:rsid w:val="00F84D10"/>
    <w:rsid w:val="00F84D48"/>
    <w:rsid w:val="00F84FAC"/>
    <w:rsid w:val="00F853C3"/>
    <w:rsid w:val="00F85A72"/>
    <w:rsid w:val="00F85B7D"/>
    <w:rsid w:val="00F8638E"/>
    <w:rsid w:val="00F863EB"/>
    <w:rsid w:val="00F86555"/>
    <w:rsid w:val="00F86762"/>
    <w:rsid w:val="00F867D2"/>
    <w:rsid w:val="00F86900"/>
    <w:rsid w:val="00F872E9"/>
    <w:rsid w:val="00F8764C"/>
    <w:rsid w:val="00F87A5B"/>
    <w:rsid w:val="00F900ED"/>
    <w:rsid w:val="00F90865"/>
    <w:rsid w:val="00F90D0A"/>
    <w:rsid w:val="00F90FCB"/>
    <w:rsid w:val="00F90FFC"/>
    <w:rsid w:val="00F91633"/>
    <w:rsid w:val="00F91FDC"/>
    <w:rsid w:val="00F92745"/>
    <w:rsid w:val="00F92AAD"/>
    <w:rsid w:val="00F92C53"/>
    <w:rsid w:val="00F938C2"/>
    <w:rsid w:val="00F9393E"/>
    <w:rsid w:val="00F93A19"/>
    <w:rsid w:val="00F93BF2"/>
    <w:rsid w:val="00F93E7E"/>
    <w:rsid w:val="00F94451"/>
    <w:rsid w:val="00F9477D"/>
    <w:rsid w:val="00F9488E"/>
    <w:rsid w:val="00F94EC2"/>
    <w:rsid w:val="00F95009"/>
    <w:rsid w:val="00F95B64"/>
    <w:rsid w:val="00F961EF"/>
    <w:rsid w:val="00F970DD"/>
    <w:rsid w:val="00F970F8"/>
    <w:rsid w:val="00F976F6"/>
    <w:rsid w:val="00F97ADD"/>
    <w:rsid w:val="00FA0340"/>
    <w:rsid w:val="00FA0435"/>
    <w:rsid w:val="00FA0968"/>
    <w:rsid w:val="00FA0C6A"/>
    <w:rsid w:val="00FA0E4A"/>
    <w:rsid w:val="00FA125A"/>
    <w:rsid w:val="00FA1737"/>
    <w:rsid w:val="00FA174C"/>
    <w:rsid w:val="00FA1A67"/>
    <w:rsid w:val="00FA1AE8"/>
    <w:rsid w:val="00FA1ECD"/>
    <w:rsid w:val="00FA2397"/>
    <w:rsid w:val="00FA25FD"/>
    <w:rsid w:val="00FA28F3"/>
    <w:rsid w:val="00FA2D68"/>
    <w:rsid w:val="00FA33A6"/>
    <w:rsid w:val="00FA35CC"/>
    <w:rsid w:val="00FA38EF"/>
    <w:rsid w:val="00FA3A21"/>
    <w:rsid w:val="00FA3A64"/>
    <w:rsid w:val="00FA4031"/>
    <w:rsid w:val="00FA4904"/>
    <w:rsid w:val="00FA4B28"/>
    <w:rsid w:val="00FA4B7F"/>
    <w:rsid w:val="00FA6FD8"/>
    <w:rsid w:val="00FA72B5"/>
    <w:rsid w:val="00FA7626"/>
    <w:rsid w:val="00FA7738"/>
    <w:rsid w:val="00FA7945"/>
    <w:rsid w:val="00FB073E"/>
    <w:rsid w:val="00FB0CED"/>
    <w:rsid w:val="00FB10B7"/>
    <w:rsid w:val="00FB12A0"/>
    <w:rsid w:val="00FB174C"/>
    <w:rsid w:val="00FB1BD3"/>
    <w:rsid w:val="00FB1E1E"/>
    <w:rsid w:val="00FB21DB"/>
    <w:rsid w:val="00FB3001"/>
    <w:rsid w:val="00FB3027"/>
    <w:rsid w:val="00FB345F"/>
    <w:rsid w:val="00FB3F14"/>
    <w:rsid w:val="00FB4292"/>
    <w:rsid w:val="00FB4689"/>
    <w:rsid w:val="00FB4918"/>
    <w:rsid w:val="00FB4BA6"/>
    <w:rsid w:val="00FB56B6"/>
    <w:rsid w:val="00FB59F6"/>
    <w:rsid w:val="00FB5B88"/>
    <w:rsid w:val="00FB7030"/>
    <w:rsid w:val="00FC017D"/>
    <w:rsid w:val="00FC0826"/>
    <w:rsid w:val="00FC088D"/>
    <w:rsid w:val="00FC0C9A"/>
    <w:rsid w:val="00FC1C16"/>
    <w:rsid w:val="00FC205B"/>
    <w:rsid w:val="00FC2279"/>
    <w:rsid w:val="00FC2DDA"/>
    <w:rsid w:val="00FC323D"/>
    <w:rsid w:val="00FC3396"/>
    <w:rsid w:val="00FC3508"/>
    <w:rsid w:val="00FC373E"/>
    <w:rsid w:val="00FC4F8D"/>
    <w:rsid w:val="00FC5CEB"/>
    <w:rsid w:val="00FC5D7D"/>
    <w:rsid w:val="00FC5DC3"/>
    <w:rsid w:val="00FC5ED6"/>
    <w:rsid w:val="00FC615B"/>
    <w:rsid w:val="00FC6309"/>
    <w:rsid w:val="00FC6A1D"/>
    <w:rsid w:val="00FC7576"/>
    <w:rsid w:val="00FC7622"/>
    <w:rsid w:val="00FC7BB6"/>
    <w:rsid w:val="00FC7E61"/>
    <w:rsid w:val="00FD026C"/>
    <w:rsid w:val="00FD02B8"/>
    <w:rsid w:val="00FD0355"/>
    <w:rsid w:val="00FD10A0"/>
    <w:rsid w:val="00FD1E44"/>
    <w:rsid w:val="00FD2737"/>
    <w:rsid w:val="00FD2AD8"/>
    <w:rsid w:val="00FD3291"/>
    <w:rsid w:val="00FD3402"/>
    <w:rsid w:val="00FD40AF"/>
    <w:rsid w:val="00FD4345"/>
    <w:rsid w:val="00FD4374"/>
    <w:rsid w:val="00FD45C5"/>
    <w:rsid w:val="00FD47A0"/>
    <w:rsid w:val="00FD49A0"/>
    <w:rsid w:val="00FD4E6C"/>
    <w:rsid w:val="00FD4F8C"/>
    <w:rsid w:val="00FD524F"/>
    <w:rsid w:val="00FD530D"/>
    <w:rsid w:val="00FD56CB"/>
    <w:rsid w:val="00FD63A6"/>
    <w:rsid w:val="00FD6A62"/>
    <w:rsid w:val="00FD72F0"/>
    <w:rsid w:val="00FD7CC1"/>
    <w:rsid w:val="00FE06A4"/>
    <w:rsid w:val="00FE0EBB"/>
    <w:rsid w:val="00FE1D21"/>
    <w:rsid w:val="00FE24D5"/>
    <w:rsid w:val="00FE2730"/>
    <w:rsid w:val="00FE2D37"/>
    <w:rsid w:val="00FE31FF"/>
    <w:rsid w:val="00FE4042"/>
    <w:rsid w:val="00FE4838"/>
    <w:rsid w:val="00FE4DEE"/>
    <w:rsid w:val="00FE58F3"/>
    <w:rsid w:val="00FE594B"/>
    <w:rsid w:val="00FE5BAA"/>
    <w:rsid w:val="00FE5C70"/>
    <w:rsid w:val="00FE612E"/>
    <w:rsid w:val="00FE68B0"/>
    <w:rsid w:val="00FE7693"/>
    <w:rsid w:val="00FE77CA"/>
    <w:rsid w:val="00FE7902"/>
    <w:rsid w:val="00FF071F"/>
    <w:rsid w:val="00FF09E8"/>
    <w:rsid w:val="00FF09F5"/>
    <w:rsid w:val="00FF0B09"/>
    <w:rsid w:val="00FF0EB6"/>
    <w:rsid w:val="00FF1AD6"/>
    <w:rsid w:val="00FF1D59"/>
    <w:rsid w:val="00FF1E3C"/>
    <w:rsid w:val="00FF20DB"/>
    <w:rsid w:val="00FF2B3F"/>
    <w:rsid w:val="00FF343C"/>
    <w:rsid w:val="00FF4CD0"/>
    <w:rsid w:val="00FF4F3C"/>
    <w:rsid w:val="00FF50A0"/>
    <w:rsid w:val="00FF5437"/>
    <w:rsid w:val="00FF551B"/>
    <w:rsid w:val="00FF56E8"/>
    <w:rsid w:val="00FF5AA3"/>
    <w:rsid w:val="00FF5F45"/>
    <w:rsid w:val="00FF6164"/>
    <w:rsid w:val="00FF61F3"/>
    <w:rsid w:val="00FF663B"/>
    <w:rsid w:val="00FF6A15"/>
    <w:rsid w:val="00FF6B42"/>
    <w:rsid w:val="00FF6EB3"/>
    <w:rsid w:val="00FF74D3"/>
    <w:rsid w:val="00FF7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060,#00755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qFormat="1"/>
    <w:lsdException w:name="List Number" w:uiPriority="0"/>
    <w:lsdException w:name="List Bullet 2" w:qFormat="1"/>
    <w:lsdException w:name="List Bullet 3"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E3"/>
    <w:rPr>
      <w:lang w:eastAsia="bg-BG"/>
    </w:rPr>
  </w:style>
  <w:style w:type="paragraph" w:styleId="Heading1">
    <w:name w:val="heading 1"/>
    <w:basedOn w:val="Normal"/>
    <w:next w:val="Normal"/>
    <w:link w:val="Heading1Char"/>
    <w:qFormat/>
    <w:rsid w:val="004134A3"/>
    <w:pPr>
      <w:widowControl w:val="0"/>
      <w:suppressAutoHyphens/>
      <w:autoSpaceDE w:val="0"/>
      <w:autoSpaceDN w:val="0"/>
      <w:adjustRightInd w:val="0"/>
      <w:spacing w:before="180" w:after="720" w:line="560" w:lineRule="atLeast"/>
      <w:textAlignment w:val="center"/>
      <w:outlineLvl w:val="0"/>
    </w:pPr>
    <w:rPr>
      <w:rFonts w:ascii="Arial" w:hAnsi="Arial"/>
      <w:color w:val="00755E"/>
      <w:spacing w:val="-5"/>
      <w:w w:val="90"/>
      <w:sz w:val="52"/>
      <w:lang w:val="en-GB" w:eastAsia="en-AU"/>
    </w:rPr>
  </w:style>
  <w:style w:type="paragraph" w:styleId="Heading2">
    <w:name w:val="heading 2"/>
    <w:basedOn w:val="Normal"/>
    <w:next w:val="Normal"/>
    <w:link w:val="Heading2Char"/>
    <w:unhideWhenUsed/>
    <w:qFormat/>
    <w:rsid w:val="008D287F"/>
    <w:pPr>
      <w:spacing w:before="180" w:after="120"/>
      <w:outlineLvl w:val="1"/>
    </w:pPr>
    <w:rPr>
      <w:rFonts w:ascii="Arial" w:hAnsi="Arial"/>
      <w:color w:val="00755E"/>
      <w:sz w:val="28"/>
      <w:szCs w:val="28"/>
    </w:rPr>
  </w:style>
  <w:style w:type="paragraph" w:styleId="Heading3">
    <w:name w:val="heading 3"/>
    <w:basedOn w:val="Normal"/>
    <w:next w:val="Normal"/>
    <w:link w:val="Heading3Char3"/>
    <w:qFormat/>
    <w:rsid w:val="00C934B2"/>
    <w:pPr>
      <w:keepNext/>
      <w:spacing w:before="180" w:after="120"/>
      <w:outlineLvl w:val="2"/>
    </w:pPr>
    <w:rPr>
      <w:rFonts w:ascii="Arial" w:hAnsi="Arial"/>
      <w:bCs/>
      <w:color w:val="00755E"/>
      <w:sz w:val="24"/>
      <w:szCs w:val="26"/>
    </w:rPr>
  </w:style>
  <w:style w:type="paragraph" w:styleId="Heading4">
    <w:name w:val="heading 4"/>
    <w:basedOn w:val="Normal"/>
    <w:next w:val="Normal"/>
    <w:link w:val="Heading4Char1"/>
    <w:uiPriority w:val="9"/>
    <w:unhideWhenUsed/>
    <w:qFormat/>
    <w:rsid w:val="003F5327"/>
    <w:pPr>
      <w:keepNext/>
      <w:spacing w:before="180" w:after="120"/>
      <w:outlineLvl w:val="3"/>
    </w:pPr>
    <w:rPr>
      <w:rFonts w:ascii="Calibri" w:hAnsi="Calibri"/>
      <w:b/>
      <w:bCs/>
      <w:sz w:val="24"/>
      <w:szCs w:val="28"/>
      <w:lang w:val="bg-BG"/>
    </w:rPr>
  </w:style>
  <w:style w:type="paragraph" w:styleId="Heading5">
    <w:name w:val="heading 5"/>
    <w:basedOn w:val="Normal"/>
    <w:next w:val="Normal"/>
    <w:link w:val="Heading5Char"/>
    <w:uiPriority w:val="9"/>
    <w:unhideWhenUsed/>
    <w:qFormat/>
    <w:rsid w:val="00303D92"/>
    <w:pPr>
      <w:outlineLvl w:val="4"/>
    </w:pPr>
    <w:rPr>
      <w:rFonts w:asciiTheme="minorHAnsi" w:eastAsiaTheme="majorEastAsia" w:hAnsiTheme="minorHAnsi" w:cstheme="majorBidi"/>
      <w:b/>
      <w:color w:val="595959" w:themeColor="text1" w:themeTint="A6"/>
      <w:sz w:val="24"/>
      <w:szCs w:val="24"/>
      <w:lang w:eastAsia="en-AU"/>
    </w:rPr>
  </w:style>
  <w:style w:type="paragraph" w:styleId="Heading6">
    <w:name w:val="heading 6"/>
    <w:basedOn w:val="Normal"/>
    <w:next w:val="Normal"/>
    <w:link w:val="Heading6Char"/>
    <w:uiPriority w:val="9"/>
    <w:unhideWhenUsed/>
    <w:rsid w:val="007907A9"/>
    <w:pPr>
      <w:spacing w:line="271" w:lineRule="auto"/>
      <w:outlineLvl w:val="5"/>
    </w:pPr>
    <w:rPr>
      <w:rFonts w:eastAsiaTheme="majorEastAsia" w:cstheme="majorBidi"/>
      <w:b/>
      <w:bCs/>
      <w:i/>
      <w:iCs/>
      <w:color w:val="7F7F7F" w:themeColor="text1" w:themeTint="80"/>
      <w:sz w:val="24"/>
      <w:szCs w:val="24"/>
      <w:lang w:eastAsia="en-AU"/>
    </w:rPr>
  </w:style>
  <w:style w:type="paragraph" w:styleId="Heading7">
    <w:name w:val="heading 7"/>
    <w:basedOn w:val="Normal"/>
    <w:next w:val="Normal"/>
    <w:link w:val="Heading7Char"/>
    <w:uiPriority w:val="9"/>
    <w:unhideWhenUsed/>
    <w:qFormat/>
    <w:rsid w:val="00EA7C35"/>
    <w:pPr>
      <w:keepNext/>
      <w:outlineLvl w:val="6"/>
    </w:pPr>
    <w:rPr>
      <w:rFonts w:ascii="Calibri" w:hAnsi="Calibri" w:cs="Calibri"/>
      <w:i/>
      <w:sz w:val="24"/>
      <w:szCs w:val="24"/>
    </w:rPr>
  </w:style>
  <w:style w:type="paragraph" w:styleId="Heading8">
    <w:name w:val="heading 8"/>
    <w:basedOn w:val="Normal"/>
    <w:next w:val="Normal"/>
    <w:link w:val="Heading8Char"/>
    <w:uiPriority w:val="9"/>
    <w:unhideWhenUsed/>
    <w:qFormat/>
    <w:rsid w:val="007907A9"/>
    <w:pPr>
      <w:outlineLvl w:val="7"/>
    </w:pPr>
    <w:rPr>
      <w:rFonts w:eastAsiaTheme="majorEastAsia" w:cstheme="majorBidi"/>
      <w:lang w:eastAsia="en-AU"/>
    </w:rPr>
  </w:style>
  <w:style w:type="paragraph" w:styleId="Heading9">
    <w:name w:val="heading 9"/>
    <w:basedOn w:val="Normal"/>
    <w:next w:val="Normal"/>
    <w:link w:val="Heading9Char"/>
    <w:uiPriority w:val="9"/>
    <w:unhideWhenUsed/>
    <w:qFormat/>
    <w:rsid w:val="00C3315D"/>
    <w:pPr>
      <w:outlineLvl w:val="8"/>
    </w:pPr>
    <w:rPr>
      <w:rFonts w:ascii="Calibri" w:eastAsiaTheme="majorEastAsia" w:hAnsi="Calibri" w:cstheme="majorBidi"/>
      <w:b/>
      <w:iCs/>
      <w:color w:val="7F7F7F" w:themeColor="text1" w:themeTint="80"/>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6997"/>
    <w:pPr>
      <w:tabs>
        <w:tab w:val="center" w:pos="4153"/>
        <w:tab w:val="right" w:pos="8306"/>
      </w:tabs>
    </w:pPr>
  </w:style>
  <w:style w:type="paragraph" w:styleId="Footer">
    <w:name w:val="footer"/>
    <w:basedOn w:val="Normal"/>
    <w:link w:val="FooterChar"/>
    <w:uiPriority w:val="99"/>
    <w:rsid w:val="00B96997"/>
    <w:pPr>
      <w:tabs>
        <w:tab w:val="center" w:pos="4153"/>
        <w:tab w:val="right" w:pos="8306"/>
      </w:tabs>
    </w:pPr>
    <w:rPr>
      <w:lang w:val="bg-BG"/>
    </w:rPr>
  </w:style>
  <w:style w:type="paragraph" w:styleId="DocumentMap">
    <w:name w:val="Document Map"/>
    <w:basedOn w:val="Normal"/>
    <w:semiHidden/>
    <w:rsid w:val="003D727F"/>
    <w:pPr>
      <w:shd w:val="clear" w:color="auto" w:fill="000080"/>
    </w:pPr>
    <w:rPr>
      <w:rFonts w:ascii="Tahoma" w:hAnsi="Tahoma" w:cs="Tahoma"/>
    </w:rPr>
  </w:style>
  <w:style w:type="paragraph" w:styleId="BodyTextIndent2">
    <w:name w:val="Body Text Indent 2"/>
    <w:basedOn w:val="Normal"/>
    <w:link w:val="BodyTextIndent2Char"/>
    <w:rsid w:val="005872BD"/>
    <w:pPr>
      <w:spacing w:after="120" w:line="480" w:lineRule="auto"/>
      <w:ind w:left="283"/>
    </w:pPr>
    <w:rPr>
      <w:lang w:val="en-US" w:eastAsia="en-US"/>
    </w:rPr>
  </w:style>
  <w:style w:type="character" w:customStyle="1" w:styleId="BodyTextIndent2Char">
    <w:name w:val="Body Text Indent 2 Char"/>
    <w:link w:val="BodyTextIndent2"/>
    <w:locked/>
    <w:rsid w:val="005872BD"/>
    <w:rPr>
      <w:lang w:val="en-US" w:eastAsia="en-US" w:bidi="ar-SA"/>
    </w:rPr>
  </w:style>
  <w:style w:type="character" w:customStyle="1" w:styleId="Heading3Char">
    <w:name w:val="Heading 3 Char"/>
    <w:uiPriority w:val="9"/>
    <w:rsid w:val="00533A4A"/>
    <w:rPr>
      <w:rFonts w:ascii="Arial" w:hAnsi="Arial" w:cs="Arial"/>
      <w:b/>
      <w:bCs/>
      <w:sz w:val="24"/>
      <w:szCs w:val="26"/>
    </w:rPr>
  </w:style>
  <w:style w:type="table" w:styleId="TableGrid">
    <w:name w:val="Table Grid"/>
    <w:basedOn w:val="TableNormal"/>
    <w:rsid w:val="00996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1">
    <w:name w:val="Main Text 1"/>
    <w:basedOn w:val="Normal"/>
    <w:rsid w:val="00F87A5B"/>
    <w:pPr>
      <w:spacing w:after="120" w:line="360" w:lineRule="auto"/>
      <w:ind w:left="737"/>
      <w:jc w:val="both"/>
    </w:pPr>
    <w:rPr>
      <w:rFonts w:ascii="Arial" w:hAnsi="Arial"/>
      <w:bCs/>
      <w:lang w:eastAsia="en-US"/>
    </w:rPr>
  </w:style>
  <w:style w:type="character" w:styleId="PageNumber">
    <w:name w:val="page number"/>
    <w:basedOn w:val="DefaultParagraphFont"/>
    <w:rsid w:val="00AE5D6E"/>
  </w:style>
  <w:style w:type="paragraph" w:styleId="BalloonText">
    <w:name w:val="Balloon Text"/>
    <w:basedOn w:val="Normal"/>
    <w:link w:val="BalloonTextChar"/>
    <w:uiPriority w:val="99"/>
    <w:semiHidden/>
    <w:unhideWhenUsed/>
    <w:rsid w:val="00EF5AC2"/>
    <w:rPr>
      <w:rFonts w:ascii="Tahoma" w:hAnsi="Tahoma"/>
      <w:sz w:val="16"/>
      <w:szCs w:val="16"/>
      <w:lang w:val="bg-BG"/>
    </w:rPr>
  </w:style>
  <w:style w:type="character" w:customStyle="1" w:styleId="BalloonTextChar">
    <w:name w:val="Balloon Text Char"/>
    <w:link w:val="BalloonText"/>
    <w:uiPriority w:val="99"/>
    <w:semiHidden/>
    <w:rsid w:val="00EF5AC2"/>
    <w:rPr>
      <w:rFonts w:ascii="Tahoma" w:hAnsi="Tahoma" w:cs="Tahoma"/>
      <w:sz w:val="16"/>
      <w:szCs w:val="16"/>
      <w:lang w:val="bg-BG" w:eastAsia="bg-BG"/>
    </w:rPr>
  </w:style>
  <w:style w:type="character" w:styleId="CommentReference">
    <w:name w:val="annotation reference"/>
    <w:uiPriority w:val="99"/>
    <w:unhideWhenUsed/>
    <w:rsid w:val="00080902"/>
    <w:rPr>
      <w:sz w:val="16"/>
      <w:szCs w:val="16"/>
    </w:rPr>
  </w:style>
  <w:style w:type="paragraph" w:styleId="CommentText">
    <w:name w:val="annotation text"/>
    <w:basedOn w:val="Normal"/>
    <w:link w:val="CommentTextChar"/>
    <w:uiPriority w:val="99"/>
    <w:unhideWhenUsed/>
    <w:rsid w:val="00080902"/>
    <w:rPr>
      <w:lang w:val="bg-BG"/>
    </w:rPr>
  </w:style>
  <w:style w:type="character" w:customStyle="1" w:styleId="CommentTextChar">
    <w:name w:val="Comment Text Char"/>
    <w:link w:val="CommentText"/>
    <w:uiPriority w:val="99"/>
    <w:rsid w:val="00080902"/>
    <w:rPr>
      <w:lang w:val="bg-BG" w:eastAsia="bg-BG"/>
    </w:rPr>
  </w:style>
  <w:style w:type="paragraph" w:styleId="CommentSubject">
    <w:name w:val="annotation subject"/>
    <w:basedOn w:val="CommentText"/>
    <w:next w:val="CommentText"/>
    <w:link w:val="CommentSubjectChar"/>
    <w:uiPriority w:val="99"/>
    <w:unhideWhenUsed/>
    <w:rsid w:val="00080902"/>
    <w:rPr>
      <w:b/>
      <w:bCs/>
    </w:rPr>
  </w:style>
  <w:style w:type="character" w:customStyle="1" w:styleId="CommentSubjectChar">
    <w:name w:val="Comment Subject Char"/>
    <w:link w:val="CommentSubject"/>
    <w:uiPriority w:val="99"/>
    <w:rsid w:val="00080902"/>
    <w:rPr>
      <w:b/>
      <w:bCs/>
      <w:lang w:val="bg-BG" w:eastAsia="bg-BG"/>
    </w:rPr>
  </w:style>
  <w:style w:type="character" w:customStyle="1" w:styleId="Heading2Char">
    <w:name w:val="Heading 2 Char"/>
    <w:link w:val="Heading2"/>
    <w:rsid w:val="008D287F"/>
    <w:rPr>
      <w:rFonts w:ascii="Arial" w:hAnsi="Arial"/>
      <w:color w:val="00755E"/>
      <w:sz w:val="28"/>
      <w:szCs w:val="28"/>
      <w:lang w:eastAsia="bg-BG"/>
    </w:rPr>
  </w:style>
  <w:style w:type="character" w:customStyle="1" w:styleId="Heading4Char">
    <w:name w:val="Heading 4 Char"/>
    <w:uiPriority w:val="9"/>
    <w:rsid w:val="003A4F04"/>
    <w:rPr>
      <w:rFonts w:ascii="Calibri" w:hAnsi="Calibri" w:cs="Calibri"/>
      <w:b/>
      <w:bCs/>
      <w:i/>
      <w:sz w:val="24"/>
      <w:szCs w:val="24"/>
    </w:rPr>
  </w:style>
  <w:style w:type="paragraph" w:customStyle="1" w:styleId="Pa6">
    <w:name w:val="Pa6"/>
    <w:basedOn w:val="Normal"/>
    <w:next w:val="Normal"/>
    <w:uiPriority w:val="99"/>
    <w:rsid w:val="00602019"/>
    <w:pPr>
      <w:autoSpaceDE w:val="0"/>
      <w:autoSpaceDN w:val="0"/>
      <w:adjustRightInd w:val="0"/>
      <w:spacing w:line="521" w:lineRule="atLeast"/>
    </w:pPr>
    <w:rPr>
      <w:rFonts w:ascii="Filosofia Regular" w:hAnsi="Filosofia Regular"/>
      <w:sz w:val="24"/>
      <w:szCs w:val="24"/>
      <w:lang w:eastAsia="en-AU"/>
    </w:rPr>
  </w:style>
  <w:style w:type="paragraph" w:customStyle="1" w:styleId="Pa11">
    <w:name w:val="Pa11"/>
    <w:basedOn w:val="Normal"/>
    <w:next w:val="Normal"/>
    <w:uiPriority w:val="99"/>
    <w:rsid w:val="00602019"/>
    <w:pPr>
      <w:autoSpaceDE w:val="0"/>
      <w:autoSpaceDN w:val="0"/>
      <w:adjustRightInd w:val="0"/>
      <w:spacing w:line="271" w:lineRule="atLeast"/>
    </w:pPr>
    <w:rPr>
      <w:rFonts w:ascii="Filosofia Regular" w:hAnsi="Filosofia Regular"/>
      <w:sz w:val="24"/>
      <w:szCs w:val="24"/>
      <w:lang w:eastAsia="en-AU"/>
    </w:rPr>
  </w:style>
  <w:style w:type="paragraph" w:customStyle="1" w:styleId="Pa3">
    <w:name w:val="Pa3"/>
    <w:basedOn w:val="Normal"/>
    <w:next w:val="Normal"/>
    <w:uiPriority w:val="99"/>
    <w:rsid w:val="00602019"/>
    <w:pPr>
      <w:autoSpaceDE w:val="0"/>
      <w:autoSpaceDN w:val="0"/>
      <w:adjustRightInd w:val="0"/>
      <w:spacing w:line="181" w:lineRule="atLeast"/>
    </w:pPr>
    <w:rPr>
      <w:rFonts w:ascii="Filosofia Regular" w:hAnsi="Filosofia Regular"/>
      <w:sz w:val="24"/>
      <w:szCs w:val="24"/>
      <w:lang w:eastAsia="en-AU"/>
    </w:rPr>
  </w:style>
  <w:style w:type="paragraph" w:customStyle="1" w:styleId="Pa18">
    <w:name w:val="Pa18"/>
    <w:basedOn w:val="Normal"/>
    <w:next w:val="Normal"/>
    <w:uiPriority w:val="99"/>
    <w:rsid w:val="00602019"/>
    <w:pPr>
      <w:autoSpaceDE w:val="0"/>
      <w:autoSpaceDN w:val="0"/>
      <w:adjustRightInd w:val="0"/>
      <w:spacing w:line="201" w:lineRule="atLeast"/>
    </w:pPr>
    <w:rPr>
      <w:rFonts w:ascii="The Sans" w:hAnsi="The Sans"/>
      <w:sz w:val="24"/>
      <w:szCs w:val="24"/>
      <w:lang w:eastAsia="en-AU"/>
    </w:rPr>
  </w:style>
  <w:style w:type="paragraph" w:customStyle="1" w:styleId="Pa39">
    <w:name w:val="Pa39"/>
    <w:basedOn w:val="Normal"/>
    <w:next w:val="Normal"/>
    <w:uiPriority w:val="99"/>
    <w:rsid w:val="00A23B7F"/>
    <w:pPr>
      <w:autoSpaceDE w:val="0"/>
      <w:autoSpaceDN w:val="0"/>
      <w:adjustRightInd w:val="0"/>
      <w:spacing w:line="181" w:lineRule="atLeast"/>
    </w:pPr>
    <w:rPr>
      <w:rFonts w:ascii="Filosofia Regular" w:hAnsi="Filosofia Regular"/>
      <w:sz w:val="24"/>
      <w:szCs w:val="24"/>
      <w:lang w:eastAsia="en-AU"/>
    </w:rPr>
  </w:style>
  <w:style w:type="paragraph" w:styleId="Caption">
    <w:name w:val="caption"/>
    <w:basedOn w:val="Normal"/>
    <w:next w:val="Normal"/>
    <w:uiPriority w:val="35"/>
    <w:unhideWhenUsed/>
    <w:rsid w:val="00C73089"/>
    <w:pPr>
      <w:keepNext/>
      <w:spacing w:after="200" w:line="276" w:lineRule="auto"/>
    </w:pPr>
    <w:rPr>
      <w:rFonts w:ascii="Arial Bold" w:eastAsia="Calibri" w:hAnsi="Arial Bold"/>
      <w:b/>
      <w:bCs/>
      <w:sz w:val="18"/>
      <w:szCs w:val="18"/>
      <w:lang w:eastAsia="en-US"/>
    </w:rPr>
  </w:style>
  <w:style w:type="paragraph" w:styleId="TOC1">
    <w:name w:val="toc 1"/>
    <w:basedOn w:val="Normal"/>
    <w:next w:val="Normal"/>
    <w:autoRedefine/>
    <w:uiPriority w:val="39"/>
    <w:unhideWhenUsed/>
    <w:qFormat/>
    <w:rsid w:val="00AE4828"/>
    <w:pPr>
      <w:spacing w:before="240" w:after="120"/>
    </w:pPr>
    <w:rPr>
      <w:rFonts w:asciiTheme="minorHAnsi" w:hAnsiTheme="minorHAnsi"/>
      <w:bCs/>
    </w:rPr>
  </w:style>
  <w:style w:type="character" w:styleId="Hyperlink">
    <w:name w:val="Hyperlink"/>
    <w:uiPriority w:val="99"/>
    <w:unhideWhenUsed/>
    <w:rsid w:val="00C63322"/>
    <w:rPr>
      <w:color w:val="0000FF"/>
      <w:u w:val="single"/>
    </w:rPr>
  </w:style>
  <w:style w:type="paragraph" w:styleId="ListParagraph">
    <w:name w:val="List Paragraph"/>
    <w:basedOn w:val="Normal"/>
    <w:link w:val="ListParagraphChar"/>
    <w:uiPriority w:val="34"/>
    <w:qFormat/>
    <w:rsid w:val="00F32537"/>
    <w:pPr>
      <w:spacing w:after="200" w:line="276" w:lineRule="auto"/>
      <w:ind w:left="720"/>
      <w:contextualSpacing/>
    </w:pPr>
    <w:rPr>
      <w:rFonts w:ascii="Arial" w:eastAsia="Calibri" w:hAnsi="Arial"/>
      <w:sz w:val="22"/>
      <w:szCs w:val="22"/>
      <w:lang w:eastAsia="en-US"/>
    </w:rPr>
  </w:style>
  <w:style w:type="table" w:styleId="LightList-Accent3">
    <w:name w:val="Light List Accent 3"/>
    <w:basedOn w:val="TableNormal"/>
    <w:uiPriority w:val="61"/>
    <w:rsid w:val="00B22AF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HSbody">
    <w:name w:val="DHS body"/>
    <w:link w:val="DHSbodyChar"/>
    <w:rsid w:val="00F031B3"/>
    <w:pPr>
      <w:spacing w:after="120" w:line="270" w:lineRule="exact"/>
    </w:pPr>
    <w:rPr>
      <w:rFonts w:ascii="Arial" w:eastAsia="Times" w:hAnsi="Arial"/>
      <w:lang w:eastAsia="en-US"/>
    </w:rPr>
  </w:style>
  <w:style w:type="character" w:customStyle="1" w:styleId="DHSbodyChar">
    <w:name w:val="DHS body Char"/>
    <w:link w:val="DHSbody"/>
    <w:rsid w:val="00F031B3"/>
    <w:rPr>
      <w:rFonts w:ascii="Arial" w:eastAsia="Times" w:hAnsi="Arial"/>
      <w:lang w:eastAsia="en-US" w:bidi="ar-SA"/>
    </w:rPr>
  </w:style>
  <w:style w:type="paragraph" w:styleId="NormalWeb">
    <w:name w:val="Normal (Web)"/>
    <w:basedOn w:val="Normal"/>
    <w:uiPriority w:val="99"/>
    <w:rsid w:val="006D3A94"/>
    <w:pPr>
      <w:spacing w:before="100" w:beforeAutospacing="1" w:after="100" w:afterAutospacing="1"/>
    </w:pPr>
    <w:rPr>
      <w:sz w:val="24"/>
      <w:szCs w:val="24"/>
      <w:lang w:eastAsia="en-AU"/>
    </w:rPr>
  </w:style>
  <w:style w:type="character" w:styleId="Emphasis">
    <w:name w:val="Emphasis"/>
    <w:uiPriority w:val="20"/>
    <w:qFormat/>
    <w:rsid w:val="006D3A94"/>
    <w:rPr>
      <w:i/>
      <w:iCs/>
    </w:rPr>
  </w:style>
  <w:style w:type="paragraph" w:customStyle="1" w:styleId="doe-styleselement-p">
    <w:name w:val="doe-styleselement-p"/>
    <w:basedOn w:val="Normal"/>
    <w:uiPriority w:val="99"/>
    <w:semiHidden/>
    <w:rsid w:val="004A1BC0"/>
    <w:pPr>
      <w:spacing w:after="150"/>
    </w:pPr>
    <w:rPr>
      <w:rFonts w:ascii="Verdana" w:eastAsia="Calibri" w:hAnsi="Verdana"/>
      <w:color w:val="576170"/>
      <w:sz w:val="24"/>
      <w:szCs w:val="24"/>
      <w:lang w:eastAsia="en-AU"/>
    </w:rPr>
  </w:style>
  <w:style w:type="character" w:customStyle="1" w:styleId="TableFigTextChar">
    <w:name w:val="Table/Fig: Text Char"/>
    <w:link w:val="TableFigText"/>
    <w:uiPriority w:val="6"/>
    <w:locked/>
    <w:rsid w:val="00EB17A9"/>
    <w:rPr>
      <w:rFonts w:ascii="Arial" w:hAnsi="Arial" w:cs="Arial"/>
      <w:color w:val="000000"/>
      <w:sz w:val="16"/>
      <w:lang w:eastAsia="en-US"/>
    </w:rPr>
  </w:style>
  <w:style w:type="paragraph" w:customStyle="1" w:styleId="TableFigText">
    <w:name w:val="Table/Fig: Text"/>
    <w:basedOn w:val="Normal"/>
    <w:link w:val="TableFigTextChar"/>
    <w:uiPriority w:val="6"/>
    <w:rsid w:val="00EB17A9"/>
    <w:pPr>
      <w:keepLines/>
      <w:tabs>
        <w:tab w:val="left" w:pos="198"/>
      </w:tabs>
      <w:spacing w:before="60" w:after="60" w:line="200" w:lineRule="atLeast"/>
    </w:pPr>
    <w:rPr>
      <w:rFonts w:ascii="Arial" w:hAnsi="Arial"/>
      <w:color w:val="000000"/>
      <w:sz w:val="16"/>
      <w:lang w:eastAsia="en-US"/>
    </w:rPr>
  </w:style>
  <w:style w:type="character" w:customStyle="1" w:styleId="TableCaptionChar">
    <w:name w:val="Table: Caption Char"/>
    <w:link w:val="TableCaption"/>
    <w:locked/>
    <w:rsid w:val="00EB17A9"/>
    <w:rPr>
      <w:rFonts w:ascii="Book Antiqua" w:hAnsi="Book Antiqua"/>
      <w:b/>
      <w:color w:val="000000"/>
      <w:lang w:eastAsia="en-US"/>
    </w:rPr>
  </w:style>
  <w:style w:type="paragraph" w:customStyle="1" w:styleId="TableCaption">
    <w:name w:val="Table: Caption"/>
    <w:basedOn w:val="Normal"/>
    <w:next w:val="TableFigText"/>
    <w:link w:val="TableCaptionChar"/>
    <w:rsid w:val="00EB17A9"/>
    <w:pPr>
      <w:keepNext/>
      <w:keepLines/>
      <w:spacing w:before="240" w:after="120" w:line="240" w:lineRule="atLeast"/>
    </w:pPr>
    <w:rPr>
      <w:rFonts w:ascii="Book Antiqua" w:hAnsi="Book Antiqua"/>
      <w:b/>
      <w:color w:val="000000"/>
      <w:lang w:eastAsia="en-US"/>
    </w:rPr>
  </w:style>
  <w:style w:type="character" w:customStyle="1" w:styleId="TableFigHeadingtotalChar">
    <w:name w:val="Table/Fig: Heading &amp; total Char"/>
    <w:link w:val="TableFigHeadingtotal"/>
    <w:locked/>
    <w:rsid w:val="00EB17A9"/>
    <w:rPr>
      <w:rFonts w:ascii="Arial" w:hAnsi="Arial" w:cs="Arial"/>
      <w:b/>
      <w:color w:val="000000"/>
      <w:sz w:val="16"/>
      <w:lang w:eastAsia="en-US"/>
    </w:rPr>
  </w:style>
  <w:style w:type="paragraph" w:customStyle="1" w:styleId="TableFigHeadingtotal">
    <w:name w:val="Table/Fig: Heading &amp; total"/>
    <w:basedOn w:val="TableFigText"/>
    <w:next w:val="TableFigText"/>
    <w:link w:val="TableFigHeadingtotalChar"/>
    <w:rsid w:val="00EB17A9"/>
    <w:rPr>
      <w:b/>
    </w:rPr>
  </w:style>
  <w:style w:type="character" w:styleId="Strong">
    <w:name w:val="Strong"/>
    <w:uiPriority w:val="22"/>
    <w:qFormat/>
    <w:rsid w:val="00C253AA"/>
    <w:rPr>
      <w:b/>
      <w:bCs/>
    </w:rPr>
  </w:style>
  <w:style w:type="character" w:customStyle="1" w:styleId="FooterChar">
    <w:name w:val="Footer Char"/>
    <w:link w:val="Footer"/>
    <w:uiPriority w:val="99"/>
    <w:rsid w:val="00D326FC"/>
    <w:rPr>
      <w:lang w:val="bg-BG" w:eastAsia="bg-BG"/>
    </w:rPr>
  </w:style>
  <w:style w:type="character" w:styleId="BookTitle">
    <w:name w:val="Book Title"/>
    <w:uiPriority w:val="33"/>
    <w:qFormat/>
    <w:rsid w:val="006D2D2A"/>
    <w:rPr>
      <w:i/>
      <w:iCs/>
      <w:smallCaps/>
      <w:spacing w:val="5"/>
    </w:rPr>
  </w:style>
  <w:style w:type="character" w:customStyle="1" w:styleId="ListParagraphChar">
    <w:name w:val="List Paragraph Char"/>
    <w:link w:val="ListParagraph"/>
    <w:uiPriority w:val="34"/>
    <w:locked/>
    <w:rsid w:val="005A21EB"/>
    <w:rPr>
      <w:rFonts w:ascii="Arial" w:eastAsia="Calibri" w:hAnsi="Arial"/>
      <w:sz w:val="22"/>
      <w:szCs w:val="22"/>
      <w:lang w:eastAsia="en-US"/>
    </w:rPr>
  </w:style>
  <w:style w:type="paragraph" w:customStyle="1" w:styleId="TableFigSourcesfootnotes">
    <w:name w:val="Table/Fig: Sources &amp; footnotes"/>
    <w:rsid w:val="005973BF"/>
    <w:pPr>
      <w:keepLines/>
      <w:tabs>
        <w:tab w:val="left" w:pos="425"/>
        <w:tab w:val="left" w:pos="851"/>
      </w:tabs>
      <w:spacing w:before="120" w:after="240"/>
    </w:pPr>
    <w:rPr>
      <w:rFonts w:ascii="Arial" w:hAnsi="Arial" w:cs="Arial"/>
      <w:sz w:val="14"/>
      <w:lang w:eastAsia="en-US"/>
    </w:rPr>
  </w:style>
  <w:style w:type="paragraph" w:customStyle="1" w:styleId="Contents3">
    <w:name w:val="Contents 3"/>
    <w:basedOn w:val="Normal"/>
    <w:uiPriority w:val="99"/>
    <w:rsid w:val="005973BF"/>
  </w:style>
  <w:style w:type="paragraph" w:customStyle="1" w:styleId="Default">
    <w:name w:val="Default"/>
    <w:rsid w:val="00C02420"/>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unhideWhenUsed/>
    <w:qFormat/>
    <w:rsid w:val="00D213C1"/>
    <w:pPr>
      <w:ind w:left="400"/>
    </w:pPr>
    <w:rPr>
      <w:rFonts w:asciiTheme="minorHAnsi" w:hAnsiTheme="minorHAnsi"/>
    </w:rPr>
  </w:style>
  <w:style w:type="paragraph" w:styleId="TOC2">
    <w:name w:val="toc 2"/>
    <w:basedOn w:val="Normal"/>
    <w:next w:val="Normal"/>
    <w:autoRedefine/>
    <w:uiPriority w:val="39"/>
    <w:unhideWhenUsed/>
    <w:qFormat/>
    <w:rsid w:val="000433CA"/>
    <w:pPr>
      <w:spacing w:before="120"/>
      <w:ind w:left="200"/>
    </w:pPr>
    <w:rPr>
      <w:rFonts w:asciiTheme="minorHAnsi" w:hAnsiTheme="minorHAnsi"/>
      <w:iCs/>
    </w:rPr>
  </w:style>
  <w:style w:type="character" w:customStyle="1" w:styleId="Heading1Char">
    <w:name w:val="Heading 1 Char"/>
    <w:link w:val="Heading1"/>
    <w:rsid w:val="004134A3"/>
    <w:rPr>
      <w:rFonts w:ascii="Arial" w:hAnsi="Arial"/>
      <w:color w:val="00755E"/>
      <w:spacing w:val="-5"/>
      <w:w w:val="90"/>
      <w:sz w:val="52"/>
      <w:lang w:val="en-GB"/>
    </w:rPr>
  </w:style>
  <w:style w:type="paragraph" w:styleId="TableofFigures">
    <w:name w:val="table of figures"/>
    <w:basedOn w:val="Normal"/>
    <w:next w:val="Normal"/>
    <w:uiPriority w:val="99"/>
    <w:unhideWhenUsed/>
    <w:rsid w:val="003E3134"/>
    <w:rPr>
      <w:rFonts w:asciiTheme="minorHAnsi" w:hAnsiTheme="minorHAnsi"/>
      <w:iCs/>
    </w:rPr>
  </w:style>
  <w:style w:type="numbering" w:customStyle="1" w:styleId="ListBullets">
    <w:name w:val="ListBullets"/>
    <w:rsid w:val="000D23F3"/>
    <w:pPr>
      <w:numPr>
        <w:numId w:val="2"/>
      </w:numPr>
    </w:pPr>
  </w:style>
  <w:style w:type="character" w:customStyle="1" w:styleId="Heading3Char1">
    <w:name w:val="Heading 3 Char1"/>
    <w:uiPriority w:val="9"/>
    <w:rsid w:val="00B01DF5"/>
    <w:rPr>
      <w:rFonts w:ascii="Arial" w:eastAsia="Times New Roman" w:hAnsi="Arial" w:cs="Times New Roman"/>
      <w:b/>
      <w:bCs/>
      <w:sz w:val="24"/>
      <w:szCs w:val="26"/>
      <w:lang w:val="bg-BG" w:eastAsia="bg-BG"/>
    </w:rPr>
  </w:style>
  <w:style w:type="paragraph" w:styleId="ListBullet">
    <w:name w:val="List Bullet"/>
    <w:basedOn w:val="Normal"/>
    <w:uiPriority w:val="99"/>
    <w:unhideWhenUsed/>
    <w:qFormat/>
    <w:rsid w:val="00133365"/>
    <w:pPr>
      <w:numPr>
        <w:numId w:val="2"/>
      </w:numPr>
      <w:spacing w:before="120"/>
      <w:contextualSpacing/>
    </w:pPr>
    <w:rPr>
      <w:rFonts w:ascii="Calibri" w:hAnsi="Calibri"/>
      <w:sz w:val="24"/>
    </w:rPr>
  </w:style>
  <w:style w:type="paragraph" w:styleId="ListBullet2">
    <w:name w:val="List Bullet 2"/>
    <w:basedOn w:val="Normal"/>
    <w:uiPriority w:val="99"/>
    <w:unhideWhenUsed/>
    <w:qFormat/>
    <w:rsid w:val="001760F5"/>
    <w:pPr>
      <w:numPr>
        <w:ilvl w:val="1"/>
        <w:numId w:val="2"/>
      </w:numPr>
      <w:contextualSpacing/>
    </w:pPr>
    <w:rPr>
      <w:rFonts w:ascii="Calibri" w:hAnsi="Calibri"/>
      <w:sz w:val="24"/>
    </w:rPr>
  </w:style>
  <w:style w:type="paragraph" w:styleId="ListBullet3">
    <w:name w:val="List Bullet 3"/>
    <w:basedOn w:val="Normal"/>
    <w:uiPriority w:val="99"/>
    <w:unhideWhenUsed/>
    <w:qFormat/>
    <w:rsid w:val="00B914F4"/>
    <w:pPr>
      <w:numPr>
        <w:ilvl w:val="2"/>
        <w:numId w:val="2"/>
      </w:numPr>
      <w:contextualSpacing/>
    </w:pPr>
    <w:rPr>
      <w:rFonts w:ascii="Calibri" w:hAnsi="Calibri"/>
      <w:sz w:val="24"/>
    </w:rPr>
  </w:style>
  <w:style w:type="paragraph" w:styleId="ListBullet4">
    <w:name w:val="List Bullet 4"/>
    <w:basedOn w:val="Normal"/>
    <w:uiPriority w:val="99"/>
    <w:unhideWhenUsed/>
    <w:rsid w:val="000D23F3"/>
    <w:pPr>
      <w:numPr>
        <w:ilvl w:val="3"/>
        <w:numId w:val="2"/>
      </w:numPr>
      <w:contextualSpacing/>
    </w:pPr>
  </w:style>
  <w:style w:type="paragraph" w:styleId="ListBullet5">
    <w:name w:val="List Bullet 5"/>
    <w:basedOn w:val="Normal"/>
    <w:uiPriority w:val="99"/>
    <w:unhideWhenUsed/>
    <w:rsid w:val="000D23F3"/>
    <w:pPr>
      <w:numPr>
        <w:ilvl w:val="4"/>
        <w:numId w:val="2"/>
      </w:numPr>
      <w:contextualSpacing/>
    </w:pPr>
  </w:style>
  <w:style w:type="character" w:customStyle="1" w:styleId="Heading4Char1">
    <w:name w:val="Heading 4 Char1"/>
    <w:link w:val="Heading4"/>
    <w:uiPriority w:val="9"/>
    <w:rsid w:val="003F5327"/>
    <w:rPr>
      <w:rFonts w:ascii="Calibri" w:hAnsi="Calibri"/>
      <w:b/>
      <w:bCs/>
      <w:sz w:val="24"/>
      <w:szCs w:val="28"/>
      <w:lang w:val="bg-BG" w:eastAsia="bg-BG"/>
    </w:rPr>
  </w:style>
  <w:style w:type="paragraph" w:customStyle="1" w:styleId="Heading1white">
    <w:name w:val="Heading 1 white"/>
    <w:basedOn w:val="Heading1"/>
    <w:next w:val="Normal"/>
    <w:qFormat/>
    <w:rsid w:val="000873DF"/>
    <w:pPr>
      <w:jc w:val="center"/>
    </w:pPr>
    <w:rPr>
      <w:color w:val="FFFFFF"/>
      <w:w w:val="88"/>
    </w:rPr>
  </w:style>
  <w:style w:type="character" w:customStyle="1" w:styleId="Heading3Char2">
    <w:name w:val="Heading 3 Char2"/>
    <w:uiPriority w:val="9"/>
    <w:rsid w:val="00B202F8"/>
    <w:rPr>
      <w:rFonts w:ascii="Arial" w:eastAsia="Times New Roman" w:hAnsi="Arial" w:cs="Times New Roman"/>
      <w:b/>
      <w:bCs/>
      <w:sz w:val="28"/>
      <w:szCs w:val="26"/>
      <w:lang w:val="bg-BG" w:eastAsia="bg-BG"/>
    </w:rPr>
  </w:style>
  <w:style w:type="character" w:customStyle="1" w:styleId="Heading3Char3">
    <w:name w:val="Heading 3 Char3"/>
    <w:link w:val="Heading3"/>
    <w:rsid w:val="00C934B2"/>
    <w:rPr>
      <w:rFonts w:ascii="Arial" w:hAnsi="Arial"/>
      <w:bCs/>
      <w:color w:val="00755E"/>
      <w:sz w:val="24"/>
      <w:szCs w:val="26"/>
      <w:lang w:eastAsia="bg-BG"/>
    </w:rPr>
  </w:style>
  <w:style w:type="paragraph" w:customStyle="1" w:styleId="Contents1">
    <w:name w:val="Contents 1"/>
    <w:basedOn w:val="Heading1"/>
    <w:rsid w:val="008E0DBD"/>
    <w:pPr>
      <w:keepNext/>
      <w:widowControl/>
      <w:autoSpaceDE/>
      <w:autoSpaceDN/>
      <w:adjustRightInd/>
      <w:spacing w:before="240" w:after="60" w:line="240" w:lineRule="auto"/>
    </w:pPr>
    <w:rPr>
      <w:b/>
      <w:bCs/>
      <w:color w:val="auto"/>
      <w:spacing w:val="0"/>
      <w:w w:val="100"/>
      <w:kern w:val="32"/>
      <w:sz w:val="32"/>
      <w:szCs w:val="32"/>
      <w:lang w:val="en-AU"/>
    </w:rPr>
  </w:style>
  <w:style w:type="paragraph" w:customStyle="1" w:styleId="Contents2">
    <w:name w:val="Contents 2"/>
    <w:basedOn w:val="Heading2"/>
    <w:rsid w:val="008E0DBD"/>
    <w:pPr>
      <w:keepNext/>
      <w:spacing w:after="60"/>
    </w:pPr>
    <w:rPr>
      <w:b/>
      <w:bCs/>
      <w:iCs/>
      <w:noProof/>
      <w:szCs w:val="22"/>
      <w:lang w:val="en-US" w:eastAsia="en-AU"/>
    </w:rPr>
  </w:style>
  <w:style w:type="paragraph" w:customStyle="1" w:styleId="Contents4">
    <w:name w:val="Contents 4"/>
    <w:basedOn w:val="Contents3"/>
    <w:rsid w:val="008E0DBD"/>
    <w:pPr>
      <w:keepNext/>
      <w:spacing w:before="240" w:after="60"/>
      <w:outlineLvl w:val="2"/>
    </w:pPr>
    <w:rPr>
      <w:rFonts w:ascii="Arial" w:hAnsi="Arial" w:cs="Arial"/>
      <w:bCs/>
      <w:i/>
      <w:sz w:val="22"/>
      <w:szCs w:val="26"/>
      <w:lang w:eastAsia="en-AU"/>
    </w:rPr>
  </w:style>
  <w:style w:type="paragraph" w:styleId="TOCHeading">
    <w:name w:val="TOC Heading"/>
    <w:basedOn w:val="Heading1"/>
    <w:next w:val="Normal"/>
    <w:uiPriority w:val="39"/>
    <w:semiHidden/>
    <w:unhideWhenUsed/>
    <w:qFormat/>
    <w:rsid w:val="00D752F6"/>
    <w:pPr>
      <w:keepNext/>
      <w:keepLines/>
      <w:widowControl/>
      <w:autoSpaceDE/>
      <w:autoSpaceDN/>
      <w:adjustRightInd/>
      <w:spacing w:before="480" w:after="0" w:line="276" w:lineRule="auto"/>
      <w:outlineLvl w:val="9"/>
    </w:pPr>
    <w:rPr>
      <w:rFonts w:ascii="Cambria" w:hAnsi="Cambria"/>
      <w:b/>
      <w:bCs/>
      <w:color w:val="365F91"/>
      <w:spacing w:val="0"/>
      <w:w w:val="100"/>
      <w:sz w:val="28"/>
      <w:szCs w:val="28"/>
      <w:lang w:val="en-US" w:eastAsia="en-US"/>
    </w:rPr>
  </w:style>
  <w:style w:type="paragraph" w:styleId="TOC4">
    <w:name w:val="toc 4"/>
    <w:basedOn w:val="Normal"/>
    <w:next w:val="Normal"/>
    <w:autoRedefine/>
    <w:uiPriority w:val="39"/>
    <w:unhideWhenUsed/>
    <w:rsid w:val="00D752F6"/>
    <w:pPr>
      <w:ind w:left="600"/>
    </w:pPr>
    <w:rPr>
      <w:rFonts w:asciiTheme="minorHAnsi" w:hAnsiTheme="minorHAnsi"/>
    </w:rPr>
  </w:style>
  <w:style w:type="paragraph" w:styleId="TOC5">
    <w:name w:val="toc 5"/>
    <w:basedOn w:val="Normal"/>
    <w:next w:val="Normal"/>
    <w:autoRedefine/>
    <w:uiPriority w:val="39"/>
    <w:unhideWhenUsed/>
    <w:rsid w:val="00D752F6"/>
    <w:pPr>
      <w:ind w:left="800"/>
    </w:pPr>
    <w:rPr>
      <w:rFonts w:asciiTheme="minorHAnsi" w:hAnsiTheme="minorHAnsi"/>
    </w:rPr>
  </w:style>
  <w:style w:type="paragraph" w:styleId="TOC6">
    <w:name w:val="toc 6"/>
    <w:basedOn w:val="Normal"/>
    <w:next w:val="Normal"/>
    <w:autoRedefine/>
    <w:uiPriority w:val="39"/>
    <w:unhideWhenUsed/>
    <w:rsid w:val="00D752F6"/>
    <w:pPr>
      <w:ind w:left="1000"/>
    </w:pPr>
    <w:rPr>
      <w:rFonts w:asciiTheme="minorHAnsi" w:hAnsiTheme="minorHAnsi"/>
    </w:rPr>
  </w:style>
  <w:style w:type="paragraph" w:styleId="TOC7">
    <w:name w:val="toc 7"/>
    <w:basedOn w:val="Normal"/>
    <w:next w:val="Normal"/>
    <w:autoRedefine/>
    <w:uiPriority w:val="39"/>
    <w:unhideWhenUsed/>
    <w:rsid w:val="00D752F6"/>
    <w:pPr>
      <w:ind w:left="1200"/>
    </w:pPr>
    <w:rPr>
      <w:rFonts w:asciiTheme="minorHAnsi" w:hAnsiTheme="minorHAnsi"/>
    </w:rPr>
  </w:style>
  <w:style w:type="paragraph" w:styleId="TOC8">
    <w:name w:val="toc 8"/>
    <w:basedOn w:val="Normal"/>
    <w:next w:val="Normal"/>
    <w:autoRedefine/>
    <w:uiPriority w:val="39"/>
    <w:unhideWhenUsed/>
    <w:rsid w:val="00D752F6"/>
    <w:pPr>
      <w:ind w:left="1400"/>
    </w:pPr>
    <w:rPr>
      <w:rFonts w:asciiTheme="minorHAnsi" w:hAnsiTheme="minorHAnsi"/>
    </w:rPr>
  </w:style>
  <w:style w:type="paragraph" w:styleId="TOC9">
    <w:name w:val="toc 9"/>
    <w:basedOn w:val="Normal"/>
    <w:next w:val="Normal"/>
    <w:autoRedefine/>
    <w:uiPriority w:val="39"/>
    <w:unhideWhenUsed/>
    <w:rsid w:val="00D752F6"/>
    <w:pPr>
      <w:ind w:left="1600"/>
    </w:pPr>
    <w:rPr>
      <w:rFonts w:asciiTheme="minorHAnsi" w:hAnsiTheme="minorHAnsi"/>
    </w:rPr>
  </w:style>
  <w:style w:type="character" w:styleId="FollowedHyperlink">
    <w:name w:val="FollowedHyperlink"/>
    <w:unhideWhenUsed/>
    <w:rsid w:val="00812B95"/>
    <w:rPr>
      <w:color w:val="800080"/>
      <w:u w:val="single"/>
    </w:rPr>
  </w:style>
  <w:style w:type="paragraph" w:styleId="Revision">
    <w:name w:val="Revision"/>
    <w:hidden/>
    <w:uiPriority w:val="99"/>
    <w:semiHidden/>
    <w:rsid w:val="005F1F39"/>
    <w:rPr>
      <w:lang w:eastAsia="bg-BG"/>
    </w:rPr>
  </w:style>
  <w:style w:type="paragraph" w:styleId="PlainText">
    <w:name w:val="Plain Text"/>
    <w:basedOn w:val="Normal"/>
    <w:link w:val="PlainTextChar"/>
    <w:uiPriority w:val="99"/>
    <w:unhideWhenUsed/>
    <w:rsid w:val="00743A11"/>
    <w:rPr>
      <w:rFonts w:ascii="Calibri" w:eastAsia="Calibri" w:hAnsi="Calibri" w:cs="Consolas"/>
      <w:sz w:val="22"/>
      <w:szCs w:val="21"/>
      <w:lang w:eastAsia="en-US"/>
    </w:rPr>
  </w:style>
  <w:style w:type="character" w:customStyle="1" w:styleId="PlainTextChar">
    <w:name w:val="Plain Text Char"/>
    <w:link w:val="PlainText"/>
    <w:uiPriority w:val="99"/>
    <w:rsid w:val="00743A11"/>
    <w:rPr>
      <w:rFonts w:ascii="Calibri" w:eastAsia="Calibri" w:hAnsi="Calibri" w:cs="Consolas"/>
      <w:sz w:val="22"/>
      <w:szCs w:val="21"/>
      <w:lang w:eastAsia="en-US"/>
    </w:rPr>
  </w:style>
  <w:style w:type="character" w:customStyle="1" w:styleId="apple-converted-space">
    <w:name w:val="apple-converted-space"/>
    <w:rsid w:val="006A4347"/>
  </w:style>
  <w:style w:type="paragraph" w:styleId="ListNumber">
    <w:name w:val="List Number"/>
    <w:basedOn w:val="Normal"/>
    <w:rsid w:val="00AD7117"/>
    <w:pPr>
      <w:tabs>
        <w:tab w:val="num" w:pos="360"/>
      </w:tabs>
      <w:spacing w:line="360" w:lineRule="auto"/>
      <w:ind w:left="360" w:hanging="360"/>
    </w:pPr>
    <w:rPr>
      <w:rFonts w:ascii="Arial" w:hAnsi="Arial"/>
      <w:sz w:val="28"/>
      <w:lang w:eastAsia="en-US"/>
    </w:rPr>
  </w:style>
  <w:style w:type="character" w:customStyle="1" w:styleId="italic">
    <w:name w:val="italic"/>
    <w:basedOn w:val="DefaultParagraphFont"/>
    <w:rsid w:val="00372B82"/>
  </w:style>
  <w:style w:type="paragraph" w:styleId="FootnoteText">
    <w:name w:val="footnote text"/>
    <w:basedOn w:val="Normal"/>
    <w:link w:val="FootnoteTextChar"/>
    <w:semiHidden/>
    <w:rsid w:val="00372B82"/>
    <w:rPr>
      <w:lang w:eastAsia="en-AU"/>
    </w:rPr>
  </w:style>
  <w:style w:type="character" w:customStyle="1" w:styleId="FootnoteTextChar">
    <w:name w:val="Footnote Text Char"/>
    <w:basedOn w:val="DefaultParagraphFont"/>
    <w:link w:val="FootnoteText"/>
    <w:semiHidden/>
    <w:rsid w:val="00372B82"/>
  </w:style>
  <w:style w:type="character" w:styleId="FootnoteReference">
    <w:name w:val="footnote reference"/>
    <w:semiHidden/>
    <w:rsid w:val="00372B82"/>
    <w:rPr>
      <w:vertAlign w:val="superscript"/>
    </w:rPr>
  </w:style>
  <w:style w:type="character" w:customStyle="1" w:styleId="bold">
    <w:name w:val="bold"/>
    <w:basedOn w:val="DefaultParagraphFont"/>
    <w:rsid w:val="00372B82"/>
  </w:style>
  <w:style w:type="paragraph" w:customStyle="1" w:styleId="bold1">
    <w:name w:val="bold1"/>
    <w:basedOn w:val="Normal"/>
    <w:rsid w:val="00372B82"/>
    <w:pPr>
      <w:spacing w:before="100" w:beforeAutospacing="1" w:after="100" w:afterAutospacing="1"/>
    </w:pPr>
    <w:rPr>
      <w:sz w:val="24"/>
      <w:szCs w:val="24"/>
      <w:lang w:eastAsia="en-AU"/>
    </w:rPr>
  </w:style>
  <w:style w:type="paragraph" w:styleId="Title">
    <w:name w:val="Title"/>
    <w:basedOn w:val="Normal"/>
    <w:link w:val="TitleChar"/>
    <w:qFormat/>
    <w:rsid w:val="00ED33D2"/>
    <w:pPr>
      <w:spacing w:before="60" w:after="60"/>
    </w:pPr>
    <w:rPr>
      <w:rFonts w:ascii="Arial" w:hAnsi="Arial"/>
      <w:snapToGrid w:val="0"/>
      <w:color w:val="00755E"/>
      <w:sz w:val="52"/>
      <w:lang w:eastAsia="en-US"/>
    </w:rPr>
  </w:style>
  <w:style w:type="character" w:customStyle="1" w:styleId="TitleChar">
    <w:name w:val="Title Char"/>
    <w:basedOn w:val="DefaultParagraphFont"/>
    <w:link w:val="Title"/>
    <w:rsid w:val="00ED33D2"/>
    <w:rPr>
      <w:rFonts w:ascii="Arial" w:hAnsi="Arial"/>
      <w:snapToGrid w:val="0"/>
      <w:color w:val="00755E"/>
      <w:sz w:val="52"/>
      <w:lang w:eastAsia="en-US"/>
    </w:rPr>
  </w:style>
  <w:style w:type="paragraph" w:styleId="BodyTextIndent3">
    <w:name w:val="Body Text Indent 3"/>
    <w:basedOn w:val="Normal"/>
    <w:link w:val="BodyTextIndent3Char"/>
    <w:rsid w:val="00372B82"/>
    <w:pPr>
      <w:tabs>
        <w:tab w:val="left" w:pos="9027"/>
      </w:tabs>
      <w:ind w:left="567"/>
      <w:jc w:val="both"/>
    </w:pPr>
    <w:rPr>
      <w:rFonts w:ascii="Arial" w:hAnsi="Arial"/>
      <w:i/>
      <w:sz w:val="24"/>
      <w:lang w:eastAsia="en-US"/>
    </w:rPr>
  </w:style>
  <w:style w:type="character" w:customStyle="1" w:styleId="BodyTextIndent3Char">
    <w:name w:val="Body Text Indent 3 Char"/>
    <w:basedOn w:val="DefaultParagraphFont"/>
    <w:link w:val="BodyTextIndent3"/>
    <w:rsid w:val="00372B82"/>
    <w:rPr>
      <w:rFonts w:ascii="Arial" w:hAnsi="Arial"/>
      <w:i/>
      <w:sz w:val="24"/>
      <w:lang w:eastAsia="en-US"/>
    </w:rPr>
  </w:style>
  <w:style w:type="character" w:customStyle="1" w:styleId="HeaderChar">
    <w:name w:val="Header Char"/>
    <w:link w:val="Header"/>
    <w:uiPriority w:val="99"/>
    <w:rsid w:val="00372B82"/>
    <w:rPr>
      <w:lang w:eastAsia="bg-BG"/>
    </w:rPr>
  </w:style>
  <w:style w:type="paragraph" w:customStyle="1" w:styleId="StyleArial7ptBefore6pt">
    <w:name w:val="Style Arial 7 pt Before:  6 pt"/>
    <w:basedOn w:val="Normal"/>
    <w:next w:val="Normal"/>
    <w:rsid w:val="00A6091A"/>
    <w:pPr>
      <w:spacing w:before="120"/>
      <w:ind w:left="284" w:hanging="284"/>
    </w:pPr>
    <w:rPr>
      <w:rFonts w:ascii="Arial" w:hAnsi="Arial"/>
      <w:sz w:val="14"/>
    </w:rPr>
  </w:style>
  <w:style w:type="paragraph" w:customStyle="1" w:styleId="dashbullettable">
    <w:name w:val="dash bullet table"/>
    <w:basedOn w:val="ListParagraph"/>
    <w:rsid w:val="00372B82"/>
    <w:pPr>
      <w:numPr>
        <w:numId w:val="4"/>
      </w:numPr>
      <w:spacing w:before="60" w:after="60" w:line="240" w:lineRule="auto"/>
      <w:ind w:left="459" w:hanging="426"/>
    </w:pPr>
    <w:rPr>
      <w:rFonts w:eastAsia="Times New Roman" w:cs="Arial"/>
      <w:sz w:val="18"/>
      <w:szCs w:val="18"/>
      <w:lang w:eastAsia="en-AU"/>
    </w:rPr>
  </w:style>
  <w:style w:type="character" w:customStyle="1" w:styleId="Heading5Char">
    <w:name w:val="Heading 5 Char"/>
    <w:basedOn w:val="DefaultParagraphFont"/>
    <w:link w:val="Heading5"/>
    <w:uiPriority w:val="9"/>
    <w:rsid w:val="00303D92"/>
    <w:rPr>
      <w:rFonts w:asciiTheme="minorHAnsi" w:eastAsiaTheme="majorEastAsia" w:hAnsiTheme="minorHAnsi" w:cstheme="majorBidi"/>
      <w:b/>
      <w:color w:val="595959" w:themeColor="text1" w:themeTint="A6"/>
      <w:sz w:val="24"/>
      <w:szCs w:val="24"/>
    </w:rPr>
  </w:style>
  <w:style w:type="character" w:customStyle="1" w:styleId="Heading6Char">
    <w:name w:val="Heading 6 Char"/>
    <w:basedOn w:val="DefaultParagraphFont"/>
    <w:link w:val="Heading6"/>
    <w:uiPriority w:val="9"/>
    <w:rsid w:val="007907A9"/>
    <w:rPr>
      <w:rFonts w:eastAsiaTheme="majorEastAsia" w:cstheme="majorBidi"/>
      <w:b/>
      <w:bCs/>
      <w:i/>
      <w:iCs/>
      <w:color w:val="7F7F7F" w:themeColor="text1" w:themeTint="80"/>
      <w:sz w:val="24"/>
      <w:szCs w:val="24"/>
    </w:rPr>
  </w:style>
  <w:style w:type="character" w:customStyle="1" w:styleId="Heading7Char">
    <w:name w:val="Heading 7 Char"/>
    <w:basedOn w:val="DefaultParagraphFont"/>
    <w:link w:val="Heading7"/>
    <w:uiPriority w:val="9"/>
    <w:rsid w:val="00EA7C35"/>
    <w:rPr>
      <w:rFonts w:ascii="Calibri" w:hAnsi="Calibri" w:cs="Calibri"/>
      <w:i/>
      <w:sz w:val="24"/>
      <w:szCs w:val="24"/>
      <w:lang w:eastAsia="bg-BG"/>
    </w:rPr>
  </w:style>
  <w:style w:type="character" w:customStyle="1" w:styleId="Heading8Char">
    <w:name w:val="Heading 8 Char"/>
    <w:basedOn w:val="DefaultParagraphFont"/>
    <w:link w:val="Heading8"/>
    <w:uiPriority w:val="9"/>
    <w:rsid w:val="007907A9"/>
    <w:rPr>
      <w:rFonts w:eastAsiaTheme="majorEastAsia" w:cstheme="majorBidi"/>
    </w:rPr>
  </w:style>
  <w:style w:type="character" w:customStyle="1" w:styleId="Heading9Char">
    <w:name w:val="Heading 9 Char"/>
    <w:basedOn w:val="DefaultParagraphFont"/>
    <w:link w:val="Heading9"/>
    <w:uiPriority w:val="9"/>
    <w:rsid w:val="00C3315D"/>
    <w:rPr>
      <w:rFonts w:ascii="Calibri" w:eastAsiaTheme="majorEastAsia" w:hAnsi="Calibri" w:cstheme="majorBidi"/>
      <w:b/>
      <w:iCs/>
      <w:color w:val="7F7F7F" w:themeColor="text1" w:themeTint="80"/>
      <w:sz w:val="24"/>
      <w:szCs w:val="24"/>
    </w:rPr>
  </w:style>
  <w:style w:type="paragraph" w:styleId="NoSpacing">
    <w:name w:val="No Spacing"/>
    <w:basedOn w:val="Normal"/>
    <w:link w:val="NoSpacingChar"/>
    <w:uiPriority w:val="1"/>
    <w:rsid w:val="007907A9"/>
    <w:rPr>
      <w:sz w:val="24"/>
      <w:szCs w:val="24"/>
      <w:lang w:eastAsia="en-AU"/>
    </w:rPr>
  </w:style>
  <w:style w:type="paragraph" w:styleId="Subtitle">
    <w:name w:val="Subtitle"/>
    <w:basedOn w:val="Normal"/>
    <w:next w:val="Normal"/>
    <w:link w:val="SubtitleChar"/>
    <w:uiPriority w:val="11"/>
    <w:qFormat/>
    <w:rsid w:val="000433CA"/>
    <w:pPr>
      <w:spacing w:after="600"/>
    </w:pPr>
    <w:rPr>
      <w:rFonts w:eastAsiaTheme="majorEastAsia" w:cstheme="majorBidi"/>
      <w:iCs/>
      <w:spacing w:val="13"/>
      <w:sz w:val="24"/>
      <w:szCs w:val="24"/>
      <w:lang w:eastAsia="en-AU"/>
    </w:rPr>
  </w:style>
  <w:style w:type="character" w:customStyle="1" w:styleId="SubtitleChar">
    <w:name w:val="Subtitle Char"/>
    <w:basedOn w:val="DefaultParagraphFont"/>
    <w:link w:val="Subtitle"/>
    <w:uiPriority w:val="11"/>
    <w:rsid w:val="000433CA"/>
    <w:rPr>
      <w:rFonts w:eastAsiaTheme="majorEastAsia" w:cstheme="majorBidi"/>
      <w:iCs/>
      <w:spacing w:val="13"/>
      <w:sz w:val="24"/>
      <w:szCs w:val="24"/>
    </w:rPr>
  </w:style>
  <w:style w:type="character" w:styleId="SubtleEmphasis">
    <w:name w:val="Subtle Emphasis"/>
    <w:qFormat/>
    <w:rsid w:val="007907A9"/>
    <w:rPr>
      <w:i/>
      <w:iCs/>
    </w:rPr>
  </w:style>
  <w:style w:type="character" w:styleId="IntenseEmphasis">
    <w:name w:val="Intense Emphasis"/>
    <w:uiPriority w:val="21"/>
    <w:qFormat/>
    <w:rsid w:val="007907A9"/>
    <w:rPr>
      <w:b/>
      <w:bCs/>
    </w:rPr>
  </w:style>
  <w:style w:type="paragraph" w:styleId="Quote">
    <w:name w:val="Quote"/>
    <w:basedOn w:val="Normal"/>
    <w:next w:val="Normal"/>
    <w:link w:val="QuoteChar"/>
    <w:uiPriority w:val="29"/>
    <w:qFormat/>
    <w:rsid w:val="007907A9"/>
    <w:pPr>
      <w:spacing w:before="200"/>
      <w:ind w:left="360" w:right="360"/>
    </w:pPr>
    <w:rPr>
      <w:i/>
      <w:iCs/>
      <w:sz w:val="24"/>
      <w:szCs w:val="24"/>
      <w:lang w:eastAsia="en-AU"/>
    </w:rPr>
  </w:style>
  <w:style w:type="character" w:customStyle="1" w:styleId="QuoteChar">
    <w:name w:val="Quote Char"/>
    <w:basedOn w:val="DefaultParagraphFont"/>
    <w:link w:val="Quote"/>
    <w:uiPriority w:val="29"/>
    <w:rsid w:val="007907A9"/>
    <w:rPr>
      <w:i/>
      <w:iCs/>
      <w:sz w:val="24"/>
      <w:szCs w:val="24"/>
    </w:rPr>
  </w:style>
  <w:style w:type="paragraph" w:styleId="IntenseQuote">
    <w:name w:val="Intense Quote"/>
    <w:basedOn w:val="Normal"/>
    <w:next w:val="Normal"/>
    <w:link w:val="IntenseQuoteChar"/>
    <w:uiPriority w:val="30"/>
    <w:qFormat/>
    <w:rsid w:val="007907A9"/>
    <w:pPr>
      <w:pBdr>
        <w:bottom w:val="single" w:sz="4" w:space="1" w:color="auto"/>
      </w:pBdr>
      <w:spacing w:before="200" w:after="280"/>
      <w:ind w:left="1008" w:right="1152"/>
      <w:jc w:val="both"/>
    </w:pPr>
    <w:rPr>
      <w:b/>
      <w:bCs/>
      <w:i/>
      <w:iCs/>
      <w:sz w:val="24"/>
      <w:szCs w:val="24"/>
      <w:lang w:eastAsia="en-AU"/>
    </w:rPr>
  </w:style>
  <w:style w:type="character" w:customStyle="1" w:styleId="IntenseQuoteChar">
    <w:name w:val="Intense Quote Char"/>
    <w:basedOn w:val="DefaultParagraphFont"/>
    <w:link w:val="IntenseQuote"/>
    <w:uiPriority w:val="30"/>
    <w:rsid w:val="007907A9"/>
    <w:rPr>
      <w:b/>
      <w:bCs/>
      <w:i/>
      <w:iCs/>
      <w:sz w:val="24"/>
      <w:szCs w:val="24"/>
    </w:rPr>
  </w:style>
  <w:style w:type="character" w:styleId="SubtleReference">
    <w:name w:val="Subtle Reference"/>
    <w:uiPriority w:val="31"/>
    <w:qFormat/>
    <w:rsid w:val="007907A9"/>
    <w:rPr>
      <w:smallCaps/>
    </w:rPr>
  </w:style>
  <w:style w:type="character" w:styleId="IntenseReference">
    <w:name w:val="Intense Reference"/>
    <w:uiPriority w:val="32"/>
    <w:qFormat/>
    <w:rsid w:val="007907A9"/>
    <w:rPr>
      <w:smallCaps/>
      <w:spacing w:val="5"/>
      <w:u w:val="single"/>
    </w:rPr>
  </w:style>
  <w:style w:type="character" w:customStyle="1" w:styleId="NoSpacingChar">
    <w:name w:val="No Spacing Char"/>
    <w:basedOn w:val="DefaultParagraphFont"/>
    <w:link w:val="NoSpacing"/>
    <w:uiPriority w:val="1"/>
    <w:rsid w:val="007907A9"/>
    <w:rPr>
      <w:sz w:val="24"/>
      <w:szCs w:val="24"/>
    </w:rPr>
  </w:style>
  <w:style w:type="paragraph" w:customStyle="1" w:styleId="talkingpoint1stlevel">
    <w:name w:val="talkingpoint1stlevel"/>
    <w:basedOn w:val="Normal"/>
    <w:rsid w:val="007907A9"/>
    <w:pPr>
      <w:spacing w:before="180" w:after="180"/>
      <w:ind w:right="-522"/>
    </w:pPr>
    <w:rPr>
      <w:rFonts w:ascii="Arial" w:hAnsi="Arial" w:cs="Arial"/>
      <w:sz w:val="28"/>
      <w:szCs w:val="28"/>
      <w:lang w:eastAsia="en-AU"/>
    </w:rPr>
  </w:style>
  <w:style w:type="character" w:customStyle="1" w:styleId="Italiclight">
    <w:name w:val="Italic light"/>
    <w:uiPriority w:val="99"/>
    <w:rsid w:val="00B04282"/>
    <w:rPr>
      <w:i/>
      <w:iCs/>
    </w:rPr>
  </w:style>
  <w:style w:type="paragraph" w:styleId="EndnoteText">
    <w:name w:val="endnote text"/>
    <w:basedOn w:val="Normal"/>
    <w:link w:val="EndnoteTextChar"/>
    <w:uiPriority w:val="99"/>
    <w:semiHidden/>
    <w:unhideWhenUsed/>
    <w:rsid w:val="004F45D2"/>
  </w:style>
  <w:style w:type="character" w:customStyle="1" w:styleId="EndnoteTextChar">
    <w:name w:val="Endnote Text Char"/>
    <w:basedOn w:val="DefaultParagraphFont"/>
    <w:link w:val="EndnoteText"/>
    <w:uiPriority w:val="99"/>
    <w:semiHidden/>
    <w:rsid w:val="004F45D2"/>
    <w:rPr>
      <w:lang w:eastAsia="bg-BG"/>
    </w:rPr>
  </w:style>
  <w:style w:type="character" w:styleId="EndnoteReference">
    <w:name w:val="endnote reference"/>
    <w:basedOn w:val="DefaultParagraphFont"/>
    <w:uiPriority w:val="99"/>
    <w:semiHidden/>
    <w:unhideWhenUsed/>
    <w:rsid w:val="004F45D2"/>
    <w:rPr>
      <w:vertAlign w:val="superscript"/>
    </w:rPr>
  </w:style>
  <w:style w:type="paragraph" w:customStyle="1" w:styleId="BodyText1">
    <w:name w:val="Body Text1"/>
    <w:basedOn w:val="Normal"/>
    <w:rsid w:val="007E48AC"/>
    <w:pPr>
      <w:widowControl w:val="0"/>
      <w:suppressAutoHyphens/>
      <w:autoSpaceDE w:val="0"/>
      <w:autoSpaceDN w:val="0"/>
      <w:adjustRightInd w:val="0"/>
      <w:spacing w:after="113" w:line="240" w:lineRule="atLeast"/>
      <w:textAlignment w:val="center"/>
    </w:pPr>
    <w:rPr>
      <w:rFonts w:ascii="TheSans-B3Light" w:hAnsi="TheSans-B3Light"/>
      <w:color w:val="000000"/>
      <w:sz w:val="18"/>
      <w:lang w:val="en-GB" w:eastAsia="en-AU"/>
    </w:rPr>
  </w:style>
  <w:style w:type="paragraph" w:customStyle="1" w:styleId="BasicParagraph">
    <w:name w:val="[Basic Paragraph]"/>
    <w:basedOn w:val="Normal"/>
    <w:rsid w:val="00637903"/>
    <w:pPr>
      <w:widowControl w:val="0"/>
      <w:autoSpaceDE w:val="0"/>
      <w:autoSpaceDN w:val="0"/>
      <w:adjustRightInd w:val="0"/>
      <w:spacing w:line="288" w:lineRule="auto"/>
      <w:textAlignment w:val="center"/>
    </w:pPr>
    <w:rPr>
      <w:rFonts w:ascii="Times-Roman" w:hAnsi="Times-Roman"/>
      <w:color w:val="000000"/>
      <w:sz w:val="24"/>
      <w:lang w:val="en-GB" w:eastAsia="en-AU"/>
    </w:rPr>
  </w:style>
  <w:style w:type="character" w:customStyle="1" w:styleId="StyleBodyCalibri12pt">
    <w:name w:val="Style +Body (Calibri) 12 pt"/>
    <w:basedOn w:val="DefaultParagraphFont"/>
    <w:rsid w:val="00DC1B19"/>
    <w:rPr>
      <w:rFonts w:asciiTheme="minorHAnsi" w:hAnsiTheme="minorHAnsi"/>
      <w:sz w:val="24"/>
    </w:rPr>
  </w:style>
  <w:style w:type="paragraph" w:customStyle="1" w:styleId="StyleBodyCalibri12ptBoldBefore6ptAfter3pt">
    <w:name w:val="Style +Body (Calibri) 12 pt Bold Before:  6 pt After:  3 pt"/>
    <w:basedOn w:val="Normal"/>
    <w:rsid w:val="000433CA"/>
    <w:pPr>
      <w:spacing w:before="120" w:after="60"/>
    </w:pPr>
    <w:rPr>
      <w:rFonts w:asciiTheme="minorHAnsi" w:hAnsiTheme="minorHAnsi"/>
      <w:b/>
      <w:bCs/>
      <w:sz w:val="24"/>
    </w:rPr>
  </w:style>
  <w:style w:type="paragraph" w:styleId="BodyText">
    <w:name w:val="Body Text"/>
    <w:basedOn w:val="Normal"/>
    <w:link w:val="BodyTextChar"/>
    <w:uiPriority w:val="99"/>
    <w:unhideWhenUsed/>
    <w:rsid w:val="00881E61"/>
    <w:pPr>
      <w:spacing w:after="120"/>
    </w:pPr>
  </w:style>
  <w:style w:type="character" w:customStyle="1" w:styleId="BodyTextChar">
    <w:name w:val="Body Text Char"/>
    <w:basedOn w:val="DefaultParagraphFont"/>
    <w:link w:val="BodyText"/>
    <w:uiPriority w:val="99"/>
    <w:rsid w:val="00881E61"/>
    <w:rPr>
      <w:lang w:eastAsia="bg-BG"/>
    </w:rPr>
  </w:style>
  <w:style w:type="paragraph" w:customStyle="1" w:styleId="StyleArial7ptBefore6pt1">
    <w:name w:val="Style Arial 7 pt Before:  6 pt1"/>
    <w:basedOn w:val="Normal"/>
    <w:next w:val="Normal"/>
    <w:rsid w:val="00A6091A"/>
    <w:pPr>
      <w:spacing w:before="120"/>
      <w:ind w:left="340" w:hanging="340"/>
    </w:pPr>
    <w:rPr>
      <w:rFonts w:ascii="Arial" w:hAnsi="Arial"/>
      <w:sz w:val="14"/>
    </w:rPr>
  </w:style>
  <w:style w:type="paragraph" w:customStyle="1" w:styleId="StyleArial7ptLeft0cmHanging05cmBefore6pt">
    <w:name w:val="Style Arial 7 pt Left:  0 cm Hanging:  0.5 cm Before:  6 pt"/>
    <w:basedOn w:val="Normal"/>
    <w:rsid w:val="00D66FAA"/>
    <w:pPr>
      <w:spacing w:before="120"/>
      <w:ind w:left="567" w:hanging="567"/>
    </w:pPr>
    <w:rPr>
      <w:rFonts w:ascii="Arial" w:hAnsi="Arial"/>
      <w:sz w:val="14"/>
    </w:rPr>
  </w:style>
  <w:style w:type="paragraph" w:customStyle="1" w:styleId="StyleArial7ptLeft0cmHanging075cmBefore6pt">
    <w:name w:val="Style Arial 7 pt Left:  0 cm Hanging:  0.75 cm Before:  6 pt"/>
    <w:basedOn w:val="Normal"/>
    <w:rsid w:val="00343B82"/>
    <w:pPr>
      <w:spacing w:before="120"/>
      <w:ind w:left="567" w:hanging="567"/>
    </w:pPr>
    <w:rPr>
      <w:rFonts w:ascii="Arial" w:hAnsi="Arial"/>
      <w:sz w:val="14"/>
    </w:rPr>
  </w:style>
  <w:style w:type="paragraph" w:customStyle="1" w:styleId="StyleArial7ptLeft0cmHanging075cmBefore6pt1">
    <w:name w:val="Style Arial 7 pt Left:  0 cm Hanging:  0.75 cm Before:  6 pt1"/>
    <w:basedOn w:val="Normal"/>
    <w:rsid w:val="00343B82"/>
    <w:pPr>
      <w:spacing w:before="120"/>
      <w:ind w:left="567" w:hanging="567"/>
    </w:pPr>
    <w:rPr>
      <w:rFonts w:ascii="Arial" w:hAnsi="Arial"/>
      <w:sz w:val="14"/>
    </w:rPr>
  </w:style>
  <w:style w:type="paragraph" w:customStyle="1" w:styleId="Figure">
    <w:name w:val="Figure"/>
    <w:basedOn w:val="Normal"/>
    <w:next w:val="Normal"/>
    <w:qFormat/>
    <w:rsid w:val="00FF0B09"/>
    <w:pPr>
      <w:spacing w:after="120"/>
    </w:pPr>
    <w:rPr>
      <w:rFonts w:ascii="Arial" w:hAnsi="Arial"/>
      <w:b/>
    </w:rPr>
  </w:style>
  <w:style w:type="paragraph" w:customStyle="1" w:styleId="Heading4a">
    <w:name w:val="Heading 4a"/>
    <w:basedOn w:val="Heading5"/>
    <w:next w:val="Normal"/>
    <w:qFormat/>
    <w:rsid w:val="00C35779"/>
    <w:pPr>
      <w:outlineLvl w:val="3"/>
    </w:pPr>
  </w:style>
  <w:style w:type="character" w:customStyle="1" w:styleId="StyleBodyCalibri12ptItalic">
    <w:name w:val="Style +Body (Calibri) 12 pt Italic"/>
    <w:basedOn w:val="DefaultParagraphFont"/>
    <w:rsid w:val="000433CA"/>
    <w:rPr>
      <w:rFonts w:asciiTheme="minorHAnsi" w:hAnsiTheme="minorHAnsi"/>
      <w:i w:val="0"/>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qFormat="1"/>
    <w:lsdException w:name="List Number" w:uiPriority="0"/>
    <w:lsdException w:name="List Bullet 2" w:qFormat="1"/>
    <w:lsdException w:name="List Bullet 3"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E3"/>
    <w:rPr>
      <w:lang w:eastAsia="bg-BG"/>
    </w:rPr>
  </w:style>
  <w:style w:type="paragraph" w:styleId="Heading1">
    <w:name w:val="heading 1"/>
    <w:basedOn w:val="Normal"/>
    <w:next w:val="Normal"/>
    <w:link w:val="Heading1Char"/>
    <w:qFormat/>
    <w:rsid w:val="004134A3"/>
    <w:pPr>
      <w:widowControl w:val="0"/>
      <w:suppressAutoHyphens/>
      <w:autoSpaceDE w:val="0"/>
      <w:autoSpaceDN w:val="0"/>
      <w:adjustRightInd w:val="0"/>
      <w:spacing w:before="180" w:after="720" w:line="560" w:lineRule="atLeast"/>
      <w:textAlignment w:val="center"/>
      <w:outlineLvl w:val="0"/>
    </w:pPr>
    <w:rPr>
      <w:rFonts w:ascii="Arial" w:hAnsi="Arial"/>
      <w:color w:val="00755E"/>
      <w:spacing w:val="-5"/>
      <w:w w:val="90"/>
      <w:sz w:val="52"/>
      <w:lang w:val="en-GB" w:eastAsia="en-AU"/>
    </w:rPr>
  </w:style>
  <w:style w:type="paragraph" w:styleId="Heading2">
    <w:name w:val="heading 2"/>
    <w:basedOn w:val="Normal"/>
    <w:next w:val="Normal"/>
    <w:link w:val="Heading2Char"/>
    <w:unhideWhenUsed/>
    <w:qFormat/>
    <w:rsid w:val="008D287F"/>
    <w:pPr>
      <w:spacing w:before="180" w:after="120"/>
      <w:outlineLvl w:val="1"/>
    </w:pPr>
    <w:rPr>
      <w:rFonts w:ascii="Arial" w:hAnsi="Arial"/>
      <w:color w:val="00755E"/>
      <w:sz w:val="28"/>
      <w:szCs w:val="28"/>
    </w:rPr>
  </w:style>
  <w:style w:type="paragraph" w:styleId="Heading3">
    <w:name w:val="heading 3"/>
    <w:basedOn w:val="Normal"/>
    <w:next w:val="Normal"/>
    <w:link w:val="Heading3Char3"/>
    <w:qFormat/>
    <w:rsid w:val="00C934B2"/>
    <w:pPr>
      <w:keepNext/>
      <w:spacing w:before="180" w:after="120"/>
      <w:outlineLvl w:val="2"/>
    </w:pPr>
    <w:rPr>
      <w:rFonts w:ascii="Arial" w:hAnsi="Arial"/>
      <w:bCs/>
      <w:color w:val="00755E"/>
      <w:sz w:val="24"/>
      <w:szCs w:val="26"/>
    </w:rPr>
  </w:style>
  <w:style w:type="paragraph" w:styleId="Heading4">
    <w:name w:val="heading 4"/>
    <w:basedOn w:val="Normal"/>
    <w:next w:val="Normal"/>
    <w:link w:val="Heading4Char1"/>
    <w:uiPriority w:val="9"/>
    <w:unhideWhenUsed/>
    <w:qFormat/>
    <w:rsid w:val="003F5327"/>
    <w:pPr>
      <w:keepNext/>
      <w:spacing w:before="180" w:after="120"/>
      <w:outlineLvl w:val="3"/>
    </w:pPr>
    <w:rPr>
      <w:rFonts w:ascii="Calibri" w:hAnsi="Calibri"/>
      <w:b/>
      <w:bCs/>
      <w:sz w:val="24"/>
      <w:szCs w:val="28"/>
      <w:lang w:val="bg-BG"/>
    </w:rPr>
  </w:style>
  <w:style w:type="paragraph" w:styleId="Heading5">
    <w:name w:val="heading 5"/>
    <w:basedOn w:val="Normal"/>
    <w:next w:val="Normal"/>
    <w:link w:val="Heading5Char"/>
    <w:uiPriority w:val="9"/>
    <w:unhideWhenUsed/>
    <w:qFormat/>
    <w:rsid w:val="00303D92"/>
    <w:pPr>
      <w:outlineLvl w:val="4"/>
    </w:pPr>
    <w:rPr>
      <w:rFonts w:asciiTheme="minorHAnsi" w:eastAsiaTheme="majorEastAsia" w:hAnsiTheme="minorHAnsi" w:cstheme="majorBidi"/>
      <w:b/>
      <w:color w:val="595959" w:themeColor="text1" w:themeTint="A6"/>
      <w:sz w:val="24"/>
      <w:szCs w:val="24"/>
      <w:lang w:eastAsia="en-AU"/>
    </w:rPr>
  </w:style>
  <w:style w:type="paragraph" w:styleId="Heading6">
    <w:name w:val="heading 6"/>
    <w:basedOn w:val="Normal"/>
    <w:next w:val="Normal"/>
    <w:link w:val="Heading6Char"/>
    <w:uiPriority w:val="9"/>
    <w:unhideWhenUsed/>
    <w:rsid w:val="007907A9"/>
    <w:pPr>
      <w:spacing w:line="271" w:lineRule="auto"/>
      <w:outlineLvl w:val="5"/>
    </w:pPr>
    <w:rPr>
      <w:rFonts w:eastAsiaTheme="majorEastAsia" w:cstheme="majorBidi"/>
      <w:b/>
      <w:bCs/>
      <w:i/>
      <w:iCs/>
      <w:color w:val="7F7F7F" w:themeColor="text1" w:themeTint="80"/>
      <w:sz w:val="24"/>
      <w:szCs w:val="24"/>
      <w:lang w:eastAsia="en-AU"/>
    </w:rPr>
  </w:style>
  <w:style w:type="paragraph" w:styleId="Heading7">
    <w:name w:val="heading 7"/>
    <w:basedOn w:val="Normal"/>
    <w:next w:val="Normal"/>
    <w:link w:val="Heading7Char"/>
    <w:uiPriority w:val="9"/>
    <w:unhideWhenUsed/>
    <w:qFormat/>
    <w:rsid w:val="00EA7C35"/>
    <w:pPr>
      <w:keepNext/>
      <w:outlineLvl w:val="6"/>
    </w:pPr>
    <w:rPr>
      <w:rFonts w:ascii="Calibri" w:hAnsi="Calibri" w:cs="Calibri"/>
      <w:i/>
      <w:sz w:val="24"/>
      <w:szCs w:val="24"/>
    </w:rPr>
  </w:style>
  <w:style w:type="paragraph" w:styleId="Heading8">
    <w:name w:val="heading 8"/>
    <w:basedOn w:val="Normal"/>
    <w:next w:val="Normal"/>
    <w:link w:val="Heading8Char"/>
    <w:uiPriority w:val="9"/>
    <w:unhideWhenUsed/>
    <w:qFormat/>
    <w:rsid w:val="007907A9"/>
    <w:pPr>
      <w:outlineLvl w:val="7"/>
    </w:pPr>
    <w:rPr>
      <w:rFonts w:eastAsiaTheme="majorEastAsia" w:cstheme="majorBidi"/>
      <w:lang w:eastAsia="en-AU"/>
    </w:rPr>
  </w:style>
  <w:style w:type="paragraph" w:styleId="Heading9">
    <w:name w:val="heading 9"/>
    <w:basedOn w:val="Normal"/>
    <w:next w:val="Normal"/>
    <w:link w:val="Heading9Char"/>
    <w:uiPriority w:val="9"/>
    <w:unhideWhenUsed/>
    <w:qFormat/>
    <w:rsid w:val="00C3315D"/>
    <w:pPr>
      <w:outlineLvl w:val="8"/>
    </w:pPr>
    <w:rPr>
      <w:rFonts w:ascii="Calibri" w:eastAsiaTheme="majorEastAsia" w:hAnsi="Calibri" w:cstheme="majorBidi"/>
      <w:b/>
      <w:iCs/>
      <w:color w:val="7F7F7F" w:themeColor="text1" w:themeTint="80"/>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6997"/>
    <w:pPr>
      <w:tabs>
        <w:tab w:val="center" w:pos="4153"/>
        <w:tab w:val="right" w:pos="8306"/>
      </w:tabs>
    </w:pPr>
  </w:style>
  <w:style w:type="paragraph" w:styleId="Footer">
    <w:name w:val="footer"/>
    <w:basedOn w:val="Normal"/>
    <w:link w:val="FooterChar"/>
    <w:uiPriority w:val="99"/>
    <w:rsid w:val="00B96997"/>
    <w:pPr>
      <w:tabs>
        <w:tab w:val="center" w:pos="4153"/>
        <w:tab w:val="right" w:pos="8306"/>
      </w:tabs>
    </w:pPr>
    <w:rPr>
      <w:lang w:val="bg-BG"/>
    </w:rPr>
  </w:style>
  <w:style w:type="paragraph" w:styleId="DocumentMap">
    <w:name w:val="Document Map"/>
    <w:basedOn w:val="Normal"/>
    <w:semiHidden/>
    <w:rsid w:val="003D727F"/>
    <w:pPr>
      <w:shd w:val="clear" w:color="auto" w:fill="000080"/>
    </w:pPr>
    <w:rPr>
      <w:rFonts w:ascii="Tahoma" w:hAnsi="Tahoma" w:cs="Tahoma"/>
    </w:rPr>
  </w:style>
  <w:style w:type="paragraph" w:styleId="BodyTextIndent2">
    <w:name w:val="Body Text Indent 2"/>
    <w:basedOn w:val="Normal"/>
    <w:link w:val="BodyTextIndent2Char"/>
    <w:rsid w:val="005872BD"/>
    <w:pPr>
      <w:spacing w:after="120" w:line="480" w:lineRule="auto"/>
      <w:ind w:left="283"/>
    </w:pPr>
    <w:rPr>
      <w:lang w:val="en-US" w:eastAsia="en-US"/>
    </w:rPr>
  </w:style>
  <w:style w:type="character" w:customStyle="1" w:styleId="BodyTextIndent2Char">
    <w:name w:val="Body Text Indent 2 Char"/>
    <w:link w:val="BodyTextIndent2"/>
    <w:locked/>
    <w:rsid w:val="005872BD"/>
    <w:rPr>
      <w:lang w:val="en-US" w:eastAsia="en-US" w:bidi="ar-SA"/>
    </w:rPr>
  </w:style>
  <w:style w:type="character" w:customStyle="1" w:styleId="Heading3Char">
    <w:name w:val="Heading 3 Char"/>
    <w:uiPriority w:val="9"/>
    <w:rsid w:val="00533A4A"/>
    <w:rPr>
      <w:rFonts w:ascii="Arial" w:hAnsi="Arial" w:cs="Arial"/>
      <w:b/>
      <w:bCs/>
      <w:sz w:val="24"/>
      <w:szCs w:val="26"/>
    </w:rPr>
  </w:style>
  <w:style w:type="table" w:styleId="TableGrid">
    <w:name w:val="Table Grid"/>
    <w:basedOn w:val="TableNormal"/>
    <w:rsid w:val="00996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1">
    <w:name w:val="Main Text 1"/>
    <w:basedOn w:val="Normal"/>
    <w:rsid w:val="00F87A5B"/>
    <w:pPr>
      <w:spacing w:after="120" w:line="360" w:lineRule="auto"/>
      <w:ind w:left="737"/>
      <w:jc w:val="both"/>
    </w:pPr>
    <w:rPr>
      <w:rFonts w:ascii="Arial" w:hAnsi="Arial"/>
      <w:bCs/>
      <w:lang w:eastAsia="en-US"/>
    </w:rPr>
  </w:style>
  <w:style w:type="character" w:styleId="PageNumber">
    <w:name w:val="page number"/>
    <w:basedOn w:val="DefaultParagraphFont"/>
    <w:rsid w:val="00AE5D6E"/>
  </w:style>
  <w:style w:type="paragraph" w:styleId="BalloonText">
    <w:name w:val="Balloon Text"/>
    <w:basedOn w:val="Normal"/>
    <w:link w:val="BalloonTextChar"/>
    <w:uiPriority w:val="99"/>
    <w:semiHidden/>
    <w:unhideWhenUsed/>
    <w:rsid w:val="00EF5AC2"/>
    <w:rPr>
      <w:rFonts w:ascii="Tahoma" w:hAnsi="Tahoma"/>
      <w:sz w:val="16"/>
      <w:szCs w:val="16"/>
      <w:lang w:val="bg-BG"/>
    </w:rPr>
  </w:style>
  <w:style w:type="character" w:customStyle="1" w:styleId="BalloonTextChar">
    <w:name w:val="Balloon Text Char"/>
    <w:link w:val="BalloonText"/>
    <w:uiPriority w:val="99"/>
    <w:semiHidden/>
    <w:rsid w:val="00EF5AC2"/>
    <w:rPr>
      <w:rFonts w:ascii="Tahoma" w:hAnsi="Tahoma" w:cs="Tahoma"/>
      <w:sz w:val="16"/>
      <w:szCs w:val="16"/>
      <w:lang w:val="bg-BG" w:eastAsia="bg-BG"/>
    </w:rPr>
  </w:style>
  <w:style w:type="character" w:styleId="CommentReference">
    <w:name w:val="annotation reference"/>
    <w:uiPriority w:val="99"/>
    <w:unhideWhenUsed/>
    <w:rsid w:val="00080902"/>
    <w:rPr>
      <w:sz w:val="16"/>
      <w:szCs w:val="16"/>
    </w:rPr>
  </w:style>
  <w:style w:type="paragraph" w:styleId="CommentText">
    <w:name w:val="annotation text"/>
    <w:basedOn w:val="Normal"/>
    <w:link w:val="CommentTextChar"/>
    <w:uiPriority w:val="99"/>
    <w:unhideWhenUsed/>
    <w:rsid w:val="00080902"/>
    <w:rPr>
      <w:lang w:val="bg-BG"/>
    </w:rPr>
  </w:style>
  <w:style w:type="character" w:customStyle="1" w:styleId="CommentTextChar">
    <w:name w:val="Comment Text Char"/>
    <w:link w:val="CommentText"/>
    <w:uiPriority w:val="99"/>
    <w:rsid w:val="00080902"/>
    <w:rPr>
      <w:lang w:val="bg-BG" w:eastAsia="bg-BG"/>
    </w:rPr>
  </w:style>
  <w:style w:type="paragraph" w:styleId="CommentSubject">
    <w:name w:val="annotation subject"/>
    <w:basedOn w:val="CommentText"/>
    <w:next w:val="CommentText"/>
    <w:link w:val="CommentSubjectChar"/>
    <w:uiPriority w:val="99"/>
    <w:unhideWhenUsed/>
    <w:rsid w:val="00080902"/>
    <w:rPr>
      <w:b/>
      <w:bCs/>
    </w:rPr>
  </w:style>
  <w:style w:type="character" w:customStyle="1" w:styleId="CommentSubjectChar">
    <w:name w:val="Comment Subject Char"/>
    <w:link w:val="CommentSubject"/>
    <w:uiPriority w:val="99"/>
    <w:rsid w:val="00080902"/>
    <w:rPr>
      <w:b/>
      <w:bCs/>
      <w:lang w:val="bg-BG" w:eastAsia="bg-BG"/>
    </w:rPr>
  </w:style>
  <w:style w:type="character" w:customStyle="1" w:styleId="Heading2Char">
    <w:name w:val="Heading 2 Char"/>
    <w:link w:val="Heading2"/>
    <w:rsid w:val="008D287F"/>
    <w:rPr>
      <w:rFonts w:ascii="Arial" w:hAnsi="Arial"/>
      <w:color w:val="00755E"/>
      <w:sz w:val="28"/>
      <w:szCs w:val="28"/>
      <w:lang w:eastAsia="bg-BG"/>
    </w:rPr>
  </w:style>
  <w:style w:type="character" w:customStyle="1" w:styleId="Heading4Char">
    <w:name w:val="Heading 4 Char"/>
    <w:uiPriority w:val="9"/>
    <w:rsid w:val="003A4F04"/>
    <w:rPr>
      <w:rFonts w:ascii="Calibri" w:hAnsi="Calibri" w:cs="Calibri"/>
      <w:b/>
      <w:bCs/>
      <w:i/>
      <w:sz w:val="24"/>
      <w:szCs w:val="24"/>
    </w:rPr>
  </w:style>
  <w:style w:type="paragraph" w:customStyle="1" w:styleId="Pa6">
    <w:name w:val="Pa6"/>
    <w:basedOn w:val="Normal"/>
    <w:next w:val="Normal"/>
    <w:uiPriority w:val="99"/>
    <w:rsid w:val="00602019"/>
    <w:pPr>
      <w:autoSpaceDE w:val="0"/>
      <w:autoSpaceDN w:val="0"/>
      <w:adjustRightInd w:val="0"/>
      <w:spacing w:line="521" w:lineRule="atLeast"/>
    </w:pPr>
    <w:rPr>
      <w:rFonts w:ascii="Filosofia Regular" w:hAnsi="Filosofia Regular"/>
      <w:sz w:val="24"/>
      <w:szCs w:val="24"/>
      <w:lang w:eastAsia="en-AU"/>
    </w:rPr>
  </w:style>
  <w:style w:type="paragraph" w:customStyle="1" w:styleId="Pa11">
    <w:name w:val="Pa11"/>
    <w:basedOn w:val="Normal"/>
    <w:next w:val="Normal"/>
    <w:uiPriority w:val="99"/>
    <w:rsid w:val="00602019"/>
    <w:pPr>
      <w:autoSpaceDE w:val="0"/>
      <w:autoSpaceDN w:val="0"/>
      <w:adjustRightInd w:val="0"/>
      <w:spacing w:line="271" w:lineRule="atLeast"/>
    </w:pPr>
    <w:rPr>
      <w:rFonts w:ascii="Filosofia Regular" w:hAnsi="Filosofia Regular"/>
      <w:sz w:val="24"/>
      <w:szCs w:val="24"/>
      <w:lang w:eastAsia="en-AU"/>
    </w:rPr>
  </w:style>
  <w:style w:type="paragraph" w:customStyle="1" w:styleId="Pa3">
    <w:name w:val="Pa3"/>
    <w:basedOn w:val="Normal"/>
    <w:next w:val="Normal"/>
    <w:uiPriority w:val="99"/>
    <w:rsid w:val="00602019"/>
    <w:pPr>
      <w:autoSpaceDE w:val="0"/>
      <w:autoSpaceDN w:val="0"/>
      <w:adjustRightInd w:val="0"/>
      <w:spacing w:line="181" w:lineRule="atLeast"/>
    </w:pPr>
    <w:rPr>
      <w:rFonts w:ascii="Filosofia Regular" w:hAnsi="Filosofia Regular"/>
      <w:sz w:val="24"/>
      <w:szCs w:val="24"/>
      <w:lang w:eastAsia="en-AU"/>
    </w:rPr>
  </w:style>
  <w:style w:type="paragraph" w:customStyle="1" w:styleId="Pa18">
    <w:name w:val="Pa18"/>
    <w:basedOn w:val="Normal"/>
    <w:next w:val="Normal"/>
    <w:uiPriority w:val="99"/>
    <w:rsid w:val="00602019"/>
    <w:pPr>
      <w:autoSpaceDE w:val="0"/>
      <w:autoSpaceDN w:val="0"/>
      <w:adjustRightInd w:val="0"/>
      <w:spacing w:line="201" w:lineRule="atLeast"/>
    </w:pPr>
    <w:rPr>
      <w:rFonts w:ascii="The Sans" w:hAnsi="The Sans"/>
      <w:sz w:val="24"/>
      <w:szCs w:val="24"/>
      <w:lang w:eastAsia="en-AU"/>
    </w:rPr>
  </w:style>
  <w:style w:type="paragraph" w:customStyle="1" w:styleId="Pa39">
    <w:name w:val="Pa39"/>
    <w:basedOn w:val="Normal"/>
    <w:next w:val="Normal"/>
    <w:uiPriority w:val="99"/>
    <w:rsid w:val="00A23B7F"/>
    <w:pPr>
      <w:autoSpaceDE w:val="0"/>
      <w:autoSpaceDN w:val="0"/>
      <w:adjustRightInd w:val="0"/>
      <w:spacing w:line="181" w:lineRule="atLeast"/>
    </w:pPr>
    <w:rPr>
      <w:rFonts w:ascii="Filosofia Regular" w:hAnsi="Filosofia Regular"/>
      <w:sz w:val="24"/>
      <w:szCs w:val="24"/>
      <w:lang w:eastAsia="en-AU"/>
    </w:rPr>
  </w:style>
  <w:style w:type="paragraph" w:styleId="Caption">
    <w:name w:val="caption"/>
    <w:basedOn w:val="Normal"/>
    <w:next w:val="Normal"/>
    <w:uiPriority w:val="35"/>
    <w:unhideWhenUsed/>
    <w:rsid w:val="00C73089"/>
    <w:pPr>
      <w:keepNext/>
      <w:spacing w:after="200" w:line="276" w:lineRule="auto"/>
    </w:pPr>
    <w:rPr>
      <w:rFonts w:ascii="Arial Bold" w:eastAsia="Calibri" w:hAnsi="Arial Bold"/>
      <w:b/>
      <w:bCs/>
      <w:sz w:val="18"/>
      <w:szCs w:val="18"/>
      <w:lang w:eastAsia="en-US"/>
    </w:rPr>
  </w:style>
  <w:style w:type="paragraph" w:styleId="TOC1">
    <w:name w:val="toc 1"/>
    <w:basedOn w:val="Normal"/>
    <w:next w:val="Normal"/>
    <w:autoRedefine/>
    <w:uiPriority w:val="39"/>
    <w:unhideWhenUsed/>
    <w:qFormat/>
    <w:rsid w:val="00AE4828"/>
    <w:pPr>
      <w:spacing w:before="240" w:after="120"/>
    </w:pPr>
    <w:rPr>
      <w:rFonts w:asciiTheme="minorHAnsi" w:hAnsiTheme="minorHAnsi"/>
      <w:bCs/>
    </w:rPr>
  </w:style>
  <w:style w:type="character" w:styleId="Hyperlink">
    <w:name w:val="Hyperlink"/>
    <w:uiPriority w:val="99"/>
    <w:unhideWhenUsed/>
    <w:rsid w:val="00C63322"/>
    <w:rPr>
      <w:color w:val="0000FF"/>
      <w:u w:val="single"/>
    </w:rPr>
  </w:style>
  <w:style w:type="paragraph" w:styleId="ListParagraph">
    <w:name w:val="List Paragraph"/>
    <w:basedOn w:val="Normal"/>
    <w:link w:val="ListParagraphChar"/>
    <w:uiPriority w:val="34"/>
    <w:qFormat/>
    <w:rsid w:val="00F32537"/>
    <w:pPr>
      <w:spacing w:after="200" w:line="276" w:lineRule="auto"/>
      <w:ind w:left="720"/>
      <w:contextualSpacing/>
    </w:pPr>
    <w:rPr>
      <w:rFonts w:ascii="Arial" w:eastAsia="Calibri" w:hAnsi="Arial"/>
      <w:sz w:val="22"/>
      <w:szCs w:val="22"/>
      <w:lang w:eastAsia="en-US"/>
    </w:rPr>
  </w:style>
  <w:style w:type="table" w:styleId="LightList-Accent3">
    <w:name w:val="Light List Accent 3"/>
    <w:basedOn w:val="TableNormal"/>
    <w:uiPriority w:val="61"/>
    <w:rsid w:val="00B22AF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HSbody">
    <w:name w:val="DHS body"/>
    <w:link w:val="DHSbodyChar"/>
    <w:rsid w:val="00F031B3"/>
    <w:pPr>
      <w:spacing w:after="120" w:line="270" w:lineRule="exact"/>
    </w:pPr>
    <w:rPr>
      <w:rFonts w:ascii="Arial" w:eastAsia="Times" w:hAnsi="Arial"/>
      <w:lang w:eastAsia="en-US"/>
    </w:rPr>
  </w:style>
  <w:style w:type="character" w:customStyle="1" w:styleId="DHSbodyChar">
    <w:name w:val="DHS body Char"/>
    <w:link w:val="DHSbody"/>
    <w:rsid w:val="00F031B3"/>
    <w:rPr>
      <w:rFonts w:ascii="Arial" w:eastAsia="Times" w:hAnsi="Arial"/>
      <w:lang w:eastAsia="en-US" w:bidi="ar-SA"/>
    </w:rPr>
  </w:style>
  <w:style w:type="paragraph" w:styleId="NormalWeb">
    <w:name w:val="Normal (Web)"/>
    <w:basedOn w:val="Normal"/>
    <w:uiPriority w:val="99"/>
    <w:rsid w:val="006D3A94"/>
    <w:pPr>
      <w:spacing w:before="100" w:beforeAutospacing="1" w:after="100" w:afterAutospacing="1"/>
    </w:pPr>
    <w:rPr>
      <w:sz w:val="24"/>
      <w:szCs w:val="24"/>
      <w:lang w:eastAsia="en-AU"/>
    </w:rPr>
  </w:style>
  <w:style w:type="character" w:styleId="Emphasis">
    <w:name w:val="Emphasis"/>
    <w:uiPriority w:val="20"/>
    <w:qFormat/>
    <w:rsid w:val="006D3A94"/>
    <w:rPr>
      <w:i/>
      <w:iCs/>
    </w:rPr>
  </w:style>
  <w:style w:type="paragraph" w:customStyle="1" w:styleId="doe-styleselement-p">
    <w:name w:val="doe-styleselement-p"/>
    <w:basedOn w:val="Normal"/>
    <w:uiPriority w:val="99"/>
    <w:semiHidden/>
    <w:rsid w:val="004A1BC0"/>
    <w:pPr>
      <w:spacing w:after="150"/>
    </w:pPr>
    <w:rPr>
      <w:rFonts w:ascii="Verdana" w:eastAsia="Calibri" w:hAnsi="Verdana"/>
      <w:color w:val="576170"/>
      <w:sz w:val="24"/>
      <w:szCs w:val="24"/>
      <w:lang w:eastAsia="en-AU"/>
    </w:rPr>
  </w:style>
  <w:style w:type="character" w:customStyle="1" w:styleId="TableFigTextChar">
    <w:name w:val="Table/Fig: Text Char"/>
    <w:link w:val="TableFigText"/>
    <w:uiPriority w:val="6"/>
    <w:locked/>
    <w:rsid w:val="00EB17A9"/>
    <w:rPr>
      <w:rFonts w:ascii="Arial" w:hAnsi="Arial" w:cs="Arial"/>
      <w:color w:val="000000"/>
      <w:sz w:val="16"/>
      <w:lang w:eastAsia="en-US"/>
    </w:rPr>
  </w:style>
  <w:style w:type="paragraph" w:customStyle="1" w:styleId="TableFigText">
    <w:name w:val="Table/Fig: Text"/>
    <w:basedOn w:val="Normal"/>
    <w:link w:val="TableFigTextChar"/>
    <w:uiPriority w:val="6"/>
    <w:rsid w:val="00EB17A9"/>
    <w:pPr>
      <w:keepLines/>
      <w:tabs>
        <w:tab w:val="left" w:pos="198"/>
      </w:tabs>
      <w:spacing w:before="60" w:after="60" w:line="200" w:lineRule="atLeast"/>
    </w:pPr>
    <w:rPr>
      <w:rFonts w:ascii="Arial" w:hAnsi="Arial"/>
      <w:color w:val="000000"/>
      <w:sz w:val="16"/>
      <w:lang w:eastAsia="en-US"/>
    </w:rPr>
  </w:style>
  <w:style w:type="character" w:customStyle="1" w:styleId="TableCaptionChar">
    <w:name w:val="Table: Caption Char"/>
    <w:link w:val="TableCaption"/>
    <w:locked/>
    <w:rsid w:val="00EB17A9"/>
    <w:rPr>
      <w:rFonts w:ascii="Book Antiqua" w:hAnsi="Book Antiqua"/>
      <w:b/>
      <w:color w:val="000000"/>
      <w:lang w:eastAsia="en-US"/>
    </w:rPr>
  </w:style>
  <w:style w:type="paragraph" w:customStyle="1" w:styleId="TableCaption">
    <w:name w:val="Table: Caption"/>
    <w:basedOn w:val="Normal"/>
    <w:next w:val="TableFigText"/>
    <w:link w:val="TableCaptionChar"/>
    <w:rsid w:val="00EB17A9"/>
    <w:pPr>
      <w:keepNext/>
      <w:keepLines/>
      <w:spacing w:before="240" w:after="120" w:line="240" w:lineRule="atLeast"/>
    </w:pPr>
    <w:rPr>
      <w:rFonts w:ascii="Book Antiqua" w:hAnsi="Book Antiqua"/>
      <w:b/>
      <w:color w:val="000000"/>
      <w:lang w:eastAsia="en-US"/>
    </w:rPr>
  </w:style>
  <w:style w:type="character" w:customStyle="1" w:styleId="TableFigHeadingtotalChar">
    <w:name w:val="Table/Fig: Heading &amp; total Char"/>
    <w:link w:val="TableFigHeadingtotal"/>
    <w:locked/>
    <w:rsid w:val="00EB17A9"/>
    <w:rPr>
      <w:rFonts w:ascii="Arial" w:hAnsi="Arial" w:cs="Arial"/>
      <w:b/>
      <w:color w:val="000000"/>
      <w:sz w:val="16"/>
      <w:lang w:eastAsia="en-US"/>
    </w:rPr>
  </w:style>
  <w:style w:type="paragraph" w:customStyle="1" w:styleId="TableFigHeadingtotal">
    <w:name w:val="Table/Fig: Heading &amp; total"/>
    <w:basedOn w:val="TableFigText"/>
    <w:next w:val="TableFigText"/>
    <w:link w:val="TableFigHeadingtotalChar"/>
    <w:rsid w:val="00EB17A9"/>
    <w:rPr>
      <w:b/>
    </w:rPr>
  </w:style>
  <w:style w:type="character" w:styleId="Strong">
    <w:name w:val="Strong"/>
    <w:uiPriority w:val="22"/>
    <w:qFormat/>
    <w:rsid w:val="00C253AA"/>
    <w:rPr>
      <w:b/>
      <w:bCs/>
    </w:rPr>
  </w:style>
  <w:style w:type="character" w:customStyle="1" w:styleId="FooterChar">
    <w:name w:val="Footer Char"/>
    <w:link w:val="Footer"/>
    <w:uiPriority w:val="99"/>
    <w:rsid w:val="00D326FC"/>
    <w:rPr>
      <w:lang w:val="bg-BG" w:eastAsia="bg-BG"/>
    </w:rPr>
  </w:style>
  <w:style w:type="character" w:styleId="BookTitle">
    <w:name w:val="Book Title"/>
    <w:uiPriority w:val="33"/>
    <w:qFormat/>
    <w:rsid w:val="006D2D2A"/>
    <w:rPr>
      <w:i/>
      <w:iCs/>
      <w:smallCaps/>
      <w:spacing w:val="5"/>
    </w:rPr>
  </w:style>
  <w:style w:type="character" w:customStyle="1" w:styleId="ListParagraphChar">
    <w:name w:val="List Paragraph Char"/>
    <w:link w:val="ListParagraph"/>
    <w:uiPriority w:val="34"/>
    <w:locked/>
    <w:rsid w:val="005A21EB"/>
    <w:rPr>
      <w:rFonts w:ascii="Arial" w:eastAsia="Calibri" w:hAnsi="Arial"/>
      <w:sz w:val="22"/>
      <w:szCs w:val="22"/>
      <w:lang w:eastAsia="en-US"/>
    </w:rPr>
  </w:style>
  <w:style w:type="paragraph" w:customStyle="1" w:styleId="TableFigSourcesfootnotes">
    <w:name w:val="Table/Fig: Sources &amp; footnotes"/>
    <w:rsid w:val="005973BF"/>
    <w:pPr>
      <w:keepLines/>
      <w:tabs>
        <w:tab w:val="left" w:pos="425"/>
        <w:tab w:val="left" w:pos="851"/>
      </w:tabs>
      <w:spacing w:before="120" w:after="240"/>
    </w:pPr>
    <w:rPr>
      <w:rFonts w:ascii="Arial" w:hAnsi="Arial" w:cs="Arial"/>
      <w:sz w:val="14"/>
      <w:lang w:eastAsia="en-US"/>
    </w:rPr>
  </w:style>
  <w:style w:type="paragraph" w:customStyle="1" w:styleId="Contents3">
    <w:name w:val="Contents 3"/>
    <w:basedOn w:val="Normal"/>
    <w:uiPriority w:val="99"/>
    <w:rsid w:val="005973BF"/>
  </w:style>
  <w:style w:type="paragraph" w:customStyle="1" w:styleId="Default">
    <w:name w:val="Default"/>
    <w:rsid w:val="00C02420"/>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unhideWhenUsed/>
    <w:qFormat/>
    <w:rsid w:val="00D213C1"/>
    <w:pPr>
      <w:ind w:left="400"/>
    </w:pPr>
    <w:rPr>
      <w:rFonts w:asciiTheme="minorHAnsi" w:hAnsiTheme="minorHAnsi"/>
    </w:rPr>
  </w:style>
  <w:style w:type="paragraph" w:styleId="TOC2">
    <w:name w:val="toc 2"/>
    <w:basedOn w:val="Normal"/>
    <w:next w:val="Normal"/>
    <w:autoRedefine/>
    <w:uiPriority w:val="39"/>
    <w:unhideWhenUsed/>
    <w:qFormat/>
    <w:rsid w:val="000433CA"/>
    <w:pPr>
      <w:spacing w:before="120"/>
      <w:ind w:left="200"/>
    </w:pPr>
    <w:rPr>
      <w:rFonts w:asciiTheme="minorHAnsi" w:hAnsiTheme="minorHAnsi"/>
      <w:iCs/>
    </w:rPr>
  </w:style>
  <w:style w:type="character" w:customStyle="1" w:styleId="Heading1Char">
    <w:name w:val="Heading 1 Char"/>
    <w:link w:val="Heading1"/>
    <w:rsid w:val="004134A3"/>
    <w:rPr>
      <w:rFonts w:ascii="Arial" w:hAnsi="Arial"/>
      <w:color w:val="00755E"/>
      <w:spacing w:val="-5"/>
      <w:w w:val="90"/>
      <w:sz w:val="52"/>
      <w:lang w:val="en-GB"/>
    </w:rPr>
  </w:style>
  <w:style w:type="paragraph" w:styleId="TableofFigures">
    <w:name w:val="table of figures"/>
    <w:basedOn w:val="Normal"/>
    <w:next w:val="Normal"/>
    <w:uiPriority w:val="99"/>
    <w:unhideWhenUsed/>
    <w:rsid w:val="003E3134"/>
    <w:rPr>
      <w:rFonts w:asciiTheme="minorHAnsi" w:hAnsiTheme="minorHAnsi"/>
      <w:iCs/>
    </w:rPr>
  </w:style>
  <w:style w:type="numbering" w:customStyle="1" w:styleId="ListBullets">
    <w:name w:val="ListBullets"/>
    <w:rsid w:val="000D23F3"/>
    <w:pPr>
      <w:numPr>
        <w:numId w:val="2"/>
      </w:numPr>
    </w:pPr>
  </w:style>
  <w:style w:type="character" w:customStyle="1" w:styleId="Heading3Char1">
    <w:name w:val="Heading 3 Char1"/>
    <w:uiPriority w:val="9"/>
    <w:rsid w:val="00B01DF5"/>
    <w:rPr>
      <w:rFonts w:ascii="Arial" w:eastAsia="Times New Roman" w:hAnsi="Arial" w:cs="Times New Roman"/>
      <w:b/>
      <w:bCs/>
      <w:sz w:val="24"/>
      <w:szCs w:val="26"/>
      <w:lang w:val="bg-BG" w:eastAsia="bg-BG"/>
    </w:rPr>
  </w:style>
  <w:style w:type="paragraph" w:styleId="ListBullet">
    <w:name w:val="List Bullet"/>
    <w:basedOn w:val="Normal"/>
    <w:uiPriority w:val="99"/>
    <w:unhideWhenUsed/>
    <w:qFormat/>
    <w:rsid w:val="00133365"/>
    <w:pPr>
      <w:numPr>
        <w:numId w:val="2"/>
      </w:numPr>
      <w:spacing w:before="120"/>
      <w:contextualSpacing/>
    </w:pPr>
    <w:rPr>
      <w:rFonts w:ascii="Calibri" w:hAnsi="Calibri"/>
      <w:sz w:val="24"/>
    </w:rPr>
  </w:style>
  <w:style w:type="paragraph" w:styleId="ListBullet2">
    <w:name w:val="List Bullet 2"/>
    <w:basedOn w:val="Normal"/>
    <w:uiPriority w:val="99"/>
    <w:unhideWhenUsed/>
    <w:qFormat/>
    <w:rsid w:val="001760F5"/>
    <w:pPr>
      <w:numPr>
        <w:ilvl w:val="1"/>
        <w:numId w:val="2"/>
      </w:numPr>
      <w:contextualSpacing/>
    </w:pPr>
    <w:rPr>
      <w:rFonts w:ascii="Calibri" w:hAnsi="Calibri"/>
      <w:sz w:val="24"/>
    </w:rPr>
  </w:style>
  <w:style w:type="paragraph" w:styleId="ListBullet3">
    <w:name w:val="List Bullet 3"/>
    <w:basedOn w:val="Normal"/>
    <w:uiPriority w:val="99"/>
    <w:unhideWhenUsed/>
    <w:qFormat/>
    <w:rsid w:val="00B914F4"/>
    <w:pPr>
      <w:numPr>
        <w:ilvl w:val="2"/>
        <w:numId w:val="2"/>
      </w:numPr>
      <w:contextualSpacing/>
    </w:pPr>
    <w:rPr>
      <w:rFonts w:ascii="Calibri" w:hAnsi="Calibri"/>
      <w:sz w:val="24"/>
    </w:rPr>
  </w:style>
  <w:style w:type="paragraph" w:styleId="ListBullet4">
    <w:name w:val="List Bullet 4"/>
    <w:basedOn w:val="Normal"/>
    <w:uiPriority w:val="99"/>
    <w:unhideWhenUsed/>
    <w:rsid w:val="000D23F3"/>
    <w:pPr>
      <w:numPr>
        <w:ilvl w:val="3"/>
        <w:numId w:val="2"/>
      </w:numPr>
      <w:contextualSpacing/>
    </w:pPr>
  </w:style>
  <w:style w:type="paragraph" w:styleId="ListBullet5">
    <w:name w:val="List Bullet 5"/>
    <w:basedOn w:val="Normal"/>
    <w:uiPriority w:val="99"/>
    <w:unhideWhenUsed/>
    <w:rsid w:val="000D23F3"/>
    <w:pPr>
      <w:numPr>
        <w:ilvl w:val="4"/>
        <w:numId w:val="2"/>
      </w:numPr>
      <w:contextualSpacing/>
    </w:pPr>
  </w:style>
  <w:style w:type="character" w:customStyle="1" w:styleId="Heading4Char1">
    <w:name w:val="Heading 4 Char1"/>
    <w:link w:val="Heading4"/>
    <w:uiPriority w:val="9"/>
    <w:rsid w:val="003F5327"/>
    <w:rPr>
      <w:rFonts w:ascii="Calibri" w:hAnsi="Calibri"/>
      <w:b/>
      <w:bCs/>
      <w:sz w:val="24"/>
      <w:szCs w:val="28"/>
      <w:lang w:val="bg-BG" w:eastAsia="bg-BG"/>
    </w:rPr>
  </w:style>
  <w:style w:type="paragraph" w:customStyle="1" w:styleId="Heading1white">
    <w:name w:val="Heading 1 white"/>
    <w:basedOn w:val="Heading1"/>
    <w:next w:val="Normal"/>
    <w:qFormat/>
    <w:rsid w:val="000873DF"/>
    <w:pPr>
      <w:jc w:val="center"/>
    </w:pPr>
    <w:rPr>
      <w:color w:val="FFFFFF"/>
      <w:w w:val="88"/>
    </w:rPr>
  </w:style>
  <w:style w:type="character" w:customStyle="1" w:styleId="Heading3Char2">
    <w:name w:val="Heading 3 Char2"/>
    <w:uiPriority w:val="9"/>
    <w:rsid w:val="00B202F8"/>
    <w:rPr>
      <w:rFonts w:ascii="Arial" w:eastAsia="Times New Roman" w:hAnsi="Arial" w:cs="Times New Roman"/>
      <w:b/>
      <w:bCs/>
      <w:sz w:val="28"/>
      <w:szCs w:val="26"/>
      <w:lang w:val="bg-BG" w:eastAsia="bg-BG"/>
    </w:rPr>
  </w:style>
  <w:style w:type="character" w:customStyle="1" w:styleId="Heading3Char3">
    <w:name w:val="Heading 3 Char3"/>
    <w:link w:val="Heading3"/>
    <w:rsid w:val="00C934B2"/>
    <w:rPr>
      <w:rFonts w:ascii="Arial" w:hAnsi="Arial"/>
      <w:bCs/>
      <w:color w:val="00755E"/>
      <w:sz w:val="24"/>
      <w:szCs w:val="26"/>
      <w:lang w:eastAsia="bg-BG"/>
    </w:rPr>
  </w:style>
  <w:style w:type="paragraph" w:customStyle="1" w:styleId="Contents1">
    <w:name w:val="Contents 1"/>
    <w:basedOn w:val="Heading1"/>
    <w:rsid w:val="008E0DBD"/>
    <w:pPr>
      <w:keepNext/>
      <w:widowControl/>
      <w:autoSpaceDE/>
      <w:autoSpaceDN/>
      <w:adjustRightInd/>
      <w:spacing w:before="240" w:after="60" w:line="240" w:lineRule="auto"/>
    </w:pPr>
    <w:rPr>
      <w:b/>
      <w:bCs/>
      <w:color w:val="auto"/>
      <w:spacing w:val="0"/>
      <w:w w:val="100"/>
      <w:kern w:val="32"/>
      <w:sz w:val="32"/>
      <w:szCs w:val="32"/>
      <w:lang w:val="en-AU"/>
    </w:rPr>
  </w:style>
  <w:style w:type="paragraph" w:customStyle="1" w:styleId="Contents2">
    <w:name w:val="Contents 2"/>
    <w:basedOn w:val="Heading2"/>
    <w:rsid w:val="008E0DBD"/>
    <w:pPr>
      <w:keepNext/>
      <w:spacing w:after="60"/>
    </w:pPr>
    <w:rPr>
      <w:b/>
      <w:bCs/>
      <w:iCs/>
      <w:noProof/>
      <w:szCs w:val="22"/>
      <w:lang w:val="en-US" w:eastAsia="en-AU"/>
    </w:rPr>
  </w:style>
  <w:style w:type="paragraph" w:customStyle="1" w:styleId="Contents4">
    <w:name w:val="Contents 4"/>
    <w:basedOn w:val="Contents3"/>
    <w:rsid w:val="008E0DBD"/>
    <w:pPr>
      <w:keepNext/>
      <w:spacing w:before="240" w:after="60"/>
      <w:outlineLvl w:val="2"/>
    </w:pPr>
    <w:rPr>
      <w:rFonts w:ascii="Arial" w:hAnsi="Arial" w:cs="Arial"/>
      <w:bCs/>
      <w:i/>
      <w:sz w:val="22"/>
      <w:szCs w:val="26"/>
      <w:lang w:eastAsia="en-AU"/>
    </w:rPr>
  </w:style>
  <w:style w:type="paragraph" w:styleId="TOCHeading">
    <w:name w:val="TOC Heading"/>
    <w:basedOn w:val="Heading1"/>
    <w:next w:val="Normal"/>
    <w:uiPriority w:val="39"/>
    <w:semiHidden/>
    <w:unhideWhenUsed/>
    <w:qFormat/>
    <w:rsid w:val="00D752F6"/>
    <w:pPr>
      <w:keepNext/>
      <w:keepLines/>
      <w:widowControl/>
      <w:autoSpaceDE/>
      <w:autoSpaceDN/>
      <w:adjustRightInd/>
      <w:spacing w:before="480" w:after="0" w:line="276" w:lineRule="auto"/>
      <w:outlineLvl w:val="9"/>
    </w:pPr>
    <w:rPr>
      <w:rFonts w:ascii="Cambria" w:hAnsi="Cambria"/>
      <w:b/>
      <w:bCs/>
      <w:color w:val="365F91"/>
      <w:spacing w:val="0"/>
      <w:w w:val="100"/>
      <w:sz w:val="28"/>
      <w:szCs w:val="28"/>
      <w:lang w:val="en-US" w:eastAsia="en-US"/>
    </w:rPr>
  </w:style>
  <w:style w:type="paragraph" w:styleId="TOC4">
    <w:name w:val="toc 4"/>
    <w:basedOn w:val="Normal"/>
    <w:next w:val="Normal"/>
    <w:autoRedefine/>
    <w:uiPriority w:val="39"/>
    <w:unhideWhenUsed/>
    <w:rsid w:val="00D752F6"/>
    <w:pPr>
      <w:ind w:left="600"/>
    </w:pPr>
    <w:rPr>
      <w:rFonts w:asciiTheme="minorHAnsi" w:hAnsiTheme="minorHAnsi"/>
    </w:rPr>
  </w:style>
  <w:style w:type="paragraph" w:styleId="TOC5">
    <w:name w:val="toc 5"/>
    <w:basedOn w:val="Normal"/>
    <w:next w:val="Normal"/>
    <w:autoRedefine/>
    <w:uiPriority w:val="39"/>
    <w:unhideWhenUsed/>
    <w:rsid w:val="00D752F6"/>
    <w:pPr>
      <w:ind w:left="800"/>
    </w:pPr>
    <w:rPr>
      <w:rFonts w:asciiTheme="minorHAnsi" w:hAnsiTheme="minorHAnsi"/>
    </w:rPr>
  </w:style>
  <w:style w:type="paragraph" w:styleId="TOC6">
    <w:name w:val="toc 6"/>
    <w:basedOn w:val="Normal"/>
    <w:next w:val="Normal"/>
    <w:autoRedefine/>
    <w:uiPriority w:val="39"/>
    <w:unhideWhenUsed/>
    <w:rsid w:val="00D752F6"/>
    <w:pPr>
      <w:ind w:left="1000"/>
    </w:pPr>
    <w:rPr>
      <w:rFonts w:asciiTheme="minorHAnsi" w:hAnsiTheme="minorHAnsi"/>
    </w:rPr>
  </w:style>
  <w:style w:type="paragraph" w:styleId="TOC7">
    <w:name w:val="toc 7"/>
    <w:basedOn w:val="Normal"/>
    <w:next w:val="Normal"/>
    <w:autoRedefine/>
    <w:uiPriority w:val="39"/>
    <w:unhideWhenUsed/>
    <w:rsid w:val="00D752F6"/>
    <w:pPr>
      <w:ind w:left="1200"/>
    </w:pPr>
    <w:rPr>
      <w:rFonts w:asciiTheme="minorHAnsi" w:hAnsiTheme="minorHAnsi"/>
    </w:rPr>
  </w:style>
  <w:style w:type="paragraph" w:styleId="TOC8">
    <w:name w:val="toc 8"/>
    <w:basedOn w:val="Normal"/>
    <w:next w:val="Normal"/>
    <w:autoRedefine/>
    <w:uiPriority w:val="39"/>
    <w:unhideWhenUsed/>
    <w:rsid w:val="00D752F6"/>
    <w:pPr>
      <w:ind w:left="1400"/>
    </w:pPr>
    <w:rPr>
      <w:rFonts w:asciiTheme="minorHAnsi" w:hAnsiTheme="minorHAnsi"/>
    </w:rPr>
  </w:style>
  <w:style w:type="paragraph" w:styleId="TOC9">
    <w:name w:val="toc 9"/>
    <w:basedOn w:val="Normal"/>
    <w:next w:val="Normal"/>
    <w:autoRedefine/>
    <w:uiPriority w:val="39"/>
    <w:unhideWhenUsed/>
    <w:rsid w:val="00D752F6"/>
    <w:pPr>
      <w:ind w:left="1600"/>
    </w:pPr>
    <w:rPr>
      <w:rFonts w:asciiTheme="minorHAnsi" w:hAnsiTheme="minorHAnsi"/>
    </w:rPr>
  </w:style>
  <w:style w:type="character" w:styleId="FollowedHyperlink">
    <w:name w:val="FollowedHyperlink"/>
    <w:unhideWhenUsed/>
    <w:rsid w:val="00812B95"/>
    <w:rPr>
      <w:color w:val="800080"/>
      <w:u w:val="single"/>
    </w:rPr>
  </w:style>
  <w:style w:type="paragraph" w:styleId="Revision">
    <w:name w:val="Revision"/>
    <w:hidden/>
    <w:uiPriority w:val="99"/>
    <w:semiHidden/>
    <w:rsid w:val="005F1F39"/>
    <w:rPr>
      <w:lang w:eastAsia="bg-BG"/>
    </w:rPr>
  </w:style>
  <w:style w:type="paragraph" w:styleId="PlainText">
    <w:name w:val="Plain Text"/>
    <w:basedOn w:val="Normal"/>
    <w:link w:val="PlainTextChar"/>
    <w:uiPriority w:val="99"/>
    <w:unhideWhenUsed/>
    <w:rsid w:val="00743A11"/>
    <w:rPr>
      <w:rFonts w:ascii="Calibri" w:eastAsia="Calibri" w:hAnsi="Calibri" w:cs="Consolas"/>
      <w:sz w:val="22"/>
      <w:szCs w:val="21"/>
      <w:lang w:eastAsia="en-US"/>
    </w:rPr>
  </w:style>
  <w:style w:type="character" w:customStyle="1" w:styleId="PlainTextChar">
    <w:name w:val="Plain Text Char"/>
    <w:link w:val="PlainText"/>
    <w:uiPriority w:val="99"/>
    <w:rsid w:val="00743A11"/>
    <w:rPr>
      <w:rFonts w:ascii="Calibri" w:eastAsia="Calibri" w:hAnsi="Calibri" w:cs="Consolas"/>
      <w:sz w:val="22"/>
      <w:szCs w:val="21"/>
      <w:lang w:eastAsia="en-US"/>
    </w:rPr>
  </w:style>
  <w:style w:type="character" w:customStyle="1" w:styleId="apple-converted-space">
    <w:name w:val="apple-converted-space"/>
    <w:rsid w:val="006A4347"/>
  </w:style>
  <w:style w:type="paragraph" w:styleId="ListNumber">
    <w:name w:val="List Number"/>
    <w:basedOn w:val="Normal"/>
    <w:rsid w:val="00AD7117"/>
    <w:pPr>
      <w:tabs>
        <w:tab w:val="num" w:pos="360"/>
      </w:tabs>
      <w:spacing w:line="360" w:lineRule="auto"/>
      <w:ind w:left="360" w:hanging="360"/>
    </w:pPr>
    <w:rPr>
      <w:rFonts w:ascii="Arial" w:hAnsi="Arial"/>
      <w:sz w:val="28"/>
      <w:lang w:eastAsia="en-US"/>
    </w:rPr>
  </w:style>
  <w:style w:type="character" w:customStyle="1" w:styleId="italic">
    <w:name w:val="italic"/>
    <w:basedOn w:val="DefaultParagraphFont"/>
    <w:rsid w:val="00372B82"/>
  </w:style>
  <w:style w:type="paragraph" w:styleId="FootnoteText">
    <w:name w:val="footnote text"/>
    <w:basedOn w:val="Normal"/>
    <w:link w:val="FootnoteTextChar"/>
    <w:semiHidden/>
    <w:rsid w:val="00372B82"/>
    <w:rPr>
      <w:lang w:eastAsia="en-AU"/>
    </w:rPr>
  </w:style>
  <w:style w:type="character" w:customStyle="1" w:styleId="FootnoteTextChar">
    <w:name w:val="Footnote Text Char"/>
    <w:basedOn w:val="DefaultParagraphFont"/>
    <w:link w:val="FootnoteText"/>
    <w:semiHidden/>
    <w:rsid w:val="00372B82"/>
  </w:style>
  <w:style w:type="character" w:styleId="FootnoteReference">
    <w:name w:val="footnote reference"/>
    <w:semiHidden/>
    <w:rsid w:val="00372B82"/>
    <w:rPr>
      <w:vertAlign w:val="superscript"/>
    </w:rPr>
  </w:style>
  <w:style w:type="character" w:customStyle="1" w:styleId="bold">
    <w:name w:val="bold"/>
    <w:basedOn w:val="DefaultParagraphFont"/>
    <w:rsid w:val="00372B82"/>
  </w:style>
  <w:style w:type="paragraph" w:customStyle="1" w:styleId="bold1">
    <w:name w:val="bold1"/>
    <w:basedOn w:val="Normal"/>
    <w:rsid w:val="00372B82"/>
    <w:pPr>
      <w:spacing w:before="100" w:beforeAutospacing="1" w:after="100" w:afterAutospacing="1"/>
    </w:pPr>
    <w:rPr>
      <w:sz w:val="24"/>
      <w:szCs w:val="24"/>
      <w:lang w:eastAsia="en-AU"/>
    </w:rPr>
  </w:style>
  <w:style w:type="paragraph" w:styleId="Title">
    <w:name w:val="Title"/>
    <w:basedOn w:val="Normal"/>
    <w:link w:val="TitleChar"/>
    <w:qFormat/>
    <w:rsid w:val="00ED33D2"/>
    <w:pPr>
      <w:spacing w:before="60" w:after="60"/>
    </w:pPr>
    <w:rPr>
      <w:rFonts w:ascii="Arial" w:hAnsi="Arial"/>
      <w:snapToGrid w:val="0"/>
      <w:color w:val="00755E"/>
      <w:sz w:val="52"/>
      <w:lang w:eastAsia="en-US"/>
    </w:rPr>
  </w:style>
  <w:style w:type="character" w:customStyle="1" w:styleId="TitleChar">
    <w:name w:val="Title Char"/>
    <w:basedOn w:val="DefaultParagraphFont"/>
    <w:link w:val="Title"/>
    <w:rsid w:val="00ED33D2"/>
    <w:rPr>
      <w:rFonts w:ascii="Arial" w:hAnsi="Arial"/>
      <w:snapToGrid w:val="0"/>
      <w:color w:val="00755E"/>
      <w:sz w:val="52"/>
      <w:lang w:eastAsia="en-US"/>
    </w:rPr>
  </w:style>
  <w:style w:type="paragraph" w:styleId="BodyTextIndent3">
    <w:name w:val="Body Text Indent 3"/>
    <w:basedOn w:val="Normal"/>
    <w:link w:val="BodyTextIndent3Char"/>
    <w:rsid w:val="00372B82"/>
    <w:pPr>
      <w:tabs>
        <w:tab w:val="left" w:pos="9027"/>
      </w:tabs>
      <w:ind w:left="567"/>
      <w:jc w:val="both"/>
    </w:pPr>
    <w:rPr>
      <w:rFonts w:ascii="Arial" w:hAnsi="Arial"/>
      <w:i/>
      <w:sz w:val="24"/>
      <w:lang w:eastAsia="en-US"/>
    </w:rPr>
  </w:style>
  <w:style w:type="character" w:customStyle="1" w:styleId="BodyTextIndent3Char">
    <w:name w:val="Body Text Indent 3 Char"/>
    <w:basedOn w:val="DefaultParagraphFont"/>
    <w:link w:val="BodyTextIndent3"/>
    <w:rsid w:val="00372B82"/>
    <w:rPr>
      <w:rFonts w:ascii="Arial" w:hAnsi="Arial"/>
      <w:i/>
      <w:sz w:val="24"/>
      <w:lang w:eastAsia="en-US"/>
    </w:rPr>
  </w:style>
  <w:style w:type="character" w:customStyle="1" w:styleId="HeaderChar">
    <w:name w:val="Header Char"/>
    <w:link w:val="Header"/>
    <w:uiPriority w:val="99"/>
    <w:rsid w:val="00372B82"/>
    <w:rPr>
      <w:lang w:eastAsia="bg-BG"/>
    </w:rPr>
  </w:style>
  <w:style w:type="paragraph" w:customStyle="1" w:styleId="StyleArial7ptBefore6pt">
    <w:name w:val="Style Arial 7 pt Before:  6 pt"/>
    <w:basedOn w:val="Normal"/>
    <w:next w:val="Normal"/>
    <w:rsid w:val="00A6091A"/>
    <w:pPr>
      <w:spacing w:before="120"/>
      <w:ind w:left="284" w:hanging="284"/>
    </w:pPr>
    <w:rPr>
      <w:rFonts w:ascii="Arial" w:hAnsi="Arial"/>
      <w:sz w:val="14"/>
    </w:rPr>
  </w:style>
  <w:style w:type="paragraph" w:customStyle="1" w:styleId="dashbullettable">
    <w:name w:val="dash bullet table"/>
    <w:basedOn w:val="ListParagraph"/>
    <w:rsid w:val="00372B82"/>
    <w:pPr>
      <w:numPr>
        <w:numId w:val="4"/>
      </w:numPr>
      <w:spacing w:before="60" w:after="60" w:line="240" w:lineRule="auto"/>
      <w:ind w:left="459" w:hanging="426"/>
    </w:pPr>
    <w:rPr>
      <w:rFonts w:eastAsia="Times New Roman" w:cs="Arial"/>
      <w:sz w:val="18"/>
      <w:szCs w:val="18"/>
      <w:lang w:eastAsia="en-AU"/>
    </w:rPr>
  </w:style>
  <w:style w:type="character" w:customStyle="1" w:styleId="Heading5Char">
    <w:name w:val="Heading 5 Char"/>
    <w:basedOn w:val="DefaultParagraphFont"/>
    <w:link w:val="Heading5"/>
    <w:uiPriority w:val="9"/>
    <w:rsid w:val="00303D92"/>
    <w:rPr>
      <w:rFonts w:asciiTheme="minorHAnsi" w:eastAsiaTheme="majorEastAsia" w:hAnsiTheme="minorHAnsi" w:cstheme="majorBidi"/>
      <w:b/>
      <w:color w:val="595959" w:themeColor="text1" w:themeTint="A6"/>
      <w:sz w:val="24"/>
      <w:szCs w:val="24"/>
    </w:rPr>
  </w:style>
  <w:style w:type="character" w:customStyle="1" w:styleId="Heading6Char">
    <w:name w:val="Heading 6 Char"/>
    <w:basedOn w:val="DefaultParagraphFont"/>
    <w:link w:val="Heading6"/>
    <w:uiPriority w:val="9"/>
    <w:rsid w:val="007907A9"/>
    <w:rPr>
      <w:rFonts w:eastAsiaTheme="majorEastAsia" w:cstheme="majorBidi"/>
      <w:b/>
      <w:bCs/>
      <w:i/>
      <w:iCs/>
      <w:color w:val="7F7F7F" w:themeColor="text1" w:themeTint="80"/>
      <w:sz w:val="24"/>
      <w:szCs w:val="24"/>
    </w:rPr>
  </w:style>
  <w:style w:type="character" w:customStyle="1" w:styleId="Heading7Char">
    <w:name w:val="Heading 7 Char"/>
    <w:basedOn w:val="DefaultParagraphFont"/>
    <w:link w:val="Heading7"/>
    <w:uiPriority w:val="9"/>
    <w:rsid w:val="00EA7C35"/>
    <w:rPr>
      <w:rFonts w:ascii="Calibri" w:hAnsi="Calibri" w:cs="Calibri"/>
      <w:i/>
      <w:sz w:val="24"/>
      <w:szCs w:val="24"/>
      <w:lang w:eastAsia="bg-BG"/>
    </w:rPr>
  </w:style>
  <w:style w:type="character" w:customStyle="1" w:styleId="Heading8Char">
    <w:name w:val="Heading 8 Char"/>
    <w:basedOn w:val="DefaultParagraphFont"/>
    <w:link w:val="Heading8"/>
    <w:uiPriority w:val="9"/>
    <w:rsid w:val="007907A9"/>
    <w:rPr>
      <w:rFonts w:eastAsiaTheme="majorEastAsia" w:cstheme="majorBidi"/>
    </w:rPr>
  </w:style>
  <w:style w:type="character" w:customStyle="1" w:styleId="Heading9Char">
    <w:name w:val="Heading 9 Char"/>
    <w:basedOn w:val="DefaultParagraphFont"/>
    <w:link w:val="Heading9"/>
    <w:uiPriority w:val="9"/>
    <w:rsid w:val="00C3315D"/>
    <w:rPr>
      <w:rFonts w:ascii="Calibri" w:eastAsiaTheme="majorEastAsia" w:hAnsi="Calibri" w:cstheme="majorBidi"/>
      <w:b/>
      <w:iCs/>
      <w:color w:val="7F7F7F" w:themeColor="text1" w:themeTint="80"/>
      <w:sz w:val="24"/>
      <w:szCs w:val="24"/>
    </w:rPr>
  </w:style>
  <w:style w:type="paragraph" w:styleId="NoSpacing">
    <w:name w:val="No Spacing"/>
    <w:basedOn w:val="Normal"/>
    <w:link w:val="NoSpacingChar"/>
    <w:uiPriority w:val="1"/>
    <w:rsid w:val="007907A9"/>
    <w:rPr>
      <w:sz w:val="24"/>
      <w:szCs w:val="24"/>
      <w:lang w:eastAsia="en-AU"/>
    </w:rPr>
  </w:style>
  <w:style w:type="paragraph" w:styleId="Subtitle">
    <w:name w:val="Subtitle"/>
    <w:basedOn w:val="Normal"/>
    <w:next w:val="Normal"/>
    <w:link w:val="SubtitleChar"/>
    <w:uiPriority w:val="11"/>
    <w:qFormat/>
    <w:rsid w:val="000433CA"/>
    <w:pPr>
      <w:spacing w:after="600"/>
    </w:pPr>
    <w:rPr>
      <w:rFonts w:eastAsiaTheme="majorEastAsia" w:cstheme="majorBidi"/>
      <w:iCs/>
      <w:spacing w:val="13"/>
      <w:sz w:val="24"/>
      <w:szCs w:val="24"/>
      <w:lang w:eastAsia="en-AU"/>
    </w:rPr>
  </w:style>
  <w:style w:type="character" w:customStyle="1" w:styleId="SubtitleChar">
    <w:name w:val="Subtitle Char"/>
    <w:basedOn w:val="DefaultParagraphFont"/>
    <w:link w:val="Subtitle"/>
    <w:uiPriority w:val="11"/>
    <w:rsid w:val="000433CA"/>
    <w:rPr>
      <w:rFonts w:eastAsiaTheme="majorEastAsia" w:cstheme="majorBidi"/>
      <w:iCs/>
      <w:spacing w:val="13"/>
      <w:sz w:val="24"/>
      <w:szCs w:val="24"/>
    </w:rPr>
  </w:style>
  <w:style w:type="character" w:styleId="SubtleEmphasis">
    <w:name w:val="Subtle Emphasis"/>
    <w:qFormat/>
    <w:rsid w:val="007907A9"/>
    <w:rPr>
      <w:i/>
      <w:iCs/>
    </w:rPr>
  </w:style>
  <w:style w:type="character" w:styleId="IntenseEmphasis">
    <w:name w:val="Intense Emphasis"/>
    <w:uiPriority w:val="21"/>
    <w:qFormat/>
    <w:rsid w:val="007907A9"/>
    <w:rPr>
      <w:b/>
      <w:bCs/>
    </w:rPr>
  </w:style>
  <w:style w:type="paragraph" w:styleId="Quote">
    <w:name w:val="Quote"/>
    <w:basedOn w:val="Normal"/>
    <w:next w:val="Normal"/>
    <w:link w:val="QuoteChar"/>
    <w:uiPriority w:val="29"/>
    <w:qFormat/>
    <w:rsid w:val="007907A9"/>
    <w:pPr>
      <w:spacing w:before="200"/>
      <w:ind w:left="360" w:right="360"/>
    </w:pPr>
    <w:rPr>
      <w:i/>
      <w:iCs/>
      <w:sz w:val="24"/>
      <w:szCs w:val="24"/>
      <w:lang w:eastAsia="en-AU"/>
    </w:rPr>
  </w:style>
  <w:style w:type="character" w:customStyle="1" w:styleId="QuoteChar">
    <w:name w:val="Quote Char"/>
    <w:basedOn w:val="DefaultParagraphFont"/>
    <w:link w:val="Quote"/>
    <w:uiPriority w:val="29"/>
    <w:rsid w:val="007907A9"/>
    <w:rPr>
      <w:i/>
      <w:iCs/>
      <w:sz w:val="24"/>
      <w:szCs w:val="24"/>
    </w:rPr>
  </w:style>
  <w:style w:type="paragraph" w:styleId="IntenseQuote">
    <w:name w:val="Intense Quote"/>
    <w:basedOn w:val="Normal"/>
    <w:next w:val="Normal"/>
    <w:link w:val="IntenseQuoteChar"/>
    <w:uiPriority w:val="30"/>
    <w:qFormat/>
    <w:rsid w:val="007907A9"/>
    <w:pPr>
      <w:pBdr>
        <w:bottom w:val="single" w:sz="4" w:space="1" w:color="auto"/>
      </w:pBdr>
      <w:spacing w:before="200" w:after="280"/>
      <w:ind w:left="1008" w:right="1152"/>
      <w:jc w:val="both"/>
    </w:pPr>
    <w:rPr>
      <w:b/>
      <w:bCs/>
      <w:i/>
      <w:iCs/>
      <w:sz w:val="24"/>
      <w:szCs w:val="24"/>
      <w:lang w:eastAsia="en-AU"/>
    </w:rPr>
  </w:style>
  <w:style w:type="character" w:customStyle="1" w:styleId="IntenseQuoteChar">
    <w:name w:val="Intense Quote Char"/>
    <w:basedOn w:val="DefaultParagraphFont"/>
    <w:link w:val="IntenseQuote"/>
    <w:uiPriority w:val="30"/>
    <w:rsid w:val="007907A9"/>
    <w:rPr>
      <w:b/>
      <w:bCs/>
      <w:i/>
      <w:iCs/>
      <w:sz w:val="24"/>
      <w:szCs w:val="24"/>
    </w:rPr>
  </w:style>
  <w:style w:type="character" w:styleId="SubtleReference">
    <w:name w:val="Subtle Reference"/>
    <w:uiPriority w:val="31"/>
    <w:qFormat/>
    <w:rsid w:val="007907A9"/>
    <w:rPr>
      <w:smallCaps/>
    </w:rPr>
  </w:style>
  <w:style w:type="character" w:styleId="IntenseReference">
    <w:name w:val="Intense Reference"/>
    <w:uiPriority w:val="32"/>
    <w:qFormat/>
    <w:rsid w:val="007907A9"/>
    <w:rPr>
      <w:smallCaps/>
      <w:spacing w:val="5"/>
      <w:u w:val="single"/>
    </w:rPr>
  </w:style>
  <w:style w:type="character" w:customStyle="1" w:styleId="NoSpacingChar">
    <w:name w:val="No Spacing Char"/>
    <w:basedOn w:val="DefaultParagraphFont"/>
    <w:link w:val="NoSpacing"/>
    <w:uiPriority w:val="1"/>
    <w:rsid w:val="007907A9"/>
    <w:rPr>
      <w:sz w:val="24"/>
      <w:szCs w:val="24"/>
    </w:rPr>
  </w:style>
  <w:style w:type="paragraph" w:customStyle="1" w:styleId="talkingpoint1stlevel">
    <w:name w:val="talkingpoint1stlevel"/>
    <w:basedOn w:val="Normal"/>
    <w:rsid w:val="007907A9"/>
    <w:pPr>
      <w:spacing w:before="180" w:after="180"/>
      <w:ind w:right="-522"/>
    </w:pPr>
    <w:rPr>
      <w:rFonts w:ascii="Arial" w:hAnsi="Arial" w:cs="Arial"/>
      <w:sz w:val="28"/>
      <w:szCs w:val="28"/>
      <w:lang w:eastAsia="en-AU"/>
    </w:rPr>
  </w:style>
  <w:style w:type="character" w:customStyle="1" w:styleId="Italiclight">
    <w:name w:val="Italic light"/>
    <w:uiPriority w:val="99"/>
    <w:rsid w:val="00B04282"/>
    <w:rPr>
      <w:i/>
      <w:iCs/>
    </w:rPr>
  </w:style>
  <w:style w:type="paragraph" w:styleId="EndnoteText">
    <w:name w:val="endnote text"/>
    <w:basedOn w:val="Normal"/>
    <w:link w:val="EndnoteTextChar"/>
    <w:uiPriority w:val="99"/>
    <w:semiHidden/>
    <w:unhideWhenUsed/>
    <w:rsid w:val="004F45D2"/>
  </w:style>
  <w:style w:type="character" w:customStyle="1" w:styleId="EndnoteTextChar">
    <w:name w:val="Endnote Text Char"/>
    <w:basedOn w:val="DefaultParagraphFont"/>
    <w:link w:val="EndnoteText"/>
    <w:uiPriority w:val="99"/>
    <w:semiHidden/>
    <w:rsid w:val="004F45D2"/>
    <w:rPr>
      <w:lang w:eastAsia="bg-BG"/>
    </w:rPr>
  </w:style>
  <w:style w:type="character" w:styleId="EndnoteReference">
    <w:name w:val="endnote reference"/>
    <w:basedOn w:val="DefaultParagraphFont"/>
    <w:uiPriority w:val="99"/>
    <w:semiHidden/>
    <w:unhideWhenUsed/>
    <w:rsid w:val="004F45D2"/>
    <w:rPr>
      <w:vertAlign w:val="superscript"/>
    </w:rPr>
  </w:style>
  <w:style w:type="paragraph" w:customStyle="1" w:styleId="BodyText1">
    <w:name w:val="Body Text1"/>
    <w:basedOn w:val="Normal"/>
    <w:rsid w:val="007E48AC"/>
    <w:pPr>
      <w:widowControl w:val="0"/>
      <w:suppressAutoHyphens/>
      <w:autoSpaceDE w:val="0"/>
      <w:autoSpaceDN w:val="0"/>
      <w:adjustRightInd w:val="0"/>
      <w:spacing w:after="113" w:line="240" w:lineRule="atLeast"/>
      <w:textAlignment w:val="center"/>
    </w:pPr>
    <w:rPr>
      <w:rFonts w:ascii="TheSans-B3Light" w:hAnsi="TheSans-B3Light"/>
      <w:color w:val="000000"/>
      <w:sz w:val="18"/>
      <w:lang w:val="en-GB" w:eastAsia="en-AU"/>
    </w:rPr>
  </w:style>
  <w:style w:type="paragraph" w:customStyle="1" w:styleId="BasicParagraph">
    <w:name w:val="[Basic Paragraph]"/>
    <w:basedOn w:val="Normal"/>
    <w:rsid w:val="00637903"/>
    <w:pPr>
      <w:widowControl w:val="0"/>
      <w:autoSpaceDE w:val="0"/>
      <w:autoSpaceDN w:val="0"/>
      <w:adjustRightInd w:val="0"/>
      <w:spacing w:line="288" w:lineRule="auto"/>
      <w:textAlignment w:val="center"/>
    </w:pPr>
    <w:rPr>
      <w:rFonts w:ascii="Times-Roman" w:hAnsi="Times-Roman"/>
      <w:color w:val="000000"/>
      <w:sz w:val="24"/>
      <w:lang w:val="en-GB" w:eastAsia="en-AU"/>
    </w:rPr>
  </w:style>
  <w:style w:type="character" w:customStyle="1" w:styleId="StyleBodyCalibri12pt">
    <w:name w:val="Style +Body (Calibri) 12 pt"/>
    <w:basedOn w:val="DefaultParagraphFont"/>
    <w:rsid w:val="00DC1B19"/>
    <w:rPr>
      <w:rFonts w:asciiTheme="minorHAnsi" w:hAnsiTheme="minorHAnsi"/>
      <w:sz w:val="24"/>
    </w:rPr>
  </w:style>
  <w:style w:type="paragraph" w:customStyle="1" w:styleId="StyleBodyCalibri12ptBoldBefore6ptAfter3pt">
    <w:name w:val="Style +Body (Calibri) 12 pt Bold Before:  6 pt After:  3 pt"/>
    <w:basedOn w:val="Normal"/>
    <w:rsid w:val="000433CA"/>
    <w:pPr>
      <w:spacing w:before="120" w:after="60"/>
    </w:pPr>
    <w:rPr>
      <w:rFonts w:asciiTheme="minorHAnsi" w:hAnsiTheme="minorHAnsi"/>
      <w:b/>
      <w:bCs/>
      <w:sz w:val="24"/>
    </w:rPr>
  </w:style>
  <w:style w:type="paragraph" w:styleId="BodyText">
    <w:name w:val="Body Text"/>
    <w:basedOn w:val="Normal"/>
    <w:link w:val="BodyTextChar"/>
    <w:uiPriority w:val="99"/>
    <w:unhideWhenUsed/>
    <w:rsid w:val="00881E61"/>
    <w:pPr>
      <w:spacing w:after="120"/>
    </w:pPr>
  </w:style>
  <w:style w:type="character" w:customStyle="1" w:styleId="BodyTextChar">
    <w:name w:val="Body Text Char"/>
    <w:basedOn w:val="DefaultParagraphFont"/>
    <w:link w:val="BodyText"/>
    <w:uiPriority w:val="99"/>
    <w:rsid w:val="00881E61"/>
    <w:rPr>
      <w:lang w:eastAsia="bg-BG"/>
    </w:rPr>
  </w:style>
  <w:style w:type="paragraph" w:customStyle="1" w:styleId="StyleArial7ptBefore6pt1">
    <w:name w:val="Style Arial 7 pt Before:  6 pt1"/>
    <w:basedOn w:val="Normal"/>
    <w:next w:val="Normal"/>
    <w:rsid w:val="00A6091A"/>
    <w:pPr>
      <w:spacing w:before="120"/>
      <w:ind w:left="340" w:hanging="340"/>
    </w:pPr>
    <w:rPr>
      <w:rFonts w:ascii="Arial" w:hAnsi="Arial"/>
      <w:sz w:val="14"/>
    </w:rPr>
  </w:style>
  <w:style w:type="paragraph" w:customStyle="1" w:styleId="StyleArial7ptLeft0cmHanging05cmBefore6pt">
    <w:name w:val="Style Arial 7 pt Left:  0 cm Hanging:  0.5 cm Before:  6 pt"/>
    <w:basedOn w:val="Normal"/>
    <w:rsid w:val="00D66FAA"/>
    <w:pPr>
      <w:spacing w:before="120"/>
      <w:ind w:left="567" w:hanging="567"/>
    </w:pPr>
    <w:rPr>
      <w:rFonts w:ascii="Arial" w:hAnsi="Arial"/>
      <w:sz w:val="14"/>
    </w:rPr>
  </w:style>
  <w:style w:type="paragraph" w:customStyle="1" w:styleId="StyleArial7ptLeft0cmHanging075cmBefore6pt">
    <w:name w:val="Style Arial 7 pt Left:  0 cm Hanging:  0.75 cm Before:  6 pt"/>
    <w:basedOn w:val="Normal"/>
    <w:rsid w:val="00343B82"/>
    <w:pPr>
      <w:spacing w:before="120"/>
      <w:ind w:left="567" w:hanging="567"/>
    </w:pPr>
    <w:rPr>
      <w:rFonts w:ascii="Arial" w:hAnsi="Arial"/>
      <w:sz w:val="14"/>
    </w:rPr>
  </w:style>
  <w:style w:type="paragraph" w:customStyle="1" w:styleId="StyleArial7ptLeft0cmHanging075cmBefore6pt1">
    <w:name w:val="Style Arial 7 pt Left:  0 cm Hanging:  0.75 cm Before:  6 pt1"/>
    <w:basedOn w:val="Normal"/>
    <w:rsid w:val="00343B82"/>
    <w:pPr>
      <w:spacing w:before="120"/>
      <w:ind w:left="567" w:hanging="567"/>
    </w:pPr>
    <w:rPr>
      <w:rFonts w:ascii="Arial" w:hAnsi="Arial"/>
      <w:sz w:val="14"/>
    </w:rPr>
  </w:style>
  <w:style w:type="paragraph" w:customStyle="1" w:styleId="Figure">
    <w:name w:val="Figure"/>
    <w:basedOn w:val="Normal"/>
    <w:next w:val="Normal"/>
    <w:qFormat/>
    <w:rsid w:val="00FF0B09"/>
    <w:pPr>
      <w:spacing w:after="120"/>
    </w:pPr>
    <w:rPr>
      <w:rFonts w:ascii="Arial" w:hAnsi="Arial"/>
      <w:b/>
    </w:rPr>
  </w:style>
  <w:style w:type="paragraph" w:customStyle="1" w:styleId="Heading4a">
    <w:name w:val="Heading 4a"/>
    <w:basedOn w:val="Heading5"/>
    <w:next w:val="Normal"/>
    <w:qFormat/>
    <w:rsid w:val="00C35779"/>
    <w:pPr>
      <w:outlineLvl w:val="3"/>
    </w:pPr>
  </w:style>
  <w:style w:type="character" w:customStyle="1" w:styleId="StyleBodyCalibri12ptItalic">
    <w:name w:val="Style +Body (Calibri) 12 pt Italic"/>
    <w:basedOn w:val="DefaultParagraphFont"/>
    <w:rsid w:val="000433CA"/>
    <w:rPr>
      <w:rFonts w:asciiTheme="minorHAnsi" w:hAnsiTheme="minorHAnsi"/>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1408">
      <w:bodyDiv w:val="1"/>
      <w:marLeft w:val="0"/>
      <w:marRight w:val="0"/>
      <w:marTop w:val="0"/>
      <w:marBottom w:val="0"/>
      <w:divBdr>
        <w:top w:val="none" w:sz="0" w:space="0" w:color="auto"/>
        <w:left w:val="none" w:sz="0" w:space="0" w:color="auto"/>
        <w:bottom w:val="none" w:sz="0" w:space="0" w:color="auto"/>
        <w:right w:val="none" w:sz="0" w:space="0" w:color="auto"/>
      </w:divBdr>
      <w:divsChild>
        <w:div w:id="1005472957">
          <w:marLeft w:val="0"/>
          <w:marRight w:val="0"/>
          <w:marTop w:val="0"/>
          <w:marBottom w:val="0"/>
          <w:divBdr>
            <w:top w:val="none" w:sz="0" w:space="0" w:color="auto"/>
            <w:left w:val="none" w:sz="0" w:space="0" w:color="auto"/>
            <w:bottom w:val="none" w:sz="0" w:space="0" w:color="auto"/>
            <w:right w:val="none" w:sz="0" w:space="0" w:color="auto"/>
          </w:divBdr>
          <w:divsChild>
            <w:div w:id="267584207">
              <w:marLeft w:val="0"/>
              <w:marRight w:val="0"/>
              <w:marTop w:val="0"/>
              <w:marBottom w:val="0"/>
              <w:divBdr>
                <w:top w:val="none" w:sz="0" w:space="0" w:color="auto"/>
                <w:left w:val="none" w:sz="0" w:space="0" w:color="auto"/>
                <w:bottom w:val="none" w:sz="0" w:space="0" w:color="auto"/>
                <w:right w:val="none" w:sz="0" w:space="0" w:color="auto"/>
              </w:divBdr>
              <w:divsChild>
                <w:div w:id="748385499">
                  <w:marLeft w:val="0"/>
                  <w:marRight w:val="0"/>
                  <w:marTop w:val="0"/>
                  <w:marBottom w:val="0"/>
                  <w:divBdr>
                    <w:top w:val="none" w:sz="0" w:space="0" w:color="auto"/>
                    <w:left w:val="none" w:sz="0" w:space="0" w:color="auto"/>
                    <w:bottom w:val="none" w:sz="0" w:space="0" w:color="auto"/>
                    <w:right w:val="none" w:sz="0" w:space="0" w:color="auto"/>
                  </w:divBdr>
                  <w:divsChild>
                    <w:div w:id="1655602886">
                      <w:marLeft w:val="0"/>
                      <w:marRight w:val="0"/>
                      <w:marTop w:val="0"/>
                      <w:marBottom w:val="600"/>
                      <w:divBdr>
                        <w:top w:val="none" w:sz="0" w:space="0" w:color="auto"/>
                        <w:left w:val="none" w:sz="0" w:space="0" w:color="auto"/>
                        <w:bottom w:val="none" w:sz="0" w:space="0" w:color="auto"/>
                        <w:right w:val="none" w:sz="0" w:space="0" w:color="auto"/>
                      </w:divBdr>
                      <w:divsChild>
                        <w:div w:id="1191071909">
                          <w:marLeft w:val="0"/>
                          <w:marRight w:val="0"/>
                          <w:marTop w:val="0"/>
                          <w:marBottom w:val="0"/>
                          <w:divBdr>
                            <w:top w:val="none" w:sz="0" w:space="0" w:color="auto"/>
                            <w:left w:val="none" w:sz="0" w:space="0" w:color="auto"/>
                            <w:bottom w:val="none" w:sz="0" w:space="0" w:color="auto"/>
                            <w:right w:val="none" w:sz="0" w:space="0" w:color="auto"/>
                          </w:divBdr>
                          <w:divsChild>
                            <w:div w:id="1034113131">
                              <w:marLeft w:val="0"/>
                              <w:marRight w:val="0"/>
                              <w:marTop w:val="0"/>
                              <w:marBottom w:val="0"/>
                              <w:divBdr>
                                <w:top w:val="none" w:sz="0" w:space="0" w:color="auto"/>
                                <w:left w:val="none" w:sz="0" w:space="0" w:color="auto"/>
                                <w:bottom w:val="none" w:sz="0" w:space="0" w:color="auto"/>
                                <w:right w:val="none" w:sz="0" w:space="0" w:color="auto"/>
                              </w:divBdr>
                              <w:divsChild>
                                <w:div w:id="1697656523">
                                  <w:marLeft w:val="0"/>
                                  <w:marRight w:val="0"/>
                                  <w:marTop w:val="0"/>
                                  <w:marBottom w:val="0"/>
                                  <w:divBdr>
                                    <w:top w:val="none" w:sz="0" w:space="0" w:color="auto"/>
                                    <w:left w:val="none" w:sz="0" w:space="0" w:color="auto"/>
                                    <w:bottom w:val="none" w:sz="0" w:space="0" w:color="auto"/>
                                    <w:right w:val="none" w:sz="0" w:space="0" w:color="auto"/>
                                  </w:divBdr>
                                  <w:divsChild>
                                    <w:div w:id="2030600000">
                                      <w:marLeft w:val="0"/>
                                      <w:marRight w:val="0"/>
                                      <w:marTop w:val="0"/>
                                      <w:marBottom w:val="0"/>
                                      <w:divBdr>
                                        <w:top w:val="none" w:sz="0" w:space="0" w:color="auto"/>
                                        <w:left w:val="none" w:sz="0" w:space="0" w:color="auto"/>
                                        <w:bottom w:val="none" w:sz="0" w:space="0" w:color="auto"/>
                                        <w:right w:val="none" w:sz="0" w:space="0" w:color="auto"/>
                                      </w:divBdr>
                                      <w:divsChild>
                                        <w:div w:id="1193880819">
                                          <w:marLeft w:val="0"/>
                                          <w:marRight w:val="0"/>
                                          <w:marTop w:val="0"/>
                                          <w:marBottom w:val="0"/>
                                          <w:divBdr>
                                            <w:top w:val="none" w:sz="0" w:space="0" w:color="auto"/>
                                            <w:left w:val="none" w:sz="0" w:space="0" w:color="auto"/>
                                            <w:bottom w:val="none" w:sz="0" w:space="0" w:color="auto"/>
                                            <w:right w:val="none" w:sz="0" w:space="0" w:color="auto"/>
                                          </w:divBdr>
                                          <w:divsChild>
                                            <w:div w:id="61609887">
                                              <w:marLeft w:val="0"/>
                                              <w:marRight w:val="0"/>
                                              <w:marTop w:val="0"/>
                                              <w:marBottom w:val="0"/>
                                              <w:divBdr>
                                                <w:top w:val="none" w:sz="0" w:space="0" w:color="auto"/>
                                                <w:left w:val="none" w:sz="0" w:space="0" w:color="auto"/>
                                                <w:bottom w:val="none" w:sz="0" w:space="0" w:color="auto"/>
                                                <w:right w:val="none" w:sz="0" w:space="0" w:color="auto"/>
                                              </w:divBdr>
                                              <w:divsChild>
                                                <w:div w:id="1375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01605">
      <w:bodyDiv w:val="1"/>
      <w:marLeft w:val="0"/>
      <w:marRight w:val="0"/>
      <w:marTop w:val="0"/>
      <w:marBottom w:val="0"/>
      <w:divBdr>
        <w:top w:val="none" w:sz="0" w:space="0" w:color="auto"/>
        <w:left w:val="none" w:sz="0" w:space="0" w:color="auto"/>
        <w:bottom w:val="none" w:sz="0" w:space="0" w:color="auto"/>
        <w:right w:val="none" w:sz="0" w:space="0" w:color="auto"/>
      </w:divBdr>
    </w:div>
    <w:div w:id="104663457">
      <w:bodyDiv w:val="1"/>
      <w:marLeft w:val="0"/>
      <w:marRight w:val="0"/>
      <w:marTop w:val="0"/>
      <w:marBottom w:val="0"/>
      <w:divBdr>
        <w:top w:val="none" w:sz="0" w:space="0" w:color="auto"/>
        <w:left w:val="none" w:sz="0" w:space="0" w:color="auto"/>
        <w:bottom w:val="none" w:sz="0" w:space="0" w:color="auto"/>
        <w:right w:val="none" w:sz="0" w:space="0" w:color="auto"/>
      </w:divBdr>
      <w:divsChild>
        <w:div w:id="1947929597">
          <w:marLeft w:val="0"/>
          <w:marRight w:val="0"/>
          <w:marTop w:val="0"/>
          <w:marBottom w:val="0"/>
          <w:divBdr>
            <w:top w:val="none" w:sz="0" w:space="0" w:color="auto"/>
            <w:left w:val="none" w:sz="0" w:space="0" w:color="auto"/>
            <w:bottom w:val="none" w:sz="0" w:space="0" w:color="auto"/>
            <w:right w:val="none" w:sz="0" w:space="0" w:color="auto"/>
          </w:divBdr>
          <w:divsChild>
            <w:div w:id="1166438277">
              <w:marLeft w:val="0"/>
              <w:marRight w:val="0"/>
              <w:marTop w:val="0"/>
              <w:marBottom w:val="0"/>
              <w:divBdr>
                <w:top w:val="none" w:sz="0" w:space="0" w:color="auto"/>
                <w:left w:val="none" w:sz="0" w:space="0" w:color="auto"/>
                <w:bottom w:val="none" w:sz="0" w:space="0" w:color="auto"/>
                <w:right w:val="none" w:sz="0" w:space="0" w:color="auto"/>
              </w:divBdr>
              <w:divsChild>
                <w:div w:id="1963270281">
                  <w:marLeft w:val="0"/>
                  <w:marRight w:val="0"/>
                  <w:marTop w:val="0"/>
                  <w:marBottom w:val="0"/>
                  <w:divBdr>
                    <w:top w:val="none" w:sz="0" w:space="0" w:color="auto"/>
                    <w:left w:val="none" w:sz="0" w:space="0" w:color="auto"/>
                    <w:bottom w:val="none" w:sz="0" w:space="0" w:color="auto"/>
                    <w:right w:val="none" w:sz="0" w:space="0" w:color="auto"/>
                  </w:divBdr>
                  <w:divsChild>
                    <w:div w:id="11677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024">
      <w:bodyDiv w:val="1"/>
      <w:marLeft w:val="0"/>
      <w:marRight w:val="0"/>
      <w:marTop w:val="0"/>
      <w:marBottom w:val="0"/>
      <w:divBdr>
        <w:top w:val="none" w:sz="0" w:space="0" w:color="auto"/>
        <w:left w:val="none" w:sz="0" w:space="0" w:color="auto"/>
        <w:bottom w:val="none" w:sz="0" w:space="0" w:color="auto"/>
        <w:right w:val="none" w:sz="0" w:space="0" w:color="auto"/>
      </w:divBdr>
      <w:divsChild>
        <w:div w:id="525950549">
          <w:marLeft w:val="0"/>
          <w:marRight w:val="0"/>
          <w:marTop w:val="0"/>
          <w:marBottom w:val="0"/>
          <w:divBdr>
            <w:top w:val="none" w:sz="0" w:space="0" w:color="auto"/>
            <w:left w:val="none" w:sz="0" w:space="0" w:color="auto"/>
            <w:bottom w:val="none" w:sz="0" w:space="0" w:color="auto"/>
            <w:right w:val="none" w:sz="0" w:space="0" w:color="auto"/>
          </w:divBdr>
          <w:divsChild>
            <w:div w:id="534855338">
              <w:marLeft w:val="0"/>
              <w:marRight w:val="0"/>
              <w:marTop w:val="0"/>
              <w:marBottom w:val="0"/>
              <w:divBdr>
                <w:top w:val="none" w:sz="0" w:space="0" w:color="auto"/>
                <w:left w:val="none" w:sz="0" w:space="0" w:color="auto"/>
                <w:bottom w:val="none" w:sz="0" w:space="0" w:color="auto"/>
                <w:right w:val="none" w:sz="0" w:space="0" w:color="auto"/>
              </w:divBdr>
              <w:divsChild>
                <w:div w:id="134297491">
                  <w:marLeft w:val="0"/>
                  <w:marRight w:val="0"/>
                  <w:marTop w:val="0"/>
                  <w:marBottom w:val="0"/>
                  <w:divBdr>
                    <w:top w:val="none" w:sz="0" w:space="0" w:color="auto"/>
                    <w:left w:val="none" w:sz="0" w:space="0" w:color="auto"/>
                    <w:bottom w:val="none" w:sz="0" w:space="0" w:color="auto"/>
                    <w:right w:val="none" w:sz="0" w:space="0" w:color="auto"/>
                  </w:divBdr>
                  <w:divsChild>
                    <w:div w:id="715129106">
                      <w:marLeft w:val="0"/>
                      <w:marRight w:val="0"/>
                      <w:marTop w:val="0"/>
                      <w:marBottom w:val="0"/>
                      <w:divBdr>
                        <w:top w:val="none" w:sz="0" w:space="0" w:color="auto"/>
                        <w:left w:val="none" w:sz="0" w:space="0" w:color="auto"/>
                        <w:bottom w:val="none" w:sz="0" w:space="0" w:color="auto"/>
                        <w:right w:val="none" w:sz="0" w:space="0" w:color="auto"/>
                      </w:divBdr>
                      <w:divsChild>
                        <w:div w:id="87387588">
                          <w:marLeft w:val="0"/>
                          <w:marRight w:val="0"/>
                          <w:marTop w:val="0"/>
                          <w:marBottom w:val="0"/>
                          <w:divBdr>
                            <w:top w:val="none" w:sz="0" w:space="0" w:color="auto"/>
                            <w:left w:val="none" w:sz="0" w:space="0" w:color="auto"/>
                            <w:bottom w:val="none" w:sz="0" w:space="0" w:color="auto"/>
                            <w:right w:val="none" w:sz="0" w:space="0" w:color="auto"/>
                          </w:divBdr>
                          <w:divsChild>
                            <w:div w:id="1301155714">
                              <w:marLeft w:val="0"/>
                              <w:marRight w:val="0"/>
                              <w:marTop w:val="0"/>
                              <w:marBottom w:val="0"/>
                              <w:divBdr>
                                <w:top w:val="none" w:sz="0" w:space="0" w:color="auto"/>
                                <w:left w:val="none" w:sz="0" w:space="0" w:color="auto"/>
                                <w:bottom w:val="none" w:sz="0" w:space="0" w:color="auto"/>
                                <w:right w:val="none" w:sz="0" w:space="0" w:color="auto"/>
                              </w:divBdr>
                              <w:divsChild>
                                <w:div w:id="18637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4770">
      <w:bodyDiv w:val="1"/>
      <w:marLeft w:val="0"/>
      <w:marRight w:val="0"/>
      <w:marTop w:val="0"/>
      <w:marBottom w:val="0"/>
      <w:divBdr>
        <w:top w:val="none" w:sz="0" w:space="0" w:color="auto"/>
        <w:left w:val="none" w:sz="0" w:space="0" w:color="auto"/>
        <w:bottom w:val="none" w:sz="0" w:space="0" w:color="auto"/>
        <w:right w:val="none" w:sz="0" w:space="0" w:color="auto"/>
      </w:divBdr>
      <w:divsChild>
        <w:div w:id="1258518156">
          <w:marLeft w:val="0"/>
          <w:marRight w:val="0"/>
          <w:marTop w:val="0"/>
          <w:marBottom w:val="0"/>
          <w:divBdr>
            <w:top w:val="none" w:sz="0" w:space="0" w:color="auto"/>
            <w:left w:val="none" w:sz="0" w:space="0" w:color="auto"/>
            <w:bottom w:val="none" w:sz="0" w:space="0" w:color="auto"/>
            <w:right w:val="none" w:sz="0" w:space="0" w:color="auto"/>
          </w:divBdr>
          <w:divsChild>
            <w:div w:id="208957089">
              <w:marLeft w:val="0"/>
              <w:marRight w:val="0"/>
              <w:marTop w:val="0"/>
              <w:marBottom w:val="0"/>
              <w:divBdr>
                <w:top w:val="none" w:sz="0" w:space="0" w:color="auto"/>
                <w:left w:val="none" w:sz="0" w:space="0" w:color="auto"/>
                <w:bottom w:val="none" w:sz="0" w:space="0" w:color="auto"/>
                <w:right w:val="none" w:sz="0" w:space="0" w:color="auto"/>
              </w:divBdr>
              <w:divsChild>
                <w:div w:id="1682315940">
                  <w:marLeft w:val="0"/>
                  <w:marRight w:val="0"/>
                  <w:marTop w:val="0"/>
                  <w:marBottom w:val="0"/>
                  <w:divBdr>
                    <w:top w:val="none" w:sz="0" w:space="0" w:color="auto"/>
                    <w:left w:val="none" w:sz="0" w:space="0" w:color="auto"/>
                    <w:bottom w:val="none" w:sz="0" w:space="0" w:color="auto"/>
                    <w:right w:val="none" w:sz="0" w:space="0" w:color="auto"/>
                  </w:divBdr>
                  <w:divsChild>
                    <w:div w:id="421873061">
                      <w:marLeft w:val="0"/>
                      <w:marRight w:val="0"/>
                      <w:marTop w:val="0"/>
                      <w:marBottom w:val="600"/>
                      <w:divBdr>
                        <w:top w:val="none" w:sz="0" w:space="0" w:color="auto"/>
                        <w:left w:val="none" w:sz="0" w:space="0" w:color="auto"/>
                        <w:bottom w:val="none" w:sz="0" w:space="0" w:color="auto"/>
                        <w:right w:val="none" w:sz="0" w:space="0" w:color="auto"/>
                      </w:divBdr>
                      <w:divsChild>
                        <w:div w:id="2065179908">
                          <w:marLeft w:val="0"/>
                          <w:marRight w:val="0"/>
                          <w:marTop w:val="0"/>
                          <w:marBottom w:val="0"/>
                          <w:divBdr>
                            <w:top w:val="none" w:sz="0" w:space="0" w:color="auto"/>
                            <w:left w:val="none" w:sz="0" w:space="0" w:color="auto"/>
                            <w:bottom w:val="none" w:sz="0" w:space="0" w:color="auto"/>
                            <w:right w:val="none" w:sz="0" w:space="0" w:color="auto"/>
                          </w:divBdr>
                          <w:divsChild>
                            <w:div w:id="588274401">
                              <w:marLeft w:val="0"/>
                              <w:marRight w:val="0"/>
                              <w:marTop w:val="0"/>
                              <w:marBottom w:val="0"/>
                              <w:divBdr>
                                <w:top w:val="none" w:sz="0" w:space="0" w:color="auto"/>
                                <w:left w:val="none" w:sz="0" w:space="0" w:color="auto"/>
                                <w:bottom w:val="none" w:sz="0" w:space="0" w:color="auto"/>
                                <w:right w:val="none" w:sz="0" w:space="0" w:color="auto"/>
                              </w:divBdr>
                              <w:divsChild>
                                <w:div w:id="348260016">
                                  <w:marLeft w:val="0"/>
                                  <w:marRight w:val="0"/>
                                  <w:marTop w:val="0"/>
                                  <w:marBottom w:val="0"/>
                                  <w:divBdr>
                                    <w:top w:val="none" w:sz="0" w:space="0" w:color="auto"/>
                                    <w:left w:val="none" w:sz="0" w:space="0" w:color="auto"/>
                                    <w:bottom w:val="none" w:sz="0" w:space="0" w:color="auto"/>
                                    <w:right w:val="none" w:sz="0" w:space="0" w:color="auto"/>
                                  </w:divBdr>
                                  <w:divsChild>
                                    <w:div w:id="14842315">
                                      <w:marLeft w:val="0"/>
                                      <w:marRight w:val="0"/>
                                      <w:marTop w:val="0"/>
                                      <w:marBottom w:val="0"/>
                                      <w:divBdr>
                                        <w:top w:val="none" w:sz="0" w:space="0" w:color="auto"/>
                                        <w:left w:val="none" w:sz="0" w:space="0" w:color="auto"/>
                                        <w:bottom w:val="none" w:sz="0" w:space="0" w:color="auto"/>
                                        <w:right w:val="none" w:sz="0" w:space="0" w:color="auto"/>
                                      </w:divBdr>
                                      <w:divsChild>
                                        <w:div w:id="1280264344">
                                          <w:marLeft w:val="0"/>
                                          <w:marRight w:val="0"/>
                                          <w:marTop w:val="0"/>
                                          <w:marBottom w:val="0"/>
                                          <w:divBdr>
                                            <w:top w:val="none" w:sz="0" w:space="0" w:color="auto"/>
                                            <w:left w:val="none" w:sz="0" w:space="0" w:color="auto"/>
                                            <w:bottom w:val="none" w:sz="0" w:space="0" w:color="auto"/>
                                            <w:right w:val="none" w:sz="0" w:space="0" w:color="auto"/>
                                          </w:divBdr>
                                          <w:divsChild>
                                            <w:div w:id="2138255519">
                                              <w:marLeft w:val="0"/>
                                              <w:marRight w:val="0"/>
                                              <w:marTop w:val="0"/>
                                              <w:marBottom w:val="0"/>
                                              <w:divBdr>
                                                <w:top w:val="none" w:sz="0" w:space="0" w:color="auto"/>
                                                <w:left w:val="none" w:sz="0" w:space="0" w:color="auto"/>
                                                <w:bottom w:val="none" w:sz="0" w:space="0" w:color="auto"/>
                                                <w:right w:val="none" w:sz="0" w:space="0" w:color="auto"/>
                                              </w:divBdr>
                                              <w:divsChild>
                                                <w:div w:id="17788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26424">
      <w:bodyDiv w:val="1"/>
      <w:marLeft w:val="0"/>
      <w:marRight w:val="0"/>
      <w:marTop w:val="0"/>
      <w:marBottom w:val="0"/>
      <w:divBdr>
        <w:top w:val="none" w:sz="0" w:space="0" w:color="auto"/>
        <w:left w:val="none" w:sz="0" w:space="0" w:color="auto"/>
        <w:bottom w:val="none" w:sz="0" w:space="0" w:color="auto"/>
        <w:right w:val="none" w:sz="0" w:space="0" w:color="auto"/>
      </w:divBdr>
    </w:div>
    <w:div w:id="187720865">
      <w:bodyDiv w:val="1"/>
      <w:marLeft w:val="0"/>
      <w:marRight w:val="0"/>
      <w:marTop w:val="0"/>
      <w:marBottom w:val="0"/>
      <w:divBdr>
        <w:top w:val="none" w:sz="0" w:space="0" w:color="auto"/>
        <w:left w:val="none" w:sz="0" w:space="0" w:color="auto"/>
        <w:bottom w:val="none" w:sz="0" w:space="0" w:color="auto"/>
        <w:right w:val="none" w:sz="0" w:space="0" w:color="auto"/>
      </w:divBdr>
    </w:div>
    <w:div w:id="192696933">
      <w:bodyDiv w:val="1"/>
      <w:marLeft w:val="0"/>
      <w:marRight w:val="0"/>
      <w:marTop w:val="0"/>
      <w:marBottom w:val="0"/>
      <w:divBdr>
        <w:top w:val="none" w:sz="0" w:space="0" w:color="auto"/>
        <w:left w:val="none" w:sz="0" w:space="0" w:color="auto"/>
        <w:bottom w:val="none" w:sz="0" w:space="0" w:color="auto"/>
        <w:right w:val="none" w:sz="0" w:space="0" w:color="auto"/>
      </w:divBdr>
      <w:divsChild>
        <w:div w:id="1950622192">
          <w:marLeft w:val="0"/>
          <w:marRight w:val="0"/>
          <w:marTop w:val="0"/>
          <w:marBottom w:val="0"/>
          <w:divBdr>
            <w:top w:val="none" w:sz="0" w:space="0" w:color="auto"/>
            <w:left w:val="none" w:sz="0" w:space="0" w:color="auto"/>
            <w:bottom w:val="none" w:sz="0" w:space="0" w:color="auto"/>
            <w:right w:val="none" w:sz="0" w:space="0" w:color="auto"/>
          </w:divBdr>
          <w:divsChild>
            <w:div w:id="1382554472">
              <w:marLeft w:val="0"/>
              <w:marRight w:val="0"/>
              <w:marTop w:val="0"/>
              <w:marBottom w:val="0"/>
              <w:divBdr>
                <w:top w:val="none" w:sz="0" w:space="0" w:color="auto"/>
                <w:left w:val="none" w:sz="0" w:space="0" w:color="auto"/>
                <w:bottom w:val="none" w:sz="0" w:space="0" w:color="auto"/>
                <w:right w:val="none" w:sz="0" w:space="0" w:color="auto"/>
              </w:divBdr>
              <w:divsChild>
                <w:div w:id="93551743">
                  <w:marLeft w:val="0"/>
                  <w:marRight w:val="0"/>
                  <w:marTop w:val="0"/>
                  <w:marBottom w:val="0"/>
                  <w:divBdr>
                    <w:top w:val="none" w:sz="0" w:space="0" w:color="auto"/>
                    <w:left w:val="none" w:sz="0" w:space="0" w:color="auto"/>
                    <w:bottom w:val="none" w:sz="0" w:space="0" w:color="auto"/>
                    <w:right w:val="none" w:sz="0" w:space="0" w:color="auto"/>
                  </w:divBdr>
                  <w:divsChild>
                    <w:div w:id="2091150310">
                      <w:marLeft w:val="0"/>
                      <w:marRight w:val="0"/>
                      <w:marTop w:val="0"/>
                      <w:marBottom w:val="600"/>
                      <w:divBdr>
                        <w:top w:val="none" w:sz="0" w:space="0" w:color="auto"/>
                        <w:left w:val="none" w:sz="0" w:space="0" w:color="auto"/>
                        <w:bottom w:val="none" w:sz="0" w:space="0" w:color="auto"/>
                        <w:right w:val="none" w:sz="0" w:space="0" w:color="auto"/>
                      </w:divBdr>
                      <w:divsChild>
                        <w:div w:id="1743486911">
                          <w:marLeft w:val="0"/>
                          <w:marRight w:val="0"/>
                          <w:marTop w:val="0"/>
                          <w:marBottom w:val="0"/>
                          <w:divBdr>
                            <w:top w:val="none" w:sz="0" w:space="0" w:color="auto"/>
                            <w:left w:val="none" w:sz="0" w:space="0" w:color="auto"/>
                            <w:bottom w:val="none" w:sz="0" w:space="0" w:color="auto"/>
                            <w:right w:val="none" w:sz="0" w:space="0" w:color="auto"/>
                          </w:divBdr>
                          <w:divsChild>
                            <w:div w:id="1826125651">
                              <w:marLeft w:val="0"/>
                              <w:marRight w:val="0"/>
                              <w:marTop w:val="0"/>
                              <w:marBottom w:val="0"/>
                              <w:divBdr>
                                <w:top w:val="none" w:sz="0" w:space="0" w:color="auto"/>
                                <w:left w:val="none" w:sz="0" w:space="0" w:color="auto"/>
                                <w:bottom w:val="none" w:sz="0" w:space="0" w:color="auto"/>
                                <w:right w:val="none" w:sz="0" w:space="0" w:color="auto"/>
                              </w:divBdr>
                              <w:divsChild>
                                <w:div w:id="1251231785">
                                  <w:marLeft w:val="0"/>
                                  <w:marRight w:val="0"/>
                                  <w:marTop w:val="0"/>
                                  <w:marBottom w:val="0"/>
                                  <w:divBdr>
                                    <w:top w:val="none" w:sz="0" w:space="0" w:color="auto"/>
                                    <w:left w:val="none" w:sz="0" w:space="0" w:color="auto"/>
                                    <w:bottom w:val="none" w:sz="0" w:space="0" w:color="auto"/>
                                    <w:right w:val="none" w:sz="0" w:space="0" w:color="auto"/>
                                  </w:divBdr>
                                  <w:divsChild>
                                    <w:div w:id="751660845">
                                      <w:marLeft w:val="0"/>
                                      <w:marRight w:val="0"/>
                                      <w:marTop w:val="0"/>
                                      <w:marBottom w:val="0"/>
                                      <w:divBdr>
                                        <w:top w:val="none" w:sz="0" w:space="0" w:color="auto"/>
                                        <w:left w:val="none" w:sz="0" w:space="0" w:color="auto"/>
                                        <w:bottom w:val="none" w:sz="0" w:space="0" w:color="auto"/>
                                        <w:right w:val="none" w:sz="0" w:space="0" w:color="auto"/>
                                      </w:divBdr>
                                      <w:divsChild>
                                        <w:div w:id="1785074717">
                                          <w:marLeft w:val="0"/>
                                          <w:marRight w:val="0"/>
                                          <w:marTop w:val="0"/>
                                          <w:marBottom w:val="0"/>
                                          <w:divBdr>
                                            <w:top w:val="none" w:sz="0" w:space="0" w:color="auto"/>
                                            <w:left w:val="none" w:sz="0" w:space="0" w:color="auto"/>
                                            <w:bottom w:val="none" w:sz="0" w:space="0" w:color="auto"/>
                                            <w:right w:val="none" w:sz="0" w:space="0" w:color="auto"/>
                                          </w:divBdr>
                                          <w:divsChild>
                                            <w:div w:id="1386443783">
                                              <w:marLeft w:val="0"/>
                                              <w:marRight w:val="0"/>
                                              <w:marTop w:val="0"/>
                                              <w:marBottom w:val="0"/>
                                              <w:divBdr>
                                                <w:top w:val="none" w:sz="0" w:space="0" w:color="auto"/>
                                                <w:left w:val="none" w:sz="0" w:space="0" w:color="auto"/>
                                                <w:bottom w:val="none" w:sz="0" w:space="0" w:color="auto"/>
                                                <w:right w:val="none" w:sz="0" w:space="0" w:color="auto"/>
                                              </w:divBdr>
                                              <w:divsChild>
                                                <w:div w:id="12504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751481">
      <w:bodyDiv w:val="1"/>
      <w:marLeft w:val="0"/>
      <w:marRight w:val="0"/>
      <w:marTop w:val="0"/>
      <w:marBottom w:val="0"/>
      <w:divBdr>
        <w:top w:val="none" w:sz="0" w:space="0" w:color="auto"/>
        <w:left w:val="none" w:sz="0" w:space="0" w:color="auto"/>
        <w:bottom w:val="none" w:sz="0" w:space="0" w:color="auto"/>
        <w:right w:val="none" w:sz="0" w:space="0" w:color="auto"/>
      </w:divBdr>
      <w:divsChild>
        <w:div w:id="53282543">
          <w:marLeft w:val="0"/>
          <w:marRight w:val="0"/>
          <w:marTop w:val="0"/>
          <w:marBottom w:val="0"/>
          <w:divBdr>
            <w:top w:val="none" w:sz="0" w:space="0" w:color="auto"/>
            <w:left w:val="none" w:sz="0" w:space="0" w:color="auto"/>
            <w:bottom w:val="none" w:sz="0" w:space="0" w:color="auto"/>
            <w:right w:val="none" w:sz="0" w:space="0" w:color="auto"/>
          </w:divBdr>
          <w:divsChild>
            <w:div w:id="226578387">
              <w:marLeft w:val="0"/>
              <w:marRight w:val="0"/>
              <w:marTop w:val="0"/>
              <w:marBottom w:val="0"/>
              <w:divBdr>
                <w:top w:val="none" w:sz="0" w:space="0" w:color="auto"/>
                <w:left w:val="none" w:sz="0" w:space="0" w:color="auto"/>
                <w:bottom w:val="none" w:sz="0" w:space="0" w:color="auto"/>
                <w:right w:val="none" w:sz="0" w:space="0" w:color="auto"/>
              </w:divBdr>
              <w:divsChild>
                <w:div w:id="1047681894">
                  <w:marLeft w:val="0"/>
                  <w:marRight w:val="0"/>
                  <w:marTop w:val="0"/>
                  <w:marBottom w:val="0"/>
                  <w:divBdr>
                    <w:top w:val="none" w:sz="0" w:space="0" w:color="auto"/>
                    <w:left w:val="none" w:sz="0" w:space="0" w:color="auto"/>
                    <w:bottom w:val="none" w:sz="0" w:space="0" w:color="auto"/>
                    <w:right w:val="none" w:sz="0" w:space="0" w:color="auto"/>
                  </w:divBdr>
                  <w:divsChild>
                    <w:div w:id="34039113">
                      <w:marLeft w:val="0"/>
                      <w:marRight w:val="0"/>
                      <w:marTop w:val="0"/>
                      <w:marBottom w:val="600"/>
                      <w:divBdr>
                        <w:top w:val="none" w:sz="0" w:space="0" w:color="auto"/>
                        <w:left w:val="none" w:sz="0" w:space="0" w:color="auto"/>
                        <w:bottom w:val="none" w:sz="0" w:space="0" w:color="auto"/>
                        <w:right w:val="none" w:sz="0" w:space="0" w:color="auto"/>
                      </w:divBdr>
                      <w:divsChild>
                        <w:div w:id="768548185">
                          <w:marLeft w:val="0"/>
                          <w:marRight w:val="0"/>
                          <w:marTop w:val="0"/>
                          <w:marBottom w:val="0"/>
                          <w:divBdr>
                            <w:top w:val="none" w:sz="0" w:space="0" w:color="auto"/>
                            <w:left w:val="none" w:sz="0" w:space="0" w:color="auto"/>
                            <w:bottom w:val="none" w:sz="0" w:space="0" w:color="auto"/>
                            <w:right w:val="none" w:sz="0" w:space="0" w:color="auto"/>
                          </w:divBdr>
                          <w:divsChild>
                            <w:div w:id="1176849481">
                              <w:marLeft w:val="0"/>
                              <w:marRight w:val="0"/>
                              <w:marTop w:val="0"/>
                              <w:marBottom w:val="0"/>
                              <w:divBdr>
                                <w:top w:val="none" w:sz="0" w:space="0" w:color="auto"/>
                                <w:left w:val="none" w:sz="0" w:space="0" w:color="auto"/>
                                <w:bottom w:val="none" w:sz="0" w:space="0" w:color="auto"/>
                                <w:right w:val="none" w:sz="0" w:space="0" w:color="auto"/>
                              </w:divBdr>
                              <w:divsChild>
                                <w:div w:id="1616906316">
                                  <w:marLeft w:val="0"/>
                                  <w:marRight w:val="0"/>
                                  <w:marTop w:val="0"/>
                                  <w:marBottom w:val="0"/>
                                  <w:divBdr>
                                    <w:top w:val="none" w:sz="0" w:space="0" w:color="auto"/>
                                    <w:left w:val="none" w:sz="0" w:space="0" w:color="auto"/>
                                    <w:bottom w:val="none" w:sz="0" w:space="0" w:color="auto"/>
                                    <w:right w:val="none" w:sz="0" w:space="0" w:color="auto"/>
                                  </w:divBdr>
                                  <w:divsChild>
                                    <w:div w:id="722483076">
                                      <w:marLeft w:val="0"/>
                                      <w:marRight w:val="0"/>
                                      <w:marTop w:val="0"/>
                                      <w:marBottom w:val="0"/>
                                      <w:divBdr>
                                        <w:top w:val="none" w:sz="0" w:space="0" w:color="auto"/>
                                        <w:left w:val="none" w:sz="0" w:space="0" w:color="auto"/>
                                        <w:bottom w:val="none" w:sz="0" w:space="0" w:color="auto"/>
                                        <w:right w:val="none" w:sz="0" w:space="0" w:color="auto"/>
                                      </w:divBdr>
                                      <w:divsChild>
                                        <w:div w:id="232160362">
                                          <w:marLeft w:val="0"/>
                                          <w:marRight w:val="0"/>
                                          <w:marTop w:val="0"/>
                                          <w:marBottom w:val="0"/>
                                          <w:divBdr>
                                            <w:top w:val="none" w:sz="0" w:space="0" w:color="auto"/>
                                            <w:left w:val="none" w:sz="0" w:space="0" w:color="auto"/>
                                            <w:bottom w:val="none" w:sz="0" w:space="0" w:color="auto"/>
                                            <w:right w:val="none" w:sz="0" w:space="0" w:color="auto"/>
                                          </w:divBdr>
                                          <w:divsChild>
                                            <w:div w:id="1253079252">
                                              <w:marLeft w:val="0"/>
                                              <w:marRight w:val="0"/>
                                              <w:marTop w:val="0"/>
                                              <w:marBottom w:val="0"/>
                                              <w:divBdr>
                                                <w:top w:val="none" w:sz="0" w:space="0" w:color="auto"/>
                                                <w:left w:val="none" w:sz="0" w:space="0" w:color="auto"/>
                                                <w:bottom w:val="none" w:sz="0" w:space="0" w:color="auto"/>
                                                <w:right w:val="none" w:sz="0" w:space="0" w:color="auto"/>
                                              </w:divBdr>
                                              <w:divsChild>
                                                <w:div w:id="19005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111346">
      <w:bodyDiv w:val="1"/>
      <w:marLeft w:val="0"/>
      <w:marRight w:val="0"/>
      <w:marTop w:val="0"/>
      <w:marBottom w:val="0"/>
      <w:divBdr>
        <w:top w:val="none" w:sz="0" w:space="0" w:color="auto"/>
        <w:left w:val="none" w:sz="0" w:space="0" w:color="auto"/>
        <w:bottom w:val="none" w:sz="0" w:space="0" w:color="auto"/>
        <w:right w:val="none" w:sz="0" w:space="0" w:color="auto"/>
      </w:divBdr>
    </w:div>
    <w:div w:id="361398118">
      <w:bodyDiv w:val="1"/>
      <w:marLeft w:val="0"/>
      <w:marRight w:val="0"/>
      <w:marTop w:val="0"/>
      <w:marBottom w:val="0"/>
      <w:divBdr>
        <w:top w:val="none" w:sz="0" w:space="0" w:color="auto"/>
        <w:left w:val="none" w:sz="0" w:space="0" w:color="auto"/>
        <w:bottom w:val="none" w:sz="0" w:space="0" w:color="auto"/>
        <w:right w:val="none" w:sz="0" w:space="0" w:color="auto"/>
      </w:divBdr>
      <w:divsChild>
        <w:div w:id="942154451">
          <w:marLeft w:val="0"/>
          <w:marRight w:val="0"/>
          <w:marTop w:val="0"/>
          <w:marBottom w:val="0"/>
          <w:divBdr>
            <w:top w:val="none" w:sz="0" w:space="0" w:color="auto"/>
            <w:left w:val="none" w:sz="0" w:space="0" w:color="auto"/>
            <w:bottom w:val="none" w:sz="0" w:space="0" w:color="auto"/>
            <w:right w:val="none" w:sz="0" w:space="0" w:color="auto"/>
          </w:divBdr>
          <w:divsChild>
            <w:div w:id="1759641925">
              <w:marLeft w:val="0"/>
              <w:marRight w:val="0"/>
              <w:marTop w:val="0"/>
              <w:marBottom w:val="0"/>
              <w:divBdr>
                <w:top w:val="none" w:sz="0" w:space="0" w:color="auto"/>
                <w:left w:val="none" w:sz="0" w:space="0" w:color="auto"/>
                <w:bottom w:val="none" w:sz="0" w:space="0" w:color="auto"/>
                <w:right w:val="none" w:sz="0" w:space="0" w:color="auto"/>
              </w:divBdr>
              <w:divsChild>
                <w:div w:id="1554464648">
                  <w:marLeft w:val="0"/>
                  <w:marRight w:val="0"/>
                  <w:marTop w:val="0"/>
                  <w:marBottom w:val="0"/>
                  <w:divBdr>
                    <w:top w:val="none" w:sz="0" w:space="0" w:color="auto"/>
                    <w:left w:val="none" w:sz="0" w:space="0" w:color="auto"/>
                    <w:bottom w:val="none" w:sz="0" w:space="0" w:color="auto"/>
                    <w:right w:val="none" w:sz="0" w:space="0" w:color="auto"/>
                  </w:divBdr>
                  <w:divsChild>
                    <w:div w:id="555630642">
                      <w:marLeft w:val="0"/>
                      <w:marRight w:val="0"/>
                      <w:marTop w:val="0"/>
                      <w:marBottom w:val="600"/>
                      <w:divBdr>
                        <w:top w:val="none" w:sz="0" w:space="0" w:color="auto"/>
                        <w:left w:val="none" w:sz="0" w:space="0" w:color="auto"/>
                        <w:bottom w:val="none" w:sz="0" w:space="0" w:color="auto"/>
                        <w:right w:val="none" w:sz="0" w:space="0" w:color="auto"/>
                      </w:divBdr>
                      <w:divsChild>
                        <w:div w:id="170993351">
                          <w:marLeft w:val="0"/>
                          <w:marRight w:val="0"/>
                          <w:marTop w:val="0"/>
                          <w:marBottom w:val="0"/>
                          <w:divBdr>
                            <w:top w:val="none" w:sz="0" w:space="0" w:color="auto"/>
                            <w:left w:val="none" w:sz="0" w:space="0" w:color="auto"/>
                            <w:bottom w:val="none" w:sz="0" w:space="0" w:color="auto"/>
                            <w:right w:val="none" w:sz="0" w:space="0" w:color="auto"/>
                          </w:divBdr>
                          <w:divsChild>
                            <w:div w:id="1112282998">
                              <w:marLeft w:val="0"/>
                              <w:marRight w:val="0"/>
                              <w:marTop w:val="0"/>
                              <w:marBottom w:val="0"/>
                              <w:divBdr>
                                <w:top w:val="none" w:sz="0" w:space="0" w:color="auto"/>
                                <w:left w:val="none" w:sz="0" w:space="0" w:color="auto"/>
                                <w:bottom w:val="none" w:sz="0" w:space="0" w:color="auto"/>
                                <w:right w:val="none" w:sz="0" w:space="0" w:color="auto"/>
                              </w:divBdr>
                              <w:divsChild>
                                <w:div w:id="2117944503">
                                  <w:marLeft w:val="0"/>
                                  <w:marRight w:val="0"/>
                                  <w:marTop w:val="0"/>
                                  <w:marBottom w:val="0"/>
                                  <w:divBdr>
                                    <w:top w:val="none" w:sz="0" w:space="0" w:color="auto"/>
                                    <w:left w:val="none" w:sz="0" w:space="0" w:color="auto"/>
                                    <w:bottom w:val="none" w:sz="0" w:space="0" w:color="auto"/>
                                    <w:right w:val="none" w:sz="0" w:space="0" w:color="auto"/>
                                  </w:divBdr>
                                  <w:divsChild>
                                    <w:div w:id="569002623">
                                      <w:marLeft w:val="0"/>
                                      <w:marRight w:val="0"/>
                                      <w:marTop w:val="0"/>
                                      <w:marBottom w:val="0"/>
                                      <w:divBdr>
                                        <w:top w:val="none" w:sz="0" w:space="0" w:color="auto"/>
                                        <w:left w:val="none" w:sz="0" w:space="0" w:color="auto"/>
                                        <w:bottom w:val="none" w:sz="0" w:space="0" w:color="auto"/>
                                        <w:right w:val="none" w:sz="0" w:space="0" w:color="auto"/>
                                      </w:divBdr>
                                      <w:divsChild>
                                        <w:div w:id="916745985">
                                          <w:marLeft w:val="0"/>
                                          <w:marRight w:val="0"/>
                                          <w:marTop w:val="0"/>
                                          <w:marBottom w:val="0"/>
                                          <w:divBdr>
                                            <w:top w:val="none" w:sz="0" w:space="0" w:color="auto"/>
                                            <w:left w:val="none" w:sz="0" w:space="0" w:color="auto"/>
                                            <w:bottom w:val="none" w:sz="0" w:space="0" w:color="auto"/>
                                            <w:right w:val="none" w:sz="0" w:space="0" w:color="auto"/>
                                          </w:divBdr>
                                          <w:divsChild>
                                            <w:div w:id="675155874">
                                              <w:marLeft w:val="0"/>
                                              <w:marRight w:val="0"/>
                                              <w:marTop w:val="0"/>
                                              <w:marBottom w:val="0"/>
                                              <w:divBdr>
                                                <w:top w:val="none" w:sz="0" w:space="0" w:color="auto"/>
                                                <w:left w:val="none" w:sz="0" w:space="0" w:color="auto"/>
                                                <w:bottom w:val="none" w:sz="0" w:space="0" w:color="auto"/>
                                                <w:right w:val="none" w:sz="0" w:space="0" w:color="auto"/>
                                              </w:divBdr>
                                              <w:divsChild>
                                                <w:div w:id="13879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363906">
      <w:bodyDiv w:val="1"/>
      <w:marLeft w:val="0"/>
      <w:marRight w:val="0"/>
      <w:marTop w:val="0"/>
      <w:marBottom w:val="0"/>
      <w:divBdr>
        <w:top w:val="none" w:sz="0" w:space="0" w:color="auto"/>
        <w:left w:val="none" w:sz="0" w:space="0" w:color="auto"/>
        <w:bottom w:val="none" w:sz="0" w:space="0" w:color="auto"/>
        <w:right w:val="none" w:sz="0" w:space="0" w:color="auto"/>
      </w:divBdr>
      <w:divsChild>
        <w:div w:id="347026052">
          <w:marLeft w:val="0"/>
          <w:marRight w:val="0"/>
          <w:marTop w:val="0"/>
          <w:marBottom w:val="0"/>
          <w:divBdr>
            <w:top w:val="none" w:sz="0" w:space="0" w:color="auto"/>
            <w:left w:val="none" w:sz="0" w:space="0" w:color="auto"/>
            <w:bottom w:val="none" w:sz="0" w:space="0" w:color="auto"/>
            <w:right w:val="none" w:sz="0" w:space="0" w:color="auto"/>
          </w:divBdr>
          <w:divsChild>
            <w:div w:id="1281379781">
              <w:marLeft w:val="0"/>
              <w:marRight w:val="0"/>
              <w:marTop w:val="0"/>
              <w:marBottom w:val="0"/>
              <w:divBdr>
                <w:top w:val="none" w:sz="0" w:space="0" w:color="auto"/>
                <w:left w:val="none" w:sz="0" w:space="0" w:color="auto"/>
                <w:bottom w:val="none" w:sz="0" w:space="0" w:color="auto"/>
                <w:right w:val="none" w:sz="0" w:space="0" w:color="auto"/>
              </w:divBdr>
              <w:divsChild>
                <w:div w:id="362902985">
                  <w:marLeft w:val="0"/>
                  <w:marRight w:val="0"/>
                  <w:marTop w:val="0"/>
                  <w:marBottom w:val="0"/>
                  <w:divBdr>
                    <w:top w:val="none" w:sz="0" w:space="0" w:color="auto"/>
                    <w:left w:val="none" w:sz="0" w:space="0" w:color="auto"/>
                    <w:bottom w:val="none" w:sz="0" w:space="0" w:color="auto"/>
                    <w:right w:val="none" w:sz="0" w:space="0" w:color="auto"/>
                  </w:divBdr>
                  <w:divsChild>
                    <w:div w:id="1241788240">
                      <w:marLeft w:val="0"/>
                      <w:marRight w:val="0"/>
                      <w:marTop w:val="0"/>
                      <w:marBottom w:val="0"/>
                      <w:divBdr>
                        <w:top w:val="none" w:sz="0" w:space="0" w:color="auto"/>
                        <w:left w:val="none" w:sz="0" w:space="0" w:color="auto"/>
                        <w:bottom w:val="none" w:sz="0" w:space="0" w:color="auto"/>
                        <w:right w:val="none" w:sz="0" w:space="0" w:color="auto"/>
                      </w:divBdr>
                      <w:divsChild>
                        <w:div w:id="433596671">
                          <w:marLeft w:val="0"/>
                          <w:marRight w:val="0"/>
                          <w:marTop w:val="0"/>
                          <w:marBottom w:val="0"/>
                          <w:divBdr>
                            <w:top w:val="none" w:sz="0" w:space="0" w:color="auto"/>
                            <w:left w:val="none" w:sz="0" w:space="0" w:color="auto"/>
                            <w:bottom w:val="none" w:sz="0" w:space="0" w:color="auto"/>
                            <w:right w:val="none" w:sz="0" w:space="0" w:color="auto"/>
                          </w:divBdr>
                          <w:divsChild>
                            <w:div w:id="2128885548">
                              <w:marLeft w:val="0"/>
                              <w:marRight w:val="0"/>
                              <w:marTop w:val="0"/>
                              <w:marBottom w:val="0"/>
                              <w:divBdr>
                                <w:top w:val="none" w:sz="0" w:space="0" w:color="auto"/>
                                <w:left w:val="none" w:sz="0" w:space="0" w:color="auto"/>
                                <w:bottom w:val="none" w:sz="0" w:space="0" w:color="auto"/>
                                <w:right w:val="none" w:sz="0" w:space="0" w:color="auto"/>
                              </w:divBdr>
                              <w:divsChild>
                                <w:div w:id="1892572607">
                                  <w:marLeft w:val="0"/>
                                  <w:marRight w:val="0"/>
                                  <w:marTop w:val="0"/>
                                  <w:marBottom w:val="0"/>
                                  <w:divBdr>
                                    <w:top w:val="none" w:sz="0" w:space="0" w:color="auto"/>
                                    <w:left w:val="none" w:sz="0" w:space="0" w:color="auto"/>
                                    <w:bottom w:val="none" w:sz="0" w:space="0" w:color="auto"/>
                                    <w:right w:val="none" w:sz="0" w:space="0" w:color="auto"/>
                                  </w:divBdr>
                                  <w:divsChild>
                                    <w:div w:id="369450981">
                                      <w:marLeft w:val="0"/>
                                      <w:marRight w:val="0"/>
                                      <w:marTop w:val="0"/>
                                      <w:marBottom w:val="0"/>
                                      <w:divBdr>
                                        <w:top w:val="none" w:sz="0" w:space="0" w:color="auto"/>
                                        <w:left w:val="none" w:sz="0" w:space="0" w:color="auto"/>
                                        <w:bottom w:val="none" w:sz="0" w:space="0" w:color="auto"/>
                                        <w:right w:val="none" w:sz="0" w:space="0" w:color="auto"/>
                                      </w:divBdr>
                                      <w:divsChild>
                                        <w:div w:id="1999456985">
                                          <w:marLeft w:val="0"/>
                                          <w:marRight w:val="0"/>
                                          <w:marTop w:val="0"/>
                                          <w:marBottom w:val="0"/>
                                          <w:divBdr>
                                            <w:top w:val="none" w:sz="0" w:space="0" w:color="auto"/>
                                            <w:left w:val="none" w:sz="0" w:space="0" w:color="auto"/>
                                            <w:bottom w:val="none" w:sz="0" w:space="0" w:color="auto"/>
                                            <w:right w:val="none" w:sz="0" w:space="0" w:color="auto"/>
                                          </w:divBdr>
                                          <w:divsChild>
                                            <w:div w:id="20077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4454">
      <w:bodyDiv w:val="1"/>
      <w:marLeft w:val="0"/>
      <w:marRight w:val="0"/>
      <w:marTop w:val="0"/>
      <w:marBottom w:val="0"/>
      <w:divBdr>
        <w:top w:val="none" w:sz="0" w:space="0" w:color="auto"/>
        <w:left w:val="none" w:sz="0" w:space="0" w:color="auto"/>
        <w:bottom w:val="none" w:sz="0" w:space="0" w:color="auto"/>
        <w:right w:val="none" w:sz="0" w:space="0" w:color="auto"/>
      </w:divBdr>
    </w:div>
    <w:div w:id="399328877">
      <w:bodyDiv w:val="1"/>
      <w:marLeft w:val="0"/>
      <w:marRight w:val="0"/>
      <w:marTop w:val="0"/>
      <w:marBottom w:val="0"/>
      <w:divBdr>
        <w:top w:val="none" w:sz="0" w:space="0" w:color="auto"/>
        <w:left w:val="none" w:sz="0" w:space="0" w:color="auto"/>
        <w:bottom w:val="none" w:sz="0" w:space="0" w:color="auto"/>
        <w:right w:val="none" w:sz="0" w:space="0" w:color="auto"/>
      </w:divBdr>
    </w:div>
    <w:div w:id="498733538">
      <w:bodyDiv w:val="1"/>
      <w:marLeft w:val="0"/>
      <w:marRight w:val="0"/>
      <w:marTop w:val="0"/>
      <w:marBottom w:val="0"/>
      <w:divBdr>
        <w:top w:val="none" w:sz="0" w:space="0" w:color="auto"/>
        <w:left w:val="none" w:sz="0" w:space="0" w:color="auto"/>
        <w:bottom w:val="none" w:sz="0" w:space="0" w:color="auto"/>
        <w:right w:val="none" w:sz="0" w:space="0" w:color="auto"/>
      </w:divBdr>
      <w:divsChild>
        <w:div w:id="999961347">
          <w:marLeft w:val="0"/>
          <w:marRight w:val="0"/>
          <w:marTop w:val="0"/>
          <w:marBottom w:val="0"/>
          <w:divBdr>
            <w:top w:val="none" w:sz="0" w:space="0" w:color="auto"/>
            <w:left w:val="none" w:sz="0" w:space="0" w:color="auto"/>
            <w:bottom w:val="none" w:sz="0" w:space="0" w:color="auto"/>
            <w:right w:val="none" w:sz="0" w:space="0" w:color="auto"/>
          </w:divBdr>
          <w:divsChild>
            <w:div w:id="1331562885">
              <w:marLeft w:val="0"/>
              <w:marRight w:val="0"/>
              <w:marTop w:val="0"/>
              <w:marBottom w:val="0"/>
              <w:divBdr>
                <w:top w:val="none" w:sz="0" w:space="0" w:color="auto"/>
                <w:left w:val="none" w:sz="0" w:space="0" w:color="auto"/>
                <w:bottom w:val="none" w:sz="0" w:space="0" w:color="auto"/>
                <w:right w:val="none" w:sz="0" w:space="0" w:color="auto"/>
              </w:divBdr>
              <w:divsChild>
                <w:div w:id="1005136317">
                  <w:marLeft w:val="0"/>
                  <w:marRight w:val="0"/>
                  <w:marTop w:val="0"/>
                  <w:marBottom w:val="0"/>
                  <w:divBdr>
                    <w:top w:val="none" w:sz="0" w:space="0" w:color="auto"/>
                    <w:left w:val="none" w:sz="0" w:space="0" w:color="auto"/>
                    <w:bottom w:val="none" w:sz="0" w:space="0" w:color="auto"/>
                    <w:right w:val="none" w:sz="0" w:space="0" w:color="auto"/>
                  </w:divBdr>
                  <w:divsChild>
                    <w:div w:id="1953398150">
                      <w:marLeft w:val="0"/>
                      <w:marRight w:val="0"/>
                      <w:marTop w:val="0"/>
                      <w:marBottom w:val="0"/>
                      <w:divBdr>
                        <w:top w:val="none" w:sz="0" w:space="0" w:color="auto"/>
                        <w:left w:val="none" w:sz="0" w:space="0" w:color="auto"/>
                        <w:bottom w:val="none" w:sz="0" w:space="0" w:color="auto"/>
                        <w:right w:val="none" w:sz="0" w:space="0" w:color="auto"/>
                      </w:divBdr>
                      <w:divsChild>
                        <w:div w:id="1722824170">
                          <w:marLeft w:val="0"/>
                          <w:marRight w:val="0"/>
                          <w:marTop w:val="0"/>
                          <w:marBottom w:val="0"/>
                          <w:divBdr>
                            <w:top w:val="none" w:sz="0" w:space="0" w:color="auto"/>
                            <w:left w:val="none" w:sz="0" w:space="0" w:color="auto"/>
                            <w:bottom w:val="none" w:sz="0" w:space="0" w:color="auto"/>
                            <w:right w:val="none" w:sz="0" w:space="0" w:color="auto"/>
                          </w:divBdr>
                          <w:divsChild>
                            <w:div w:id="1706909675">
                              <w:marLeft w:val="0"/>
                              <w:marRight w:val="0"/>
                              <w:marTop w:val="0"/>
                              <w:marBottom w:val="0"/>
                              <w:divBdr>
                                <w:top w:val="none" w:sz="0" w:space="0" w:color="auto"/>
                                <w:left w:val="none" w:sz="0" w:space="0" w:color="auto"/>
                                <w:bottom w:val="none" w:sz="0" w:space="0" w:color="auto"/>
                                <w:right w:val="none" w:sz="0" w:space="0" w:color="auto"/>
                              </w:divBdr>
                              <w:divsChild>
                                <w:div w:id="124128116">
                                  <w:marLeft w:val="0"/>
                                  <w:marRight w:val="0"/>
                                  <w:marTop w:val="0"/>
                                  <w:marBottom w:val="0"/>
                                  <w:divBdr>
                                    <w:top w:val="none" w:sz="0" w:space="0" w:color="auto"/>
                                    <w:left w:val="none" w:sz="0" w:space="0" w:color="auto"/>
                                    <w:bottom w:val="none" w:sz="0" w:space="0" w:color="auto"/>
                                    <w:right w:val="none" w:sz="0" w:space="0" w:color="auto"/>
                                  </w:divBdr>
                                  <w:divsChild>
                                    <w:div w:id="2006736816">
                                      <w:marLeft w:val="0"/>
                                      <w:marRight w:val="0"/>
                                      <w:marTop w:val="0"/>
                                      <w:marBottom w:val="0"/>
                                      <w:divBdr>
                                        <w:top w:val="none" w:sz="0" w:space="0" w:color="auto"/>
                                        <w:left w:val="none" w:sz="0" w:space="0" w:color="auto"/>
                                        <w:bottom w:val="none" w:sz="0" w:space="0" w:color="auto"/>
                                        <w:right w:val="none" w:sz="0" w:space="0" w:color="auto"/>
                                      </w:divBdr>
                                      <w:divsChild>
                                        <w:div w:id="125314544">
                                          <w:marLeft w:val="0"/>
                                          <w:marRight w:val="0"/>
                                          <w:marTop w:val="0"/>
                                          <w:marBottom w:val="0"/>
                                          <w:divBdr>
                                            <w:top w:val="none" w:sz="0" w:space="0" w:color="auto"/>
                                            <w:left w:val="none" w:sz="0" w:space="0" w:color="auto"/>
                                            <w:bottom w:val="none" w:sz="0" w:space="0" w:color="auto"/>
                                            <w:right w:val="none" w:sz="0" w:space="0" w:color="auto"/>
                                          </w:divBdr>
                                          <w:divsChild>
                                            <w:div w:id="40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645518">
      <w:bodyDiv w:val="1"/>
      <w:marLeft w:val="0"/>
      <w:marRight w:val="0"/>
      <w:marTop w:val="0"/>
      <w:marBottom w:val="0"/>
      <w:divBdr>
        <w:top w:val="none" w:sz="0" w:space="0" w:color="auto"/>
        <w:left w:val="none" w:sz="0" w:space="0" w:color="auto"/>
        <w:bottom w:val="none" w:sz="0" w:space="0" w:color="auto"/>
        <w:right w:val="none" w:sz="0" w:space="0" w:color="auto"/>
      </w:divBdr>
      <w:divsChild>
        <w:div w:id="496653335">
          <w:marLeft w:val="0"/>
          <w:marRight w:val="0"/>
          <w:marTop w:val="0"/>
          <w:marBottom w:val="0"/>
          <w:divBdr>
            <w:top w:val="none" w:sz="0" w:space="0" w:color="auto"/>
            <w:left w:val="none" w:sz="0" w:space="0" w:color="auto"/>
            <w:bottom w:val="none" w:sz="0" w:space="0" w:color="auto"/>
            <w:right w:val="none" w:sz="0" w:space="0" w:color="auto"/>
          </w:divBdr>
          <w:divsChild>
            <w:div w:id="108283833">
              <w:marLeft w:val="0"/>
              <w:marRight w:val="0"/>
              <w:marTop w:val="0"/>
              <w:marBottom w:val="0"/>
              <w:divBdr>
                <w:top w:val="none" w:sz="0" w:space="0" w:color="auto"/>
                <w:left w:val="none" w:sz="0" w:space="0" w:color="auto"/>
                <w:bottom w:val="none" w:sz="0" w:space="0" w:color="auto"/>
                <w:right w:val="none" w:sz="0" w:space="0" w:color="auto"/>
              </w:divBdr>
              <w:divsChild>
                <w:div w:id="432210367">
                  <w:marLeft w:val="0"/>
                  <w:marRight w:val="0"/>
                  <w:marTop w:val="0"/>
                  <w:marBottom w:val="0"/>
                  <w:divBdr>
                    <w:top w:val="none" w:sz="0" w:space="0" w:color="auto"/>
                    <w:left w:val="none" w:sz="0" w:space="0" w:color="auto"/>
                    <w:bottom w:val="none" w:sz="0" w:space="0" w:color="auto"/>
                    <w:right w:val="none" w:sz="0" w:space="0" w:color="auto"/>
                  </w:divBdr>
                  <w:divsChild>
                    <w:div w:id="2123498614">
                      <w:marLeft w:val="0"/>
                      <w:marRight w:val="0"/>
                      <w:marTop w:val="0"/>
                      <w:marBottom w:val="600"/>
                      <w:divBdr>
                        <w:top w:val="none" w:sz="0" w:space="0" w:color="auto"/>
                        <w:left w:val="none" w:sz="0" w:space="0" w:color="auto"/>
                        <w:bottom w:val="none" w:sz="0" w:space="0" w:color="auto"/>
                        <w:right w:val="none" w:sz="0" w:space="0" w:color="auto"/>
                      </w:divBdr>
                      <w:divsChild>
                        <w:div w:id="1007288693">
                          <w:marLeft w:val="0"/>
                          <w:marRight w:val="0"/>
                          <w:marTop w:val="0"/>
                          <w:marBottom w:val="0"/>
                          <w:divBdr>
                            <w:top w:val="none" w:sz="0" w:space="0" w:color="auto"/>
                            <w:left w:val="none" w:sz="0" w:space="0" w:color="auto"/>
                            <w:bottom w:val="none" w:sz="0" w:space="0" w:color="auto"/>
                            <w:right w:val="none" w:sz="0" w:space="0" w:color="auto"/>
                          </w:divBdr>
                          <w:divsChild>
                            <w:div w:id="590897877">
                              <w:marLeft w:val="0"/>
                              <w:marRight w:val="0"/>
                              <w:marTop w:val="0"/>
                              <w:marBottom w:val="0"/>
                              <w:divBdr>
                                <w:top w:val="none" w:sz="0" w:space="0" w:color="auto"/>
                                <w:left w:val="none" w:sz="0" w:space="0" w:color="auto"/>
                                <w:bottom w:val="none" w:sz="0" w:space="0" w:color="auto"/>
                                <w:right w:val="none" w:sz="0" w:space="0" w:color="auto"/>
                              </w:divBdr>
                              <w:divsChild>
                                <w:div w:id="117653886">
                                  <w:marLeft w:val="0"/>
                                  <w:marRight w:val="0"/>
                                  <w:marTop w:val="0"/>
                                  <w:marBottom w:val="0"/>
                                  <w:divBdr>
                                    <w:top w:val="none" w:sz="0" w:space="0" w:color="auto"/>
                                    <w:left w:val="none" w:sz="0" w:space="0" w:color="auto"/>
                                    <w:bottom w:val="none" w:sz="0" w:space="0" w:color="auto"/>
                                    <w:right w:val="none" w:sz="0" w:space="0" w:color="auto"/>
                                  </w:divBdr>
                                  <w:divsChild>
                                    <w:div w:id="864947962">
                                      <w:marLeft w:val="0"/>
                                      <w:marRight w:val="0"/>
                                      <w:marTop w:val="0"/>
                                      <w:marBottom w:val="0"/>
                                      <w:divBdr>
                                        <w:top w:val="none" w:sz="0" w:space="0" w:color="auto"/>
                                        <w:left w:val="none" w:sz="0" w:space="0" w:color="auto"/>
                                        <w:bottom w:val="none" w:sz="0" w:space="0" w:color="auto"/>
                                        <w:right w:val="none" w:sz="0" w:space="0" w:color="auto"/>
                                      </w:divBdr>
                                      <w:divsChild>
                                        <w:div w:id="1103108306">
                                          <w:marLeft w:val="0"/>
                                          <w:marRight w:val="0"/>
                                          <w:marTop w:val="0"/>
                                          <w:marBottom w:val="0"/>
                                          <w:divBdr>
                                            <w:top w:val="none" w:sz="0" w:space="0" w:color="auto"/>
                                            <w:left w:val="none" w:sz="0" w:space="0" w:color="auto"/>
                                            <w:bottom w:val="none" w:sz="0" w:space="0" w:color="auto"/>
                                            <w:right w:val="none" w:sz="0" w:space="0" w:color="auto"/>
                                          </w:divBdr>
                                          <w:divsChild>
                                            <w:div w:id="1666392618">
                                              <w:marLeft w:val="0"/>
                                              <w:marRight w:val="0"/>
                                              <w:marTop w:val="0"/>
                                              <w:marBottom w:val="0"/>
                                              <w:divBdr>
                                                <w:top w:val="none" w:sz="0" w:space="0" w:color="auto"/>
                                                <w:left w:val="none" w:sz="0" w:space="0" w:color="auto"/>
                                                <w:bottom w:val="none" w:sz="0" w:space="0" w:color="auto"/>
                                                <w:right w:val="none" w:sz="0" w:space="0" w:color="auto"/>
                                              </w:divBdr>
                                              <w:divsChild>
                                                <w:div w:id="3834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102349">
      <w:bodyDiv w:val="1"/>
      <w:marLeft w:val="0"/>
      <w:marRight w:val="0"/>
      <w:marTop w:val="0"/>
      <w:marBottom w:val="0"/>
      <w:divBdr>
        <w:top w:val="none" w:sz="0" w:space="0" w:color="auto"/>
        <w:left w:val="none" w:sz="0" w:space="0" w:color="auto"/>
        <w:bottom w:val="none" w:sz="0" w:space="0" w:color="auto"/>
        <w:right w:val="none" w:sz="0" w:space="0" w:color="auto"/>
      </w:divBdr>
    </w:div>
    <w:div w:id="633411736">
      <w:bodyDiv w:val="1"/>
      <w:marLeft w:val="0"/>
      <w:marRight w:val="0"/>
      <w:marTop w:val="0"/>
      <w:marBottom w:val="0"/>
      <w:divBdr>
        <w:top w:val="none" w:sz="0" w:space="0" w:color="auto"/>
        <w:left w:val="none" w:sz="0" w:space="0" w:color="auto"/>
        <w:bottom w:val="none" w:sz="0" w:space="0" w:color="auto"/>
        <w:right w:val="none" w:sz="0" w:space="0" w:color="auto"/>
      </w:divBdr>
    </w:div>
    <w:div w:id="679626354">
      <w:bodyDiv w:val="1"/>
      <w:marLeft w:val="0"/>
      <w:marRight w:val="0"/>
      <w:marTop w:val="0"/>
      <w:marBottom w:val="0"/>
      <w:divBdr>
        <w:top w:val="none" w:sz="0" w:space="0" w:color="auto"/>
        <w:left w:val="none" w:sz="0" w:space="0" w:color="auto"/>
        <w:bottom w:val="none" w:sz="0" w:space="0" w:color="auto"/>
        <w:right w:val="none" w:sz="0" w:space="0" w:color="auto"/>
      </w:divBdr>
    </w:div>
    <w:div w:id="690569422">
      <w:bodyDiv w:val="1"/>
      <w:marLeft w:val="0"/>
      <w:marRight w:val="0"/>
      <w:marTop w:val="0"/>
      <w:marBottom w:val="0"/>
      <w:divBdr>
        <w:top w:val="none" w:sz="0" w:space="0" w:color="auto"/>
        <w:left w:val="none" w:sz="0" w:space="0" w:color="auto"/>
        <w:bottom w:val="none" w:sz="0" w:space="0" w:color="auto"/>
        <w:right w:val="none" w:sz="0" w:space="0" w:color="auto"/>
      </w:divBdr>
      <w:divsChild>
        <w:div w:id="664554245">
          <w:marLeft w:val="0"/>
          <w:marRight w:val="0"/>
          <w:marTop w:val="100"/>
          <w:marBottom w:val="100"/>
          <w:divBdr>
            <w:top w:val="none" w:sz="0" w:space="0" w:color="auto"/>
            <w:left w:val="none" w:sz="0" w:space="0" w:color="auto"/>
            <w:bottom w:val="none" w:sz="0" w:space="0" w:color="auto"/>
            <w:right w:val="none" w:sz="0" w:space="0" w:color="auto"/>
          </w:divBdr>
          <w:divsChild>
            <w:div w:id="2276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3285">
      <w:bodyDiv w:val="1"/>
      <w:marLeft w:val="0"/>
      <w:marRight w:val="0"/>
      <w:marTop w:val="0"/>
      <w:marBottom w:val="0"/>
      <w:divBdr>
        <w:top w:val="none" w:sz="0" w:space="0" w:color="auto"/>
        <w:left w:val="none" w:sz="0" w:space="0" w:color="auto"/>
        <w:bottom w:val="none" w:sz="0" w:space="0" w:color="auto"/>
        <w:right w:val="none" w:sz="0" w:space="0" w:color="auto"/>
      </w:divBdr>
    </w:div>
    <w:div w:id="753672483">
      <w:bodyDiv w:val="1"/>
      <w:marLeft w:val="0"/>
      <w:marRight w:val="0"/>
      <w:marTop w:val="0"/>
      <w:marBottom w:val="0"/>
      <w:divBdr>
        <w:top w:val="none" w:sz="0" w:space="0" w:color="auto"/>
        <w:left w:val="none" w:sz="0" w:space="0" w:color="auto"/>
        <w:bottom w:val="none" w:sz="0" w:space="0" w:color="auto"/>
        <w:right w:val="none" w:sz="0" w:space="0" w:color="auto"/>
      </w:divBdr>
    </w:div>
    <w:div w:id="777798547">
      <w:bodyDiv w:val="1"/>
      <w:marLeft w:val="0"/>
      <w:marRight w:val="0"/>
      <w:marTop w:val="0"/>
      <w:marBottom w:val="0"/>
      <w:divBdr>
        <w:top w:val="none" w:sz="0" w:space="0" w:color="auto"/>
        <w:left w:val="none" w:sz="0" w:space="0" w:color="auto"/>
        <w:bottom w:val="none" w:sz="0" w:space="0" w:color="auto"/>
        <w:right w:val="none" w:sz="0" w:space="0" w:color="auto"/>
      </w:divBdr>
    </w:div>
    <w:div w:id="782572141">
      <w:bodyDiv w:val="1"/>
      <w:marLeft w:val="0"/>
      <w:marRight w:val="0"/>
      <w:marTop w:val="0"/>
      <w:marBottom w:val="0"/>
      <w:divBdr>
        <w:top w:val="none" w:sz="0" w:space="0" w:color="auto"/>
        <w:left w:val="none" w:sz="0" w:space="0" w:color="auto"/>
        <w:bottom w:val="none" w:sz="0" w:space="0" w:color="auto"/>
        <w:right w:val="none" w:sz="0" w:space="0" w:color="auto"/>
      </w:divBdr>
    </w:div>
    <w:div w:id="827552183">
      <w:bodyDiv w:val="1"/>
      <w:marLeft w:val="0"/>
      <w:marRight w:val="0"/>
      <w:marTop w:val="0"/>
      <w:marBottom w:val="0"/>
      <w:divBdr>
        <w:top w:val="none" w:sz="0" w:space="0" w:color="auto"/>
        <w:left w:val="none" w:sz="0" w:space="0" w:color="auto"/>
        <w:bottom w:val="none" w:sz="0" w:space="0" w:color="auto"/>
        <w:right w:val="none" w:sz="0" w:space="0" w:color="auto"/>
      </w:divBdr>
    </w:div>
    <w:div w:id="886113521">
      <w:bodyDiv w:val="1"/>
      <w:marLeft w:val="0"/>
      <w:marRight w:val="0"/>
      <w:marTop w:val="0"/>
      <w:marBottom w:val="0"/>
      <w:divBdr>
        <w:top w:val="none" w:sz="0" w:space="0" w:color="auto"/>
        <w:left w:val="none" w:sz="0" w:space="0" w:color="auto"/>
        <w:bottom w:val="none" w:sz="0" w:space="0" w:color="auto"/>
        <w:right w:val="none" w:sz="0" w:space="0" w:color="auto"/>
      </w:divBdr>
    </w:div>
    <w:div w:id="965547951">
      <w:bodyDiv w:val="1"/>
      <w:marLeft w:val="0"/>
      <w:marRight w:val="0"/>
      <w:marTop w:val="0"/>
      <w:marBottom w:val="0"/>
      <w:divBdr>
        <w:top w:val="none" w:sz="0" w:space="0" w:color="auto"/>
        <w:left w:val="none" w:sz="0" w:space="0" w:color="auto"/>
        <w:bottom w:val="none" w:sz="0" w:space="0" w:color="auto"/>
        <w:right w:val="none" w:sz="0" w:space="0" w:color="auto"/>
      </w:divBdr>
    </w:div>
    <w:div w:id="1007443115">
      <w:bodyDiv w:val="1"/>
      <w:marLeft w:val="0"/>
      <w:marRight w:val="0"/>
      <w:marTop w:val="0"/>
      <w:marBottom w:val="0"/>
      <w:divBdr>
        <w:top w:val="none" w:sz="0" w:space="0" w:color="auto"/>
        <w:left w:val="none" w:sz="0" w:space="0" w:color="auto"/>
        <w:bottom w:val="none" w:sz="0" w:space="0" w:color="auto"/>
        <w:right w:val="none" w:sz="0" w:space="0" w:color="auto"/>
      </w:divBdr>
    </w:div>
    <w:div w:id="1096898646">
      <w:bodyDiv w:val="1"/>
      <w:marLeft w:val="0"/>
      <w:marRight w:val="0"/>
      <w:marTop w:val="0"/>
      <w:marBottom w:val="0"/>
      <w:divBdr>
        <w:top w:val="none" w:sz="0" w:space="0" w:color="auto"/>
        <w:left w:val="none" w:sz="0" w:space="0" w:color="auto"/>
        <w:bottom w:val="none" w:sz="0" w:space="0" w:color="auto"/>
        <w:right w:val="none" w:sz="0" w:space="0" w:color="auto"/>
      </w:divBdr>
      <w:divsChild>
        <w:div w:id="281035108">
          <w:marLeft w:val="0"/>
          <w:marRight w:val="0"/>
          <w:marTop w:val="0"/>
          <w:marBottom w:val="0"/>
          <w:divBdr>
            <w:top w:val="none" w:sz="0" w:space="0" w:color="auto"/>
            <w:left w:val="none" w:sz="0" w:space="0" w:color="auto"/>
            <w:bottom w:val="none" w:sz="0" w:space="0" w:color="auto"/>
            <w:right w:val="none" w:sz="0" w:space="0" w:color="auto"/>
          </w:divBdr>
          <w:divsChild>
            <w:div w:id="1142037236">
              <w:marLeft w:val="0"/>
              <w:marRight w:val="0"/>
              <w:marTop w:val="0"/>
              <w:marBottom w:val="0"/>
              <w:divBdr>
                <w:top w:val="none" w:sz="0" w:space="0" w:color="auto"/>
                <w:left w:val="none" w:sz="0" w:space="0" w:color="auto"/>
                <w:bottom w:val="none" w:sz="0" w:space="0" w:color="auto"/>
                <w:right w:val="none" w:sz="0" w:space="0" w:color="auto"/>
              </w:divBdr>
              <w:divsChild>
                <w:div w:id="619651483">
                  <w:marLeft w:val="0"/>
                  <w:marRight w:val="0"/>
                  <w:marTop w:val="0"/>
                  <w:marBottom w:val="0"/>
                  <w:divBdr>
                    <w:top w:val="none" w:sz="0" w:space="0" w:color="auto"/>
                    <w:left w:val="none" w:sz="0" w:space="0" w:color="auto"/>
                    <w:bottom w:val="none" w:sz="0" w:space="0" w:color="auto"/>
                    <w:right w:val="none" w:sz="0" w:space="0" w:color="auto"/>
                  </w:divBdr>
                  <w:divsChild>
                    <w:div w:id="42681036">
                      <w:marLeft w:val="0"/>
                      <w:marRight w:val="0"/>
                      <w:marTop w:val="0"/>
                      <w:marBottom w:val="0"/>
                      <w:divBdr>
                        <w:top w:val="none" w:sz="0" w:space="0" w:color="auto"/>
                        <w:left w:val="none" w:sz="0" w:space="0" w:color="auto"/>
                        <w:bottom w:val="none" w:sz="0" w:space="0" w:color="auto"/>
                        <w:right w:val="none" w:sz="0" w:space="0" w:color="auto"/>
                      </w:divBdr>
                      <w:divsChild>
                        <w:div w:id="1086539521">
                          <w:marLeft w:val="0"/>
                          <w:marRight w:val="0"/>
                          <w:marTop w:val="0"/>
                          <w:marBottom w:val="0"/>
                          <w:divBdr>
                            <w:top w:val="none" w:sz="0" w:space="0" w:color="auto"/>
                            <w:left w:val="none" w:sz="0" w:space="0" w:color="auto"/>
                            <w:bottom w:val="none" w:sz="0" w:space="0" w:color="auto"/>
                            <w:right w:val="none" w:sz="0" w:space="0" w:color="auto"/>
                          </w:divBdr>
                          <w:divsChild>
                            <w:div w:id="1114863950">
                              <w:marLeft w:val="0"/>
                              <w:marRight w:val="0"/>
                              <w:marTop w:val="0"/>
                              <w:marBottom w:val="0"/>
                              <w:divBdr>
                                <w:top w:val="none" w:sz="0" w:space="0" w:color="auto"/>
                                <w:left w:val="none" w:sz="0" w:space="0" w:color="auto"/>
                                <w:bottom w:val="none" w:sz="0" w:space="0" w:color="auto"/>
                                <w:right w:val="none" w:sz="0" w:space="0" w:color="auto"/>
                              </w:divBdr>
                              <w:divsChild>
                                <w:div w:id="17375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959209">
      <w:bodyDiv w:val="1"/>
      <w:marLeft w:val="0"/>
      <w:marRight w:val="0"/>
      <w:marTop w:val="0"/>
      <w:marBottom w:val="0"/>
      <w:divBdr>
        <w:top w:val="none" w:sz="0" w:space="0" w:color="auto"/>
        <w:left w:val="none" w:sz="0" w:space="0" w:color="auto"/>
        <w:bottom w:val="none" w:sz="0" w:space="0" w:color="auto"/>
        <w:right w:val="none" w:sz="0" w:space="0" w:color="auto"/>
      </w:divBdr>
    </w:div>
    <w:div w:id="1137138526">
      <w:bodyDiv w:val="1"/>
      <w:marLeft w:val="0"/>
      <w:marRight w:val="0"/>
      <w:marTop w:val="0"/>
      <w:marBottom w:val="0"/>
      <w:divBdr>
        <w:top w:val="none" w:sz="0" w:space="0" w:color="auto"/>
        <w:left w:val="none" w:sz="0" w:space="0" w:color="auto"/>
        <w:bottom w:val="none" w:sz="0" w:space="0" w:color="auto"/>
        <w:right w:val="none" w:sz="0" w:space="0" w:color="auto"/>
      </w:divBdr>
    </w:div>
    <w:div w:id="1165322827">
      <w:bodyDiv w:val="1"/>
      <w:marLeft w:val="0"/>
      <w:marRight w:val="0"/>
      <w:marTop w:val="0"/>
      <w:marBottom w:val="0"/>
      <w:divBdr>
        <w:top w:val="none" w:sz="0" w:space="0" w:color="auto"/>
        <w:left w:val="none" w:sz="0" w:space="0" w:color="auto"/>
        <w:bottom w:val="none" w:sz="0" w:space="0" w:color="auto"/>
        <w:right w:val="none" w:sz="0" w:space="0" w:color="auto"/>
      </w:divBdr>
      <w:divsChild>
        <w:div w:id="2146195637">
          <w:marLeft w:val="0"/>
          <w:marRight w:val="0"/>
          <w:marTop w:val="0"/>
          <w:marBottom w:val="0"/>
          <w:divBdr>
            <w:top w:val="none" w:sz="0" w:space="0" w:color="auto"/>
            <w:left w:val="none" w:sz="0" w:space="0" w:color="auto"/>
            <w:bottom w:val="none" w:sz="0" w:space="0" w:color="auto"/>
            <w:right w:val="none" w:sz="0" w:space="0" w:color="auto"/>
          </w:divBdr>
          <w:divsChild>
            <w:div w:id="394016345">
              <w:marLeft w:val="0"/>
              <w:marRight w:val="0"/>
              <w:marTop w:val="0"/>
              <w:marBottom w:val="0"/>
              <w:divBdr>
                <w:top w:val="none" w:sz="0" w:space="0" w:color="auto"/>
                <w:left w:val="none" w:sz="0" w:space="0" w:color="auto"/>
                <w:bottom w:val="none" w:sz="0" w:space="0" w:color="auto"/>
                <w:right w:val="none" w:sz="0" w:space="0" w:color="auto"/>
              </w:divBdr>
              <w:divsChild>
                <w:div w:id="1704213512">
                  <w:marLeft w:val="0"/>
                  <w:marRight w:val="0"/>
                  <w:marTop w:val="0"/>
                  <w:marBottom w:val="0"/>
                  <w:divBdr>
                    <w:top w:val="none" w:sz="0" w:space="0" w:color="auto"/>
                    <w:left w:val="none" w:sz="0" w:space="0" w:color="auto"/>
                    <w:bottom w:val="none" w:sz="0" w:space="0" w:color="auto"/>
                    <w:right w:val="none" w:sz="0" w:space="0" w:color="auto"/>
                  </w:divBdr>
                  <w:divsChild>
                    <w:div w:id="957834713">
                      <w:marLeft w:val="0"/>
                      <w:marRight w:val="0"/>
                      <w:marTop w:val="0"/>
                      <w:marBottom w:val="600"/>
                      <w:divBdr>
                        <w:top w:val="none" w:sz="0" w:space="0" w:color="auto"/>
                        <w:left w:val="none" w:sz="0" w:space="0" w:color="auto"/>
                        <w:bottom w:val="none" w:sz="0" w:space="0" w:color="auto"/>
                        <w:right w:val="none" w:sz="0" w:space="0" w:color="auto"/>
                      </w:divBdr>
                      <w:divsChild>
                        <w:div w:id="1271232372">
                          <w:marLeft w:val="0"/>
                          <w:marRight w:val="0"/>
                          <w:marTop w:val="0"/>
                          <w:marBottom w:val="0"/>
                          <w:divBdr>
                            <w:top w:val="none" w:sz="0" w:space="0" w:color="auto"/>
                            <w:left w:val="none" w:sz="0" w:space="0" w:color="auto"/>
                            <w:bottom w:val="none" w:sz="0" w:space="0" w:color="auto"/>
                            <w:right w:val="none" w:sz="0" w:space="0" w:color="auto"/>
                          </w:divBdr>
                          <w:divsChild>
                            <w:div w:id="844831851">
                              <w:marLeft w:val="0"/>
                              <w:marRight w:val="0"/>
                              <w:marTop w:val="0"/>
                              <w:marBottom w:val="0"/>
                              <w:divBdr>
                                <w:top w:val="none" w:sz="0" w:space="0" w:color="auto"/>
                                <w:left w:val="none" w:sz="0" w:space="0" w:color="auto"/>
                                <w:bottom w:val="none" w:sz="0" w:space="0" w:color="auto"/>
                                <w:right w:val="none" w:sz="0" w:space="0" w:color="auto"/>
                              </w:divBdr>
                              <w:divsChild>
                                <w:div w:id="1957174752">
                                  <w:marLeft w:val="0"/>
                                  <w:marRight w:val="0"/>
                                  <w:marTop w:val="0"/>
                                  <w:marBottom w:val="0"/>
                                  <w:divBdr>
                                    <w:top w:val="none" w:sz="0" w:space="0" w:color="auto"/>
                                    <w:left w:val="none" w:sz="0" w:space="0" w:color="auto"/>
                                    <w:bottom w:val="none" w:sz="0" w:space="0" w:color="auto"/>
                                    <w:right w:val="none" w:sz="0" w:space="0" w:color="auto"/>
                                  </w:divBdr>
                                  <w:divsChild>
                                    <w:div w:id="910701838">
                                      <w:marLeft w:val="0"/>
                                      <w:marRight w:val="0"/>
                                      <w:marTop w:val="0"/>
                                      <w:marBottom w:val="0"/>
                                      <w:divBdr>
                                        <w:top w:val="none" w:sz="0" w:space="0" w:color="auto"/>
                                        <w:left w:val="none" w:sz="0" w:space="0" w:color="auto"/>
                                        <w:bottom w:val="none" w:sz="0" w:space="0" w:color="auto"/>
                                        <w:right w:val="none" w:sz="0" w:space="0" w:color="auto"/>
                                      </w:divBdr>
                                      <w:divsChild>
                                        <w:div w:id="1355809400">
                                          <w:marLeft w:val="0"/>
                                          <w:marRight w:val="0"/>
                                          <w:marTop w:val="0"/>
                                          <w:marBottom w:val="0"/>
                                          <w:divBdr>
                                            <w:top w:val="none" w:sz="0" w:space="0" w:color="auto"/>
                                            <w:left w:val="none" w:sz="0" w:space="0" w:color="auto"/>
                                            <w:bottom w:val="none" w:sz="0" w:space="0" w:color="auto"/>
                                            <w:right w:val="none" w:sz="0" w:space="0" w:color="auto"/>
                                          </w:divBdr>
                                          <w:divsChild>
                                            <w:div w:id="1469593002">
                                              <w:marLeft w:val="0"/>
                                              <w:marRight w:val="0"/>
                                              <w:marTop w:val="0"/>
                                              <w:marBottom w:val="0"/>
                                              <w:divBdr>
                                                <w:top w:val="none" w:sz="0" w:space="0" w:color="auto"/>
                                                <w:left w:val="none" w:sz="0" w:space="0" w:color="auto"/>
                                                <w:bottom w:val="none" w:sz="0" w:space="0" w:color="auto"/>
                                                <w:right w:val="none" w:sz="0" w:space="0" w:color="auto"/>
                                              </w:divBdr>
                                              <w:divsChild>
                                                <w:div w:id="10900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9928055">
      <w:bodyDiv w:val="1"/>
      <w:marLeft w:val="0"/>
      <w:marRight w:val="0"/>
      <w:marTop w:val="0"/>
      <w:marBottom w:val="0"/>
      <w:divBdr>
        <w:top w:val="none" w:sz="0" w:space="0" w:color="auto"/>
        <w:left w:val="none" w:sz="0" w:space="0" w:color="auto"/>
        <w:bottom w:val="none" w:sz="0" w:space="0" w:color="auto"/>
        <w:right w:val="none" w:sz="0" w:space="0" w:color="auto"/>
      </w:divBdr>
      <w:divsChild>
        <w:div w:id="2077361965">
          <w:marLeft w:val="0"/>
          <w:marRight w:val="0"/>
          <w:marTop w:val="0"/>
          <w:marBottom w:val="0"/>
          <w:divBdr>
            <w:top w:val="none" w:sz="0" w:space="0" w:color="auto"/>
            <w:left w:val="none" w:sz="0" w:space="0" w:color="auto"/>
            <w:bottom w:val="none" w:sz="0" w:space="0" w:color="auto"/>
            <w:right w:val="none" w:sz="0" w:space="0" w:color="auto"/>
          </w:divBdr>
          <w:divsChild>
            <w:div w:id="1444568444">
              <w:marLeft w:val="0"/>
              <w:marRight w:val="0"/>
              <w:marTop w:val="0"/>
              <w:marBottom w:val="0"/>
              <w:divBdr>
                <w:top w:val="none" w:sz="0" w:space="0" w:color="auto"/>
                <w:left w:val="none" w:sz="0" w:space="0" w:color="auto"/>
                <w:bottom w:val="none" w:sz="0" w:space="0" w:color="auto"/>
                <w:right w:val="none" w:sz="0" w:space="0" w:color="auto"/>
              </w:divBdr>
              <w:divsChild>
                <w:div w:id="545408167">
                  <w:marLeft w:val="0"/>
                  <w:marRight w:val="0"/>
                  <w:marTop w:val="0"/>
                  <w:marBottom w:val="0"/>
                  <w:divBdr>
                    <w:top w:val="none" w:sz="0" w:space="0" w:color="auto"/>
                    <w:left w:val="none" w:sz="0" w:space="0" w:color="auto"/>
                    <w:bottom w:val="none" w:sz="0" w:space="0" w:color="auto"/>
                    <w:right w:val="none" w:sz="0" w:space="0" w:color="auto"/>
                  </w:divBdr>
                  <w:divsChild>
                    <w:div w:id="535580411">
                      <w:marLeft w:val="0"/>
                      <w:marRight w:val="0"/>
                      <w:marTop w:val="0"/>
                      <w:marBottom w:val="600"/>
                      <w:divBdr>
                        <w:top w:val="none" w:sz="0" w:space="0" w:color="auto"/>
                        <w:left w:val="none" w:sz="0" w:space="0" w:color="auto"/>
                        <w:bottom w:val="none" w:sz="0" w:space="0" w:color="auto"/>
                        <w:right w:val="none" w:sz="0" w:space="0" w:color="auto"/>
                      </w:divBdr>
                      <w:divsChild>
                        <w:div w:id="1077091481">
                          <w:marLeft w:val="0"/>
                          <w:marRight w:val="0"/>
                          <w:marTop w:val="0"/>
                          <w:marBottom w:val="0"/>
                          <w:divBdr>
                            <w:top w:val="none" w:sz="0" w:space="0" w:color="auto"/>
                            <w:left w:val="none" w:sz="0" w:space="0" w:color="auto"/>
                            <w:bottom w:val="none" w:sz="0" w:space="0" w:color="auto"/>
                            <w:right w:val="none" w:sz="0" w:space="0" w:color="auto"/>
                          </w:divBdr>
                          <w:divsChild>
                            <w:div w:id="1424034131">
                              <w:marLeft w:val="0"/>
                              <w:marRight w:val="0"/>
                              <w:marTop w:val="0"/>
                              <w:marBottom w:val="0"/>
                              <w:divBdr>
                                <w:top w:val="none" w:sz="0" w:space="0" w:color="auto"/>
                                <w:left w:val="none" w:sz="0" w:space="0" w:color="auto"/>
                                <w:bottom w:val="none" w:sz="0" w:space="0" w:color="auto"/>
                                <w:right w:val="none" w:sz="0" w:space="0" w:color="auto"/>
                              </w:divBdr>
                              <w:divsChild>
                                <w:div w:id="1908882038">
                                  <w:marLeft w:val="0"/>
                                  <w:marRight w:val="0"/>
                                  <w:marTop w:val="0"/>
                                  <w:marBottom w:val="0"/>
                                  <w:divBdr>
                                    <w:top w:val="none" w:sz="0" w:space="0" w:color="auto"/>
                                    <w:left w:val="none" w:sz="0" w:space="0" w:color="auto"/>
                                    <w:bottom w:val="none" w:sz="0" w:space="0" w:color="auto"/>
                                    <w:right w:val="none" w:sz="0" w:space="0" w:color="auto"/>
                                  </w:divBdr>
                                  <w:divsChild>
                                    <w:div w:id="1146239490">
                                      <w:marLeft w:val="0"/>
                                      <w:marRight w:val="0"/>
                                      <w:marTop w:val="0"/>
                                      <w:marBottom w:val="0"/>
                                      <w:divBdr>
                                        <w:top w:val="none" w:sz="0" w:space="0" w:color="auto"/>
                                        <w:left w:val="none" w:sz="0" w:space="0" w:color="auto"/>
                                        <w:bottom w:val="none" w:sz="0" w:space="0" w:color="auto"/>
                                        <w:right w:val="none" w:sz="0" w:space="0" w:color="auto"/>
                                      </w:divBdr>
                                      <w:divsChild>
                                        <w:div w:id="1237400725">
                                          <w:marLeft w:val="0"/>
                                          <w:marRight w:val="0"/>
                                          <w:marTop w:val="0"/>
                                          <w:marBottom w:val="0"/>
                                          <w:divBdr>
                                            <w:top w:val="none" w:sz="0" w:space="0" w:color="auto"/>
                                            <w:left w:val="none" w:sz="0" w:space="0" w:color="auto"/>
                                            <w:bottom w:val="none" w:sz="0" w:space="0" w:color="auto"/>
                                            <w:right w:val="none" w:sz="0" w:space="0" w:color="auto"/>
                                          </w:divBdr>
                                          <w:divsChild>
                                            <w:div w:id="210700527">
                                              <w:marLeft w:val="0"/>
                                              <w:marRight w:val="0"/>
                                              <w:marTop w:val="0"/>
                                              <w:marBottom w:val="0"/>
                                              <w:divBdr>
                                                <w:top w:val="none" w:sz="0" w:space="0" w:color="auto"/>
                                                <w:left w:val="none" w:sz="0" w:space="0" w:color="auto"/>
                                                <w:bottom w:val="none" w:sz="0" w:space="0" w:color="auto"/>
                                                <w:right w:val="none" w:sz="0" w:space="0" w:color="auto"/>
                                              </w:divBdr>
                                              <w:divsChild>
                                                <w:div w:id="833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265326">
      <w:bodyDiv w:val="1"/>
      <w:marLeft w:val="0"/>
      <w:marRight w:val="0"/>
      <w:marTop w:val="0"/>
      <w:marBottom w:val="0"/>
      <w:divBdr>
        <w:top w:val="none" w:sz="0" w:space="0" w:color="auto"/>
        <w:left w:val="none" w:sz="0" w:space="0" w:color="auto"/>
        <w:bottom w:val="none" w:sz="0" w:space="0" w:color="auto"/>
        <w:right w:val="none" w:sz="0" w:space="0" w:color="auto"/>
      </w:divBdr>
      <w:divsChild>
        <w:div w:id="817458600">
          <w:marLeft w:val="0"/>
          <w:marRight w:val="0"/>
          <w:marTop w:val="0"/>
          <w:marBottom w:val="0"/>
          <w:divBdr>
            <w:top w:val="none" w:sz="0" w:space="0" w:color="auto"/>
            <w:left w:val="none" w:sz="0" w:space="0" w:color="auto"/>
            <w:bottom w:val="none" w:sz="0" w:space="0" w:color="auto"/>
            <w:right w:val="none" w:sz="0" w:space="0" w:color="auto"/>
          </w:divBdr>
          <w:divsChild>
            <w:div w:id="1456604288">
              <w:marLeft w:val="0"/>
              <w:marRight w:val="0"/>
              <w:marTop w:val="0"/>
              <w:marBottom w:val="0"/>
              <w:divBdr>
                <w:top w:val="none" w:sz="0" w:space="0" w:color="auto"/>
                <w:left w:val="none" w:sz="0" w:space="0" w:color="auto"/>
                <w:bottom w:val="none" w:sz="0" w:space="0" w:color="auto"/>
                <w:right w:val="none" w:sz="0" w:space="0" w:color="auto"/>
              </w:divBdr>
              <w:divsChild>
                <w:div w:id="1691908747">
                  <w:marLeft w:val="0"/>
                  <w:marRight w:val="0"/>
                  <w:marTop w:val="0"/>
                  <w:marBottom w:val="0"/>
                  <w:divBdr>
                    <w:top w:val="none" w:sz="0" w:space="0" w:color="auto"/>
                    <w:left w:val="none" w:sz="0" w:space="0" w:color="auto"/>
                    <w:bottom w:val="none" w:sz="0" w:space="0" w:color="auto"/>
                    <w:right w:val="none" w:sz="0" w:space="0" w:color="auto"/>
                  </w:divBdr>
                  <w:divsChild>
                    <w:div w:id="107427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87463489">
      <w:bodyDiv w:val="1"/>
      <w:marLeft w:val="0"/>
      <w:marRight w:val="0"/>
      <w:marTop w:val="0"/>
      <w:marBottom w:val="0"/>
      <w:divBdr>
        <w:top w:val="none" w:sz="0" w:space="0" w:color="auto"/>
        <w:left w:val="none" w:sz="0" w:space="0" w:color="auto"/>
        <w:bottom w:val="none" w:sz="0" w:space="0" w:color="auto"/>
        <w:right w:val="none" w:sz="0" w:space="0" w:color="auto"/>
      </w:divBdr>
      <w:divsChild>
        <w:div w:id="1215772998">
          <w:marLeft w:val="0"/>
          <w:marRight w:val="0"/>
          <w:marTop w:val="0"/>
          <w:marBottom w:val="0"/>
          <w:divBdr>
            <w:top w:val="none" w:sz="0" w:space="0" w:color="auto"/>
            <w:left w:val="none" w:sz="0" w:space="0" w:color="auto"/>
            <w:bottom w:val="none" w:sz="0" w:space="0" w:color="auto"/>
            <w:right w:val="none" w:sz="0" w:space="0" w:color="auto"/>
          </w:divBdr>
          <w:divsChild>
            <w:div w:id="297689870">
              <w:marLeft w:val="0"/>
              <w:marRight w:val="0"/>
              <w:marTop w:val="0"/>
              <w:marBottom w:val="0"/>
              <w:divBdr>
                <w:top w:val="none" w:sz="0" w:space="0" w:color="auto"/>
                <w:left w:val="none" w:sz="0" w:space="0" w:color="auto"/>
                <w:bottom w:val="none" w:sz="0" w:space="0" w:color="auto"/>
                <w:right w:val="none" w:sz="0" w:space="0" w:color="auto"/>
              </w:divBdr>
              <w:divsChild>
                <w:div w:id="1530726568">
                  <w:marLeft w:val="0"/>
                  <w:marRight w:val="0"/>
                  <w:marTop w:val="0"/>
                  <w:marBottom w:val="0"/>
                  <w:divBdr>
                    <w:top w:val="none" w:sz="0" w:space="0" w:color="auto"/>
                    <w:left w:val="none" w:sz="0" w:space="0" w:color="auto"/>
                    <w:bottom w:val="none" w:sz="0" w:space="0" w:color="auto"/>
                    <w:right w:val="none" w:sz="0" w:space="0" w:color="auto"/>
                  </w:divBdr>
                  <w:divsChild>
                    <w:div w:id="2128965632">
                      <w:marLeft w:val="0"/>
                      <w:marRight w:val="0"/>
                      <w:marTop w:val="0"/>
                      <w:marBottom w:val="600"/>
                      <w:divBdr>
                        <w:top w:val="none" w:sz="0" w:space="0" w:color="auto"/>
                        <w:left w:val="none" w:sz="0" w:space="0" w:color="auto"/>
                        <w:bottom w:val="none" w:sz="0" w:space="0" w:color="auto"/>
                        <w:right w:val="none" w:sz="0" w:space="0" w:color="auto"/>
                      </w:divBdr>
                      <w:divsChild>
                        <w:div w:id="1919628622">
                          <w:marLeft w:val="0"/>
                          <w:marRight w:val="0"/>
                          <w:marTop w:val="0"/>
                          <w:marBottom w:val="0"/>
                          <w:divBdr>
                            <w:top w:val="none" w:sz="0" w:space="0" w:color="auto"/>
                            <w:left w:val="none" w:sz="0" w:space="0" w:color="auto"/>
                            <w:bottom w:val="none" w:sz="0" w:space="0" w:color="auto"/>
                            <w:right w:val="none" w:sz="0" w:space="0" w:color="auto"/>
                          </w:divBdr>
                          <w:divsChild>
                            <w:div w:id="1974292599">
                              <w:marLeft w:val="0"/>
                              <w:marRight w:val="0"/>
                              <w:marTop w:val="0"/>
                              <w:marBottom w:val="0"/>
                              <w:divBdr>
                                <w:top w:val="none" w:sz="0" w:space="0" w:color="auto"/>
                                <w:left w:val="none" w:sz="0" w:space="0" w:color="auto"/>
                                <w:bottom w:val="none" w:sz="0" w:space="0" w:color="auto"/>
                                <w:right w:val="none" w:sz="0" w:space="0" w:color="auto"/>
                              </w:divBdr>
                              <w:divsChild>
                                <w:div w:id="550917836">
                                  <w:marLeft w:val="0"/>
                                  <w:marRight w:val="0"/>
                                  <w:marTop w:val="0"/>
                                  <w:marBottom w:val="0"/>
                                  <w:divBdr>
                                    <w:top w:val="none" w:sz="0" w:space="0" w:color="auto"/>
                                    <w:left w:val="none" w:sz="0" w:space="0" w:color="auto"/>
                                    <w:bottom w:val="none" w:sz="0" w:space="0" w:color="auto"/>
                                    <w:right w:val="none" w:sz="0" w:space="0" w:color="auto"/>
                                  </w:divBdr>
                                  <w:divsChild>
                                    <w:div w:id="1276475461">
                                      <w:marLeft w:val="0"/>
                                      <w:marRight w:val="0"/>
                                      <w:marTop w:val="0"/>
                                      <w:marBottom w:val="0"/>
                                      <w:divBdr>
                                        <w:top w:val="none" w:sz="0" w:space="0" w:color="auto"/>
                                        <w:left w:val="none" w:sz="0" w:space="0" w:color="auto"/>
                                        <w:bottom w:val="none" w:sz="0" w:space="0" w:color="auto"/>
                                        <w:right w:val="none" w:sz="0" w:space="0" w:color="auto"/>
                                      </w:divBdr>
                                      <w:divsChild>
                                        <w:div w:id="2113931156">
                                          <w:marLeft w:val="0"/>
                                          <w:marRight w:val="0"/>
                                          <w:marTop w:val="0"/>
                                          <w:marBottom w:val="0"/>
                                          <w:divBdr>
                                            <w:top w:val="none" w:sz="0" w:space="0" w:color="auto"/>
                                            <w:left w:val="none" w:sz="0" w:space="0" w:color="auto"/>
                                            <w:bottom w:val="none" w:sz="0" w:space="0" w:color="auto"/>
                                            <w:right w:val="none" w:sz="0" w:space="0" w:color="auto"/>
                                          </w:divBdr>
                                          <w:divsChild>
                                            <w:div w:id="298270888">
                                              <w:marLeft w:val="0"/>
                                              <w:marRight w:val="0"/>
                                              <w:marTop w:val="0"/>
                                              <w:marBottom w:val="0"/>
                                              <w:divBdr>
                                                <w:top w:val="none" w:sz="0" w:space="0" w:color="auto"/>
                                                <w:left w:val="none" w:sz="0" w:space="0" w:color="auto"/>
                                                <w:bottom w:val="none" w:sz="0" w:space="0" w:color="auto"/>
                                                <w:right w:val="none" w:sz="0" w:space="0" w:color="auto"/>
                                              </w:divBdr>
                                              <w:divsChild>
                                                <w:div w:id="7124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921505">
      <w:bodyDiv w:val="1"/>
      <w:marLeft w:val="0"/>
      <w:marRight w:val="0"/>
      <w:marTop w:val="0"/>
      <w:marBottom w:val="0"/>
      <w:divBdr>
        <w:top w:val="none" w:sz="0" w:space="0" w:color="auto"/>
        <w:left w:val="none" w:sz="0" w:space="0" w:color="auto"/>
        <w:bottom w:val="none" w:sz="0" w:space="0" w:color="auto"/>
        <w:right w:val="none" w:sz="0" w:space="0" w:color="auto"/>
      </w:divBdr>
      <w:divsChild>
        <w:div w:id="1281649680">
          <w:marLeft w:val="0"/>
          <w:marRight w:val="0"/>
          <w:marTop w:val="0"/>
          <w:marBottom w:val="0"/>
          <w:divBdr>
            <w:top w:val="none" w:sz="0" w:space="0" w:color="auto"/>
            <w:left w:val="none" w:sz="0" w:space="0" w:color="auto"/>
            <w:bottom w:val="none" w:sz="0" w:space="0" w:color="auto"/>
            <w:right w:val="none" w:sz="0" w:space="0" w:color="auto"/>
          </w:divBdr>
          <w:divsChild>
            <w:div w:id="1057778841">
              <w:marLeft w:val="0"/>
              <w:marRight w:val="0"/>
              <w:marTop w:val="0"/>
              <w:marBottom w:val="0"/>
              <w:divBdr>
                <w:top w:val="none" w:sz="0" w:space="0" w:color="auto"/>
                <w:left w:val="none" w:sz="0" w:space="0" w:color="auto"/>
                <w:bottom w:val="none" w:sz="0" w:space="0" w:color="auto"/>
                <w:right w:val="none" w:sz="0" w:space="0" w:color="auto"/>
              </w:divBdr>
              <w:divsChild>
                <w:div w:id="20799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9144">
      <w:bodyDiv w:val="1"/>
      <w:marLeft w:val="0"/>
      <w:marRight w:val="0"/>
      <w:marTop w:val="0"/>
      <w:marBottom w:val="0"/>
      <w:divBdr>
        <w:top w:val="none" w:sz="0" w:space="0" w:color="auto"/>
        <w:left w:val="none" w:sz="0" w:space="0" w:color="auto"/>
        <w:bottom w:val="none" w:sz="0" w:space="0" w:color="auto"/>
        <w:right w:val="none" w:sz="0" w:space="0" w:color="auto"/>
      </w:divBdr>
      <w:divsChild>
        <w:div w:id="961040542">
          <w:marLeft w:val="0"/>
          <w:marRight w:val="0"/>
          <w:marTop w:val="0"/>
          <w:marBottom w:val="0"/>
          <w:divBdr>
            <w:top w:val="none" w:sz="0" w:space="0" w:color="auto"/>
            <w:left w:val="single" w:sz="48" w:space="30" w:color="00679E"/>
            <w:bottom w:val="none" w:sz="0" w:space="0" w:color="auto"/>
            <w:right w:val="none" w:sz="0" w:space="0" w:color="auto"/>
          </w:divBdr>
          <w:divsChild>
            <w:div w:id="272520046">
              <w:marLeft w:val="0"/>
              <w:marRight w:val="3450"/>
              <w:marTop w:val="0"/>
              <w:marBottom w:val="0"/>
              <w:divBdr>
                <w:top w:val="none" w:sz="0" w:space="0" w:color="auto"/>
                <w:left w:val="none" w:sz="0" w:space="0" w:color="auto"/>
                <w:bottom w:val="none" w:sz="0" w:space="0" w:color="auto"/>
                <w:right w:val="single" w:sz="6" w:space="15" w:color="000000"/>
              </w:divBdr>
            </w:div>
          </w:divsChild>
        </w:div>
      </w:divsChild>
    </w:div>
    <w:div w:id="1392341148">
      <w:bodyDiv w:val="1"/>
      <w:marLeft w:val="0"/>
      <w:marRight w:val="0"/>
      <w:marTop w:val="0"/>
      <w:marBottom w:val="0"/>
      <w:divBdr>
        <w:top w:val="none" w:sz="0" w:space="0" w:color="auto"/>
        <w:left w:val="none" w:sz="0" w:space="0" w:color="auto"/>
        <w:bottom w:val="none" w:sz="0" w:space="0" w:color="auto"/>
        <w:right w:val="none" w:sz="0" w:space="0" w:color="auto"/>
      </w:divBdr>
    </w:div>
    <w:div w:id="1418287774">
      <w:bodyDiv w:val="1"/>
      <w:marLeft w:val="0"/>
      <w:marRight w:val="0"/>
      <w:marTop w:val="0"/>
      <w:marBottom w:val="0"/>
      <w:divBdr>
        <w:top w:val="none" w:sz="0" w:space="0" w:color="auto"/>
        <w:left w:val="none" w:sz="0" w:space="0" w:color="auto"/>
        <w:bottom w:val="none" w:sz="0" w:space="0" w:color="auto"/>
        <w:right w:val="none" w:sz="0" w:space="0" w:color="auto"/>
      </w:divBdr>
    </w:div>
    <w:div w:id="1477605910">
      <w:bodyDiv w:val="1"/>
      <w:marLeft w:val="0"/>
      <w:marRight w:val="0"/>
      <w:marTop w:val="0"/>
      <w:marBottom w:val="0"/>
      <w:divBdr>
        <w:top w:val="none" w:sz="0" w:space="0" w:color="auto"/>
        <w:left w:val="none" w:sz="0" w:space="0" w:color="auto"/>
        <w:bottom w:val="none" w:sz="0" w:space="0" w:color="auto"/>
        <w:right w:val="none" w:sz="0" w:space="0" w:color="auto"/>
      </w:divBdr>
    </w:div>
    <w:div w:id="1501122492">
      <w:bodyDiv w:val="1"/>
      <w:marLeft w:val="0"/>
      <w:marRight w:val="0"/>
      <w:marTop w:val="0"/>
      <w:marBottom w:val="0"/>
      <w:divBdr>
        <w:top w:val="none" w:sz="0" w:space="0" w:color="auto"/>
        <w:left w:val="none" w:sz="0" w:space="0" w:color="auto"/>
        <w:bottom w:val="none" w:sz="0" w:space="0" w:color="auto"/>
        <w:right w:val="none" w:sz="0" w:space="0" w:color="auto"/>
      </w:divBdr>
      <w:divsChild>
        <w:div w:id="149444473">
          <w:marLeft w:val="0"/>
          <w:marRight w:val="0"/>
          <w:marTop w:val="975"/>
          <w:marBottom w:val="0"/>
          <w:divBdr>
            <w:top w:val="none" w:sz="0" w:space="0" w:color="auto"/>
            <w:left w:val="none" w:sz="0" w:space="0" w:color="auto"/>
            <w:bottom w:val="none" w:sz="0" w:space="0" w:color="auto"/>
            <w:right w:val="none" w:sz="0" w:space="0" w:color="auto"/>
          </w:divBdr>
          <w:divsChild>
            <w:div w:id="104273324">
              <w:marLeft w:val="0"/>
              <w:marRight w:val="0"/>
              <w:marTop w:val="0"/>
              <w:marBottom w:val="0"/>
              <w:divBdr>
                <w:top w:val="none" w:sz="0" w:space="0" w:color="auto"/>
                <w:left w:val="none" w:sz="0" w:space="0" w:color="auto"/>
                <w:bottom w:val="none" w:sz="0" w:space="0" w:color="auto"/>
                <w:right w:val="none" w:sz="0" w:space="0" w:color="auto"/>
              </w:divBdr>
              <w:divsChild>
                <w:div w:id="1980499608">
                  <w:marLeft w:val="0"/>
                  <w:marRight w:val="0"/>
                  <w:marTop w:val="0"/>
                  <w:marBottom w:val="0"/>
                  <w:divBdr>
                    <w:top w:val="none" w:sz="0" w:space="0" w:color="auto"/>
                    <w:left w:val="none" w:sz="0" w:space="0" w:color="auto"/>
                    <w:bottom w:val="none" w:sz="0" w:space="0" w:color="auto"/>
                    <w:right w:val="none" w:sz="0" w:space="0" w:color="auto"/>
                  </w:divBdr>
                  <w:divsChild>
                    <w:div w:id="54207126">
                      <w:marLeft w:val="0"/>
                      <w:marRight w:val="0"/>
                      <w:marTop w:val="0"/>
                      <w:marBottom w:val="0"/>
                      <w:divBdr>
                        <w:top w:val="none" w:sz="0" w:space="0" w:color="auto"/>
                        <w:left w:val="none" w:sz="0" w:space="0" w:color="auto"/>
                        <w:bottom w:val="none" w:sz="0" w:space="0" w:color="auto"/>
                        <w:right w:val="none" w:sz="0" w:space="0" w:color="auto"/>
                      </w:divBdr>
                      <w:divsChild>
                        <w:div w:id="1862357338">
                          <w:marLeft w:val="0"/>
                          <w:marRight w:val="0"/>
                          <w:marTop w:val="0"/>
                          <w:marBottom w:val="0"/>
                          <w:divBdr>
                            <w:top w:val="none" w:sz="0" w:space="0" w:color="auto"/>
                            <w:left w:val="none" w:sz="0" w:space="0" w:color="auto"/>
                            <w:bottom w:val="none" w:sz="0" w:space="0" w:color="auto"/>
                            <w:right w:val="none" w:sz="0" w:space="0" w:color="auto"/>
                          </w:divBdr>
                          <w:divsChild>
                            <w:div w:id="1281497379">
                              <w:marLeft w:val="0"/>
                              <w:marRight w:val="0"/>
                              <w:marTop w:val="0"/>
                              <w:marBottom w:val="0"/>
                              <w:divBdr>
                                <w:top w:val="none" w:sz="0" w:space="0" w:color="auto"/>
                                <w:left w:val="none" w:sz="0" w:space="0" w:color="auto"/>
                                <w:bottom w:val="none" w:sz="0" w:space="0" w:color="auto"/>
                                <w:right w:val="dotted" w:sz="18" w:space="0" w:color="DCDBDA"/>
                              </w:divBdr>
                            </w:div>
                          </w:divsChild>
                        </w:div>
                      </w:divsChild>
                    </w:div>
                  </w:divsChild>
                </w:div>
              </w:divsChild>
            </w:div>
          </w:divsChild>
        </w:div>
      </w:divsChild>
    </w:div>
    <w:div w:id="1531602180">
      <w:bodyDiv w:val="1"/>
      <w:marLeft w:val="0"/>
      <w:marRight w:val="0"/>
      <w:marTop w:val="0"/>
      <w:marBottom w:val="0"/>
      <w:divBdr>
        <w:top w:val="none" w:sz="0" w:space="0" w:color="auto"/>
        <w:left w:val="none" w:sz="0" w:space="0" w:color="auto"/>
        <w:bottom w:val="none" w:sz="0" w:space="0" w:color="auto"/>
        <w:right w:val="none" w:sz="0" w:space="0" w:color="auto"/>
      </w:divBdr>
    </w:div>
    <w:div w:id="1562137203">
      <w:bodyDiv w:val="1"/>
      <w:marLeft w:val="0"/>
      <w:marRight w:val="0"/>
      <w:marTop w:val="0"/>
      <w:marBottom w:val="0"/>
      <w:divBdr>
        <w:top w:val="none" w:sz="0" w:space="0" w:color="auto"/>
        <w:left w:val="none" w:sz="0" w:space="0" w:color="auto"/>
        <w:bottom w:val="none" w:sz="0" w:space="0" w:color="auto"/>
        <w:right w:val="none" w:sz="0" w:space="0" w:color="auto"/>
      </w:divBdr>
      <w:divsChild>
        <w:div w:id="1782147209">
          <w:marLeft w:val="0"/>
          <w:marRight w:val="0"/>
          <w:marTop w:val="0"/>
          <w:marBottom w:val="0"/>
          <w:divBdr>
            <w:top w:val="none" w:sz="0" w:space="0" w:color="auto"/>
            <w:left w:val="none" w:sz="0" w:space="0" w:color="auto"/>
            <w:bottom w:val="none" w:sz="0" w:space="0" w:color="auto"/>
            <w:right w:val="none" w:sz="0" w:space="0" w:color="auto"/>
          </w:divBdr>
        </w:div>
      </w:divsChild>
    </w:div>
    <w:div w:id="1696343423">
      <w:bodyDiv w:val="1"/>
      <w:marLeft w:val="0"/>
      <w:marRight w:val="0"/>
      <w:marTop w:val="0"/>
      <w:marBottom w:val="0"/>
      <w:divBdr>
        <w:top w:val="none" w:sz="0" w:space="0" w:color="auto"/>
        <w:left w:val="none" w:sz="0" w:space="0" w:color="auto"/>
        <w:bottom w:val="none" w:sz="0" w:space="0" w:color="auto"/>
        <w:right w:val="none" w:sz="0" w:space="0" w:color="auto"/>
      </w:divBdr>
    </w:div>
    <w:div w:id="1707174021">
      <w:bodyDiv w:val="1"/>
      <w:marLeft w:val="0"/>
      <w:marRight w:val="0"/>
      <w:marTop w:val="0"/>
      <w:marBottom w:val="0"/>
      <w:divBdr>
        <w:top w:val="none" w:sz="0" w:space="0" w:color="auto"/>
        <w:left w:val="none" w:sz="0" w:space="0" w:color="auto"/>
        <w:bottom w:val="none" w:sz="0" w:space="0" w:color="auto"/>
        <w:right w:val="none" w:sz="0" w:space="0" w:color="auto"/>
      </w:divBdr>
      <w:divsChild>
        <w:div w:id="1911962701">
          <w:marLeft w:val="2925"/>
          <w:marRight w:val="0"/>
          <w:marTop w:val="0"/>
          <w:marBottom w:val="0"/>
          <w:divBdr>
            <w:top w:val="none" w:sz="0" w:space="0" w:color="auto"/>
            <w:left w:val="none" w:sz="0" w:space="0" w:color="auto"/>
            <w:bottom w:val="none" w:sz="0" w:space="0" w:color="auto"/>
            <w:right w:val="none" w:sz="0" w:space="0" w:color="auto"/>
          </w:divBdr>
          <w:divsChild>
            <w:div w:id="1945722369">
              <w:marLeft w:val="0"/>
              <w:marRight w:val="0"/>
              <w:marTop w:val="0"/>
              <w:marBottom w:val="0"/>
              <w:divBdr>
                <w:top w:val="none" w:sz="0" w:space="0" w:color="auto"/>
                <w:left w:val="none" w:sz="0" w:space="0" w:color="auto"/>
                <w:bottom w:val="none" w:sz="0" w:space="0" w:color="auto"/>
                <w:right w:val="none" w:sz="0" w:space="0" w:color="auto"/>
              </w:divBdr>
              <w:divsChild>
                <w:div w:id="1167405673">
                  <w:marLeft w:val="0"/>
                  <w:marRight w:val="0"/>
                  <w:marTop w:val="0"/>
                  <w:marBottom w:val="0"/>
                  <w:divBdr>
                    <w:top w:val="none" w:sz="0" w:space="0" w:color="auto"/>
                    <w:left w:val="none" w:sz="0" w:space="0" w:color="auto"/>
                    <w:bottom w:val="none" w:sz="0" w:space="0" w:color="auto"/>
                    <w:right w:val="none" w:sz="0" w:space="0" w:color="auto"/>
                  </w:divBdr>
                  <w:divsChild>
                    <w:div w:id="225649098">
                      <w:marLeft w:val="0"/>
                      <w:marRight w:val="0"/>
                      <w:marTop w:val="0"/>
                      <w:marBottom w:val="0"/>
                      <w:divBdr>
                        <w:top w:val="none" w:sz="0" w:space="0" w:color="auto"/>
                        <w:left w:val="none" w:sz="0" w:space="0" w:color="auto"/>
                        <w:bottom w:val="none" w:sz="0" w:space="0" w:color="auto"/>
                        <w:right w:val="none" w:sz="0" w:space="0" w:color="auto"/>
                      </w:divBdr>
                      <w:divsChild>
                        <w:div w:id="1081373451">
                          <w:marLeft w:val="0"/>
                          <w:marRight w:val="0"/>
                          <w:marTop w:val="0"/>
                          <w:marBottom w:val="0"/>
                          <w:divBdr>
                            <w:top w:val="none" w:sz="0" w:space="0" w:color="auto"/>
                            <w:left w:val="none" w:sz="0" w:space="0" w:color="auto"/>
                            <w:bottom w:val="none" w:sz="0" w:space="0" w:color="auto"/>
                            <w:right w:val="none" w:sz="0" w:space="0" w:color="auto"/>
                          </w:divBdr>
                          <w:divsChild>
                            <w:div w:id="10984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37243">
      <w:bodyDiv w:val="1"/>
      <w:marLeft w:val="0"/>
      <w:marRight w:val="0"/>
      <w:marTop w:val="0"/>
      <w:marBottom w:val="0"/>
      <w:divBdr>
        <w:top w:val="none" w:sz="0" w:space="0" w:color="auto"/>
        <w:left w:val="none" w:sz="0" w:space="0" w:color="auto"/>
        <w:bottom w:val="none" w:sz="0" w:space="0" w:color="auto"/>
        <w:right w:val="none" w:sz="0" w:space="0" w:color="auto"/>
      </w:divBdr>
    </w:div>
    <w:div w:id="1728914777">
      <w:bodyDiv w:val="1"/>
      <w:marLeft w:val="0"/>
      <w:marRight w:val="0"/>
      <w:marTop w:val="0"/>
      <w:marBottom w:val="0"/>
      <w:divBdr>
        <w:top w:val="none" w:sz="0" w:space="0" w:color="auto"/>
        <w:left w:val="none" w:sz="0" w:space="0" w:color="auto"/>
        <w:bottom w:val="none" w:sz="0" w:space="0" w:color="auto"/>
        <w:right w:val="none" w:sz="0" w:space="0" w:color="auto"/>
      </w:divBdr>
      <w:divsChild>
        <w:div w:id="766316007">
          <w:marLeft w:val="0"/>
          <w:marRight w:val="0"/>
          <w:marTop w:val="0"/>
          <w:marBottom w:val="0"/>
          <w:divBdr>
            <w:top w:val="none" w:sz="0" w:space="0" w:color="auto"/>
            <w:left w:val="none" w:sz="0" w:space="0" w:color="auto"/>
            <w:bottom w:val="none" w:sz="0" w:space="0" w:color="auto"/>
            <w:right w:val="none" w:sz="0" w:space="0" w:color="auto"/>
          </w:divBdr>
          <w:divsChild>
            <w:div w:id="1788507692">
              <w:marLeft w:val="0"/>
              <w:marRight w:val="0"/>
              <w:marTop w:val="0"/>
              <w:marBottom w:val="0"/>
              <w:divBdr>
                <w:top w:val="none" w:sz="0" w:space="0" w:color="auto"/>
                <w:left w:val="none" w:sz="0" w:space="0" w:color="auto"/>
                <w:bottom w:val="none" w:sz="0" w:space="0" w:color="auto"/>
                <w:right w:val="none" w:sz="0" w:space="0" w:color="auto"/>
              </w:divBdr>
              <w:divsChild>
                <w:div w:id="1246382455">
                  <w:marLeft w:val="0"/>
                  <w:marRight w:val="0"/>
                  <w:marTop w:val="0"/>
                  <w:marBottom w:val="0"/>
                  <w:divBdr>
                    <w:top w:val="none" w:sz="0" w:space="0" w:color="auto"/>
                    <w:left w:val="none" w:sz="0" w:space="0" w:color="auto"/>
                    <w:bottom w:val="none" w:sz="0" w:space="0" w:color="auto"/>
                    <w:right w:val="none" w:sz="0" w:space="0" w:color="auto"/>
                  </w:divBdr>
                  <w:divsChild>
                    <w:div w:id="377514073">
                      <w:marLeft w:val="0"/>
                      <w:marRight w:val="0"/>
                      <w:marTop w:val="0"/>
                      <w:marBottom w:val="600"/>
                      <w:divBdr>
                        <w:top w:val="none" w:sz="0" w:space="0" w:color="auto"/>
                        <w:left w:val="none" w:sz="0" w:space="0" w:color="auto"/>
                        <w:bottom w:val="none" w:sz="0" w:space="0" w:color="auto"/>
                        <w:right w:val="none" w:sz="0" w:space="0" w:color="auto"/>
                      </w:divBdr>
                      <w:divsChild>
                        <w:div w:id="862406321">
                          <w:marLeft w:val="0"/>
                          <w:marRight w:val="0"/>
                          <w:marTop w:val="0"/>
                          <w:marBottom w:val="0"/>
                          <w:divBdr>
                            <w:top w:val="none" w:sz="0" w:space="0" w:color="auto"/>
                            <w:left w:val="none" w:sz="0" w:space="0" w:color="auto"/>
                            <w:bottom w:val="none" w:sz="0" w:space="0" w:color="auto"/>
                            <w:right w:val="none" w:sz="0" w:space="0" w:color="auto"/>
                          </w:divBdr>
                          <w:divsChild>
                            <w:div w:id="135882210">
                              <w:marLeft w:val="0"/>
                              <w:marRight w:val="0"/>
                              <w:marTop w:val="0"/>
                              <w:marBottom w:val="0"/>
                              <w:divBdr>
                                <w:top w:val="none" w:sz="0" w:space="0" w:color="auto"/>
                                <w:left w:val="none" w:sz="0" w:space="0" w:color="auto"/>
                                <w:bottom w:val="none" w:sz="0" w:space="0" w:color="auto"/>
                                <w:right w:val="none" w:sz="0" w:space="0" w:color="auto"/>
                              </w:divBdr>
                              <w:divsChild>
                                <w:div w:id="297105316">
                                  <w:marLeft w:val="0"/>
                                  <w:marRight w:val="0"/>
                                  <w:marTop w:val="0"/>
                                  <w:marBottom w:val="0"/>
                                  <w:divBdr>
                                    <w:top w:val="none" w:sz="0" w:space="0" w:color="auto"/>
                                    <w:left w:val="none" w:sz="0" w:space="0" w:color="auto"/>
                                    <w:bottom w:val="none" w:sz="0" w:space="0" w:color="auto"/>
                                    <w:right w:val="none" w:sz="0" w:space="0" w:color="auto"/>
                                  </w:divBdr>
                                  <w:divsChild>
                                    <w:div w:id="96099705">
                                      <w:marLeft w:val="0"/>
                                      <w:marRight w:val="0"/>
                                      <w:marTop w:val="0"/>
                                      <w:marBottom w:val="0"/>
                                      <w:divBdr>
                                        <w:top w:val="none" w:sz="0" w:space="0" w:color="auto"/>
                                        <w:left w:val="none" w:sz="0" w:space="0" w:color="auto"/>
                                        <w:bottom w:val="none" w:sz="0" w:space="0" w:color="auto"/>
                                        <w:right w:val="none" w:sz="0" w:space="0" w:color="auto"/>
                                      </w:divBdr>
                                      <w:divsChild>
                                        <w:div w:id="1196576420">
                                          <w:marLeft w:val="0"/>
                                          <w:marRight w:val="0"/>
                                          <w:marTop w:val="0"/>
                                          <w:marBottom w:val="0"/>
                                          <w:divBdr>
                                            <w:top w:val="none" w:sz="0" w:space="0" w:color="auto"/>
                                            <w:left w:val="none" w:sz="0" w:space="0" w:color="auto"/>
                                            <w:bottom w:val="none" w:sz="0" w:space="0" w:color="auto"/>
                                            <w:right w:val="none" w:sz="0" w:space="0" w:color="auto"/>
                                          </w:divBdr>
                                          <w:divsChild>
                                            <w:div w:id="2042044784">
                                              <w:marLeft w:val="0"/>
                                              <w:marRight w:val="0"/>
                                              <w:marTop w:val="0"/>
                                              <w:marBottom w:val="0"/>
                                              <w:divBdr>
                                                <w:top w:val="none" w:sz="0" w:space="0" w:color="auto"/>
                                                <w:left w:val="none" w:sz="0" w:space="0" w:color="auto"/>
                                                <w:bottom w:val="none" w:sz="0" w:space="0" w:color="auto"/>
                                                <w:right w:val="none" w:sz="0" w:space="0" w:color="auto"/>
                                              </w:divBdr>
                                              <w:divsChild>
                                                <w:div w:id="11067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86701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590744086">
          <w:marLeft w:val="0"/>
          <w:marRight w:val="0"/>
          <w:marTop w:val="0"/>
          <w:marBottom w:val="0"/>
          <w:divBdr>
            <w:top w:val="none" w:sz="0" w:space="0" w:color="auto"/>
            <w:left w:val="none" w:sz="0" w:space="0" w:color="auto"/>
            <w:bottom w:val="none" w:sz="0" w:space="0" w:color="auto"/>
            <w:right w:val="none" w:sz="0" w:space="0" w:color="auto"/>
          </w:divBdr>
          <w:divsChild>
            <w:div w:id="193738086">
              <w:marLeft w:val="0"/>
              <w:marRight w:val="0"/>
              <w:marTop w:val="0"/>
              <w:marBottom w:val="0"/>
              <w:divBdr>
                <w:top w:val="none" w:sz="0" w:space="0" w:color="auto"/>
                <w:left w:val="none" w:sz="0" w:space="0" w:color="auto"/>
                <w:bottom w:val="none" w:sz="0" w:space="0" w:color="auto"/>
                <w:right w:val="none" w:sz="0" w:space="0" w:color="auto"/>
              </w:divBdr>
              <w:divsChild>
                <w:div w:id="1483960969">
                  <w:marLeft w:val="0"/>
                  <w:marRight w:val="0"/>
                  <w:marTop w:val="0"/>
                  <w:marBottom w:val="0"/>
                  <w:divBdr>
                    <w:top w:val="none" w:sz="0" w:space="0" w:color="auto"/>
                    <w:left w:val="none" w:sz="0" w:space="0" w:color="auto"/>
                    <w:bottom w:val="none" w:sz="0" w:space="0" w:color="auto"/>
                    <w:right w:val="none" w:sz="0" w:space="0" w:color="auto"/>
                  </w:divBdr>
                  <w:divsChild>
                    <w:div w:id="1494492188">
                      <w:marLeft w:val="0"/>
                      <w:marRight w:val="0"/>
                      <w:marTop w:val="0"/>
                      <w:marBottom w:val="0"/>
                      <w:divBdr>
                        <w:top w:val="none" w:sz="0" w:space="0" w:color="auto"/>
                        <w:left w:val="none" w:sz="0" w:space="0" w:color="auto"/>
                        <w:bottom w:val="none" w:sz="0" w:space="0" w:color="auto"/>
                        <w:right w:val="none" w:sz="0" w:space="0" w:color="auto"/>
                      </w:divBdr>
                      <w:divsChild>
                        <w:div w:id="624888982">
                          <w:marLeft w:val="0"/>
                          <w:marRight w:val="0"/>
                          <w:marTop w:val="0"/>
                          <w:marBottom w:val="0"/>
                          <w:divBdr>
                            <w:top w:val="none" w:sz="0" w:space="0" w:color="auto"/>
                            <w:left w:val="none" w:sz="0" w:space="0" w:color="auto"/>
                            <w:bottom w:val="none" w:sz="0" w:space="0" w:color="auto"/>
                            <w:right w:val="none" w:sz="0" w:space="0" w:color="auto"/>
                          </w:divBdr>
                          <w:divsChild>
                            <w:div w:id="22826484">
                              <w:marLeft w:val="0"/>
                              <w:marRight w:val="0"/>
                              <w:marTop w:val="0"/>
                              <w:marBottom w:val="0"/>
                              <w:divBdr>
                                <w:top w:val="none" w:sz="0" w:space="0" w:color="auto"/>
                                <w:left w:val="none" w:sz="0" w:space="0" w:color="auto"/>
                                <w:bottom w:val="none" w:sz="0" w:space="0" w:color="auto"/>
                                <w:right w:val="none" w:sz="0" w:space="0" w:color="auto"/>
                              </w:divBdr>
                              <w:divsChild>
                                <w:div w:id="525097240">
                                  <w:marLeft w:val="0"/>
                                  <w:marRight w:val="0"/>
                                  <w:marTop w:val="100"/>
                                  <w:marBottom w:val="100"/>
                                  <w:divBdr>
                                    <w:top w:val="none" w:sz="0" w:space="0" w:color="auto"/>
                                    <w:left w:val="none" w:sz="0" w:space="0" w:color="auto"/>
                                    <w:bottom w:val="none" w:sz="0" w:space="0" w:color="auto"/>
                                    <w:right w:val="none" w:sz="0" w:space="0" w:color="auto"/>
                                  </w:divBdr>
                                  <w:divsChild>
                                    <w:div w:id="2140604941">
                                      <w:marLeft w:val="0"/>
                                      <w:marRight w:val="0"/>
                                      <w:marTop w:val="0"/>
                                      <w:marBottom w:val="0"/>
                                      <w:divBdr>
                                        <w:top w:val="none" w:sz="0" w:space="0" w:color="auto"/>
                                        <w:left w:val="none" w:sz="0" w:space="0" w:color="auto"/>
                                        <w:bottom w:val="none" w:sz="0" w:space="0" w:color="auto"/>
                                        <w:right w:val="none" w:sz="0" w:space="0" w:color="auto"/>
                                      </w:divBdr>
                                      <w:divsChild>
                                        <w:div w:id="1909267388">
                                          <w:marLeft w:val="0"/>
                                          <w:marRight w:val="0"/>
                                          <w:marTop w:val="0"/>
                                          <w:marBottom w:val="0"/>
                                          <w:divBdr>
                                            <w:top w:val="none" w:sz="0" w:space="0" w:color="auto"/>
                                            <w:left w:val="none" w:sz="0" w:space="0" w:color="auto"/>
                                            <w:bottom w:val="none" w:sz="0" w:space="0" w:color="auto"/>
                                            <w:right w:val="none" w:sz="0" w:space="0" w:color="auto"/>
                                          </w:divBdr>
                                          <w:divsChild>
                                            <w:div w:id="2045248442">
                                              <w:marLeft w:val="0"/>
                                              <w:marRight w:val="0"/>
                                              <w:marTop w:val="0"/>
                                              <w:marBottom w:val="0"/>
                                              <w:divBdr>
                                                <w:top w:val="none" w:sz="0" w:space="0" w:color="auto"/>
                                                <w:left w:val="none" w:sz="0" w:space="0" w:color="auto"/>
                                                <w:bottom w:val="none" w:sz="0" w:space="0" w:color="auto"/>
                                                <w:right w:val="none" w:sz="0" w:space="0" w:color="auto"/>
                                              </w:divBdr>
                                              <w:divsChild>
                                                <w:div w:id="960572929">
                                                  <w:marLeft w:val="0"/>
                                                  <w:marRight w:val="0"/>
                                                  <w:marTop w:val="0"/>
                                                  <w:marBottom w:val="0"/>
                                                  <w:divBdr>
                                                    <w:top w:val="none" w:sz="0" w:space="0" w:color="auto"/>
                                                    <w:left w:val="none" w:sz="0" w:space="0" w:color="auto"/>
                                                    <w:bottom w:val="none" w:sz="0" w:space="0" w:color="auto"/>
                                                    <w:right w:val="none" w:sz="0" w:space="0" w:color="auto"/>
                                                  </w:divBdr>
                                                  <w:divsChild>
                                                    <w:div w:id="7838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797313">
      <w:bodyDiv w:val="1"/>
      <w:marLeft w:val="0"/>
      <w:marRight w:val="0"/>
      <w:marTop w:val="0"/>
      <w:marBottom w:val="0"/>
      <w:divBdr>
        <w:top w:val="none" w:sz="0" w:space="0" w:color="auto"/>
        <w:left w:val="none" w:sz="0" w:space="0" w:color="auto"/>
        <w:bottom w:val="none" w:sz="0" w:space="0" w:color="auto"/>
        <w:right w:val="none" w:sz="0" w:space="0" w:color="auto"/>
      </w:divBdr>
      <w:divsChild>
        <w:div w:id="627011131">
          <w:marLeft w:val="0"/>
          <w:marRight w:val="0"/>
          <w:marTop w:val="0"/>
          <w:marBottom w:val="0"/>
          <w:divBdr>
            <w:top w:val="none" w:sz="0" w:space="0" w:color="auto"/>
            <w:left w:val="none" w:sz="0" w:space="0" w:color="auto"/>
            <w:bottom w:val="none" w:sz="0" w:space="0" w:color="auto"/>
            <w:right w:val="none" w:sz="0" w:space="0" w:color="auto"/>
          </w:divBdr>
          <w:divsChild>
            <w:div w:id="1707561303">
              <w:marLeft w:val="0"/>
              <w:marRight w:val="0"/>
              <w:marTop w:val="0"/>
              <w:marBottom w:val="0"/>
              <w:divBdr>
                <w:top w:val="none" w:sz="0" w:space="0" w:color="auto"/>
                <w:left w:val="none" w:sz="0" w:space="0" w:color="auto"/>
                <w:bottom w:val="none" w:sz="0" w:space="0" w:color="auto"/>
                <w:right w:val="none" w:sz="0" w:space="0" w:color="auto"/>
              </w:divBdr>
              <w:divsChild>
                <w:div w:id="1941523537">
                  <w:marLeft w:val="0"/>
                  <w:marRight w:val="0"/>
                  <w:marTop w:val="0"/>
                  <w:marBottom w:val="0"/>
                  <w:divBdr>
                    <w:top w:val="none" w:sz="0" w:space="0" w:color="auto"/>
                    <w:left w:val="none" w:sz="0" w:space="0" w:color="auto"/>
                    <w:bottom w:val="none" w:sz="0" w:space="0" w:color="auto"/>
                    <w:right w:val="none" w:sz="0" w:space="0" w:color="auto"/>
                  </w:divBdr>
                  <w:divsChild>
                    <w:div w:id="1045719784">
                      <w:marLeft w:val="0"/>
                      <w:marRight w:val="0"/>
                      <w:marTop w:val="0"/>
                      <w:marBottom w:val="0"/>
                      <w:divBdr>
                        <w:top w:val="none" w:sz="0" w:space="0" w:color="auto"/>
                        <w:left w:val="none" w:sz="0" w:space="0" w:color="auto"/>
                        <w:bottom w:val="none" w:sz="0" w:space="0" w:color="auto"/>
                        <w:right w:val="none" w:sz="0" w:space="0" w:color="auto"/>
                      </w:divBdr>
                      <w:divsChild>
                        <w:div w:id="16086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956125">
      <w:bodyDiv w:val="1"/>
      <w:marLeft w:val="0"/>
      <w:marRight w:val="0"/>
      <w:marTop w:val="0"/>
      <w:marBottom w:val="0"/>
      <w:divBdr>
        <w:top w:val="none" w:sz="0" w:space="0" w:color="auto"/>
        <w:left w:val="none" w:sz="0" w:space="0" w:color="auto"/>
        <w:bottom w:val="none" w:sz="0" w:space="0" w:color="auto"/>
        <w:right w:val="none" w:sz="0" w:space="0" w:color="auto"/>
      </w:divBdr>
    </w:div>
    <w:div w:id="1985622281">
      <w:bodyDiv w:val="1"/>
      <w:marLeft w:val="0"/>
      <w:marRight w:val="0"/>
      <w:marTop w:val="0"/>
      <w:marBottom w:val="0"/>
      <w:divBdr>
        <w:top w:val="none" w:sz="0" w:space="0" w:color="auto"/>
        <w:left w:val="none" w:sz="0" w:space="0" w:color="auto"/>
        <w:bottom w:val="none" w:sz="0" w:space="0" w:color="auto"/>
        <w:right w:val="none" w:sz="0" w:space="0" w:color="auto"/>
      </w:divBdr>
    </w:div>
    <w:div w:id="1992518572">
      <w:bodyDiv w:val="1"/>
      <w:marLeft w:val="0"/>
      <w:marRight w:val="0"/>
      <w:marTop w:val="0"/>
      <w:marBottom w:val="0"/>
      <w:divBdr>
        <w:top w:val="none" w:sz="0" w:space="0" w:color="auto"/>
        <w:left w:val="none" w:sz="0" w:space="0" w:color="auto"/>
        <w:bottom w:val="none" w:sz="0" w:space="0" w:color="auto"/>
        <w:right w:val="none" w:sz="0" w:space="0" w:color="auto"/>
      </w:divBdr>
    </w:div>
    <w:div w:id="1992712345">
      <w:bodyDiv w:val="1"/>
      <w:marLeft w:val="0"/>
      <w:marRight w:val="0"/>
      <w:marTop w:val="0"/>
      <w:marBottom w:val="0"/>
      <w:divBdr>
        <w:top w:val="none" w:sz="0" w:space="0" w:color="auto"/>
        <w:left w:val="none" w:sz="0" w:space="0" w:color="auto"/>
        <w:bottom w:val="none" w:sz="0" w:space="0" w:color="auto"/>
        <w:right w:val="none" w:sz="0" w:space="0" w:color="auto"/>
      </w:divBdr>
      <w:divsChild>
        <w:div w:id="482091539">
          <w:marLeft w:val="0"/>
          <w:marRight w:val="0"/>
          <w:marTop w:val="0"/>
          <w:marBottom w:val="0"/>
          <w:divBdr>
            <w:top w:val="none" w:sz="0" w:space="0" w:color="auto"/>
            <w:left w:val="none" w:sz="0" w:space="0" w:color="auto"/>
            <w:bottom w:val="none" w:sz="0" w:space="0" w:color="auto"/>
            <w:right w:val="none" w:sz="0" w:space="0" w:color="auto"/>
          </w:divBdr>
        </w:div>
      </w:divsChild>
    </w:div>
    <w:div w:id="1999768064">
      <w:bodyDiv w:val="1"/>
      <w:marLeft w:val="0"/>
      <w:marRight w:val="0"/>
      <w:marTop w:val="0"/>
      <w:marBottom w:val="0"/>
      <w:divBdr>
        <w:top w:val="none" w:sz="0" w:space="0" w:color="auto"/>
        <w:left w:val="none" w:sz="0" w:space="0" w:color="auto"/>
        <w:bottom w:val="none" w:sz="0" w:space="0" w:color="auto"/>
        <w:right w:val="none" w:sz="0" w:space="0" w:color="auto"/>
      </w:divBdr>
    </w:div>
    <w:div w:id="2063946137">
      <w:bodyDiv w:val="1"/>
      <w:marLeft w:val="0"/>
      <w:marRight w:val="0"/>
      <w:marTop w:val="0"/>
      <w:marBottom w:val="0"/>
      <w:divBdr>
        <w:top w:val="none" w:sz="0" w:space="0" w:color="auto"/>
        <w:left w:val="none" w:sz="0" w:space="0" w:color="auto"/>
        <w:bottom w:val="none" w:sz="0" w:space="0" w:color="auto"/>
        <w:right w:val="none" w:sz="0" w:space="0" w:color="auto"/>
      </w:divBdr>
    </w:div>
    <w:div w:id="2077388193">
      <w:bodyDiv w:val="1"/>
      <w:marLeft w:val="0"/>
      <w:marRight w:val="0"/>
      <w:marTop w:val="0"/>
      <w:marBottom w:val="0"/>
      <w:divBdr>
        <w:top w:val="none" w:sz="0" w:space="0" w:color="auto"/>
        <w:left w:val="none" w:sz="0" w:space="0" w:color="auto"/>
        <w:bottom w:val="none" w:sz="0" w:space="0" w:color="auto"/>
        <w:right w:val="none" w:sz="0" w:space="0" w:color="auto"/>
      </w:divBdr>
    </w:div>
    <w:div w:id="2078085991">
      <w:bodyDiv w:val="1"/>
      <w:marLeft w:val="0"/>
      <w:marRight w:val="0"/>
      <w:marTop w:val="0"/>
      <w:marBottom w:val="0"/>
      <w:divBdr>
        <w:top w:val="none" w:sz="0" w:space="0" w:color="auto"/>
        <w:left w:val="none" w:sz="0" w:space="0" w:color="auto"/>
        <w:bottom w:val="none" w:sz="0" w:space="0" w:color="auto"/>
        <w:right w:val="none" w:sz="0" w:space="0" w:color="auto"/>
      </w:divBdr>
    </w:div>
    <w:div w:id="2099250532">
      <w:bodyDiv w:val="1"/>
      <w:marLeft w:val="0"/>
      <w:marRight w:val="0"/>
      <w:marTop w:val="0"/>
      <w:marBottom w:val="0"/>
      <w:divBdr>
        <w:top w:val="none" w:sz="0" w:space="0" w:color="auto"/>
        <w:left w:val="none" w:sz="0" w:space="0" w:color="auto"/>
        <w:bottom w:val="none" w:sz="0" w:space="0" w:color="auto"/>
        <w:right w:val="none" w:sz="0" w:space="0" w:color="auto"/>
      </w:divBdr>
      <w:divsChild>
        <w:div w:id="1840850102">
          <w:marLeft w:val="0"/>
          <w:marRight w:val="0"/>
          <w:marTop w:val="0"/>
          <w:marBottom w:val="0"/>
          <w:divBdr>
            <w:top w:val="none" w:sz="0" w:space="0" w:color="auto"/>
            <w:left w:val="none" w:sz="0" w:space="0" w:color="auto"/>
            <w:bottom w:val="none" w:sz="0" w:space="0" w:color="auto"/>
            <w:right w:val="none" w:sz="0" w:space="0" w:color="auto"/>
          </w:divBdr>
          <w:divsChild>
            <w:div w:id="1902322366">
              <w:marLeft w:val="0"/>
              <w:marRight w:val="0"/>
              <w:marTop w:val="0"/>
              <w:marBottom w:val="0"/>
              <w:divBdr>
                <w:top w:val="none" w:sz="0" w:space="0" w:color="auto"/>
                <w:left w:val="none" w:sz="0" w:space="0" w:color="auto"/>
                <w:bottom w:val="none" w:sz="0" w:space="0" w:color="auto"/>
                <w:right w:val="none" w:sz="0" w:space="0" w:color="auto"/>
              </w:divBdr>
              <w:divsChild>
                <w:div w:id="290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9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rch.org.au/aedi/index.cfm" TargetMode="External"/><Relationship Id="rId39" Type="http://schemas.openxmlformats.org/officeDocument/2006/relationships/hyperlink" Target="http://www.dss.gov.au/families-and-children/news/2011/national-standards-for-out-of-home-care"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9.xml"/><Relationship Id="rId42"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education.nt.gov.au/teachers-educators/students-learning/safe-schools-nt" TargetMode="External"/><Relationship Id="rId33" Type="http://schemas.openxmlformats.org/officeDocument/2006/relationships/footer" Target="footer5.xml"/><Relationship Id="rId38" Type="http://schemas.openxmlformats.org/officeDocument/2006/relationships/hyperlink" Target="http://www.familiesaustralia.org.au/"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hart" Target="charts/chart1.xml"/><Relationship Id="rId29" Type="http://schemas.openxmlformats.org/officeDocument/2006/relationships/hyperlink" Target="http://www.asca.org.au/"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mes.net.au/" TargetMode="External"/><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yperlink" Target="http://www.aihw.gov.au/ch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crr.unsw.edu.au/" TargetMode="External"/><Relationship Id="rId28" Type="http://schemas.openxmlformats.org/officeDocument/2006/relationships/hyperlink" Target="http://www.sfe.nswiop.nsw.edu.au/" TargetMode="Externa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image" Target="media/image1.JPG"/><Relationship Id="rId31" Type="http://schemas.openxmlformats.org/officeDocument/2006/relationships/header" Target="header7.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australianchildwellbeing.com.au/research-findings-resources" TargetMode="External"/><Relationship Id="rId27" Type="http://schemas.openxmlformats.org/officeDocument/2006/relationships/hyperlink" Target="http://www.familiesaustralia.org.au/" TargetMode="External"/><Relationship Id="rId30" Type="http://schemas.openxmlformats.org/officeDocument/2006/relationships/image" Target="media/image3.png"/><Relationship Id="rId35" Type="http://schemas.openxmlformats.org/officeDocument/2006/relationships/header" Target="header10.xml"/><Relationship Id="rId43" Type="http://schemas.openxmlformats.org/officeDocument/2006/relationships/header" Target="header15.xml"/></Relationships>
</file>

<file path=word/charts/_rels/chart1.xml.rels><?xml version="1.0" encoding="UTF-8" standalone="yes"?>
<Relationships xmlns="http://schemas.openxmlformats.org/package/2006/relationships"><Relationship Id="rId2" Type="http://schemas.openxmlformats.org/officeDocument/2006/relationships/oleObject" Target="file:///\\drwho\Welfare\Child%20Welfare\Child%20Protection\National%20frameworks%20and%20standards\National%20Framework%20for%20Protecting%20Australia's%20Children%202009-2020\COAG%20report\2011-12%20report\Data\Figure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182852143483519E-2"/>
          <c:y val="0.15277777777777779"/>
          <c:w val="0.87695816863250264"/>
          <c:h val="0.68860345581802285"/>
        </c:manualLayout>
      </c:layout>
      <c:lineChart>
        <c:grouping val="standard"/>
        <c:varyColors val="0"/>
        <c:ser>
          <c:idx val="0"/>
          <c:order val="0"/>
          <c:tx>
            <c:strRef>
              <c:f>'3.2 - Subs, Indig status'!$B$6</c:f>
              <c:strCache>
                <c:ptCount val="1"/>
                <c:pt idx="0">
                  <c:v>Indigenous children</c:v>
                </c:pt>
              </c:strCache>
            </c:strRef>
          </c:tx>
          <c:marker>
            <c:symbol val="none"/>
          </c:marker>
          <c:cat>
            <c:strRef>
              <c:f>'3.2 - Subs, Indig status'!$C$5:$E$5</c:f>
              <c:strCache>
                <c:ptCount val="3"/>
                <c:pt idx="0">
                  <c:v>2009–10</c:v>
                </c:pt>
                <c:pt idx="1">
                  <c:v>2010–11</c:v>
                </c:pt>
                <c:pt idx="2">
                  <c:v>2011–12</c:v>
                </c:pt>
              </c:strCache>
            </c:strRef>
          </c:cat>
          <c:val>
            <c:numRef>
              <c:f>'3.2 - Subs, Indig status'!$C$6:$E$6</c:f>
              <c:numCache>
                <c:formatCode>General</c:formatCode>
                <c:ptCount val="3"/>
                <c:pt idx="0">
                  <c:v>35.300000000000004</c:v>
                </c:pt>
                <c:pt idx="1">
                  <c:v>34.6</c:v>
                </c:pt>
                <c:pt idx="2" formatCode="0.0">
                  <c:v>41.858643635117808</c:v>
                </c:pt>
              </c:numCache>
            </c:numRef>
          </c:val>
          <c:smooth val="0"/>
        </c:ser>
        <c:ser>
          <c:idx val="1"/>
          <c:order val="1"/>
          <c:tx>
            <c:strRef>
              <c:f>'3.2 - Subs, Indig status'!$B$7</c:f>
              <c:strCache>
                <c:ptCount val="1"/>
                <c:pt idx="0">
                  <c:v>Non Indigenous children</c:v>
                </c:pt>
              </c:strCache>
            </c:strRef>
          </c:tx>
          <c:marker>
            <c:symbol val="none"/>
          </c:marker>
          <c:cat>
            <c:strRef>
              <c:f>'3.2 - Subs, Indig status'!$C$5:$E$5</c:f>
              <c:strCache>
                <c:ptCount val="3"/>
                <c:pt idx="0">
                  <c:v>2009–10</c:v>
                </c:pt>
                <c:pt idx="1">
                  <c:v>2010–11</c:v>
                </c:pt>
                <c:pt idx="2">
                  <c:v>2011–12</c:v>
                </c:pt>
              </c:strCache>
            </c:strRef>
          </c:cat>
          <c:val>
            <c:numRef>
              <c:f>'3.2 - Subs, Indig status'!$C$7:$E$7</c:f>
              <c:numCache>
                <c:formatCode>General</c:formatCode>
                <c:ptCount val="3"/>
                <c:pt idx="0">
                  <c:v>4.5999999999999996</c:v>
                </c:pt>
                <c:pt idx="1">
                  <c:v>4.5</c:v>
                </c:pt>
                <c:pt idx="2" formatCode="0.0">
                  <c:v>5.3892126951598902</c:v>
                </c:pt>
              </c:numCache>
            </c:numRef>
          </c:val>
          <c:smooth val="0"/>
        </c:ser>
        <c:dLbls>
          <c:showLegendKey val="0"/>
          <c:showVal val="0"/>
          <c:showCatName val="0"/>
          <c:showSerName val="0"/>
          <c:showPercent val="0"/>
          <c:showBubbleSize val="0"/>
        </c:dLbls>
        <c:marker val="1"/>
        <c:smooth val="0"/>
        <c:axId val="264149632"/>
        <c:axId val="154546944"/>
      </c:lineChart>
      <c:catAx>
        <c:axId val="264149632"/>
        <c:scaling>
          <c:orientation val="minMax"/>
        </c:scaling>
        <c:delete val="0"/>
        <c:axPos val="b"/>
        <c:title>
          <c:tx>
            <c:rich>
              <a:bodyPr/>
              <a:lstStyle/>
              <a:p>
                <a:pPr>
                  <a:defRPr sz="800">
                    <a:latin typeface="Arial" pitchFamily="34" charset="0"/>
                    <a:cs typeface="Arial" pitchFamily="34" charset="0"/>
                  </a:defRPr>
                </a:pPr>
                <a:r>
                  <a:rPr lang="en-US" sz="800">
                    <a:latin typeface="Arial" pitchFamily="34" charset="0"/>
                    <a:cs typeface="Arial" pitchFamily="34" charset="0"/>
                  </a:rPr>
                  <a:t>Year</a:t>
                </a:r>
              </a:p>
            </c:rich>
          </c:tx>
          <c:layout>
            <c:manualLayout>
              <c:xMode val="edge"/>
              <c:yMode val="edge"/>
              <c:x val="0.48916424506215039"/>
              <c:y val="0.92129629629629661"/>
            </c:manualLayout>
          </c:layout>
          <c:overlay val="0"/>
        </c:title>
        <c:numFmt formatCode="General" sourceLinked="1"/>
        <c:majorTickMark val="out"/>
        <c:minorTickMark val="none"/>
        <c:tickLblPos val="nextTo"/>
        <c:txPr>
          <a:bodyPr/>
          <a:lstStyle/>
          <a:p>
            <a:pPr>
              <a:defRPr sz="800">
                <a:latin typeface="Arial" pitchFamily="34" charset="0"/>
                <a:cs typeface="Arial" pitchFamily="34" charset="0"/>
              </a:defRPr>
            </a:pPr>
            <a:endParaRPr lang="en-US"/>
          </a:p>
        </c:txPr>
        <c:crossAx val="154546944"/>
        <c:crosses val="autoZero"/>
        <c:auto val="1"/>
        <c:lblAlgn val="ctr"/>
        <c:lblOffset val="100"/>
        <c:noMultiLvlLbl val="0"/>
      </c:catAx>
      <c:valAx>
        <c:axId val="154546944"/>
        <c:scaling>
          <c:orientation val="minMax"/>
        </c:scaling>
        <c:delete val="0"/>
        <c:axPos val="l"/>
        <c:majorGridlines>
          <c:spPr>
            <a:ln>
              <a:noFill/>
            </a:ln>
          </c:spPr>
        </c:majorGridlines>
        <c:title>
          <c:tx>
            <c:rich>
              <a:bodyPr rot="0" vert="horz"/>
              <a:lstStyle/>
              <a:p>
                <a:pPr>
                  <a:defRPr sz="800">
                    <a:latin typeface="Arial" pitchFamily="34" charset="0"/>
                    <a:cs typeface="Arial" pitchFamily="34" charset="0"/>
                  </a:defRPr>
                </a:pPr>
                <a:r>
                  <a:rPr lang="en-US" sz="800">
                    <a:latin typeface="Arial" pitchFamily="34" charset="0"/>
                    <a:cs typeface="Arial" pitchFamily="34" charset="0"/>
                  </a:rPr>
                  <a:t>Rate per 1000 children</a:t>
                </a:r>
              </a:p>
            </c:rich>
          </c:tx>
          <c:layout>
            <c:manualLayout>
              <c:xMode val="edge"/>
              <c:yMode val="edge"/>
              <c:x val="3.2554256102126151E-2"/>
              <c:y val="3.597987751531119E-2"/>
            </c:manualLayout>
          </c:layout>
          <c:overlay val="0"/>
        </c:title>
        <c:numFmt formatCode="General" sourceLinked="1"/>
        <c:majorTickMark val="out"/>
        <c:minorTickMark val="none"/>
        <c:tickLblPos val="nextTo"/>
        <c:txPr>
          <a:bodyPr/>
          <a:lstStyle/>
          <a:p>
            <a:pPr>
              <a:defRPr sz="800">
                <a:latin typeface="Arial" pitchFamily="34" charset="0"/>
                <a:cs typeface="Arial" pitchFamily="34" charset="0"/>
              </a:defRPr>
            </a:pPr>
            <a:endParaRPr lang="en-US"/>
          </a:p>
        </c:txPr>
        <c:crossAx val="264149632"/>
        <c:crosses val="autoZero"/>
        <c:crossBetween val="between"/>
      </c:valAx>
    </c:plotArea>
    <c:legend>
      <c:legendPos val="r"/>
      <c:layout>
        <c:manualLayout>
          <c:xMode val="edge"/>
          <c:yMode val="edge"/>
          <c:x val="0.67524677366141028"/>
          <c:y val="2.6007582385535192E-2"/>
          <c:w val="0.30874652047713125"/>
          <c:h val="0.14242927967337421"/>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C2CA5-3FF6-4DFD-A7D6-D3EDC61C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176</Pages>
  <Words>79173</Words>
  <Characters>458364</Characters>
  <Application>Microsoft Office Word</Application>
  <DocSecurity>0</DocSecurity>
  <Lines>3819</Lines>
  <Paragraphs>1072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536465</CharactersWithSpaces>
  <SharedDoc>false</SharedDoc>
  <HLinks>
    <vt:vector size="624" baseType="variant">
      <vt:variant>
        <vt:i4>4849756</vt:i4>
      </vt:variant>
      <vt:variant>
        <vt:i4>735</vt:i4>
      </vt:variant>
      <vt:variant>
        <vt:i4>0</vt:i4>
      </vt:variant>
      <vt:variant>
        <vt:i4>5</vt:i4>
      </vt:variant>
      <vt:variant>
        <vt:lpwstr>http://www.fahcsia.gov.au/families-and-children/news/2011/national-standards-for-out-of-home-care</vt:lpwstr>
      </vt:variant>
      <vt:variant>
        <vt:lpwstr/>
      </vt:variant>
      <vt:variant>
        <vt:i4>1507390</vt:i4>
      </vt:variant>
      <vt:variant>
        <vt:i4>614</vt:i4>
      </vt:variant>
      <vt:variant>
        <vt:i4>0</vt:i4>
      </vt:variant>
      <vt:variant>
        <vt:i4>5</vt:i4>
      </vt:variant>
      <vt:variant>
        <vt:lpwstr/>
      </vt:variant>
      <vt:variant>
        <vt:lpwstr>_Toc344682106</vt:lpwstr>
      </vt:variant>
      <vt:variant>
        <vt:i4>1507390</vt:i4>
      </vt:variant>
      <vt:variant>
        <vt:i4>608</vt:i4>
      </vt:variant>
      <vt:variant>
        <vt:i4>0</vt:i4>
      </vt:variant>
      <vt:variant>
        <vt:i4>5</vt:i4>
      </vt:variant>
      <vt:variant>
        <vt:lpwstr/>
      </vt:variant>
      <vt:variant>
        <vt:lpwstr>_Toc344682105</vt:lpwstr>
      </vt:variant>
      <vt:variant>
        <vt:i4>1507390</vt:i4>
      </vt:variant>
      <vt:variant>
        <vt:i4>602</vt:i4>
      </vt:variant>
      <vt:variant>
        <vt:i4>0</vt:i4>
      </vt:variant>
      <vt:variant>
        <vt:i4>5</vt:i4>
      </vt:variant>
      <vt:variant>
        <vt:lpwstr/>
      </vt:variant>
      <vt:variant>
        <vt:lpwstr>_Toc344682104</vt:lpwstr>
      </vt:variant>
      <vt:variant>
        <vt:i4>1507390</vt:i4>
      </vt:variant>
      <vt:variant>
        <vt:i4>596</vt:i4>
      </vt:variant>
      <vt:variant>
        <vt:i4>0</vt:i4>
      </vt:variant>
      <vt:variant>
        <vt:i4>5</vt:i4>
      </vt:variant>
      <vt:variant>
        <vt:lpwstr/>
      </vt:variant>
      <vt:variant>
        <vt:lpwstr>_Toc344682103</vt:lpwstr>
      </vt:variant>
      <vt:variant>
        <vt:i4>1507390</vt:i4>
      </vt:variant>
      <vt:variant>
        <vt:i4>590</vt:i4>
      </vt:variant>
      <vt:variant>
        <vt:i4>0</vt:i4>
      </vt:variant>
      <vt:variant>
        <vt:i4>5</vt:i4>
      </vt:variant>
      <vt:variant>
        <vt:lpwstr/>
      </vt:variant>
      <vt:variant>
        <vt:lpwstr>_Toc344682102</vt:lpwstr>
      </vt:variant>
      <vt:variant>
        <vt:i4>1507390</vt:i4>
      </vt:variant>
      <vt:variant>
        <vt:i4>584</vt:i4>
      </vt:variant>
      <vt:variant>
        <vt:i4>0</vt:i4>
      </vt:variant>
      <vt:variant>
        <vt:i4>5</vt:i4>
      </vt:variant>
      <vt:variant>
        <vt:lpwstr/>
      </vt:variant>
      <vt:variant>
        <vt:lpwstr>_Toc344682101</vt:lpwstr>
      </vt:variant>
      <vt:variant>
        <vt:i4>1507390</vt:i4>
      </vt:variant>
      <vt:variant>
        <vt:i4>578</vt:i4>
      </vt:variant>
      <vt:variant>
        <vt:i4>0</vt:i4>
      </vt:variant>
      <vt:variant>
        <vt:i4>5</vt:i4>
      </vt:variant>
      <vt:variant>
        <vt:lpwstr/>
      </vt:variant>
      <vt:variant>
        <vt:lpwstr>_Toc344682100</vt:lpwstr>
      </vt:variant>
      <vt:variant>
        <vt:i4>1966143</vt:i4>
      </vt:variant>
      <vt:variant>
        <vt:i4>572</vt:i4>
      </vt:variant>
      <vt:variant>
        <vt:i4>0</vt:i4>
      </vt:variant>
      <vt:variant>
        <vt:i4>5</vt:i4>
      </vt:variant>
      <vt:variant>
        <vt:lpwstr/>
      </vt:variant>
      <vt:variant>
        <vt:lpwstr>_Toc344682099</vt:lpwstr>
      </vt:variant>
      <vt:variant>
        <vt:i4>1966143</vt:i4>
      </vt:variant>
      <vt:variant>
        <vt:i4>566</vt:i4>
      </vt:variant>
      <vt:variant>
        <vt:i4>0</vt:i4>
      </vt:variant>
      <vt:variant>
        <vt:i4>5</vt:i4>
      </vt:variant>
      <vt:variant>
        <vt:lpwstr/>
      </vt:variant>
      <vt:variant>
        <vt:lpwstr>_Toc344682098</vt:lpwstr>
      </vt:variant>
      <vt:variant>
        <vt:i4>1966143</vt:i4>
      </vt:variant>
      <vt:variant>
        <vt:i4>560</vt:i4>
      </vt:variant>
      <vt:variant>
        <vt:i4>0</vt:i4>
      </vt:variant>
      <vt:variant>
        <vt:i4>5</vt:i4>
      </vt:variant>
      <vt:variant>
        <vt:lpwstr/>
      </vt:variant>
      <vt:variant>
        <vt:lpwstr>_Toc344682097</vt:lpwstr>
      </vt:variant>
      <vt:variant>
        <vt:i4>1966143</vt:i4>
      </vt:variant>
      <vt:variant>
        <vt:i4>554</vt:i4>
      </vt:variant>
      <vt:variant>
        <vt:i4>0</vt:i4>
      </vt:variant>
      <vt:variant>
        <vt:i4>5</vt:i4>
      </vt:variant>
      <vt:variant>
        <vt:lpwstr/>
      </vt:variant>
      <vt:variant>
        <vt:lpwstr>_Toc344682096</vt:lpwstr>
      </vt:variant>
      <vt:variant>
        <vt:i4>1966143</vt:i4>
      </vt:variant>
      <vt:variant>
        <vt:i4>548</vt:i4>
      </vt:variant>
      <vt:variant>
        <vt:i4>0</vt:i4>
      </vt:variant>
      <vt:variant>
        <vt:i4>5</vt:i4>
      </vt:variant>
      <vt:variant>
        <vt:lpwstr/>
      </vt:variant>
      <vt:variant>
        <vt:lpwstr>_Toc344682095</vt:lpwstr>
      </vt:variant>
      <vt:variant>
        <vt:i4>1966143</vt:i4>
      </vt:variant>
      <vt:variant>
        <vt:i4>542</vt:i4>
      </vt:variant>
      <vt:variant>
        <vt:i4>0</vt:i4>
      </vt:variant>
      <vt:variant>
        <vt:i4>5</vt:i4>
      </vt:variant>
      <vt:variant>
        <vt:lpwstr/>
      </vt:variant>
      <vt:variant>
        <vt:lpwstr>_Toc344682094</vt:lpwstr>
      </vt:variant>
      <vt:variant>
        <vt:i4>1966143</vt:i4>
      </vt:variant>
      <vt:variant>
        <vt:i4>536</vt:i4>
      </vt:variant>
      <vt:variant>
        <vt:i4>0</vt:i4>
      </vt:variant>
      <vt:variant>
        <vt:i4>5</vt:i4>
      </vt:variant>
      <vt:variant>
        <vt:lpwstr/>
      </vt:variant>
      <vt:variant>
        <vt:lpwstr>_Toc344682093</vt:lpwstr>
      </vt:variant>
      <vt:variant>
        <vt:i4>1966143</vt:i4>
      </vt:variant>
      <vt:variant>
        <vt:i4>530</vt:i4>
      </vt:variant>
      <vt:variant>
        <vt:i4>0</vt:i4>
      </vt:variant>
      <vt:variant>
        <vt:i4>5</vt:i4>
      </vt:variant>
      <vt:variant>
        <vt:lpwstr/>
      </vt:variant>
      <vt:variant>
        <vt:lpwstr>_Toc344682092</vt:lpwstr>
      </vt:variant>
      <vt:variant>
        <vt:i4>1966143</vt:i4>
      </vt:variant>
      <vt:variant>
        <vt:i4>524</vt:i4>
      </vt:variant>
      <vt:variant>
        <vt:i4>0</vt:i4>
      </vt:variant>
      <vt:variant>
        <vt:i4>5</vt:i4>
      </vt:variant>
      <vt:variant>
        <vt:lpwstr/>
      </vt:variant>
      <vt:variant>
        <vt:lpwstr>_Toc344682091</vt:lpwstr>
      </vt:variant>
      <vt:variant>
        <vt:i4>1966143</vt:i4>
      </vt:variant>
      <vt:variant>
        <vt:i4>518</vt:i4>
      </vt:variant>
      <vt:variant>
        <vt:i4>0</vt:i4>
      </vt:variant>
      <vt:variant>
        <vt:i4>5</vt:i4>
      </vt:variant>
      <vt:variant>
        <vt:lpwstr/>
      </vt:variant>
      <vt:variant>
        <vt:lpwstr>_Toc344682090</vt:lpwstr>
      </vt:variant>
      <vt:variant>
        <vt:i4>2031679</vt:i4>
      </vt:variant>
      <vt:variant>
        <vt:i4>512</vt:i4>
      </vt:variant>
      <vt:variant>
        <vt:i4>0</vt:i4>
      </vt:variant>
      <vt:variant>
        <vt:i4>5</vt:i4>
      </vt:variant>
      <vt:variant>
        <vt:lpwstr/>
      </vt:variant>
      <vt:variant>
        <vt:lpwstr>_Toc344682089</vt:lpwstr>
      </vt:variant>
      <vt:variant>
        <vt:i4>2031679</vt:i4>
      </vt:variant>
      <vt:variant>
        <vt:i4>506</vt:i4>
      </vt:variant>
      <vt:variant>
        <vt:i4>0</vt:i4>
      </vt:variant>
      <vt:variant>
        <vt:i4>5</vt:i4>
      </vt:variant>
      <vt:variant>
        <vt:lpwstr/>
      </vt:variant>
      <vt:variant>
        <vt:lpwstr>_Toc344682088</vt:lpwstr>
      </vt:variant>
      <vt:variant>
        <vt:i4>2031679</vt:i4>
      </vt:variant>
      <vt:variant>
        <vt:i4>500</vt:i4>
      </vt:variant>
      <vt:variant>
        <vt:i4>0</vt:i4>
      </vt:variant>
      <vt:variant>
        <vt:i4>5</vt:i4>
      </vt:variant>
      <vt:variant>
        <vt:lpwstr/>
      </vt:variant>
      <vt:variant>
        <vt:lpwstr>_Toc344682087</vt:lpwstr>
      </vt:variant>
      <vt:variant>
        <vt:i4>2031679</vt:i4>
      </vt:variant>
      <vt:variant>
        <vt:i4>494</vt:i4>
      </vt:variant>
      <vt:variant>
        <vt:i4>0</vt:i4>
      </vt:variant>
      <vt:variant>
        <vt:i4>5</vt:i4>
      </vt:variant>
      <vt:variant>
        <vt:lpwstr/>
      </vt:variant>
      <vt:variant>
        <vt:lpwstr>_Toc344682086</vt:lpwstr>
      </vt:variant>
      <vt:variant>
        <vt:i4>2031679</vt:i4>
      </vt:variant>
      <vt:variant>
        <vt:i4>488</vt:i4>
      </vt:variant>
      <vt:variant>
        <vt:i4>0</vt:i4>
      </vt:variant>
      <vt:variant>
        <vt:i4>5</vt:i4>
      </vt:variant>
      <vt:variant>
        <vt:lpwstr/>
      </vt:variant>
      <vt:variant>
        <vt:lpwstr>_Toc344682085</vt:lpwstr>
      </vt:variant>
      <vt:variant>
        <vt:i4>2031679</vt:i4>
      </vt:variant>
      <vt:variant>
        <vt:i4>482</vt:i4>
      </vt:variant>
      <vt:variant>
        <vt:i4>0</vt:i4>
      </vt:variant>
      <vt:variant>
        <vt:i4>5</vt:i4>
      </vt:variant>
      <vt:variant>
        <vt:lpwstr/>
      </vt:variant>
      <vt:variant>
        <vt:lpwstr>_Toc344682084</vt:lpwstr>
      </vt:variant>
      <vt:variant>
        <vt:i4>2031679</vt:i4>
      </vt:variant>
      <vt:variant>
        <vt:i4>476</vt:i4>
      </vt:variant>
      <vt:variant>
        <vt:i4>0</vt:i4>
      </vt:variant>
      <vt:variant>
        <vt:i4>5</vt:i4>
      </vt:variant>
      <vt:variant>
        <vt:lpwstr/>
      </vt:variant>
      <vt:variant>
        <vt:lpwstr>_Toc344682083</vt:lpwstr>
      </vt:variant>
      <vt:variant>
        <vt:i4>2031679</vt:i4>
      </vt:variant>
      <vt:variant>
        <vt:i4>470</vt:i4>
      </vt:variant>
      <vt:variant>
        <vt:i4>0</vt:i4>
      </vt:variant>
      <vt:variant>
        <vt:i4>5</vt:i4>
      </vt:variant>
      <vt:variant>
        <vt:lpwstr/>
      </vt:variant>
      <vt:variant>
        <vt:lpwstr>_Toc344682082</vt:lpwstr>
      </vt:variant>
      <vt:variant>
        <vt:i4>2031679</vt:i4>
      </vt:variant>
      <vt:variant>
        <vt:i4>464</vt:i4>
      </vt:variant>
      <vt:variant>
        <vt:i4>0</vt:i4>
      </vt:variant>
      <vt:variant>
        <vt:i4>5</vt:i4>
      </vt:variant>
      <vt:variant>
        <vt:lpwstr/>
      </vt:variant>
      <vt:variant>
        <vt:lpwstr>_Toc344682081</vt:lpwstr>
      </vt:variant>
      <vt:variant>
        <vt:i4>2031679</vt:i4>
      </vt:variant>
      <vt:variant>
        <vt:i4>458</vt:i4>
      </vt:variant>
      <vt:variant>
        <vt:i4>0</vt:i4>
      </vt:variant>
      <vt:variant>
        <vt:i4>5</vt:i4>
      </vt:variant>
      <vt:variant>
        <vt:lpwstr/>
      </vt:variant>
      <vt:variant>
        <vt:lpwstr>_Toc344682080</vt:lpwstr>
      </vt:variant>
      <vt:variant>
        <vt:i4>1048639</vt:i4>
      </vt:variant>
      <vt:variant>
        <vt:i4>452</vt:i4>
      </vt:variant>
      <vt:variant>
        <vt:i4>0</vt:i4>
      </vt:variant>
      <vt:variant>
        <vt:i4>5</vt:i4>
      </vt:variant>
      <vt:variant>
        <vt:lpwstr/>
      </vt:variant>
      <vt:variant>
        <vt:lpwstr>_Toc344682079</vt:lpwstr>
      </vt:variant>
      <vt:variant>
        <vt:i4>1048639</vt:i4>
      </vt:variant>
      <vt:variant>
        <vt:i4>446</vt:i4>
      </vt:variant>
      <vt:variant>
        <vt:i4>0</vt:i4>
      </vt:variant>
      <vt:variant>
        <vt:i4>5</vt:i4>
      </vt:variant>
      <vt:variant>
        <vt:lpwstr/>
      </vt:variant>
      <vt:variant>
        <vt:lpwstr>_Toc344682078</vt:lpwstr>
      </vt:variant>
      <vt:variant>
        <vt:i4>1048639</vt:i4>
      </vt:variant>
      <vt:variant>
        <vt:i4>440</vt:i4>
      </vt:variant>
      <vt:variant>
        <vt:i4>0</vt:i4>
      </vt:variant>
      <vt:variant>
        <vt:i4>5</vt:i4>
      </vt:variant>
      <vt:variant>
        <vt:lpwstr/>
      </vt:variant>
      <vt:variant>
        <vt:lpwstr>_Toc344682077</vt:lpwstr>
      </vt:variant>
      <vt:variant>
        <vt:i4>1048639</vt:i4>
      </vt:variant>
      <vt:variant>
        <vt:i4>434</vt:i4>
      </vt:variant>
      <vt:variant>
        <vt:i4>0</vt:i4>
      </vt:variant>
      <vt:variant>
        <vt:i4>5</vt:i4>
      </vt:variant>
      <vt:variant>
        <vt:lpwstr/>
      </vt:variant>
      <vt:variant>
        <vt:lpwstr>_Toc344682076</vt:lpwstr>
      </vt:variant>
      <vt:variant>
        <vt:i4>1048639</vt:i4>
      </vt:variant>
      <vt:variant>
        <vt:i4>428</vt:i4>
      </vt:variant>
      <vt:variant>
        <vt:i4>0</vt:i4>
      </vt:variant>
      <vt:variant>
        <vt:i4>5</vt:i4>
      </vt:variant>
      <vt:variant>
        <vt:lpwstr/>
      </vt:variant>
      <vt:variant>
        <vt:lpwstr>_Toc344682075</vt:lpwstr>
      </vt:variant>
      <vt:variant>
        <vt:i4>1048639</vt:i4>
      </vt:variant>
      <vt:variant>
        <vt:i4>422</vt:i4>
      </vt:variant>
      <vt:variant>
        <vt:i4>0</vt:i4>
      </vt:variant>
      <vt:variant>
        <vt:i4>5</vt:i4>
      </vt:variant>
      <vt:variant>
        <vt:lpwstr/>
      </vt:variant>
      <vt:variant>
        <vt:lpwstr>_Toc344682074</vt:lpwstr>
      </vt:variant>
      <vt:variant>
        <vt:i4>1048639</vt:i4>
      </vt:variant>
      <vt:variant>
        <vt:i4>416</vt:i4>
      </vt:variant>
      <vt:variant>
        <vt:i4>0</vt:i4>
      </vt:variant>
      <vt:variant>
        <vt:i4>5</vt:i4>
      </vt:variant>
      <vt:variant>
        <vt:lpwstr/>
      </vt:variant>
      <vt:variant>
        <vt:lpwstr>_Toc344682073</vt:lpwstr>
      </vt:variant>
      <vt:variant>
        <vt:i4>1048639</vt:i4>
      </vt:variant>
      <vt:variant>
        <vt:i4>410</vt:i4>
      </vt:variant>
      <vt:variant>
        <vt:i4>0</vt:i4>
      </vt:variant>
      <vt:variant>
        <vt:i4>5</vt:i4>
      </vt:variant>
      <vt:variant>
        <vt:lpwstr/>
      </vt:variant>
      <vt:variant>
        <vt:lpwstr>_Toc344682072</vt:lpwstr>
      </vt:variant>
      <vt:variant>
        <vt:i4>1048639</vt:i4>
      </vt:variant>
      <vt:variant>
        <vt:i4>404</vt:i4>
      </vt:variant>
      <vt:variant>
        <vt:i4>0</vt:i4>
      </vt:variant>
      <vt:variant>
        <vt:i4>5</vt:i4>
      </vt:variant>
      <vt:variant>
        <vt:lpwstr/>
      </vt:variant>
      <vt:variant>
        <vt:lpwstr>_Toc344682071</vt:lpwstr>
      </vt:variant>
      <vt:variant>
        <vt:i4>1048639</vt:i4>
      </vt:variant>
      <vt:variant>
        <vt:i4>398</vt:i4>
      </vt:variant>
      <vt:variant>
        <vt:i4>0</vt:i4>
      </vt:variant>
      <vt:variant>
        <vt:i4>5</vt:i4>
      </vt:variant>
      <vt:variant>
        <vt:lpwstr/>
      </vt:variant>
      <vt:variant>
        <vt:lpwstr>_Toc344682070</vt:lpwstr>
      </vt:variant>
      <vt:variant>
        <vt:i4>1114175</vt:i4>
      </vt:variant>
      <vt:variant>
        <vt:i4>392</vt:i4>
      </vt:variant>
      <vt:variant>
        <vt:i4>0</vt:i4>
      </vt:variant>
      <vt:variant>
        <vt:i4>5</vt:i4>
      </vt:variant>
      <vt:variant>
        <vt:lpwstr/>
      </vt:variant>
      <vt:variant>
        <vt:lpwstr>_Toc344682069</vt:lpwstr>
      </vt:variant>
      <vt:variant>
        <vt:i4>1114175</vt:i4>
      </vt:variant>
      <vt:variant>
        <vt:i4>386</vt:i4>
      </vt:variant>
      <vt:variant>
        <vt:i4>0</vt:i4>
      </vt:variant>
      <vt:variant>
        <vt:i4>5</vt:i4>
      </vt:variant>
      <vt:variant>
        <vt:lpwstr/>
      </vt:variant>
      <vt:variant>
        <vt:lpwstr>_Toc344682068</vt:lpwstr>
      </vt:variant>
      <vt:variant>
        <vt:i4>1114175</vt:i4>
      </vt:variant>
      <vt:variant>
        <vt:i4>380</vt:i4>
      </vt:variant>
      <vt:variant>
        <vt:i4>0</vt:i4>
      </vt:variant>
      <vt:variant>
        <vt:i4>5</vt:i4>
      </vt:variant>
      <vt:variant>
        <vt:lpwstr/>
      </vt:variant>
      <vt:variant>
        <vt:lpwstr>_Toc344682067</vt:lpwstr>
      </vt:variant>
      <vt:variant>
        <vt:i4>1835058</vt:i4>
      </vt:variant>
      <vt:variant>
        <vt:i4>371</vt:i4>
      </vt:variant>
      <vt:variant>
        <vt:i4>0</vt:i4>
      </vt:variant>
      <vt:variant>
        <vt:i4>5</vt:i4>
      </vt:variant>
      <vt:variant>
        <vt:lpwstr/>
      </vt:variant>
      <vt:variant>
        <vt:lpwstr>_Toc344857003</vt:lpwstr>
      </vt:variant>
      <vt:variant>
        <vt:i4>1835058</vt:i4>
      </vt:variant>
      <vt:variant>
        <vt:i4>365</vt:i4>
      </vt:variant>
      <vt:variant>
        <vt:i4>0</vt:i4>
      </vt:variant>
      <vt:variant>
        <vt:i4>5</vt:i4>
      </vt:variant>
      <vt:variant>
        <vt:lpwstr/>
      </vt:variant>
      <vt:variant>
        <vt:lpwstr>_Toc344857002</vt:lpwstr>
      </vt:variant>
      <vt:variant>
        <vt:i4>1835058</vt:i4>
      </vt:variant>
      <vt:variant>
        <vt:i4>359</vt:i4>
      </vt:variant>
      <vt:variant>
        <vt:i4>0</vt:i4>
      </vt:variant>
      <vt:variant>
        <vt:i4>5</vt:i4>
      </vt:variant>
      <vt:variant>
        <vt:lpwstr/>
      </vt:variant>
      <vt:variant>
        <vt:lpwstr>_Toc344857001</vt:lpwstr>
      </vt:variant>
      <vt:variant>
        <vt:i4>1835058</vt:i4>
      </vt:variant>
      <vt:variant>
        <vt:i4>353</vt:i4>
      </vt:variant>
      <vt:variant>
        <vt:i4>0</vt:i4>
      </vt:variant>
      <vt:variant>
        <vt:i4>5</vt:i4>
      </vt:variant>
      <vt:variant>
        <vt:lpwstr/>
      </vt:variant>
      <vt:variant>
        <vt:lpwstr>_Toc344857000</vt:lpwstr>
      </vt:variant>
      <vt:variant>
        <vt:i4>1310779</vt:i4>
      </vt:variant>
      <vt:variant>
        <vt:i4>347</vt:i4>
      </vt:variant>
      <vt:variant>
        <vt:i4>0</vt:i4>
      </vt:variant>
      <vt:variant>
        <vt:i4>5</vt:i4>
      </vt:variant>
      <vt:variant>
        <vt:lpwstr/>
      </vt:variant>
      <vt:variant>
        <vt:lpwstr>_Toc344856999</vt:lpwstr>
      </vt:variant>
      <vt:variant>
        <vt:i4>1310779</vt:i4>
      </vt:variant>
      <vt:variant>
        <vt:i4>341</vt:i4>
      </vt:variant>
      <vt:variant>
        <vt:i4>0</vt:i4>
      </vt:variant>
      <vt:variant>
        <vt:i4>5</vt:i4>
      </vt:variant>
      <vt:variant>
        <vt:lpwstr/>
      </vt:variant>
      <vt:variant>
        <vt:lpwstr>_Toc344856998</vt:lpwstr>
      </vt:variant>
      <vt:variant>
        <vt:i4>1376311</vt:i4>
      </vt:variant>
      <vt:variant>
        <vt:i4>332</vt:i4>
      </vt:variant>
      <vt:variant>
        <vt:i4>0</vt:i4>
      </vt:variant>
      <vt:variant>
        <vt:i4>5</vt:i4>
      </vt:variant>
      <vt:variant>
        <vt:lpwstr/>
      </vt:variant>
      <vt:variant>
        <vt:lpwstr>_Toc344857597</vt:lpwstr>
      </vt:variant>
      <vt:variant>
        <vt:i4>1376311</vt:i4>
      </vt:variant>
      <vt:variant>
        <vt:i4>326</vt:i4>
      </vt:variant>
      <vt:variant>
        <vt:i4>0</vt:i4>
      </vt:variant>
      <vt:variant>
        <vt:i4>5</vt:i4>
      </vt:variant>
      <vt:variant>
        <vt:lpwstr/>
      </vt:variant>
      <vt:variant>
        <vt:lpwstr>_Toc344857596</vt:lpwstr>
      </vt:variant>
      <vt:variant>
        <vt:i4>1376311</vt:i4>
      </vt:variant>
      <vt:variant>
        <vt:i4>320</vt:i4>
      </vt:variant>
      <vt:variant>
        <vt:i4>0</vt:i4>
      </vt:variant>
      <vt:variant>
        <vt:i4>5</vt:i4>
      </vt:variant>
      <vt:variant>
        <vt:lpwstr/>
      </vt:variant>
      <vt:variant>
        <vt:lpwstr>_Toc344857595</vt:lpwstr>
      </vt:variant>
      <vt:variant>
        <vt:i4>4980797</vt:i4>
      </vt:variant>
      <vt:variant>
        <vt:i4>314</vt:i4>
      </vt:variant>
      <vt:variant>
        <vt:i4>0</vt:i4>
      </vt:variant>
      <vt:variant>
        <vt:i4>5</vt:i4>
      </vt:variant>
      <vt:variant>
        <vt:lpwstr>../../../../../../../Eris/Documents/Editing/FaHCSIA/NFPAC2/Edited Draft Annual Report 2011-12 V2.doc</vt:lpwstr>
      </vt:variant>
      <vt:variant>
        <vt:lpwstr>_Toc344857594</vt:lpwstr>
      </vt:variant>
      <vt:variant>
        <vt:i4>1376311</vt:i4>
      </vt:variant>
      <vt:variant>
        <vt:i4>308</vt:i4>
      </vt:variant>
      <vt:variant>
        <vt:i4>0</vt:i4>
      </vt:variant>
      <vt:variant>
        <vt:i4>5</vt:i4>
      </vt:variant>
      <vt:variant>
        <vt:lpwstr/>
      </vt:variant>
      <vt:variant>
        <vt:lpwstr>_Toc344857593</vt:lpwstr>
      </vt:variant>
      <vt:variant>
        <vt:i4>4980797</vt:i4>
      </vt:variant>
      <vt:variant>
        <vt:i4>302</vt:i4>
      </vt:variant>
      <vt:variant>
        <vt:i4>0</vt:i4>
      </vt:variant>
      <vt:variant>
        <vt:i4>5</vt:i4>
      </vt:variant>
      <vt:variant>
        <vt:lpwstr>../../../../../../../Eris/Documents/Editing/FaHCSIA/NFPAC2/Edited Draft Annual Report 2011-12 V2.doc</vt:lpwstr>
      </vt:variant>
      <vt:variant>
        <vt:lpwstr>_Toc344857592</vt:lpwstr>
      </vt:variant>
      <vt:variant>
        <vt:i4>4980797</vt:i4>
      </vt:variant>
      <vt:variant>
        <vt:i4>296</vt:i4>
      </vt:variant>
      <vt:variant>
        <vt:i4>0</vt:i4>
      </vt:variant>
      <vt:variant>
        <vt:i4>5</vt:i4>
      </vt:variant>
      <vt:variant>
        <vt:lpwstr>../../../../../../../Eris/Documents/Editing/FaHCSIA/NFPAC2/Edited Draft Annual Report 2011-12 V2.doc</vt:lpwstr>
      </vt:variant>
      <vt:variant>
        <vt:lpwstr>_Toc344857591</vt:lpwstr>
      </vt:variant>
      <vt:variant>
        <vt:i4>1376311</vt:i4>
      </vt:variant>
      <vt:variant>
        <vt:i4>290</vt:i4>
      </vt:variant>
      <vt:variant>
        <vt:i4>0</vt:i4>
      </vt:variant>
      <vt:variant>
        <vt:i4>5</vt:i4>
      </vt:variant>
      <vt:variant>
        <vt:lpwstr/>
      </vt:variant>
      <vt:variant>
        <vt:lpwstr>_Toc344857590</vt:lpwstr>
      </vt:variant>
      <vt:variant>
        <vt:i4>5046333</vt:i4>
      </vt:variant>
      <vt:variant>
        <vt:i4>284</vt:i4>
      </vt:variant>
      <vt:variant>
        <vt:i4>0</vt:i4>
      </vt:variant>
      <vt:variant>
        <vt:i4>5</vt:i4>
      </vt:variant>
      <vt:variant>
        <vt:lpwstr>../../../../../../../Eris/Documents/Editing/FaHCSIA/NFPAC2/Edited Draft Annual Report 2011-12 V2.doc</vt:lpwstr>
      </vt:variant>
      <vt:variant>
        <vt:lpwstr>_Toc344857589</vt:lpwstr>
      </vt:variant>
      <vt:variant>
        <vt:i4>1310775</vt:i4>
      </vt:variant>
      <vt:variant>
        <vt:i4>278</vt:i4>
      </vt:variant>
      <vt:variant>
        <vt:i4>0</vt:i4>
      </vt:variant>
      <vt:variant>
        <vt:i4>5</vt:i4>
      </vt:variant>
      <vt:variant>
        <vt:lpwstr/>
      </vt:variant>
      <vt:variant>
        <vt:lpwstr>_Toc344857588</vt:lpwstr>
      </vt:variant>
      <vt:variant>
        <vt:i4>5046333</vt:i4>
      </vt:variant>
      <vt:variant>
        <vt:i4>272</vt:i4>
      </vt:variant>
      <vt:variant>
        <vt:i4>0</vt:i4>
      </vt:variant>
      <vt:variant>
        <vt:i4>5</vt:i4>
      </vt:variant>
      <vt:variant>
        <vt:lpwstr>../../../../../../../Eris/Documents/Editing/FaHCSIA/NFPAC2/Edited Draft Annual Report 2011-12 V2.doc</vt:lpwstr>
      </vt:variant>
      <vt:variant>
        <vt:lpwstr>_Toc344857587</vt:lpwstr>
      </vt:variant>
      <vt:variant>
        <vt:i4>1310775</vt:i4>
      </vt:variant>
      <vt:variant>
        <vt:i4>266</vt:i4>
      </vt:variant>
      <vt:variant>
        <vt:i4>0</vt:i4>
      </vt:variant>
      <vt:variant>
        <vt:i4>5</vt:i4>
      </vt:variant>
      <vt:variant>
        <vt:lpwstr/>
      </vt:variant>
      <vt:variant>
        <vt:lpwstr>_Toc344857586</vt:lpwstr>
      </vt:variant>
      <vt:variant>
        <vt:i4>5046333</vt:i4>
      </vt:variant>
      <vt:variant>
        <vt:i4>260</vt:i4>
      </vt:variant>
      <vt:variant>
        <vt:i4>0</vt:i4>
      </vt:variant>
      <vt:variant>
        <vt:i4>5</vt:i4>
      </vt:variant>
      <vt:variant>
        <vt:lpwstr>../../../../../../../Eris/Documents/Editing/FaHCSIA/NFPAC2/Edited Draft Annual Report 2011-12 V2.doc</vt:lpwstr>
      </vt:variant>
      <vt:variant>
        <vt:lpwstr>_Toc344857585</vt:lpwstr>
      </vt:variant>
      <vt:variant>
        <vt:i4>1310775</vt:i4>
      </vt:variant>
      <vt:variant>
        <vt:i4>254</vt:i4>
      </vt:variant>
      <vt:variant>
        <vt:i4>0</vt:i4>
      </vt:variant>
      <vt:variant>
        <vt:i4>5</vt:i4>
      </vt:variant>
      <vt:variant>
        <vt:lpwstr/>
      </vt:variant>
      <vt:variant>
        <vt:lpwstr>_Toc344857584</vt:lpwstr>
      </vt:variant>
      <vt:variant>
        <vt:i4>5046333</vt:i4>
      </vt:variant>
      <vt:variant>
        <vt:i4>248</vt:i4>
      </vt:variant>
      <vt:variant>
        <vt:i4>0</vt:i4>
      </vt:variant>
      <vt:variant>
        <vt:i4>5</vt:i4>
      </vt:variant>
      <vt:variant>
        <vt:lpwstr>../../../../../../../Eris/Documents/Editing/FaHCSIA/NFPAC2/Edited Draft Annual Report 2011-12 V2.doc</vt:lpwstr>
      </vt:variant>
      <vt:variant>
        <vt:lpwstr>_Toc344857583</vt:lpwstr>
      </vt:variant>
      <vt:variant>
        <vt:i4>1310775</vt:i4>
      </vt:variant>
      <vt:variant>
        <vt:i4>242</vt:i4>
      </vt:variant>
      <vt:variant>
        <vt:i4>0</vt:i4>
      </vt:variant>
      <vt:variant>
        <vt:i4>5</vt:i4>
      </vt:variant>
      <vt:variant>
        <vt:lpwstr/>
      </vt:variant>
      <vt:variant>
        <vt:lpwstr>_Toc344857582</vt:lpwstr>
      </vt:variant>
      <vt:variant>
        <vt:i4>5046333</vt:i4>
      </vt:variant>
      <vt:variant>
        <vt:i4>236</vt:i4>
      </vt:variant>
      <vt:variant>
        <vt:i4>0</vt:i4>
      </vt:variant>
      <vt:variant>
        <vt:i4>5</vt:i4>
      </vt:variant>
      <vt:variant>
        <vt:lpwstr>../../../../../../../Eris/Documents/Editing/FaHCSIA/NFPAC2/Edited Draft Annual Report 2011-12 V2.doc</vt:lpwstr>
      </vt:variant>
      <vt:variant>
        <vt:lpwstr>_Toc344857581</vt:lpwstr>
      </vt:variant>
      <vt:variant>
        <vt:i4>1310775</vt:i4>
      </vt:variant>
      <vt:variant>
        <vt:i4>230</vt:i4>
      </vt:variant>
      <vt:variant>
        <vt:i4>0</vt:i4>
      </vt:variant>
      <vt:variant>
        <vt:i4>5</vt:i4>
      </vt:variant>
      <vt:variant>
        <vt:lpwstr/>
      </vt:variant>
      <vt:variant>
        <vt:lpwstr>_Toc344857580</vt:lpwstr>
      </vt:variant>
      <vt:variant>
        <vt:i4>4325437</vt:i4>
      </vt:variant>
      <vt:variant>
        <vt:i4>224</vt:i4>
      </vt:variant>
      <vt:variant>
        <vt:i4>0</vt:i4>
      </vt:variant>
      <vt:variant>
        <vt:i4>5</vt:i4>
      </vt:variant>
      <vt:variant>
        <vt:lpwstr>../../../../../../../Eris/Documents/Editing/FaHCSIA/NFPAC2/Edited Draft Annual Report 2011-12 V2.doc</vt:lpwstr>
      </vt:variant>
      <vt:variant>
        <vt:lpwstr>_Toc344857579</vt:lpwstr>
      </vt:variant>
      <vt:variant>
        <vt:i4>1769527</vt:i4>
      </vt:variant>
      <vt:variant>
        <vt:i4>218</vt:i4>
      </vt:variant>
      <vt:variant>
        <vt:i4>0</vt:i4>
      </vt:variant>
      <vt:variant>
        <vt:i4>5</vt:i4>
      </vt:variant>
      <vt:variant>
        <vt:lpwstr/>
      </vt:variant>
      <vt:variant>
        <vt:lpwstr>_Toc344857578</vt:lpwstr>
      </vt:variant>
      <vt:variant>
        <vt:i4>1769527</vt:i4>
      </vt:variant>
      <vt:variant>
        <vt:i4>212</vt:i4>
      </vt:variant>
      <vt:variant>
        <vt:i4>0</vt:i4>
      </vt:variant>
      <vt:variant>
        <vt:i4>5</vt:i4>
      </vt:variant>
      <vt:variant>
        <vt:lpwstr/>
      </vt:variant>
      <vt:variant>
        <vt:lpwstr>_Toc344857577</vt:lpwstr>
      </vt:variant>
      <vt:variant>
        <vt:i4>4325437</vt:i4>
      </vt:variant>
      <vt:variant>
        <vt:i4>206</vt:i4>
      </vt:variant>
      <vt:variant>
        <vt:i4>0</vt:i4>
      </vt:variant>
      <vt:variant>
        <vt:i4>5</vt:i4>
      </vt:variant>
      <vt:variant>
        <vt:lpwstr>../../../../../../../Eris/Documents/Editing/FaHCSIA/NFPAC2/Edited Draft Annual Report 2011-12 V2.doc</vt:lpwstr>
      </vt:variant>
      <vt:variant>
        <vt:lpwstr>_Toc344857576</vt:lpwstr>
      </vt:variant>
      <vt:variant>
        <vt:i4>1769527</vt:i4>
      </vt:variant>
      <vt:variant>
        <vt:i4>200</vt:i4>
      </vt:variant>
      <vt:variant>
        <vt:i4>0</vt:i4>
      </vt:variant>
      <vt:variant>
        <vt:i4>5</vt:i4>
      </vt:variant>
      <vt:variant>
        <vt:lpwstr/>
      </vt:variant>
      <vt:variant>
        <vt:lpwstr>_Toc344857575</vt:lpwstr>
      </vt:variant>
      <vt:variant>
        <vt:i4>1769527</vt:i4>
      </vt:variant>
      <vt:variant>
        <vt:i4>194</vt:i4>
      </vt:variant>
      <vt:variant>
        <vt:i4>0</vt:i4>
      </vt:variant>
      <vt:variant>
        <vt:i4>5</vt:i4>
      </vt:variant>
      <vt:variant>
        <vt:lpwstr/>
      </vt:variant>
      <vt:variant>
        <vt:lpwstr>_Toc344857574</vt:lpwstr>
      </vt:variant>
      <vt:variant>
        <vt:i4>1769527</vt:i4>
      </vt:variant>
      <vt:variant>
        <vt:i4>188</vt:i4>
      </vt:variant>
      <vt:variant>
        <vt:i4>0</vt:i4>
      </vt:variant>
      <vt:variant>
        <vt:i4>5</vt:i4>
      </vt:variant>
      <vt:variant>
        <vt:lpwstr/>
      </vt:variant>
      <vt:variant>
        <vt:lpwstr>_Toc344857573</vt:lpwstr>
      </vt:variant>
      <vt:variant>
        <vt:i4>1769527</vt:i4>
      </vt:variant>
      <vt:variant>
        <vt:i4>182</vt:i4>
      </vt:variant>
      <vt:variant>
        <vt:i4>0</vt:i4>
      </vt:variant>
      <vt:variant>
        <vt:i4>5</vt:i4>
      </vt:variant>
      <vt:variant>
        <vt:lpwstr/>
      </vt:variant>
      <vt:variant>
        <vt:lpwstr>_Toc344857572</vt:lpwstr>
      </vt:variant>
      <vt:variant>
        <vt:i4>1769527</vt:i4>
      </vt:variant>
      <vt:variant>
        <vt:i4>176</vt:i4>
      </vt:variant>
      <vt:variant>
        <vt:i4>0</vt:i4>
      </vt:variant>
      <vt:variant>
        <vt:i4>5</vt:i4>
      </vt:variant>
      <vt:variant>
        <vt:lpwstr/>
      </vt:variant>
      <vt:variant>
        <vt:lpwstr>_Toc344857571</vt:lpwstr>
      </vt:variant>
      <vt:variant>
        <vt:i4>1769527</vt:i4>
      </vt:variant>
      <vt:variant>
        <vt:i4>170</vt:i4>
      </vt:variant>
      <vt:variant>
        <vt:i4>0</vt:i4>
      </vt:variant>
      <vt:variant>
        <vt:i4>5</vt:i4>
      </vt:variant>
      <vt:variant>
        <vt:lpwstr/>
      </vt:variant>
      <vt:variant>
        <vt:lpwstr>_Toc344857570</vt:lpwstr>
      </vt:variant>
      <vt:variant>
        <vt:i4>1703991</vt:i4>
      </vt:variant>
      <vt:variant>
        <vt:i4>164</vt:i4>
      </vt:variant>
      <vt:variant>
        <vt:i4>0</vt:i4>
      </vt:variant>
      <vt:variant>
        <vt:i4>5</vt:i4>
      </vt:variant>
      <vt:variant>
        <vt:lpwstr/>
      </vt:variant>
      <vt:variant>
        <vt:lpwstr>_Toc344857569</vt:lpwstr>
      </vt:variant>
      <vt:variant>
        <vt:i4>1703991</vt:i4>
      </vt:variant>
      <vt:variant>
        <vt:i4>158</vt:i4>
      </vt:variant>
      <vt:variant>
        <vt:i4>0</vt:i4>
      </vt:variant>
      <vt:variant>
        <vt:i4>5</vt:i4>
      </vt:variant>
      <vt:variant>
        <vt:lpwstr/>
      </vt:variant>
      <vt:variant>
        <vt:lpwstr>_Toc344857568</vt:lpwstr>
      </vt:variant>
      <vt:variant>
        <vt:i4>1703991</vt:i4>
      </vt:variant>
      <vt:variant>
        <vt:i4>152</vt:i4>
      </vt:variant>
      <vt:variant>
        <vt:i4>0</vt:i4>
      </vt:variant>
      <vt:variant>
        <vt:i4>5</vt:i4>
      </vt:variant>
      <vt:variant>
        <vt:lpwstr/>
      </vt:variant>
      <vt:variant>
        <vt:lpwstr>_Toc344857567</vt:lpwstr>
      </vt:variant>
      <vt:variant>
        <vt:i4>1703991</vt:i4>
      </vt:variant>
      <vt:variant>
        <vt:i4>146</vt:i4>
      </vt:variant>
      <vt:variant>
        <vt:i4>0</vt:i4>
      </vt:variant>
      <vt:variant>
        <vt:i4>5</vt:i4>
      </vt:variant>
      <vt:variant>
        <vt:lpwstr/>
      </vt:variant>
      <vt:variant>
        <vt:lpwstr>_Toc344857566</vt:lpwstr>
      </vt:variant>
      <vt:variant>
        <vt:i4>1703991</vt:i4>
      </vt:variant>
      <vt:variant>
        <vt:i4>140</vt:i4>
      </vt:variant>
      <vt:variant>
        <vt:i4>0</vt:i4>
      </vt:variant>
      <vt:variant>
        <vt:i4>5</vt:i4>
      </vt:variant>
      <vt:variant>
        <vt:lpwstr/>
      </vt:variant>
      <vt:variant>
        <vt:lpwstr>_Toc344857565</vt:lpwstr>
      </vt:variant>
      <vt:variant>
        <vt:i4>1703991</vt:i4>
      </vt:variant>
      <vt:variant>
        <vt:i4>134</vt:i4>
      </vt:variant>
      <vt:variant>
        <vt:i4>0</vt:i4>
      </vt:variant>
      <vt:variant>
        <vt:i4>5</vt:i4>
      </vt:variant>
      <vt:variant>
        <vt:lpwstr/>
      </vt:variant>
      <vt:variant>
        <vt:lpwstr>_Toc344857564</vt:lpwstr>
      </vt:variant>
      <vt:variant>
        <vt:i4>1703991</vt:i4>
      </vt:variant>
      <vt:variant>
        <vt:i4>128</vt:i4>
      </vt:variant>
      <vt:variant>
        <vt:i4>0</vt:i4>
      </vt:variant>
      <vt:variant>
        <vt:i4>5</vt:i4>
      </vt:variant>
      <vt:variant>
        <vt:lpwstr/>
      </vt:variant>
      <vt:variant>
        <vt:lpwstr>_Toc344857563</vt:lpwstr>
      </vt:variant>
      <vt:variant>
        <vt:i4>1703991</vt:i4>
      </vt:variant>
      <vt:variant>
        <vt:i4>122</vt:i4>
      </vt:variant>
      <vt:variant>
        <vt:i4>0</vt:i4>
      </vt:variant>
      <vt:variant>
        <vt:i4>5</vt:i4>
      </vt:variant>
      <vt:variant>
        <vt:lpwstr/>
      </vt:variant>
      <vt:variant>
        <vt:lpwstr>_Toc344857562</vt:lpwstr>
      </vt:variant>
      <vt:variant>
        <vt:i4>1703991</vt:i4>
      </vt:variant>
      <vt:variant>
        <vt:i4>116</vt:i4>
      </vt:variant>
      <vt:variant>
        <vt:i4>0</vt:i4>
      </vt:variant>
      <vt:variant>
        <vt:i4>5</vt:i4>
      </vt:variant>
      <vt:variant>
        <vt:lpwstr/>
      </vt:variant>
      <vt:variant>
        <vt:lpwstr>_Toc344857561</vt:lpwstr>
      </vt:variant>
      <vt:variant>
        <vt:i4>1703991</vt:i4>
      </vt:variant>
      <vt:variant>
        <vt:i4>110</vt:i4>
      </vt:variant>
      <vt:variant>
        <vt:i4>0</vt:i4>
      </vt:variant>
      <vt:variant>
        <vt:i4>5</vt:i4>
      </vt:variant>
      <vt:variant>
        <vt:lpwstr/>
      </vt:variant>
      <vt:variant>
        <vt:lpwstr>_Toc344857560</vt:lpwstr>
      </vt:variant>
      <vt:variant>
        <vt:i4>1638455</vt:i4>
      </vt:variant>
      <vt:variant>
        <vt:i4>104</vt:i4>
      </vt:variant>
      <vt:variant>
        <vt:i4>0</vt:i4>
      </vt:variant>
      <vt:variant>
        <vt:i4>5</vt:i4>
      </vt:variant>
      <vt:variant>
        <vt:lpwstr/>
      </vt:variant>
      <vt:variant>
        <vt:lpwstr>_Toc344857559</vt:lpwstr>
      </vt:variant>
      <vt:variant>
        <vt:i4>1638455</vt:i4>
      </vt:variant>
      <vt:variant>
        <vt:i4>98</vt:i4>
      </vt:variant>
      <vt:variant>
        <vt:i4>0</vt:i4>
      </vt:variant>
      <vt:variant>
        <vt:i4>5</vt:i4>
      </vt:variant>
      <vt:variant>
        <vt:lpwstr/>
      </vt:variant>
      <vt:variant>
        <vt:lpwstr>_Toc344857557</vt:lpwstr>
      </vt:variant>
      <vt:variant>
        <vt:i4>1638455</vt:i4>
      </vt:variant>
      <vt:variant>
        <vt:i4>92</vt:i4>
      </vt:variant>
      <vt:variant>
        <vt:i4>0</vt:i4>
      </vt:variant>
      <vt:variant>
        <vt:i4>5</vt:i4>
      </vt:variant>
      <vt:variant>
        <vt:lpwstr/>
      </vt:variant>
      <vt:variant>
        <vt:lpwstr>_Toc344857556</vt:lpwstr>
      </vt:variant>
      <vt:variant>
        <vt:i4>4194365</vt:i4>
      </vt:variant>
      <vt:variant>
        <vt:i4>86</vt:i4>
      </vt:variant>
      <vt:variant>
        <vt:i4>0</vt:i4>
      </vt:variant>
      <vt:variant>
        <vt:i4>5</vt:i4>
      </vt:variant>
      <vt:variant>
        <vt:lpwstr>../../../../../../../Eris/Documents/Editing/FaHCSIA/NFPAC2/Edited Draft Annual Report 2011-12 V2.doc</vt:lpwstr>
      </vt:variant>
      <vt:variant>
        <vt:lpwstr>_Toc344857558</vt:lpwstr>
      </vt:variant>
      <vt:variant>
        <vt:i4>1638455</vt:i4>
      </vt:variant>
      <vt:variant>
        <vt:i4>80</vt:i4>
      </vt:variant>
      <vt:variant>
        <vt:i4>0</vt:i4>
      </vt:variant>
      <vt:variant>
        <vt:i4>5</vt:i4>
      </vt:variant>
      <vt:variant>
        <vt:lpwstr/>
      </vt:variant>
      <vt:variant>
        <vt:lpwstr>_Toc344857555</vt:lpwstr>
      </vt:variant>
      <vt:variant>
        <vt:i4>1638455</vt:i4>
      </vt:variant>
      <vt:variant>
        <vt:i4>74</vt:i4>
      </vt:variant>
      <vt:variant>
        <vt:i4>0</vt:i4>
      </vt:variant>
      <vt:variant>
        <vt:i4>5</vt:i4>
      </vt:variant>
      <vt:variant>
        <vt:lpwstr/>
      </vt:variant>
      <vt:variant>
        <vt:lpwstr>_Toc344857554</vt:lpwstr>
      </vt:variant>
      <vt:variant>
        <vt:i4>1638455</vt:i4>
      </vt:variant>
      <vt:variant>
        <vt:i4>68</vt:i4>
      </vt:variant>
      <vt:variant>
        <vt:i4>0</vt:i4>
      </vt:variant>
      <vt:variant>
        <vt:i4>5</vt:i4>
      </vt:variant>
      <vt:variant>
        <vt:lpwstr/>
      </vt:variant>
      <vt:variant>
        <vt:lpwstr>_Toc344857553</vt:lpwstr>
      </vt:variant>
      <vt:variant>
        <vt:i4>1638455</vt:i4>
      </vt:variant>
      <vt:variant>
        <vt:i4>62</vt:i4>
      </vt:variant>
      <vt:variant>
        <vt:i4>0</vt:i4>
      </vt:variant>
      <vt:variant>
        <vt:i4>5</vt:i4>
      </vt:variant>
      <vt:variant>
        <vt:lpwstr/>
      </vt:variant>
      <vt:variant>
        <vt:lpwstr>_Toc344857552</vt:lpwstr>
      </vt:variant>
      <vt:variant>
        <vt:i4>1638455</vt:i4>
      </vt:variant>
      <vt:variant>
        <vt:i4>56</vt:i4>
      </vt:variant>
      <vt:variant>
        <vt:i4>0</vt:i4>
      </vt:variant>
      <vt:variant>
        <vt:i4>5</vt:i4>
      </vt:variant>
      <vt:variant>
        <vt:lpwstr/>
      </vt:variant>
      <vt:variant>
        <vt:lpwstr>_Toc344857551</vt:lpwstr>
      </vt:variant>
      <vt:variant>
        <vt:i4>1638455</vt:i4>
      </vt:variant>
      <vt:variant>
        <vt:i4>50</vt:i4>
      </vt:variant>
      <vt:variant>
        <vt:i4>0</vt:i4>
      </vt:variant>
      <vt:variant>
        <vt:i4>5</vt:i4>
      </vt:variant>
      <vt:variant>
        <vt:lpwstr/>
      </vt:variant>
      <vt:variant>
        <vt:lpwstr>_Toc344857550</vt:lpwstr>
      </vt:variant>
      <vt:variant>
        <vt:i4>1572919</vt:i4>
      </vt:variant>
      <vt:variant>
        <vt:i4>44</vt:i4>
      </vt:variant>
      <vt:variant>
        <vt:i4>0</vt:i4>
      </vt:variant>
      <vt:variant>
        <vt:i4>5</vt:i4>
      </vt:variant>
      <vt:variant>
        <vt:lpwstr/>
      </vt:variant>
      <vt:variant>
        <vt:lpwstr>_Toc344857549</vt:lpwstr>
      </vt:variant>
      <vt:variant>
        <vt:i4>4259901</vt:i4>
      </vt:variant>
      <vt:variant>
        <vt:i4>38</vt:i4>
      </vt:variant>
      <vt:variant>
        <vt:i4>0</vt:i4>
      </vt:variant>
      <vt:variant>
        <vt:i4>5</vt:i4>
      </vt:variant>
      <vt:variant>
        <vt:lpwstr>../../../../../../../Eris/Documents/Editing/FaHCSIA/NFPAC2/Edited Draft Annual Report 2011-12 V2.doc</vt:lpwstr>
      </vt:variant>
      <vt:variant>
        <vt:lpwstr>_Toc344857548</vt:lpwstr>
      </vt:variant>
      <vt:variant>
        <vt:i4>1572919</vt:i4>
      </vt:variant>
      <vt:variant>
        <vt:i4>32</vt:i4>
      </vt:variant>
      <vt:variant>
        <vt:i4>0</vt:i4>
      </vt:variant>
      <vt:variant>
        <vt:i4>5</vt:i4>
      </vt:variant>
      <vt:variant>
        <vt:lpwstr/>
      </vt:variant>
      <vt:variant>
        <vt:lpwstr>_Toc344857547</vt:lpwstr>
      </vt:variant>
      <vt:variant>
        <vt:i4>1572919</vt:i4>
      </vt:variant>
      <vt:variant>
        <vt:i4>26</vt:i4>
      </vt:variant>
      <vt:variant>
        <vt:i4>0</vt:i4>
      </vt:variant>
      <vt:variant>
        <vt:i4>5</vt:i4>
      </vt:variant>
      <vt:variant>
        <vt:lpwstr/>
      </vt:variant>
      <vt:variant>
        <vt:lpwstr>_Toc344857546</vt:lpwstr>
      </vt:variant>
      <vt:variant>
        <vt:i4>1572919</vt:i4>
      </vt:variant>
      <vt:variant>
        <vt:i4>20</vt:i4>
      </vt:variant>
      <vt:variant>
        <vt:i4>0</vt:i4>
      </vt:variant>
      <vt:variant>
        <vt:i4>5</vt:i4>
      </vt:variant>
      <vt:variant>
        <vt:lpwstr/>
      </vt:variant>
      <vt:variant>
        <vt:lpwstr>_Toc344857545</vt:lpwstr>
      </vt:variant>
      <vt:variant>
        <vt:i4>1572919</vt:i4>
      </vt:variant>
      <vt:variant>
        <vt:i4>14</vt:i4>
      </vt:variant>
      <vt:variant>
        <vt:i4>0</vt:i4>
      </vt:variant>
      <vt:variant>
        <vt:i4>5</vt:i4>
      </vt:variant>
      <vt:variant>
        <vt:lpwstr/>
      </vt:variant>
      <vt:variant>
        <vt:lpwstr>_Toc344857544</vt:lpwstr>
      </vt:variant>
      <vt:variant>
        <vt:i4>1572919</vt:i4>
      </vt:variant>
      <vt:variant>
        <vt:i4>8</vt:i4>
      </vt:variant>
      <vt:variant>
        <vt:i4>0</vt:i4>
      </vt:variant>
      <vt:variant>
        <vt:i4>5</vt:i4>
      </vt:variant>
      <vt:variant>
        <vt:lpwstr/>
      </vt:variant>
      <vt:variant>
        <vt:lpwstr>_Toc344857543</vt:lpwstr>
      </vt:variant>
      <vt:variant>
        <vt:i4>1572919</vt:i4>
      </vt:variant>
      <vt:variant>
        <vt:i4>2</vt:i4>
      </vt:variant>
      <vt:variant>
        <vt:i4>0</vt:i4>
      </vt:variant>
      <vt:variant>
        <vt:i4>5</vt:i4>
      </vt:variant>
      <vt:variant>
        <vt:lpwstr/>
      </vt:variant>
      <vt:variant>
        <vt:lpwstr>_Toc344857542</vt:lpwstr>
      </vt:variant>
      <vt:variant>
        <vt:i4>1376343</vt:i4>
      </vt:variant>
      <vt:variant>
        <vt:i4>0</vt:i4>
      </vt:variant>
      <vt:variant>
        <vt:i4>0</vt:i4>
      </vt:variant>
      <vt:variant>
        <vt:i4>5</vt:i4>
      </vt:variant>
      <vt:variant>
        <vt:lpwstr>http://www.aihw.gov.au/publication-detail/?id=60129542376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MINALL, Nicole</cp:lastModifiedBy>
  <cp:revision>5</cp:revision>
  <cp:lastPrinted>2014-10-09T00:04:00Z</cp:lastPrinted>
  <dcterms:created xsi:type="dcterms:W3CDTF">2014-10-10T03:06:00Z</dcterms:created>
  <dcterms:modified xsi:type="dcterms:W3CDTF">2014-10-10T03:37:00Z</dcterms:modified>
</cp:coreProperties>
</file>