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C7" w:rsidRPr="003511C7" w:rsidRDefault="003511C7" w:rsidP="003511C7">
      <w:pPr>
        <w:spacing w:before="0" w:after="0"/>
        <w:ind w:left="-850"/>
        <w:jc w:val="right"/>
      </w:pPr>
      <w:r w:rsidRPr="00323368">
        <w:rPr>
          <w:rFonts w:ascii="Georgia" w:hAnsi="Georgia" w:cs="Arial"/>
          <w:bCs/>
          <w:noProof/>
          <w:color w:val="005A70"/>
          <w:kern w:val="28"/>
          <w:sz w:val="72"/>
          <w:szCs w:val="32"/>
        </w:rPr>
        <w:drawing>
          <wp:inline distT="0" distB="0" distL="0" distR="0" wp14:anchorId="09165D33" wp14:editId="3A021D55">
            <wp:extent cx="7461849" cy="1049020"/>
            <wp:effectExtent l="0" t="0" r="6350" b="0"/>
            <wp:docPr id="2" name="Picture 2"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4054" cy="1052142"/>
                    </a:xfrm>
                    <a:prstGeom prst="rect">
                      <a:avLst/>
                    </a:prstGeom>
                  </pic:spPr>
                </pic:pic>
              </a:graphicData>
            </a:graphic>
          </wp:inline>
        </w:drawing>
      </w:r>
      <w:r w:rsidRPr="00567A52">
        <w:rPr>
          <w:rFonts w:asciiTheme="minorHAnsi" w:eastAsiaTheme="minorEastAsia" w:hAnsiTheme="minorHAnsi" w:cs="Arial"/>
          <w:bCs/>
          <w:color w:val="005A70"/>
          <w:spacing w:val="0"/>
          <w:kern w:val="28"/>
          <w:sz w:val="20"/>
          <w:szCs w:val="20"/>
        </w:rPr>
        <w:t>September 2018</w:t>
      </w:r>
    </w:p>
    <w:p w:rsidR="00C80192" w:rsidRPr="00754D44" w:rsidRDefault="004040CC" w:rsidP="003511C7">
      <w:pPr>
        <w:spacing w:before="240" w:after="360" w:line="240" w:lineRule="auto"/>
        <w:outlineLvl w:val="0"/>
      </w:pPr>
      <w:r w:rsidRPr="003511C7">
        <w:rPr>
          <w:rFonts w:ascii="Georgia" w:eastAsiaTheme="minorEastAsia" w:hAnsi="Georgia" w:cs="Arial"/>
          <w:bCs/>
          <w:color w:val="005A70"/>
          <w:spacing w:val="0"/>
          <w:kern w:val="28"/>
          <w:sz w:val="72"/>
          <w:szCs w:val="32"/>
        </w:rPr>
        <w:t>Information for approved participants</w:t>
      </w:r>
    </w:p>
    <w:p w:rsidR="00C80192" w:rsidRPr="003511C7" w:rsidRDefault="004040CC" w:rsidP="003511C7">
      <w:pPr>
        <w:pStyle w:val="Heading1"/>
        <w:numPr>
          <w:ilvl w:val="1"/>
          <w:numId w:val="0"/>
        </w:numPr>
        <w:contextualSpacing w:val="0"/>
        <w:rPr>
          <w:rFonts w:asciiTheme="majorHAnsi" w:eastAsiaTheme="majorEastAsia" w:hAnsiTheme="majorHAnsi" w:cstheme="majorBidi"/>
          <w:bCs w:val="0"/>
          <w:color w:val="005A70"/>
          <w:spacing w:val="0"/>
          <w:kern w:val="0"/>
          <w:sz w:val="32"/>
          <w:szCs w:val="36"/>
        </w:rPr>
      </w:pPr>
      <w:r w:rsidRPr="003511C7">
        <w:rPr>
          <w:rFonts w:asciiTheme="majorHAnsi" w:eastAsiaTheme="majorEastAsia" w:hAnsiTheme="majorHAnsi" w:cstheme="majorBidi"/>
          <w:bCs w:val="0"/>
          <w:color w:val="005A70"/>
          <w:spacing w:val="0"/>
          <w:kern w:val="0"/>
          <w:sz w:val="32"/>
          <w:szCs w:val="36"/>
        </w:rPr>
        <w:t>National Rental Affordability Scheme (NRAS or Scheme)</w:t>
      </w:r>
    </w:p>
    <w:p w:rsidR="00C80192" w:rsidRDefault="004040CC" w:rsidP="003511C7">
      <w:pPr>
        <w:pStyle w:val="Heading1"/>
        <w:numPr>
          <w:ilvl w:val="1"/>
          <w:numId w:val="0"/>
        </w:numPr>
        <w:contextualSpacing w:val="0"/>
      </w:pPr>
      <w:r w:rsidRPr="003511C7">
        <w:rPr>
          <w:rFonts w:asciiTheme="majorHAnsi" w:eastAsiaTheme="majorEastAsia" w:hAnsiTheme="majorHAnsi" w:cstheme="majorBidi"/>
          <w:bCs w:val="0"/>
          <w:color w:val="005A70"/>
          <w:spacing w:val="0"/>
          <w:kern w:val="0"/>
          <w:sz w:val="32"/>
          <w:szCs w:val="36"/>
        </w:rPr>
        <w:t>What is NRAS</w:t>
      </w:r>
      <w:r w:rsidR="002646B5" w:rsidRPr="003511C7">
        <w:rPr>
          <w:rFonts w:asciiTheme="majorHAnsi" w:eastAsiaTheme="majorEastAsia" w:hAnsiTheme="majorHAnsi" w:cstheme="majorBidi"/>
          <w:bCs w:val="0"/>
          <w:color w:val="005A70"/>
          <w:spacing w:val="0"/>
          <w:kern w:val="0"/>
          <w:sz w:val="32"/>
          <w:szCs w:val="36"/>
        </w:rPr>
        <w:t>?</w:t>
      </w:r>
    </w:p>
    <w:p w:rsidR="004040CC" w:rsidRPr="003511C7" w:rsidRDefault="004040CC" w:rsidP="004040CC">
      <w:pPr>
        <w:rPr>
          <w:rFonts w:asciiTheme="minorHAnsi" w:hAnsiTheme="minorHAnsi" w:cstheme="minorHAnsi"/>
          <w:sz w:val="22"/>
          <w:szCs w:val="22"/>
        </w:rPr>
      </w:pPr>
      <w:r w:rsidRPr="003511C7">
        <w:rPr>
          <w:rFonts w:asciiTheme="minorHAnsi" w:hAnsiTheme="minorHAnsi" w:cstheme="minorHAnsi"/>
          <w:sz w:val="22"/>
          <w:szCs w:val="22"/>
        </w:rPr>
        <w:t>NRAS is an Australian Government initiative, del</w:t>
      </w:r>
      <w:r w:rsidR="001A0424" w:rsidRPr="003511C7">
        <w:rPr>
          <w:rFonts w:asciiTheme="minorHAnsi" w:hAnsiTheme="minorHAnsi" w:cstheme="minorHAnsi"/>
          <w:sz w:val="22"/>
          <w:szCs w:val="22"/>
        </w:rPr>
        <w:t>ivered in partnership with the s</w:t>
      </w:r>
      <w:r w:rsidRPr="003511C7">
        <w:rPr>
          <w:rFonts w:asciiTheme="minorHAnsi" w:hAnsiTheme="minorHAnsi" w:cstheme="minorHAnsi"/>
          <w:sz w:val="22"/>
          <w:szCs w:val="22"/>
        </w:rPr>
        <w:t xml:space="preserve">tates and </w:t>
      </w:r>
      <w:r w:rsidR="001A0424" w:rsidRPr="003511C7">
        <w:rPr>
          <w:rFonts w:asciiTheme="minorHAnsi" w:hAnsiTheme="minorHAnsi" w:cstheme="minorHAnsi"/>
          <w:sz w:val="22"/>
          <w:szCs w:val="22"/>
        </w:rPr>
        <w:t>t</w:t>
      </w:r>
      <w:r w:rsidRPr="003511C7">
        <w:rPr>
          <w:rFonts w:asciiTheme="minorHAnsi" w:hAnsiTheme="minorHAnsi" w:cstheme="minorHAnsi"/>
          <w:sz w:val="22"/>
          <w:szCs w:val="22"/>
        </w:rPr>
        <w:t xml:space="preserve">erritories, to stimulate the supply of new affordable, privately-owned rental dwellings. </w:t>
      </w:r>
    </w:p>
    <w:p w:rsidR="004040CC" w:rsidRPr="004040CC" w:rsidRDefault="004040CC" w:rsidP="004040CC">
      <w:r w:rsidRPr="003511C7">
        <w:rPr>
          <w:rFonts w:asciiTheme="minorHAnsi" w:hAnsiTheme="minorHAnsi" w:cstheme="minorHAnsi"/>
          <w:sz w:val="22"/>
          <w:szCs w:val="22"/>
        </w:rPr>
        <w:t>NRAS seeks to address the shortage of affordable rental housing across the nation by offering financial incentives to the business sector and community organisations</w:t>
      </w:r>
      <w:r w:rsidR="001A0424" w:rsidRPr="003511C7">
        <w:rPr>
          <w:rFonts w:asciiTheme="minorHAnsi" w:hAnsiTheme="minorHAnsi" w:cstheme="minorHAnsi"/>
          <w:sz w:val="22"/>
          <w:szCs w:val="22"/>
        </w:rPr>
        <w:t>,</w:t>
      </w:r>
      <w:r w:rsidRPr="003511C7">
        <w:rPr>
          <w:rFonts w:asciiTheme="minorHAnsi" w:hAnsiTheme="minorHAnsi" w:cstheme="minorHAnsi"/>
          <w:sz w:val="22"/>
          <w:szCs w:val="22"/>
        </w:rPr>
        <w:t xml:space="preserve"> to build and rent dwellings to low and moderate income households</w:t>
      </w:r>
      <w:r w:rsidR="001A0424" w:rsidRPr="003511C7">
        <w:rPr>
          <w:rFonts w:asciiTheme="minorHAnsi" w:hAnsiTheme="minorHAnsi" w:cstheme="minorHAnsi"/>
          <w:sz w:val="22"/>
          <w:szCs w:val="22"/>
        </w:rPr>
        <w:t>,</w:t>
      </w:r>
      <w:r w:rsidRPr="003511C7">
        <w:rPr>
          <w:rFonts w:asciiTheme="minorHAnsi" w:hAnsiTheme="minorHAnsi" w:cstheme="minorHAnsi"/>
          <w:sz w:val="22"/>
          <w:szCs w:val="22"/>
        </w:rPr>
        <w:t xml:space="preserve"> at a rate that is at least 20 per cent below market value rent.</w:t>
      </w:r>
      <w:r>
        <w:t xml:space="preserve"> </w:t>
      </w:r>
    </w:p>
    <w:p w:rsidR="00C80192" w:rsidRPr="003511C7" w:rsidRDefault="004040CC" w:rsidP="003511C7">
      <w:pPr>
        <w:pStyle w:val="Heading1"/>
        <w:contextualSpacing w:val="0"/>
        <w:rPr>
          <w:rFonts w:asciiTheme="majorHAnsi" w:eastAsiaTheme="majorEastAsia" w:hAnsiTheme="majorHAnsi" w:cstheme="majorBidi"/>
          <w:bCs w:val="0"/>
          <w:color w:val="005A70"/>
          <w:spacing w:val="0"/>
          <w:kern w:val="0"/>
          <w:sz w:val="32"/>
          <w:szCs w:val="36"/>
        </w:rPr>
      </w:pPr>
      <w:r w:rsidRPr="003511C7">
        <w:rPr>
          <w:rFonts w:asciiTheme="majorHAnsi" w:eastAsiaTheme="majorEastAsia" w:hAnsiTheme="majorHAnsi" w:cstheme="majorBidi"/>
          <w:bCs w:val="0"/>
          <w:color w:val="005A70"/>
          <w:spacing w:val="0"/>
          <w:kern w:val="0"/>
          <w:sz w:val="32"/>
          <w:szCs w:val="36"/>
        </w:rPr>
        <w:t>NRAS incentives</w:t>
      </w:r>
    </w:p>
    <w:p w:rsidR="00C80192" w:rsidRPr="003511C7" w:rsidRDefault="00200A22" w:rsidP="004040CC">
      <w:pPr>
        <w:rPr>
          <w:rStyle w:val="Strong"/>
          <w:szCs w:val="22"/>
        </w:rPr>
      </w:pPr>
      <w:r w:rsidRPr="003511C7">
        <w:rPr>
          <w:sz w:val="22"/>
          <w:szCs w:val="22"/>
        </w:rPr>
        <w:t>Approved participant</w:t>
      </w:r>
      <w:r w:rsidR="00135961" w:rsidRPr="003511C7">
        <w:rPr>
          <w:sz w:val="22"/>
          <w:szCs w:val="22"/>
        </w:rPr>
        <w:t>s</w:t>
      </w:r>
      <w:r w:rsidR="004040CC" w:rsidRPr="003511C7">
        <w:rPr>
          <w:sz w:val="22"/>
          <w:szCs w:val="22"/>
        </w:rPr>
        <w:t xml:space="preserve"> are able to receive an annual financial incentive for each approved dwelling.  To be eligible for the financial incentive, approved dwellings must be rented to eligible low and moderate income households at levels at least 20 per cent below market value rent.</w:t>
      </w:r>
      <w:r w:rsidRPr="003511C7">
        <w:rPr>
          <w:sz w:val="22"/>
          <w:szCs w:val="22"/>
        </w:rPr>
        <w:t xml:space="preserve"> </w:t>
      </w:r>
    </w:p>
    <w:p w:rsidR="004040CC" w:rsidRPr="003511C7" w:rsidRDefault="004040CC" w:rsidP="004040CC">
      <w:pPr>
        <w:rPr>
          <w:sz w:val="22"/>
          <w:szCs w:val="22"/>
        </w:rPr>
      </w:pPr>
      <w:r w:rsidRPr="003511C7">
        <w:rPr>
          <w:sz w:val="22"/>
          <w:szCs w:val="22"/>
        </w:rPr>
        <w:t>There are two comp</w:t>
      </w:r>
      <w:r w:rsidR="00200A22" w:rsidRPr="003511C7">
        <w:rPr>
          <w:sz w:val="22"/>
          <w:szCs w:val="22"/>
        </w:rPr>
        <w:t xml:space="preserve">onents to the incentive payment. </w:t>
      </w:r>
      <w:r w:rsidRPr="003511C7">
        <w:rPr>
          <w:sz w:val="22"/>
          <w:szCs w:val="22"/>
        </w:rPr>
        <w:t xml:space="preserve"> The Australian Government provides its component as a cash payment (for </w:t>
      </w:r>
      <w:r w:rsidR="001A0424" w:rsidRPr="003511C7">
        <w:rPr>
          <w:sz w:val="22"/>
          <w:szCs w:val="22"/>
        </w:rPr>
        <w:t xml:space="preserve">endorsed </w:t>
      </w:r>
      <w:r w:rsidRPr="003511C7">
        <w:rPr>
          <w:sz w:val="22"/>
          <w:szCs w:val="22"/>
        </w:rPr>
        <w:t>charitable institutions</w:t>
      </w:r>
      <w:r w:rsidR="00135961" w:rsidRPr="003511C7">
        <w:rPr>
          <w:sz w:val="22"/>
          <w:szCs w:val="22"/>
        </w:rPr>
        <w:t xml:space="preserve"> only</w:t>
      </w:r>
      <w:r w:rsidRPr="003511C7">
        <w:rPr>
          <w:sz w:val="22"/>
          <w:szCs w:val="22"/>
        </w:rPr>
        <w:t xml:space="preserve">) or a </w:t>
      </w:r>
      <w:r w:rsidR="00200A22" w:rsidRPr="003511C7">
        <w:rPr>
          <w:sz w:val="22"/>
          <w:szCs w:val="22"/>
        </w:rPr>
        <w:t xml:space="preserve">refundable tax offset (for all other </w:t>
      </w:r>
      <w:r w:rsidR="0045672C" w:rsidRPr="003511C7">
        <w:rPr>
          <w:sz w:val="22"/>
          <w:szCs w:val="22"/>
        </w:rPr>
        <w:t>approved participants</w:t>
      </w:r>
      <w:r w:rsidR="00200A22" w:rsidRPr="003511C7">
        <w:rPr>
          <w:sz w:val="22"/>
          <w:szCs w:val="22"/>
        </w:rPr>
        <w:t xml:space="preserve">).  </w:t>
      </w:r>
    </w:p>
    <w:p w:rsidR="004040CC" w:rsidRPr="003511C7" w:rsidRDefault="001A0424" w:rsidP="004040CC">
      <w:pPr>
        <w:rPr>
          <w:sz w:val="22"/>
          <w:szCs w:val="22"/>
        </w:rPr>
      </w:pPr>
      <w:r w:rsidRPr="003511C7">
        <w:rPr>
          <w:sz w:val="22"/>
          <w:szCs w:val="22"/>
        </w:rPr>
        <w:t>State and Territory G</w:t>
      </w:r>
      <w:r w:rsidR="004040CC" w:rsidRPr="003511C7">
        <w:rPr>
          <w:sz w:val="22"/>
          <w:szCs w:val="22"/>
        </w:rPr>
        <w:t xml:space="preserve">overnments may </w:t>
      </w:r>
      <w:r w:rsidR="00200A22" w:rsidRPr="003511C7">
        <w:rPr>
          <w:sz w:val="22"/>
          <w:szCs w:val="22"/>
        </w:rPr>
        <w:t xml:space="preserve">also </w:t>
      </w:r>
      <w:r w:rsidR="004040CC" w:rsidRPr="003511C7">
        <w:rPr>
          <w:sz w:val="22"/>
          <w:szCs w:val="22"/>
        </w:rPr>
        <w:t xml:space="preserve">offer approved participants a contribution per dwelling as direct payment or payment in-kind. </w:t>
      </w:r>
    </w:p>
    <w:p w:rsidR="004040CC" w:rsidRPr="004040CC" w:rsidRDefault="004040CC" w:rsidP="004040CC">
      <w:r w:rsidRPr="003511C7">
        <w:rPr>
          <w:sz w:val="22"/>
          <w:szCs w:val="22"/>
        </w:rPr>
        <w:t xml:space="preserve">NRAS </w:t>
      </w:r>
      <w:r w:rsidR="00200A22" w:rsidRPr="003511C7">
        <w:rPr>
          <w:sz w:val="22"/>
          <w:szCs w:val="22"/>
        </w:rPr>
        <w:t>i</w:t>
      </w:r>
      <w:r w:rsidRPr="003511C7">
        <w:rPr>
          <w:sz w:val="22"/>
          <w:szCs w:val="22"/>
        </w:rPr>
        <w:t>ncentive</w:t>
      </w:r>
      <w:r w:rsidR="00200A22" w:rsidRPr="003511C7">
        <w:rPr>
          <w:sz w:val="22"/>
          <w:szCs w:val="22"/>
        </w:rPr>
        <w:t>s are for a 10 year period and are</w:t>
      </w:r>
      <w:r w:rsidRPr="003511C7">
        <w:rPr>
          <w:sz w:val="22"/>
          <w:szCs w:val="22"/>
        </w:rPr>
        <w:t xml:space="preserve"> indexed, see the section </w:t>
      </w:r>
      <w:r w:rsidRPr="003511C7">
        <w:rPr>
          <w:i/>
          <w:sz w:val="22"/>
          <w:szCs w:val="22"/>
        </w:rPr>
        <w:t xml:space="preserve">Indexation and rent increases </w:t>
      </w:r>
      <w:r w:rsidRPr="003511C7">
        <w:rPr>
          <w:sz w:val="22"/>
          <w:szCs w:val="22"/>
        </w:rPr>
        <w:t>below.</w:t>
      </w:r>
      <w:r>
        <w:t xml:space="preserve"> </w:t>
      </w:r>
    </w:p>
    <w:p w:rsidR="004040CC" w:rsidRDefault="00200A22" w:rsidP="003511C7">
      <w:pPr>
        <w:pStyle w:val="Heading1"/>
        <w:contextualSpacing w:val="0"/>
      </w:pPr>
      <w:r w:rsidRPr="003511C7">
        <w:rPr>
          <w:rFonts w:asciiTheme="majorHAnsi" w:eastAsiaTheme="majorEastAsia" w:hAnsiTheme="majorHAnsi" w:cstheme="majorBidi"/>
          <w:bCs w:val="0"/>
          <w:color w:val="005A70"/>
          <w:spacing w:val="0"/>
          <w:kern w:val="0"/>
          <w:sz w:val="32"/>
          <w:szCs w:val="36"/>
        </w:rPr>
        <w:t>NRAS application rounds</w:t>
      </w:r>
    </w:p>
    <w:p w:rsidR="0045672C" w:rsidRPr="003511C7" w:rsidRDefault="00200A22" w:rsidP="00200A22">
      <w:pPr>
        <w:pStyle w:val="ListBullet"/>
        <w:numPr>
          <w:ilvl w:val="0"/>
          <w:numId w:val="0"/>
        </w:numPr>
        <w:rPr>
          <w:sz w:val="22"/>
          <w:szCs w:val="22"/>
        </w:rPr>
      </w:pPr>
      <w:r w:rsidRPr="003511C7">
        <w:rPr>
          <w:sz w:val="22"/>
          <w:szCs w:val="22"/>
        </w:rPr>
        <w:t xml:space="preserve">Rounds One to Five plus Shovel Ready have been announced, assessed, and are now closed.  </w:t>
      </w:r>
      <w:r w:rsidR="009738A8" w:rsidRPr="003511C7">
        <w:rPr>
          <w:sz w:val="22"/>
          <w:szCs w:val="22"/>
        </w:rPr>
        <w:t>No offer</w:t>
      </w:r>
      <w:r w:rsidR="00135961" w:rsidRPr="003511C7">
        <w:rPr>
          <w:sz w:val="22"/>
          <w:szCs w:val="22"/>
        </w:rPr>
        <w:t>s were made under Round Five, as</w:t>
      </w:r>
      <w:r w:rsidR="009738A8" w:rsidRPr="003511C7">
        <w:rPr>
          <w:sz w:val="22"/>
          <w:szCs w:val="22"/>
        </w:rPr>
        <w:t xml:space="preserve"> announced in the 2014-15 Federal Budget.  </w:t>
      </w:r>
      <w:r w:rsidRPr="003511C7">
        <w:rPr>
          <w:sz w:val="22"/>
          <w:szCs w:val="22"/>
        </w:rPr>
        <w:t xml:space="preserve">There are no open funding rounds for the Scheme. </w:t>
      </w:r>
    </w:p>
    <w:p w:rsidR="0045672C" w:rsidRPr="003511C7" w:rsidRDefault="0045672C" w:rsidP="0045672C">
      <w:pPr>
        <w:rPr>
          <w:sz w:val="22"/>
          <w:szCs w:val="22"/>
        </w:rPr>
      </w:pPr>
    </w:p>
    <w:p w:rsidR="0045672C" w:rsidRPr="003511C7" w:rsidRDefault="0045672C" w:rsidP="0045672C">
      <w:pPr>
        <w:pStyle w:val="ListBullet"/>
        <w:numPr>
          <w:ilvl w:val="0"/>
          <w:numId w:val="0"/>
        </w:numPr>
        <w:rPr>
          <w:sz w:val="22"/>
          <w:szCs w:val="22"/>
        </w:rPr>
      </w:pPr>
      <w:r w:rsidRPr="003511C7">
        <w:rPr>
          <w:sz w:val="22"/>
          <w:szCs w:val="22"/>
        </w:rPr>
        <w:t xml:space="preserve">The Government has committed to fund up to 38,000 NRAS dwellings for the full 10-year incentive period.  </w:t>
      </w:r>
    </w:p>
    <w:p w:rsidR="008D4E4B" w:rsidRDefault="0045672C" w:rsidP="0045672C">
      <w:pPr>
        <w:pStyle w:val="ListBullet"/>
        <w:numPr>
          <w:ilvl w:val="0"/>
          <w:numId w:val="0"/>
        </w:numPr>
      </w:pPr>
      <w:r w:rsidRPr="003511C7">
        <w:rPr>
          <w:sz w:val="22"/>
          <w:szCs w:val="22"/>
        </w:rPr>
        <w:lastRenderedPageBreak/>
        <w:t>The final dwellings were due to be delivered into the Scheme by 30 June 2016 and NRAS will conclude on 30 June 2026 (with no dwellings eligible to receive an incentive beyond this date).</w:t>
      </w:r>
    </w:p>
    <w:p w:rsidR="009738A8" w:rsidRDefault="009738A8" w:rsidP="003511C7">
      <w:pPr>
        <w:pStyle w:val="Heading1"/>
        <w:contextualSpacing w:val="0"/>
      </w:pPr>
      <w:r w:rsidRPr="003511C7">
        <w:rPr>
          <w:rFonts w:asciiTheme="majorHAnsi" w:eastAsiaTheme="majorEastAsia" w:hAnsiTheme="majorHAnsi" w:cstheme="majorBidi"/>
          <w:bCs w:val="0"/>
          <w:color w:val="005A70"/>
          <w:spacing w:val="0"/>
          <w:kern w:val="0"/>
          <w:sz w:val="32"/>
          <w:szCs w:val="36"/>
        </w:rPr>
        <w:t>Mandatory requirements for approved participants</w:t>
      </w:r>
    </w:p>
    <w:p w:rsidR="006F5F3B" w:rsidRPr="003511C7" w:rsidRDefault="009738A8" w:rsidP="0010132B">
      <w:pPr>
        <w:rPr>
          <w:sz w:val="22"/>
          <w:szCs w:val="22"/>
        </w:rPr>
      </w:pPr>
      <w:r w:rsidRPr="003511C7">
        <w:rPr>
          <w:sz w:val="22"/>
          <w:szCs w:val="22"/>
        </w:rPr>
        <w:t xml:space="preserve">To </w:t>
      </w:r>
      <w:r w:rsidR="00317F5E" w:rsidRPr="003511C7">
        <w:rPr>
          <w:sz w:val="22"/>
          <w:szCs w:val="22"/>
        </w:rPr>
        <w:t>be eligible to receive an NRAS incentive</w:t>
      </w:r>
      <w:r w:rsidRPr="003511C7">
        <w:rPr>
          <w:sz w:val="22"/>
          <w:szCs w:val="22"/>
        </w:rPr>
        <w:t xml:space="preserve">, approved participants must satisfy </w:t>
      </w:r>
      <w:r w:rsidR="00317F5E" w:rsidRPr="003511C7">
        <w:rPr>
          <w:sz w:val="22"/>
          <w:szCs w:val="22"/>
        </w:rPr>
        <w:t xml:space="preserve">various legislative requirements.  To make this easier for approved participants, the Department provides a summary checklist prior to the annual lodgement of Statements of Compliance. </w:t>
      </w:r>
      <w:r w:rsidR="001A0424" w:rsidRPr="003511C7">
        <w:rPr>
          <w:sz w:val="22"/>
          <w:szCs w:val="22"/>
        </w:rPr>
        <w:t xml:space="preserve"> </w:t>
      </w:r>
      <w:r w:rsidR="0010132B" w:rsidRPr="003511C7">
        <w:rPr>
          <w:sz w:val="22"/>
          <w:szCs w:val="22"/>
        </w:rPr>
        <w:t>A</w:t>
      </w:r>
      <w:r w:rsidR="006F5F3B" w:rsidRPr="003511C7">
        <w:rPr>
          <w:sz w:val="22"/>
          <w:szCs w:val="22"/>
        </w:rPr>
        <w:t>pproved participants need to ensure for each NRAS dwelling:</w:t>
      </w:r>
    </w:p>
    <w:p w:rsidR="006F5F3B" w:rsidRPr="003511C7" w:rsidRDefault="00682B73" w:rsidP="000D6BD2">
      <w:pPr>
        <w:pStyle w:val="ListParagraph"/>
        <w:numPr>
          <w:ilvl w:val="0"/>
          <w:numId w:val="3"/>
        </w:numPr>
        <w:rPr>
          <w:sz w:val="22"/>
          <w:szCs w:val="22"/>
        </w:rPr>
      </w:pPr>
      <w:r w:rsidRPr="003511C7">
        <w:rPr>
          <w:sz w:val="22"/>
          <w:szCs w:val="22"/>
        </w:rPr>
        <w:t xml:space="preserve">a </w:t>
      </w:r>
      <w:r w:rsidR="006F5F3B" w:rsidRPr="003511C7">
        <w:rPr>
          <w:sz w:val="22"/>
          <w:szCs w:val="22"/>
        </w:rPr>
        <w:t xml:space="preserve">Statement of Compliance is lodged within the required timeframe; </w:t>
      </w:r>
    </w:p>
    <w:p w:rsidR="006F5F3B" w:rsidRPr="003511C7" w:rsidRDefault="006F5F3B" w:rsidP="000D6BD2">
      <w:pPr>
        <w:pStyle w:val="ListParagraph"/>
        <w:numPr>
          <w:ilvl w:val="0"/>
          <w:numId w:val="3"/>
        </w:numPr>
        <w:rPr>
          <w:sz w:val="22"/>
          <w:szCs w:val="22"/>
        </w:rPr>
      </w:pPr>
      <w:r w:rsidRPr="003511C7">
        <w:rPr>
          <w:sz w:val="22"/>
          <w:szCs w:val="22"/>
        </w:rPr>
        <w:t xml:space="preserve">market rent valuations are lodged within the required timeframe; </w:t>
      </w:r>
    </w:p>
    <w:p w:rsidR="00427E49" w:rsidRPr="003511C7" w:rsidRDefault="00427E49" w:rsidP="000D6BD2">
      <w:pPr>
        <w:pStyle w:val="ListParagraph"/>
        <w:numPr>
          <w:ilvl w:val="0"/>
          <w:numId w:val="3"/>
        </w:numPr>
        <w:rPr>
          <w:sz w:val="22"/>
          <w:szCs w:val="22"/>
        </w:rPr>
      </w:pPr>
      <w:r w:rsidRPr="003511C7">
        <w:rPr>
          <w:sz w:val="22"/>
          <w:szCs w:val="22"/>
        </w:rPr>
        <w:t>r</w:t>
      </w:r>
      <w:r w:rsidR="0010132B" w:rsidRPr="003511C7">
        <w:rPr>
          <w:sz w:val="22"/>
          <w:szCs w:val="22"/>
        </w:rPr>
        <w:t>ent char</w:t>
      </w:r>
      <w:r w:rsidR="006F5F3B" w:rsidRPr="003511C7">
        <w:rPr>
          <w:sz w:val="22"/>
          <w:szCs w:val="22"/>
        </w:rPr>
        <w:t xml:space="preserve">ged </w:t>
      </w:r>
      <w:r w:rsidR="00FB6CE4" w:rsidRPr="003511C7">
        <w:rPr>
          <w:sz w:val="22"/>
          <w:szCs w:val="22"/>
        </w:rPr>
        <w:t>is at least 20 per cent below the</w:t>
      </w:r>
      <w:r w:rsidR="006F5F3B" w:rsidRPr="003511C7">
        <w:rPr>
          <w:sz w:val="22"/>
          <w:szCs w:val="22"/>
        </w:rPr>
        <w:t xml:space="preserve"> market value rent at all times; </w:t>
      </w:r>
    </w:p>
    <w:p w:rsidR="006F5F3B" w:rsidRPr="003511C7" w:rsidRDefault="00427E49" w:rsidP="000D6BD2">
      <w:pPr>
        <w:pStyle w:val="ListParagraph"/>
        <w:numPr>
          <w:ilvl w:val="0"/>
          <w:numId w:val="3"/>
        </w:numPr>
        <w:rPr>
          <w:sz w:val="22"/>
          <w:szCs w:val="22"/>
        </w:rPr>
      </w:pPr>
      <w:r w:rsidRPr="003511C7">
        <w:rPr>
          <w:sz w:val="22"/>
          <w:szCs w:val="22"/>
        </w:rPr>
        <w:t>r</w:t>
      </w:r>
      <w:r w:rsidR="006F5F3B" w:rsidRPr="003511C7">
        <w:rPr>
          <w:sz w:val="22"/>
          <w:szCs w:val="22"/>
        </w:rPr>
        <w:t>ent increases meet state and territory legislative requirements</w:t>
      </w:r>
    </w:p>
    <w:p w:rsidR="00427E49" w:rsidRPr="003511C7" w:rsidRDefault="006F5F3B" w:rsidP="000D6BD2">
      <w:pPr>
        <w:pStyle w:val="ListParagraph"/>
        <w:numPr>
          <w:ilvl w:val="0"/>
          <w:numId w:val="3"/>
        </w:numPr>
        <w:rPr>
          <w:sz w:val="22"/>
          <w:szCs w:val="22"/>
        </w:rPr>
      </w:pPr>
      <w:r w:rsidRPr="003511C7">
        <w:rPr>
          <w:sz w:val="22"/>
          <w:szCs w:val="22"/>
        </w:rPr>
        <w:t xml:space="preserve">Tenant Demographic Assessments are completed; </w:t>
      </w:r>
    </w:p>
    <w:p w:rsidR="006F5F3B" w:rsidRPr="003511C7" w:rsidRDefault="00427E49" w:rsidP="000D6BD2">
      <w:pPr>
        <w:pStyle w:val="ListParagraph"/>
        <w:numPr>
          <w:ilvl w:val="0"/>
          <w:numId w:val="3"/>
        </w:numPr>
        <w:rPr>
          <w:sz w:val="22"/>
          <w:szCs w:val="22"/>
        </w:rPr>
      </w:pPr>
      <w:r w:rsidRPr="003511C7">
        <w:rPr>
          <w:sz w:val="22"/>
          <w:szCs w:val="22"/>
        </w:rPr>
        <w:t>a</w:t>
      </w:r>
      <w:r w:rsidR="006F5F3B" w:rsidRPr="003511C7">
        <w:rPr>
          <w:sz w:val="22"/>
          <w:szCs w:val="22"/>
        </w:rPr>
        <w:t>ssessment of vacancy days has been completed; and</w:t>
      </w:r>
    </w:p>
    <w:p w:rsidR="009738A8" w:rsidRDefault="00682B73" w:rsidP="000D6BD2">
      <w:pPr>
        <w:pStyle w:val="ListParagraph"/>
        <w:numPr>
          <w:ilvl w:val="0"/>
          <w:numId w:val="3"/>
        </w:numPr>
      </w:pPr>
      <w:r w:rsidRPr="003511C7">
        <w:rPr>
          <w:sz w:val="22"/>
          <w:szCs w:val="22"/>
        </w:rPr>
        <w:t>compliance</w:t>
      </w:r>
      <w:r w:rsidR="00427E49" w:rsidRPr="003511C7">
        <w:rPr>
          <w:sz w:val="22"/>
          <w:szCs w:val="22"/>
        </w:rPr>
        <w:t xml:space="preserve"> with s</w:t>
      </w:r>
      <w:r w:rsidR="009738A8" w:rsidRPr="003511C7">
        <w:rPr>
          <w:sz w:val="22"/>
          <w:szCs w:val="22"/>
        </w:rPr>
        <w:t>t</w:t>
      </w:r>
      <w:r w:rsidR="00427E49" w:rsidRPr="003511C7">
        <w:rPr>
          <w:sz w:val="22"/>
          <w:szCs w:val="22"/>
        </w:rPr>
        <w:t>ate, t</w:t>
      </w:r>
      <w:r w:rsidR="009738A8" w:rsidRPr="003511C7">
        <w:rPr>
          <w:sz w:val="22"/>
          <w:szCs w:val="22"/>
        </w:rPr>
        <w:t>erritory and local government planning and building laws</w:t>
      </w:r>
      <w:r w:rsidR="00CF150C" w:rsidRPr="003511C7">
        <w:rPr>
          <w:sz w:val="22"/>
          <w:szCs w:val="22"/>
        </w:rPr>
        <w:t>.</w:t>
      </w:r>
      <w:r w:rsidR="00CF150C">
        <w:t xml:space="preserve"> </w:t>
      </w:r>
      <w:r w:rsidR="009738A8">
        <w:t xml:space="preserve"> </w:t>
      </w:r>
    </w:p>
    <w:p w:rsidR="006F5F3B" w:rsidRPr="003511C7" w:rsidRDefault="006F5F3B" w:rsidP="003511C7">
      <w:pPr>
        <w:pStyle w:val="Heading1"/>
        <w:contextualSpacing w:val="0"/>
        <w:rPr>
          <w:rFonts w:asciiTheme="majorHAnsi" w:eastAsiaTheme="majorEastAsia" w:hAnsiTheme="majorHAnsi" w:cstheme="majorBidi"/>
          <w:bCs w:val="0"/>
          <w:color w:val="005A70"/>
          <w:spacing w:val="0"/>
          <w:kern w:val="0"/>
          <w:sz w:val="32"/>
          <w:szCs w:val="36"/>
        </w:rPr>
      </w:pPr>
      <w:r w:rsidRPr="003511C7">
        <w:rPr>
          <w:rFonts w:asciiTheme="majorHAnsi" w:eastAsiaTheme="majorEastAsia" w:hAnsiTheme="majorHAnsi" w:cstheme="majorBidi"/>
          <w:bCs w:val="0"/>
          <w:color w:val="005A70"/>
          <w:spacing w:val="0"/>
          <w:kern w:val="0"/>
          <w:sz w:val="32"/>
          <w:szCs w:val="36"/>
        </w:rPr>
        <w:t xml:space="preserve">Indexation and </w:t>
      </w:r>
      <w:r w:rsidR="00BF0AAA" w:rsidRPr="003511C7">
        <w:rPr>
          <w:rFonts w:asciiTheme="majorHAnsi" w:eastAsiaTheme="majorEastAsia" w:hAnsiTheme="majorHAnsi" w:cstheme="majorBidi"/>
          <w:bCs w:val="0"/>
          <w:color w:val="005A70"/>
          <w:spacing w:val="0"/>
          <w:kern w:val="0"/>
          <w:sz w:val="32"/>
          <w:szCs w:val="36"/>
        </w:rPr>
        <w:t xml:space="preserve">changes to </w:t>
      </w:r>
      <w:r w:rsidRPr="003511C7">
        <w:rPr>
          <w:rFonts w:asciiTheme="majorHAnsi" w:eastAsiaTheme="majorEastAsia" w:hAnsiTheme="majorHAnsi" w:cstheme="majorBidi"/>
          <w:bCs w:val="0"/>
          <w:color w:val="005A70"/>
          <w:spacing w:val="0"/>
          <w:kern w:val="0"/>
          <w:sz w:val="32"/>
          <w:szCs w:val="36"/>
        </w:rPr>
        <w:t xml:space="preserve">rent </w:t>
      </w:r>
      <w:r w:rsidR="00BF0AAA" w:rsidRPr="003511C7">
        <w:rPr>
          <w:rFonts w:asciiTheme="majorHAnsi" w:eastAsiaTheme="majorEastAsia" w:hAnsiTheme="majorHAnsi" w:cstheme="majorBidi"/>
          <w:bCs w:val="0"/>
          <w:color w:val="005A70"/>
          <w:spacing w:val="0"/>
          <w:kern w:val="0"/>
          <w:sz w:val="32"/>
          <w:szCs w:val="36"/>
        </w:rPr>
        <w:t>charged</w:t>
      </w:r>
    </w:p>
    <w:p w:rsidR="006D7DE0" w:rsidRPr="003511C7" w:rsidRDefault="006D7DE0" w:rsidP="006D7DE0">
      <w:pPr>
        <w:rPr>
          <w:sz w:val="22"/>
          <w:szCs w:val="22"/>
          <w:lang w:val="en"/>
        </w:rPr>
      </w:pPr>
      <w:r w:rsidRPr="003511C7">
        <w:rPr>
          <w:sz w:val="22"/>
          <w:szCs w:val="22"/>
          <w:lang w:val="en"/>
        </w:rPr>
        <w:t>An independent written valuation of the market value rent is required for each dwelling when it first becomes available for rent under the NRAS and at the end of the fourth and seventh years of the approved rental dwelling's 10 year incentive period. Properties must be rented at a rate that is at least 20 per cent below the market value rent.</w:t>
      </w:r>
    </w:p>
    <w:p w:rsidR="006D7DE0" w:rsidRPr="003511C7" w:rsidRDefault="006D7DE0" w:rsidP="006D7DE0">
      <w:pPr>
        <w:rPr>
          <w:sz w:val="22"/>
          <w:szCs w:val="22"/>
          <w:lang w:val="en"/>
        </w:rPr>
      </w:pPr>
      <w:r w:rsidRPr="003511C7">
        <w:rPr>
          <w:sz w:val="22"/>
          <w:szCs w:val="22"/>
          <w:lang w:val="en"/>
        </w:rPr>
        <w:t>In other years, the approved participant is able to increase the market rent value by the NRAS market index for the dwelling based on the state or territory where the dwelling is located.</w:t>
      </w:r>
    </w:p>
    <w:p w:rsidR="006D7DE0" w:rsidRPr="003511C7" w:rsidRDefault="006D7DE0" w:rsidP="00CF150C">
      <w:pPr>
        <w:spacing w:before="0" w:after="0"/>
        <w:rPr>
          <w:sz w:val="22"/>
          <w:szCs w:val="22"/>
          <w:lang w:val="en"/>
        </w:rPr>
      </w:pPr>
      <w:r w:rsidRPr="003511C7">
        <w:rPr>
          <w:sz w:val="22"/>
          <w:szCs w:val="22"/>
          <w:lang w:val="en"/>
        </w:rPr>
        <w:t>The rent charged can be increased as long as the following requirements are met:</w:t>
      </w:r>
    </w:p>
    <w:p w:rsidR="006D7DE0" w:rsidRPr="003511C7" w:rsidRDefault="006D7DE0" w:rsidP="00CF150C">
      <w:pPr>
        <w:spacing w:before="0" w:after="0"/>
        <w:rPr>
          <w:sz w:val="22"/>
          <w:szCs w:val="22"/>
          <w:lang w:val="en"/>
        </w:rPr>
      </w:pPr>
      <w:r w:rsidRPr="003511C7">
        <w:rPr>
          <w:sz w:val="22"/>
          <w:szCs w:val="22"/>
          <w:lang w:val="en"/>
        </w:rPr>
        <w:t>(a)</w:t>
      </w:r>
      <w:r w:rsidRPr="003511C7">
        <w:rPr>
          <w:sz w:val="22"/>
          <w:szCs w:val="22"/>
          <w:lang w:val="en"/>
        </w:rPr>
        <w:tab/>
        <w:t xml:space="preserve">rent </w:t>
      </w:r>
      <w:r w:rsidR="0024240F" w:rsidRPr="003511C7">
        <w:rPr>
          <w:sz w:val="22"/>
          <w:szCs w:val="22"/>
          <w:lang w:val="en"/>
        </w:rPr>
        <w:t>charged remains at all times 20 per cent</w:t>
      </w:r>
      <w:r w:rsidRPr="003511C7">
        <w:rPr>
          <w:sz w:val="22"/>
          <w:szCs w:val="22"/>
          <w:lang w:val="en"/>
        </w:rPr>
        <w:t xml:space="preserve"> or more below market value rent; and</w:t>
      </w:r>
    </w:p>
    <w:p w:rsidR="006D7DE0" w:rsidRPr="003511C7" w:rsidRDefault="00CF150C" w:rsidP="00CF150C">
      <w:pPr>
        <w:spacing w:before="0" w:after="0"/>
        <w:rPr>
          <w:sz w:val="22"/>
          <w:szCs w:val="22"/>
          <w:lang w:val="en"/>
        </w:rPr>
      </w:pPr>
      <w:r w:rsidRPr="003511C7">
        <w:rPr>
          <w:sz w:val="22"/>
          <w:szCs w:val="22"/>
          <w:lang w:val="en"/>
        </w:rPr>
        <w:t>(b)</w:t>
      </w:r>
      <w:r w:rsidRPr="003511C7">
        <w:rPr>
          <w:sz w:val="22"/>
          <w:szCs w:val="22"/>
          <w:lang w:val="en"/>
        </w:rPr>
        <w:tab/>
        <w:t>applicable state and t</w:t>
      </w:r>
      <w:r w:rsidR="006D7DE0" w:rsidRPr="003511C7">
        <w:rPr>
          <w:sz w:val="22"/>
          <w:szCs w:val="22"/>
          <w:lang w:val="en"/>
        </w:rPr>
        <w:t>erritory residential tenancy laws are complied with in relation to rent reviews.</w:t>
      </w:r>
      <w:r w:rsidR="0000022B" w:rsidRPr="003511C7">
        <w:rPr>
          <w:sz w:val="22"/>
          <w:szCs w:val="22"/>
          <w:lang w:val="en"/>
        </w:rPr>
        <w:t xml:space="preserve"> </w:t>
      </w:r>
    </w:p>
    <w:p w:rsidR="00CF150C" w:rsidRPr="003511C7" w:rsidRDefault="00CF150C" w:rsidP="00CF150C">
      <w:pPr>
        <w:spacing w:before="0" w:after="0"/>
        <w:rPr>
          <w:sz w:val="22"/>
          <w:szCs w:val="22"/>
          <w:lang w:val="en"/>
        </w:rPr>
      </w:pPr>
    </w:p>
    <w:p w:rsidR="006D7DE0" w:rsidRPr="009412E6" w:rsidRDefault="006D7DE0" w:rsidP="00CF150C">
      <w:pPr>
        <w:spacing w:before="0" w:after="0"/>
        <w:rPr>
          <w:lang w:val="en"/>
        </w:rPr>
      </w:pPr>
      <w:r w:rsidRPr="003511C7">
        <w:rPr>
          <w:sz w:val="22"/>
          <w:szCs w:val="22"/>
          <w:lang w:val="en"/>
        </w:rPr>
        <w:t xml:space="preserve">Please note, if the market index in any given year is negative, the rent charged may need to be reduced in </w:t>
      </w:r>
      <w:r w:rsidR="00CF150C" w:rsidRPr="003511C7">
        <w:rPr>
          <w:sz w:val="22"/>
          <w:szCs w:val="22"/>
          <w:lang w:val="en"/>
        </w:rPr>
        <w:t>order to remain at all times 20 per cent</w:t>
      </w:r>
      <w:r w:rsidRPr="003511C7">
        <w:rPr>
          <w:sz w:val="22"/>
          <w:szCs w:val="22"/>
          <w:lang w:val="en"/>
        </w:rPr>
        <w:t xml:space="preserve"> below market value rent.</w:t>
      </w:r>
    </w:p>
    <w:p w:rsidR="00645DB7" w:rsidRDefault="00645DB7" w:rsidP="00480239">
      <w:pPr>
        <w:pStyle w:val="Pullouttext"/>
      </w:pPr>
    </w:p>
    <w:p w:rsidR="00200A22" w:rsidRPr="003511C7" w:rsidRDefault="00480239" w:rsidP="00480239">
      <w:pPr>
        <w:pStyle w:val="Pullouttext"/>
        <w:rPr>
          <w:color w:val="005A70"/>
        </w:rPr>
      </w:pPr>
      <w:r w:rsidRPr="003511C7">
        <w:rPr>
          <w:color w:val="005A70"/>
        </w:rPr>
        <w:t xml:space="preserve">State </w:t>
      </w:r>
      <w:r w:rsidR="00BF0AAA" w:rsidRPr="003511C7">
        <w:rPr>
          <w:color w:val="005A70"/>
        </w:rPr>
        <w:t>/T</w:t>
      </w:r>
      <w:r w:rsidRPr="003511C7">
        <w:rPr>
          <w:color w:val="005A70"/>
        </w:rPr>
        <w:t xml:space="preserve">erritory </w:t>
      </w:r>
      <w:r w:rsidR="00BF0AAA" w:rsidRPr="003511C7">
        <w:rPr>
          <w:color w:val="005A70"/>
        </w:rPr>
        <w:t>M</w:t>
      </w:r>
      <w:r w:rsidRPr="003511C7">
        <w:rPr>
          <w:color w:val="005A70"/>
        </w:rPr>
        <w:t xml:space="preserve">arket </w:t>
      </w:r>
      <w:r w:rsidR="00BF0AAA" w:rsidRPr="003511C7">
        <w:rPr>
          <w:color w:val="005A70"/>
        </w:rPr>
        <w:t>I</w:t>
      </w:r>
      <w:r w:rsidRPr="003511C7">
        <w:rPr>
          <w:color w:val="005A70"/>
        </w:rPr>
        <w:t xml:space="preserve">ndex </w:t>
      </w:r>
      <w:r w:rsidR="00BF0AAA" w:rsidRPr="003511C7">
        <w:rPr>
          <w:color w:val="005A70"/>
        </w:rPr>
        <w:t>P</w:t>
      </w:r>
      <w:r w:rsidRPr="003511C7">
        <w:rPr>
          <w:color w:val="005A70"/>
        </w:rPr>
        <w:t>ercent</w:t>
      </w:r>
      <w:r w:rsidR="00B93D7C" w:rsidRPr="003511C7">
        <w:rPr>
          <w:color w:val="005A70"/>
        </w:rPr>
        <w:t>ag</w:t>
      </w:r>
      <w:r w:rsidRPr="003511C7">
        <w:rPr>
          <w:color w:val="005A70"/>
        </w:rPr>
        <w:t xml:space="preserve">e </w:t>
      </w:r>
      <w:r w:rsidR="00BF0AAA" w:rsidRPr="003511C7">
        <w:rPr>
          <w:color w:val="005A70"/>
        </w:rPr>
        <w:t>Change</w:t>
      </w:r>
      <w:r w:rsidRPr="003511C7">
        <w:rPr>
          <w:color w:val="005A70"/>
        </w:rPr>
        <w:t xml:space="preserve"> 1 May 201</w:t>
      </w:r>
      <w:r w:rsidR="00176470">
        <w:rPr>
          <w:color w:val="005A70"/>
        </w:rPr>
        <w:t>8</w:t>
      </w:r>
      <w:r w:rsidR="00F21279" w:rsidRPr="003511C7">
        <w:rPr>
          <w:color w:val="005A70"/>
        </w:rPr>
        <w:t xml:space="preserve"> to 30 April 201</w:t>
      </w:r>
      <w:r w:rsidR="00176470">
        <w:rPr>
          <w:color w:val="005A70"/>
        </w:rPr>
        <w:t>9</w:t>
      </w:r>
    </w:p>
    <w:tbl>
      <w:tblPr>
        <w:tblStyle w:val="TableGrid"/>
        <w:tblW w:w="0" w:type="auto"/>
        <w:tblInd w:w="1922" w:type="dxa"/>
        <w:tblLook w:val="04A0" w:firstRow="1" w:lastRow="0" w:firstColumn="1" w:lastColumn="0" w:noHBand="0" w:noVBand="1"/>
        <w:tblCaption w:val="State /Territory Market Index Percentage Change 1 May 2015 to 30 April 2016"/>
        <w:tblDescription w:val="State /Territory Market Index Percentage Change 1 May 2015 to 30 April 2016"/>
      </w:tblPr>
      <w:tblGrid>
        <w:gridCol w:w="3969"/>
        <w:gridCol w:w="2410"/>
      </w:tblGrid>
      <w:tr w:rsidR="00F01A71" w:rsidRPr="00F01A71" w:rsidTr="00984F52">
        <w:trPr>
          <w:tblHeader/>
        </w:trPr>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1A71" w:rsidRDefault="00F01A71" w:rsidP="005E34D0">
            <w:pPr>
              <w:spacing w:before="80" w:after="0"/>
              <w:jc w:val="center"/>
              <w:rPr>
                <w:rFonts w:ascii="Museo Sans 100" w:hAnsi="Museo Sans 100"/>
                <w:b/>
                <w:sz w:val="20"/>
                <w:szCs w:val="20"/>
                <w:lang w:eastAsia="en-US"/>
              </w:rPr>
            </w:pPr>
          </w:p>
          <w:p w:rsidR="00F01A71" w:rsidRDefault="00F01A71" w:rsidP="005E34D0">
            <w:pPr>
              <w:spacing w:before="80" w:after="0"/>
              <w:jc w:val="center"/>
              <w:rPr>
                <w:rFonts w:ascii="Museo Sans 100" w:hAnsi="Museo Sans 100"/>
                <w:sz w:val="20"/>
                <w:szCs w:val="20"/>
                <w:lang w:eastAsia="en-US"/>
              </w:rPr>
            </w:pPr>
            <w:r>
              <w:rPr>
                <w:rFonts w:ascii="Museo Sans 100" w:hAnsi="Museo Sans 100"/>
                <w:b/>
                <w:sz w:val="20"/>
                <w:szCs w:val="20"/>
              </w:rPr>
              <w:t>Jurisdiction</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1A71" w:rsidRPr="00F01A71" w:rsidRDefault="00F01A71" w:rsidP="007114F6">
            <w:pPr>
              <w:spacing w:before="80" w:after="0"/>
              <w:jc w:val="center"/>
              <w:rPr>
                <w:rFonts w:ascii="Museo Sans 100" w:hAnsi="Museo Sans 100"/>
                <w:b/>
                <w:sz w:val="20"/>
                <w:szCs w:val="20"/>
                <w:lang w:eastAsia="en-US"/>
              </w:rPr>
            </w:pPr>
            <w:r>
              <w:rPr>
                <w:rFonts w:ascii="Museo Sans 100" w:hAnsi="Museo Sans 100"/>
                <w:b/>
                <w:sz w:val="20"/>
                <w:szCs w:val="20"/>
              </w:rPr>
              <w:t>Percentage change from corresponding qua</w:t>
            </w:r>
            <w:r w:rsidR="00743473">
              <w:rPr>
                <w:rFonts w:ascii="Museo Sans 100" w:hAnsi="Museo Sans 100"/>
                <w:b/>
                <w:sz w:val="20"/>
                <w:szCs w:val="20"/>
              </w:rPr>
              <w:t>rter of previous year – Dec 201</w:t>
            </w:r>
            <w:r w:rsidR="00176470">
              <w:rPr>
                <w:rFonts w:ascii="Museo Sans 100" w:hAnsi="Museo Sans 100"/>
                <w:b/>
                <w:sz w:val="20"/>
                <w:szCs w:val="20"/>
              </w:rPr>
              <w:t>7</w:t>
            </w:r>
          </w:p>
        </w:tc>
      </w:tr>
      <w:tr w:rsidR="00F21279" w:rsidTr="00645DB7">
        <w:tc>
          <w:tcPr>
            <w:tcW w:w="3969" w:type="dxa"/>
            <w:tcBorders>
              <w:top w:val="single" w:sz="4" w:space="0" w:color="000000"/>
              <w:left w:val="single" w:sz="4" w:space="0" w:color="000000"/>
              <w:bottom w:val="single" w:sz="4" w:space="0" w:color="000000"/>
              <w:right w:val="single" w:sz="4" w:space="0" w:color="000000"/>
            </w:tcBorders>
            <w:hideMark/>
          </w:tcPr>
          <w:p w:rsidR="00F21279" w:rsidRDefault="00F21279" w:rsidP="005E34D0">
            <w:pPr>
              <w:spacing w:before="80" w:after="0"/>
              <w:rPr>
                <w:rFonts w:ascii="Museo Sans 100" w:hAnsi="Museo Sans 100"/>
                <w:sz w:val="20"/>
                <w:szCs w:val="20"/>
                <w:lang w:eastAsia="en-US"/>
              </w:rPr>
            </w:pPr>
            <w:r>
              <w:rPr>
                <w:rFonts w:ascii="Museo Sans 100" w:hAnsi="Museo Sans 100"/>
                <w:sz w:val="20"/>
                <w:szCs w:val="20"/>
              </w:rPr>
              <w:t>Sydney / New South Wales</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21279" w:rsidRPr="00645DB7" w:rsidRDefault="00176470" w:rsidP="00645DB7">
            <w:pPr>
              <w:spacing w:before="0" w:after="0"/>
              <w:jc w:val="center"/>
              <w:rPr>
                <w:rFonts w:ascii="Museo Sans 100" w:hAnsi="Museo Sans 100" w:cs="Arial"/>
                <w:color w:val="000000"/>
                <w:sz w:val="20"/>
                <w:szCs w:val="20"/>
              </w:rPr>
            </w:pPr>
            <w:r>
              <w:rPr>
                <w:rFonts w:ascii="Museo Sans 100" w:eastAsia="Calibri" w:hAnsi="Museo Sans 100" w:cs="Arial"/>
                <w:color w:val="000000"/>
                <w:sz w:val="20"/>
                <w:szCs w:val="20"/>
              </w:rPr>
              <w:t>2.4</w:t>
            </w:r>
          </w:p>
        </w:tc>
      </w:tr>
      <w:tr w:rsidR="00F21279" w:rsidTr="00645DB7">
        <w:tc>
          <w:tcPr>
            <w:tcW w:w="3969" w:type="dxa"/>
            <w:tcBorders>
              <w:top w:val="single" w:sz="4" w:space="0" w:color="000000"/>
              <w:left w:val="single" w:sz="4" w:space="0" w:color="000000"/>
              <w:bottom w:val="single" w:sz="4" w:space="0" w:color="000000"/>
              <w:right w:val="single" w:sz="4" w:space="0" w:color="000000"/>
            </w:tcBorders>
            <w:hideMark/>
          </w:tcPr>
          <w:p w:rsidR="00F21279" w:rsidRDefault="00F21279" w:rsidP="005E34D0">
            <w:pPr>
              <w:spacing w:before="80" w:after="0"/>
              <w:rPr>
                <w:rFonts w:ascii="Museo Sans 100" w:hAnsi="Museo Sans 100"/>
                <w:sz w:val="20"/>
                <w:szCs w:val="20"/>
                <w:lang w:eastAsia="en-US"/>
              </w:rPr>
            </w:pPr>
            <w:r>
              <w:rPr>
                <w:rFonts w:ascii="Museo Sans 100" w:hAnsi="Museo Sans 100"/>
                <w:sz w:val="20"/>
                <w:szCs w:val="20"/>
              </w:rPr>
              <w:t>Melbourne / Victoria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21279" w:rsidRPr="00645DB7" w:rsidRDefault="00176470" w:rsidP="00645DB7">
            <w:pPr>
              <w:spacing w:before="0" w:after="0"/>
              <w:jc w:val="center"/>
              <w:rPr>
                <w:rFonts w:ascii="Museo Sans 100" w:hAnsi="Museo Sans 100" w:cs="Arial"/>
                <w:color w:val="000000"/>
                <w:sz w:val="20"/>
                <w:szCs w:val="20"/>
              </w:rPr>
            </w:pPr>
            <w:r>
              <w:rPr>
                <w:rFonts w:ascii="Museo Sans 100" w:eastAsia="Calibri" w:hAnsi="Museo Sans 100" w:cs="Arial"/>
                <w:color w:val="000000"/>
                <w:sz w:val="20"/>
                <w:szCs w:val="20"/>
              </w:rPr>
              <w:t>1.8</w:t>
            </w:r>
          </w:p>
        </w:tc>
      </w:tr>
      <w:tr w:rsidR="00F21279" w:rsidTr="00645DB7">
        <w:tc>
          <w:tcPr>
            <w:tcW w:w="3969" w:type="dxa"/>
            <w:tcBorders>
              <w:top w:val="single" w:sz="4" w:space="0" w:color="000000"/>
              <w:left w:val="single" w:sz="4" w:space="0" w:color="000000"/>
              <w:bottom w:val="single" w:sz="4" w:space="0" w:color="000000"/>
              <w:right w:val="single" w:sz="4" w:space="0" w:color="000000"/>
            </w:tcBorders>
            <w:hideMark/>
          </w:tcPr>
          <w:p w:rsidR="00F21279" w:rsidRDefault="00F21279" w:rsidP="005E34D0">
            <w:pPr>
              <w:spacing w:before="80" w:after="0"/>
              <w:rPr>
                <w:rFonts w:ascii="Museo Sans 100" w:hAnsi="Museo Sans 100"/>
                <w:sz w:val="20"/>
                <w:szCs w:val="20"/>
                <w:lang w:eastAsia="en-US"/>
              </w:rPr>
            </w:pPr>
            <w:r>
              <w:rPr>
                <w:rFonts w:ascii="Museo Sans 100" w:hAnsi="Museo Sans 100"/>
                <w:sz w:val="20"/>
                <w:szCs w:val="20"/>
              </w:rPr>
              <w:t>Brisbane / Queensland</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21279" w:rsidRPr="00645DB7" w:rsidRDefault="00176470" w:rsidP="00645DB7">
            <w:pPr>
              <w:spacing w:before="0" w:after="0"/>
              <w:jc w:val="center"/>
              <w:rPr>
                <w:rFonts w:ascii="Museo Sans 100" w:hAnsi="Museo Sans 100" w:cs="Arial"/>
                <w:color w:val="000000"/>
                <w:sz w:val="20"/>
                <w:szCs w:val="20"/>
                <w:highlight w:val="yellow"/>
              </w:rPr>
            </w:pPr>
            <w:r>
              <w:rPr>
                <w:rFonts w:ascii="Museo Sans 100" w:hAnsi="Museo Sans 100" w:cs="Arial"/>
                <w:color w:val="000000"/>
                <w:sz w:val="20"/>
                <w:szCs w:val="20"/>
              </w:rPr>
              <w:t>- 0.4</w:t>
            </w:r>
          </w:p>
        </w:tc>
      </w:tr>
      <w:tr w:rsidR="00F21279" w:rsidTr="00645DB7">
        <w:tc>
          <w:tcPr>
            <w:tcW w:w="3969" w:type="dxa"/>
            <w:tcBorders>
              <w:top w:val="single" w:sz="4" w:space="0" w:color="000000"/>
              <w:left w:val="single" w:sz="4" w:space="0" w:color="000000"/>
              <w:bottom w:val="single" w:sz="4" w:space="0" w:color="000000"/>
              <w:right w:val="single" w:sz="4" w:space="0" w:color="000000"/>
            </w:tcBorders>
            <w:hideMark/>
          </w:tcPr>
          <w:p w:rsidR="00F21279" w:rsidRDefault="00F21279" w:rsidP="005E34D0">
            <w:pPr>
              <w:spacing w:before="80" w:after="0"/>
              <w:rPr>
                <w:rFonts w:ascii="Museo Sans 100" w:hAnsi="Museo Sans 100"/>
                <w:sz w:val="20"/>
                <w:szCs w:val="20"/>
                <w:lang w:eastAsia="en-US"/>
              </w:rPr>
            </w:pPr>
            <w:r>
              <w:rPr>
                <w:rFonts w:ascii="Museo Sans 100" w:hAnsi="Museo Sans 100"/>
                <w:sz w:val="20"/>
                <w:szCs w:val="20"/>
              </w:rPr>
              <w:t>Adelaide / South Australia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21279" w:rsidRPr="00645DB7" w:rsidRDefault="00176470" w:rsidP="00645DB7">
            <w:pPr>
              <w:spacing w:before="0" w:after="0"/>
              <w:jc w:val="center"/>
              <w:rPr>
                <w:rFonts w:ascii="Museo Sans 100" w:hAnsi="Museo Sans 100" w:cs="Arial"/>
                <w:color w:val="000000"/>
                <w:sz w:val="20"/>
                <w:szCs w:val="20"/>
                <w:highlight w:val="yellow"/>
              </w:rPr>
            </w:pPr>
            <w:r>
              <w:rPr>
                <w:rFonts w:ascii="Museo Sans 100" w:hAnsi="Museo Sans 100" w:cs="Arial"/>
                <w:color w:val="000000"/>
                <w:sz w:val="20"/>
                <w:szCs w:val="20"/>
              </w:rPr>
              <w:t>0.2</w:t>
            </w:r>
          </w:p>
        </w:tc>
      </w:tr>
      <w:tr w:rsidR="00F21279" w:rsidTr="00645DB7">
        <w:tc>
          <w:tcPr>
            <w:tcW w:w="3969" w:type="dxa"/>
            <w:tcBorders>
              <w:top w:val="single" w:sz="4" w:space="0" w:color="000000"/>
              <w:left w:val="single" w:sz="4" w:space="0" w:color="000000"/>
              <w:bottom w:val="single" w:sz="4" w:space="0" w:color="000000"/>
              <w:right w:val="single" w:sz="4" w:space="0" w:color="000000"/>
            </w:tcBorders>
            <w:hideMark/>
          </w:tcPr>
          <w:p w:rsidR="00F21279" w:rsidRDefault="00F21279" w:rsidP="005E34D0">
            <w:pPr>
              <w:spacing w:before="80" w:after="0"/>
              <w:rPr>
                <w:rFonts w:ascii="Museo Sans 100" w:hAnsi="Museo Sans 100"/>
                <w:sz w:val="20"/>
                <w:szCs w:val="20"/>
                <w:lang w:eastAsia="en-US"/>
              </w:rPr>
            </w:pPr>
            <w:r>
              <w:rPr>
                <w:rFonts w:ascii="Museo Sans 100" w:hAnsi="Museo Sans 100"/>
                <w:sz w:val="20"/>
                <w:szCs w:val="20"/>
              </w:rPr>
              <w:t>Perth / Western Australia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21279" w:rsidRPr="00645DB7" w:rsidRDefault="00F21279" w:rsidP="007114F6">
            <w:pPr>
              <w:spacing w:before="0" w:after="0"/>
              <w:jc w:val="center"/>
              <w:rPr>
                <w:rFonts w:ascii="Museo Sans 100" w:hAnsi="Museo Sans 100" w:cs="Arial"/>
                <w:color w:val="000000"/>
                <w:sz w:val="20"/>
                <w:szCs w:val="20"/>
                <w:highlight w:val="yellow"/>
              </w:rPr>
            </w:pPr>
            <w:r w:rsidRPr="00645DB7">
              <w:rPr>
                <w:rFonts w:ascii="Museo Sans 100" w:hAnsi="Museo Sans 100" w:cs="Arial"/>
                <w:color w:val="000000"/>
                <w:sz w:val="20"/>
                <w:szCs w:val="20"/>
              </w:rPr>
              <w:t>-</w:t>
            </w:r>
            <w:r w:rsidR="007114F6">
              <w:rPr>
                <w:rFonts w:ascii="Museo Sans 100" w:hAnsi="Museo Sans 100" w:cs="Arial"/>
                <w:color w:val="000000"/>
                <w:sz w:val="20"/>
                <w:szCs w:val="20"/>
              </w:rPr>
              <w:t>7</w:t>
            </w:r>
            <w:r w:rsidRPr="00645DB7">
              <w:rPr>
                <w:rFonts w:ascii="Museo Sans 100" w:hAnsi="Museo Sans 100" w:cs="Arial"/>
                <w:color w:val="000000"/>
                <w:sz w:val="20"/>
                <w:szCs w:val="20"/>
              </w:rPr>
              <w:t>.</w:t>
            </w:r>
            <w:r w:rsidR="00176470">
              <w:rPr>
                <w:rFonts w:ascii="Museo Sans 100" w:hAnsi="Museo Sans 100" w:cs="Arial"/>
                <w:color w:val="000000"/>
                <w:sz w:val="20"/>
                <w:szCs w:val="20"/>
              </w:rPr>
              <w:t>1</w:t>
            </w:r>
          </w:p>
        </w:tc>
      </w:tr>
      <w:tr w:rsidR="00F21279" w:rsidTr="00645DB7">
        <w:tc>
          <w:tcPr>
            <w:tcW w:w="3969" w:type="dxa"/>
            <w:tcBorders>
              <w:top w:val="single" w:sz="4" w:space="0" w:color="000000"/>
              <w:left w:val="single" w:sz="4" w:space="0" w:color="000000"/>
              <w:bottom w:val="single" w:sz="4" w:space="0" w:color="000000"/>
              <w:right w:val="single" w:sz="4" w:space="0" w:color="000000"/>
            </w:tcBorders>
            <w:hideMark/>
          </w:tcPr>
          <w:p w:rsidR="00F21279" w:rsidRDefault="00F21279" w:rsidP="005E34D0">
            <w:pPr>
              <w:spacing w:before="80" w:after="0"/>
              <w:rPr>
                <w:rFonts w:ascii="Museo Sans 100" w:hAnsi="Museo Sans 100"/>
                <w:sz w:val="20"/>
                <w:szCs w:val="20"/>
                <w:lang w:eastAsia="en-US"/>
              </w:rPr>
            </w:pPr>
            <w:r>
              <w:rPr>
                <w:rFonts w:ascii="Museo Sans 100" w:hAnsi="Museo Sans 100"/>
                <w:sz w:val="20"/>
                <w:szCs w:val="20"/>
              </w:rPr>
              <w:t>Hobart / Tasmania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21279" w:rsidRPr="00645DB7" w:rsidRDefault="007114F6" w:rsidP="00645DB7">
            <w:pPr>
              <w:spacing w:before="0" w:after="0"/>
              <w:jc w:val="center"/>
              <w:rPr>
                <w:rFonts w:ascii="Museo Sans 100" w:hAnsi="Museo Sans 100" w:cs="Arial"/>
                <w:color w:val="000000"/>
                <w:sz w:val="20"/>
                <w:szCs w:val="20"/>
                <w:highlight w:val="yellow"/>
              </w:rPr>
            </w:pPr>
            <w:r>
              <w:rPr>
                <w:rFonts w:ascii="Museo Sans 100" w:hAnsi="Museo Sans 100" w:cs="Arial"/>
                <w:color w:val="000000"/>
                <w:sz w:val="20"/>
                <w:szCs w:val="20"/>
              </w:rPr>
              <w:t>3.5</w:t>
            </w:r>
          </w:p>
        </w:tc>
      </w:tr>
      <w:tr w:rsidR="00F21279" w:rsidTr="00645DB7">
        <w:tc>
          <w:tcPr>
            <w:tcW w:w="3969" w:type="dxa"/>
            <w:tcBorders>
              <w:top w:val="single" w:sz="4" w:space="0" w:color="000000"/>
              <w:left w:val="single" w:sz="4" w:space="0" w:color="000000"/>
              <w:bottom w:val="single" w:sz="4" w:space="0" w:color="000000"/>
              <w:right w:val="single" w:sz="4" w:space="0" w:color="000000"/>
            </w:tcBorders>
            <w:hideMark/>
          </w:tcPr>
          <w:p w:rsidR="00F21279" w:rsidRDefault="00F21279" w:rsidP="005E34D0">
            <w:pPr>
              <w:spacing w:before="80" w:after="0"/>
              <w:rPr>
                <w:rFonts w:ascii="Museo Sans 100" w:hAnsi="Museo Sans 100"/>
                <w:sz w:val="20"/>
                <w:szCs w:val="20"/>
                <w:lang w:eastAsia="en-US"/>
              </w:rPr>
            </w:pPr>
            <w:r>
              <w:rPr>
                <w:rFonts w:ascii="Museo Sans 100" w:hAnsi="Museo Sans 100"/>
                <w:sz w:val="20"/>
                <w:szCs w:val="20"/>
              </w:rPr>
              <w:t>Darwin / Northern Territory</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21279" w:rsidRPr="00645DB7" w:rsidRDefault="00176470" w:rsidP="007114F6">
            <w:pPr>
              <w:spacing w:before="0" w:after="0"/>
              <w:jc w:val="center"/>
              <w:rPr>
                <w:rFonts w:ascii="Museo Sans 100" w:hAnsi="Museo Sans 100" w:cs="Arial"/>
                <w:color w:val="000000"/>
                <w:sz w:val="20"/>
                <w:szCs w:val="20"/>
                <w:highlight w:val="yellow"/>
              </w:rPr>
            </w:pPr>
            <w:r>
              <w:rPr>
                <w:rFonts w:ascii="Museo Sans 100" w:hAnsi="Museo Sans 100" w:cs="Arial"/>
                <w:color w:val="000000"/>
                <w:sz w:val="20"/>
                <w:szCs w:val="20"/>
              </w:rPr>
              <w:t>- 5.6</w:t>
            </w:r>
          </w:p>
        </w:tc>
      </w:tr>
      <w:tr w:rsidR="00F21279" w:rsidTr="00645DB7">
        <w:tc>
          <w:tcPr>
            <w:tcW w:w="3969" w:type="dxa"/>
            <w:tcBorders>
              <w:top w:val="single" w:sz="4" w:space="0" w:color="000000"/>
              <w:left w:val="single" w:sz="4" w:space="0" w:color="000000"/>
              <w:bottom w:val="single" w:sz="4" w:space="0" w:color="000000"/>
              <w:right w:val="single" w:sz="4" w:space="0" w:color="000000"/>
            </w:tcBorders>
            <w:hideMark/>
          </w:tcPr>
          <w:p w:rsidR="00F21279" w:rsidRDefault="00F21279" w:rsidP="005E34D0">
            <w:pPr>
              <w:spacing w:before="80" w:after="0"/>
              <w:rPr>
                <w:rFonts w:ascii="Museo Sans 100" w:hAnsi="Museo Sans 100"/>
                <w:sz w:val="20"/>
                <w:szCs w:val="20"/>
                <w:lang w:eastAsia="en-US"/>
              </w:rPr>
            </w:pPr>
            <w:r>
              <w:rPr>
                <w:rFonts w:ascii="Museo Sans 100" w:hAnsi="Museo Sans 100"/>
                <w:sz w:val="20"/>
                <w:szCs w:val="20"/>
              </w:rPr>
              <w:t>Canberra / Australian Capital Territory</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21279" w:rsidRPr="00645DB7" w:rsidRDefault="00176470" w:rsidP="007114F6">
            <w:pPr>
              <w:spacing w:before="0" w:after="0"/>
              <w:jc w:val="center"/>
              <w:rPr>
                <w:rFonts w:ascii="Museo Sans 100" w:hAnsi="Museo Sans 100" w:cs="Arial"/>
                <w:color w:val="000000"/>
                <w:sz w:val="20"/>
                <w:szCs w:val="20"/>
                <w:highlight w:val="yellow"/>
              </w:rPr>
            </w:pPr>
            <w:r>
              <w:rPr>
                <w:rFonts w:ascii="Museo Sans 100" w:hAnsi="Museo Sans 100" w:cs="Arial"/>
                <w:color w:val="000000"/>
                <w:sz w:val="20"/>
                <w:szCs w:val="20"/>
              </w:rPr>
              <w:t>2.3</w:t>
            </w:r>
          </w:p>
        </w:tc>
      </w:tr>
    </w:tbl>
    <w:p w:rsidR="0045672C" w:rsidRDefault="0045672C" w:rsidP="00F01A71">
      <w:pPr>
        <w:pStyle w:val="Pullouttext"/>
      </w:pPr>
    </w:p>
    <w:p w:rsidR="00F01A71" w:rsidRDefault="00F01A71" w:rsidP="00F01A71">
      <w:pPr>
        <w:pStyle w:val="Pullouttext"/>
      </w:pPr>
      <w:r w:rsidRPr="003511C7">
        <w:rPr>
          <w:color w:val="005A70"/>
        </w:rPr>
        <w:t>State / Territory Market Index Percentage Change for Previous Years</w:t>
      </w:r>
    </w:p>
    <w:tbl>
      <w:tblPr>
        <w:tblStyle w:val="TableGrid"/>
        <w:tblW w:w="5000" w:type="pct"/>
        <w:tblInd w:w="0" w:type="dxa"/>
        <w:tblLook w:val="04A0" w:firstRow="1" w:lastRow="0" w:firstColumn="1" w:lastColumn="0" w:noHBand="0" w:noVBand="1"/>
        <w:tblDescription w:val="State/Territory market index table"/>
      </w:tblPr>
      <w:tblGrid>
        <w:gridCol w:w="1532"/>
        <w:gridCol w:w="975"/>
        <w:gridCol w:w="977"/>
        <w:gridCol w:w="977"/>
        <w:gridCol w:w="977"/>
        <w:gridCol w:w="975"/>
        <w:gridCol w:w="975"/>
        <w:gridCol w:w="975"/>
        <w:gridCol w:w="975"/>
        <w:gridCol w:w="856"/>
      </w:tblGrid>
      <w:tr w:rsidR="00176470" w:rsidRPr="00F01A71" w:rsidTr="00176470">
        <w:trPr>
          <w:tblHeader/>
        </w:trPr>
        <w:tc>
          <w:tcPr>
            <w:tcW w:w="75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76470" w:rsidRPr="00F01A71" w:rsidRDefault="00176470" w:rsidP="00176470">
            <w:pPr>
              <w:spacing w:before="0" w:after="0"/>
              <w:jc w:val="center"/>
              <w:rPr>
                <w:rFonts w:asciiTheme="minorHAnsi" w:hAnsiTheme="minorHAnsi" w:cstheme="minorHAnsi"/>
                <w:b/>
                <w:sz w:val="22"/>
                <w:szCs w:val="22"/>
              </w:rPr>
            </w:pPr>
            <w:r w:rsidRPr="00F01A71">
              <w:rPr>
                <w:rFonts w:asciiTheme="minorHAnsi" w:hAnsiTheme="minorHAnsi" w:cstheme="minorHAnsi"/>
                <w:b/>
                <w:sz w:val="22"/>
                <w:szCs w:val="22"/>
              </w:rPr>
              <w:t xml:space="preserve">Housing Group </w:t>
            </w:r>
            <w:r>
              <w:rPr>
                <w:rFonts w:asciiTheme="minorHAnsi" w:hAnsiTheme="minorHAnsi" w:cstheme="minorHAnsi"/>
                <w:b/>
                <w:sz w:val="22"/>
                <w:szCs w:val="22"/>
              </w:rPr>
              <w:t>percentage change</w:t>
            </w:r>
            <w:r w:rsidRPr="00F01A71">
              <w:rPr>
                <w:rFonts w:asciiTheme="minorHAnsi" w:hAnsiTheme="minorHAnsi" w:cstheme="minorHAnsi"/>
                <w:b/>
                <w:sz w:val="22"/>
                <w:szCs w:val="22"/>
              </w:rPr>
              <w:t xml:space="preserve"> by capital city for NRAS year</w:t>
            </w:r>
          </w:p>
        </w:tc>
        <w:tc>
          <w:tcPr>
            <w:tcW w:w="4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76470" w:rsidRDefault="00176470" w:rsidP="00176470">
            <w:pPr>
              <w:spacing w:before="0" w:after="0"/>
              <w:rPr>
                <w:rFonts w:asciiTheme="minorHAnsi" w:hAnsiTheme="minorHAnsi" w:cstheme="minorHAnsi"/>
                <w:b/>
                <w:sz w:val="22"/>
                <w:szCs w:val="22"/>
              </w:rPr>
            </w:pPr>
            <w:r>
              <w:rPr>
                <w:rFonts w:asciiTheme="minorHAnsi" w:hAnsiTheme="minorHAnsi" w:cstheme="minorHAnsi"/>
                <w:b/>
                <w:sz w:val="22"/>
                <w:szCs w:val="22"/>
              </w:rPr>
              <w:t>1 May 2017 to 30 April 2018</w:t>
            </w:r>
          </w:p>
        </w:tc>
        <w:tc>
          <w:tcPr>
            <w:tcW w:w="47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76470" w:rsidRDefault="00176470" w:rsidP="00176470">
            <w:pPr>
              <w:spacing w:before="0" w:after="0"/>
              <w:rPr>
                <w:rFonts w:asciiTheme="minorHAnsi" w:hAnsiTheme="minorHAnsi" w:cstheme="minorHAnsi"/>
                <w:b/>
                <w:sz w:val="22"/>
                <w:szCs w:val="22"/>
              </w:rPr>
            </w:pPr>
            <w:r>
              <w:rPr>
                <w:rFonts w:asciiTheme="minorHAnsi" w:hAnsiTheme="minorHAnsi" w:cstheme="minorHAnsi"/>
                <w:b/>
                <w:sz w:val="22"/>
                <w:szCs w:val="22"/>
              </w:rPr>
              <w:t>1 May 2016 to 30 April 2017</w:t>
            </w:r>
          </w:p>
        </w:tc>
        <w:tc>
          <w:tcPr>
            <w:tcW w:w="47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76470" w:rsidRPr="00F01A71" w:rsidRDefault="00176470" w:rsidP="00176470">
            <w:pPr>
              <w:spacing w:before="0" w:after="0"/>
              <w:jc w:val="center"/>
              <w:rPr>
                <w:rFonts w:asciiTheme="minorHAnsi" w:hAnsiTheme="minorHAnsi" w:cstheme="minorHAnsi"/>
                <w:b/>
                <w:sz w:val="22"/>
                <w:szCs w:val="22"/>
              </w:rPr>
            </w:pPr>
            <w:r>
              <w:rPr>
                <w:rFonts w:asciiTheme="minorHAnsi" w:hAnsiTheme="minorHAnsi" w:cstheme="minorHAnsi"/>
                <w:b/>
                <w:sz w:val="22"/>
                <w:szCs w:val="22"/>
              </w:rPr>
              <w:t>1 May 2015 to 30 April 2016</w:t>
            </w:r>
          </w:p>
        </w:tc>
        <w:tc>
          <w:tcPr>
            <w:tcW w:w="47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76470" w:rsidRPr="00F01A71" w:rsidRDefault="00176470" w:rsidP="00176470">
            <w:pPr>
              <w:spacing w:before="0" w:after="0"/>
              <w:jc w:val="center"/>
              <w:rPr>
                <w:rFonts w:asciiTheme="minorHAnsi" w:hAnsiTheme="minorHAnsi" w:cstheme="minorHAnsi"/>
                <w:b/>
                <w:sz w:val="22"/>
                <w:szCs w:val="22"/>
                <w:lang w:eastAsia="en-US"/>
              </w:rPr>
            </w:pPr>
            <w:r w:rsidRPr="00F01A71">
              <w:rPr>
                <w:rFonts w:asciiTheme="minorHAnsi" w:hAnsiTheme="minorHAnsi" w:cstheme="minorHAnsi"/>
                <w:b/>
                <w:sz w:val="22"/>
                <w:szCs w:val="22"/>
              </w:rPr>
              <w:t>1 May 2014 to 30 April 2015</w:t>
            </w:r>
          </w:p>
        </w:tc>
        <w:tc>
          <w:tcPr>
            <w:tcW w:w="4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76470" w:rsidRPr="00F01A71" w:rsidRDefault="00176470" w:rsidP="00176470">
            <w:pPr>
              <w:spacing w:before="0" w:after="0"/>
              <w:jc w:val="center"/>
              <w:rPr>
                <w:rFonts w:asciiTheme="minorHAnsi" w:hAnsiTheme="minorHAnsi" w:cstheme="minorHAnsi"/>
                <w:b/>
                <w:sz w:val="22"/>
                <w:szCs w:val="22"/>
                <w:lang w:eastAsia="en-US"/>
              </w:rPr>
            </w:pPr>
            <w:r w:rsidRPr="00F01A71">
              <w:rPr>
                <w:rFonts w:asciiTheme="minorHAnsi" w:hAnsiTheme="minorHAnsi" w:cstheme="minorHAnsi"/>
                <w:b/>
                <w:sz w:val="22"/>
                <w:szCs w:val="22"/>
              </w:rPr>
              <w:t>1 May 2013 to 30 April 2014</w:t>
            </w:r>
          </w:p>
        </w:tc>
        <w:tc>
          <w:tcPr>
            <w:tcW w:w="4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76470" w:rsidRPr="00F01A71" w:rsidRDefault="00176470" w:rsidP="00176470">
            <w:pPr>
              <w:spacing w:before="0" w:after="0"/>
              <w:jc w:val="center"/>
              <w:rPr>
                <w:rFonts w:asciiTheme="minorHAnsi" w:hAnsiTheme="minorHAnsi" w:cstheme="minorHAnsi"/>
                <w:b/>
                <w:bCs/>
                <w:sz w:val="22"/>
                <w:szCs w:val="22"/>
                <w:lang w:val="en-US"/>
              </w:rPr>
            </w:pPr>
            <w:r w:rsidRPr="00F01A71">
              <w:rPr>
                <w:rFonts w:asciiTheme="minorHAnsi" w:hAnsiTheme="minorHAnsi" w:cstheme="minorHAnsi"/>
                <w:b/>
                <w:sz w:val="22"/>
                <w:szCs w:val="22"/>
              </w:rPr>
              <w:t>1 May 2012 to 30 April 2013</w:t>
            </w:r>
          </w:p>
        </w:tc>
        <w:tc>
          <w:tcPr>
            <w:tcW w:w="4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76470" w:rsidRPr="00F01A71" w:rsidRDefault="00176470" w:rsidP="00176470">
            <w:pPr>
              <w:spacing w:before="0" w:after="0"/>
              <w:jc w:val="center"/>
              <w:rPr>
                <w:rFonts w:asciiTheme="minorHAnsi" w:hAnsiTheme="minorHAnsi" w:cstheme="minorHAnsi"/>
                <w:b/>
                <w:bCs/>
                <w:sz w:val="22"/>
                <w:szCs w:val="22"/>
                <w:lang w:val="en-US"/>
              </w:rPr>
            </w:pPr>
            <w:r w:rsidRPr="00F01A71">
              <w:rPr>
                <w:rFonts w:asciiTheme="minorHAnsi" w:hAnsiTheme="minorHAnsi" w:cstheme="minorHAnsi"/>
                <w:b/>
                <w:sz w:val="22"/>
                <w:szCs w:val="22"/>
              </w:rPr>
              <w:t>1 May 2011 to 30 April 2012</w:t>
            </w:r>
          </w:p>
        </w:tc>
        <w:tc>
          <w:tcPr>
            <w:tcW w:w="4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76470" w:rsidRPr="00F01A71" w:rsidRDefault="00176470" w:rsidP="00176470">
            <w:pPr>
              <w:spacing w:before="0" w:after="0"/>
              <w:jc w:val="center"/>
              <w:rPr>
                <w:rFonts w:asciiTheme="minorHAnsi" w:hAnsiTheme="minorHAnsi" w:cstheme="minorHAnsi"/>
                <w:b/>
                <w:bCs/>
                <w:sz w:val="22"/>
                <w:szCs w:val="22"/>
                <w:lang w:val="en-US"/>
              </w:rPr>
            </w:pPr>
            <w:r w:rsidRPr="00F01A71">
              <w:rPr>
                <w:rFonts w:asciiTheme="minorHAnsi" w:hAnsiTheme="minorHAnsi" w:cstheme="minorHAnsi"/>
                <w:b/>
                <w:sz w:val="22"/>
                <w:szCs w:val="22"/>
              </w:rPr>
              <w:t>1 May 2010 to 30 April 2011</w:t>
            </w:r>
          </w:p>
        </w:tc>
        <w:tc>
          <w:tcPr>
            <w:tcW w:w="4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76470" w:rsidRPr="00F01A71" w:rsidRDefault="00176470" w:rsidP="00176470">
            <w:pPr>
              <w:spacing w:before="0" w:after="0"/>
              <w:jc w:val="center"/>
              <w:rPr>
                <w:rFonts w:asciiTheme="minorHAnsi" w:hAnsiTheme="minorHAnsi" w:cstheme="minorHAnsi"/>
                <w:b/>
                <w:bCs/>
                <w:sz w:val="22"/>
                <w:szCs w:val="22"/>
                <w:lang w:val="en-US"/>
              </w:rPr>
            </w:pPr>
            <w:r w:rsidRPr="00F01A71">
              <w:rPr>
                <w:rFonts w:asciiTheme="minorHAnsi" w:hAnsiTheme="minorHAnsi" w:cstheme="minorHAnsi"/>
                <w:b/>
                <w:sz w:val="22"/>
                <w:szCs w:val="22"/>
              </w:rPr>
              <w:t>1 May 2009 to 30 April 2010</w:t>
            </w:r>
          </w:p>
        </w:tc>
      </w:tr>
      <w:tr w:rsidR="00176470" w:rsidRPr="00F01A71" w:rsidTr="00176470">
        <w:tc>
          <w:tcPr>
            <w:tcW w:w="752" w:type="pct"/>
            <w:tcBorders>
              <w:top w:val="single" w:sz="4" w:space="0" w:color="000000"/>
              <w:left w:val="single" w:sz="4" w:space="0" w:color="000000"/>
              <w:bottom w:val="single" w:sz="4" w:space="0" w:color="000000"/>
              <w:right w:val="single" w:sz="4" w:space="0" w:color="000000"/>
            </w:tcBorders>
            <w:hideMark/>
          </w:tcPr>
          <w:p w:rsidR="00176470" w:rsidRPr="00F01A71" w:rsidRDefault="00176470" w:rsidP="00176470">
            <w:pPr>
              <w:spacing w:before="0" w:after="0"/>
              <w:rPr>
                <w:rFonts w:asciiTheme="minorHAnsi" w:hAnsiTheme="minorHAnsi" w:cstheme="minorHAnsi"/>
                <w:sz w:val="22"/>
                <w:szCs w:val="22"/>
                <w:lang w:eastAsia="en-US"/>
              </w:rPr>
            </w:pPr>
            <w:r w:rsidRPr="00F01A71">
              <w:rPr>
                <w:rFonts w:asciiTheme="minorHAnsi" w:hAnsiTheme="minorHAnsi" w:cstheme="minorHAnsi"/>
                <w:sz w:val="22"/>
                <w:szCs w:val="22"/>
              </w:rPr>
              <w:t>Sydney / New South Wales</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rPr>
            </w:pPr>
            <w:r>
              <w:rPr>
                <w:rFonts w:ascii="Museo Sans 100" w:eastAsia="Calibri" w:hAnsi="Museo Sans 100" w:cs="Arial"/>
                <w:color w:val="000000"/>
                <w:sz w:val="20"/>
                <w:szCs w:val="20"/>
              </w:rPr>
              <w:t>2.5</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rPr>
            </w:pPr>
            <w:r w:rsidRPr="00645DB7">
              <w:rPr>
                <w:rFonts w:ascii="Museo Sans 100" w:eastAsia="Calibri" w:hAnsi="Museo Sans 100" w:cs="Arial"/>
                <w:color w:val="000000"/>
                <w:sz w:val="20"/>
                <w:szCs w:val="20"/>
              </w:rPr>
              <w:t>2.3</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rPr>
            </w:pPr>
            <w:r>
              <w:rPr>
                <w:rFonts w:asciiTheme="minorHAnsi" w:hAnsiTheme="minorHAnsi" w:cstheme="minorHAnsi"/>
                <w:sz w:val="22"/>
                <w:szCs w:val="22"/>
              </w:rPr>
              <w:t>3.2</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3.4</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4.4</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sidRPr="00F01A71">
              <w:rPr>
                <w:rFonts w:asciiTheme="minorHAnsi" w:hAnsiTheme="minorHAnsi" w:cstheme="minorHAnsi"/>
                <w:sz w:val="22"/>
                <w:szCs w:val="22"/>
              </w:rPr>
              <w:t>6.3</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sidRPr="00F01A71">
              <w:rPr>
                <w:rFonts w:asciiTheme="minorHAnsi" w:hAnsiTheme="minorHAnsi" w:cstheme="minorHAnsi"/>
                <w:sz w:val="22"/>
                <w:szCs w:val="22"/>
              </w:rPr>
              <w:t>5.0</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sidRPr="00F01A71">
              <w:rPr>
                <w:rFonts w:asciiTheme="minorHAnsi" w:hAnsiTheme="minorHAnsi" w:cstheme="minorHAnsi"/>
                <w:sz w:val="22"/>
                <w:szCs w:val="22"/>
              </w:rPr>
              <w:t>5.7</w:t>
            </w:r>
          </w:p>
        </w:tc>
        <w:tc>
          <w:tcPr>
            <w:tcW w:w="420"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sidRPr="00F01A71">
              <w:rPr>
                <w:rFonts w:asciiTheme="minorHAnsi" w:hAnsiTheme="minorHAnsi" w:cstheme="minorHAnsi"/>
                <w:sz w:val="22"/>
                <w:szCs w:val="22"/>
              </w:rPr>
              <w:t>8.0</w:t>
            </w:r>
          </w:p>
        </w:tc>
      </w:tr>
      <w:tr w:rsidR="00176470" w:rsidRPr="00F01A71" w:rsidTr="00176470">
        <w:tc>
          <w:tcPr>
            <w:tcW w:w="752" w:type="pct"/>
            <w:tcBorders>
              <w:top w:val="single" w:sz="4" w:space="0" w:color="000000"/>
              <w:left w:val="single" w:sz="4" w:space="0" w:color="000000"/>
              <w:bottom w:val="single" w:sz="4" w:space="0" w:color="000000"/>
              <w:right w:val="single" w:sz="4" w:space="0" w:color="000000"/>
            </w:tcBorders>
            <w:hideMark/>
          </w:tcPr>
          <w:p w:rsidR="00176470" w:rsidRPr="00F01A71" w:rsidRDefault="00176470" w:rsidP="00176470">
            <w:pPr>
              <w:spacing w:before="0" w:after="0"/>
              <w:rPr>
                <w:rFonts w:asciiTheme="minorHAnsi" w:hAnsiTheme="minorHAnsi" w:cstheme="minorHAnsi"/>
                <w:sz w:val="22"/>
                <w:szCs w:val="22"/>
                <w:lang w:eastAsia="en-US"/>
              </w:rPr>
            </w:pPr>
            <w:r w:rsidRPr="00F01A71">
              <w:rPr>
                <w:rFonts w:asciiTheme="minorHAnsi" w:hAnsiTheme="minorHAnsi" w:cstheme="minorHAnsi"/>
                <w:sz w:val="22"/>
                <w:szCs w:val="22"/>
              </w:rPr>
              <w:t>Melbourne / Victoria</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rPr>
            </w:pPr>
            <w:r>
              <w:rPr>
                <w:rFonts w:ascii="Museo Sans 100" w:eastAsia="Calibri" w:hAnsi="Museo Sans 100" w:cs="Arial"/>
                <w:color w:val="000000"/>
                <w:sz w:val="20"/>
                <w:szCs w:val="20"/>
              </w:rPr>
              <w:t>1.6</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rPr>
            </w:pPr>
            <w:r w:rsidRPr="00645DB7">
              <w:rPr>
                <w:rFonts w:ascii="Museo Sans 100" w:eastAsia="Calibri" w:hAnsi="Museo Sans 100" w:cs="Arial"/>
                <w:color w:val="000000"/>
                <w:sz w:val="20"/>
                <w:szCs w:val="20"/>
              </w:rPr>
              <w:t>1.7</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rPr>
            </w:pPr>
            <w:r>
              <w:rPr>
                <w:rFonts w:asciiTheme="minorHAnsi" w:hAnsiTheme="minorHAnsi" w:cstheme="minorHAnsi"/>
                <w:sz w:val="22"/>
                <w:szCs w:val="22"/>
              </w:rPr>
              <w:t>2.4</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2.0</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2.5</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4.0</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3.8</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4.8</w:t>
            </w:r>
          </w:p>
        </w:tc>
        <w:tc>
          <w:tcPr>
            <w:tcW w:w="420"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6.6</w:t>
            </w:r>
          </w:p>
        </w:tc>
      </w:tr>
      <w:tr w:rsidR="00176470" w:rsidRPr="00F01A71" w:rsidTr="00176470">
        <w:tc>
          <w:tcPr>
            <w:tcW w:w="752" w:type="pct"/>
            <w:tcBorders>
              <w:top w:val="single" w:sz="4" w:space="0" w:color="000000"/>
              <w:left w:val="single" w:sz="4" w:space="0" w:color="000000"/>
              <w:bottom w:val="single" w:sz="4" w:space="0" w:color="000000"/>
              <w:right w:val="single" w:sz="4" w:space="0" w:color="000000"/>
            </w:tcBorders>
            <w:hideMark/>
          </w:tcPr>
          <w:p w:rsidR="00176470" w:rsidRPr="00F01A71" w:rsidRDefault="00176470" w:rsidP="00176470">
            <w:pPr>
              <w:spacing w:before="0" w:after="0"/>
              <w:rPr>
                <w:rFonts w:asciiTheme="minorHAnsi" w:hAnsiTheme="minorHAnsi" w:cstheme="minorHAnsi"/>
                <w:sz w:val="22"/>
                <w:szCs w:val="22"/>
                <w:lang w:eastAsia="en-US"/>
              </w:rPr>
            </w:pPr>
            <w:r w:rsidRPr="00F01A71">
              <w:rPr>
                <w:rFonts w:asciiTheme="minorHAnsi" w:hAnsiTheme="minorHAnsi" w:cstheme="minorHAnsi"/>
                <w:sz w:val="22"/>
                <w:szCs w:val="22"/>
              </w:rPr>
              <w:t>Brisbane / Queensland</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highlight w:val="yellow"/>
              </w:rPr>
            </w:pPr>
            <w:r>
              <w:rPr>
                <w:rFonts w:ascii="Museo Sans 100" w:hAnsi="Museo Sans 100" w:cs="Arial"/>
                <w:color w:val="000000"/>
                <w:sz w:val="20"/>
                <w:szCs w:val="20"/>
              </w:rPr>
              <w:t>0.2</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highlight w:val="yellow"/>
              </w:rPr>
            </w:pPr>
            <w:r w:rsidRPr="00645DB7">
              <w:rPr>
                <w:rFonts w:ascii="Museo Sans 100" w:hAnsi="Museo Sans 100" w:cs="Arial"/>
                <w:color w:val="000000"/>
                <w:sz w:val="20"/>
                <w:szCs w:val="20"/>
              </w:rPr>
              <w:t>1.0</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rPr>
            </w:pPr>
            <w:r>
              <w:rPr>
                <w:rFonts w:asciiTheme="minorHAnsi" w:hAnsiTheme="minorHAnsi" w:cstheme="minorHAnsi"/>
                <w:sz w:val="22"/>
                <w:szCs w:val="22"/>
              </w:rPr>
              <w:t>2.0</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2.1</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2.7</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2</w:t>
            </w:r>
            <w:r w:rsidRPr="00F01A71">
              <w:rPr>
                <w:rFonts w:asciiTheme="minorHAnsi" w:hAnsiTheme="minorHAnsi" w:cstheme="minorHAnsi"/>
                <w:sz w:val="22"/>
                <w:szCs w:val="22"/>
              </w:rPr>
              <w:t>.9</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2.9</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4.9</w:t>
            </w:r>
          </w:p>
        </w:tc>
        <w:tc>
          <w:tcPr>
            <w:tcW w:w="420"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10.1</w:t>
            </w:r>
          </w:p>
        </w:tc>
      </w:tr>
      <w:tr w:rsidR="00176470" w:rsidRPr="00F01A71" w:rsidTr="00176470">
        <w:tc>
          <w:tcPr>
            <w:tcW w:w="752" w:type="pct"/>
            <w:tcBorders>
              <w:top w:val="single" w:sz="4" w:space="0" w:color="000000"/>
              <w:left w:val="single" w:sz="4" w:space="0" w:color="000000"/>
              <w:bottom w:val="single" w:sz="4" w:space="0" w:color="000000"/>
              <w:right w:val="single" w:sz="4" w:space="0" w:color="000000"/>
            </w:tcBorders>
            <w:hideMark/>
          </w:tcPr>
          <w:p w:rsidR="00176470" w:rsidRPr="00F01A71" w:rsidRDefault="00176470" w:rsidP="00176470">
            <w:pPr>
              <w:spacing w:before="0" w:after="0"/>
              <w:rPr>
                <w:rFonts w:asciiTheme="minorHAnsi" w:hAnsiTheme="minorHAnsi" w:cstheme="minorHAnsi"/>
                <w:sz w:val="22"/>
                <w:szCs w:val="22"/>
                <w:lang w:eastAsia="en-US"/>
              </w:rPr>
            </w:pPr>
            <w:r w:rsidRPr="00F01A71">
              <w:rPr>
                <w:rFonts w:asciiTheme="minorHAnsi" w:hAnsiTheme="minorHAnsi" w:cstheme="minorHAnsi"/>
                <w:sz w:val="22"/>
                <w:szCs w:val="22"/>
              </w:rPr>
              <w:t>Adelaide / South Australia</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highlight w:val="yellow"/>
              </w:rPr>
            </w:pPr>
            <w:r>
              <w:rPr>
                <w:rFonts w:ascii="Museo Sans 100" w:hAnsi="Museo Sans 100" w:cs="Arial"/>
                <w:color w:val="000000"/>
                <w:sz w:val="20"/>
                <w:szCs w:val="20"/>
              </w:rPr>
              <w:t>0.9</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highlight w:val="yellow"/>
              </w:rPr>
            </w:pPr>
            <w:r w:rsidRPr="00645DB7">
              <w:rPr>
                <w:rFonts w:ascii="Museo Sans 100" w:hAnsi="Museo Sans 100" w:cs="Arial"/>
                <w:color w:val="000000"/>
                <w:sz w:val="20"/>
                <w:szCs w:val="20"/>
              </w:rPr>
              <w:t>1.2</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rPr>
            </w:pPr>
            <w:r>
              <w:rPr>
                <w:rFonts w:asciiTheme="minorHAnsi" w:hAnsiTheme="minorHAnsi" w:cstheme="minorHAnsi"/>
                <w:sz w:val="22"/>
                <w:szCs w:val="22"/>
              </w:rPr>
              <w:t>1.7</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2.4</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2.5</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sidRPr="00F01A71">
              <w:rPr>
                <w:rFonts w:asciiTheme="minorHAnsi" w:hAnsiTheme="minorHAnsi" w:cstheme="minorHAnsi"/>
                <w:sz w:val="22"/>
                <w:szCs w:val="22"/>
              </w:rPr>
              <w:t>4</w:t>
            </w:r>
            <w:r>
              <w:rPr>
                <w:rFonts w:asciiTheme="minorHAnsi" w:hAnsiTheme="minorHAnsi" w:cstheme="minorHAnsi"/>
                <w:sz w:val="22"/>
                <w:szCs w:val="22"/>
              </w:rPr>
              <w:t>.2</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4.4</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4.0</w:t>
            </w:r>
          </w:p>
        </w:tc>
        <w:tc>
          <w:tcPr>
            <w:tcW w:w="420"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5.4</w:t>
            </w:r>
          </w:p>
        </w:tc>
      </w:tr>
      <w:tr w:rsidR="00176470" w:rsidRPr="00F01A71" w:rsidTr="00176470">
        <w:tc>
          <w:tcPr>
            <w:tcW w:w="752" w:type="pct"/>
            <w:tcBorders>
              <w:top w:val="single" w:sz="4" w:space="0" w:color="000000"/>
              <w:left w:val="single" w:sz="4" w:space="0" w:color="000000"/>
              <w:bottom w:val="single" w:sz="4" w:space="0" w:color="000000"/>
              <w:right w:val="single" w:sz="4" w:space="0" w:color="000000"/>
            </w:tcBorders>
            <w:hideMark/>
          </w:tcPr>
          <w:p w:rsidR="00176470" w:rsidRPr="00F01A71" w:rsidRDefault="00176470" w:rsidP="00176470">
            <w:pPr>
              <w:spacing w:before="0" w:after="0"/>
              <w:rPr>
                <w:rFonts w:asciiTheme="minorHAnsi" w:hAnsiTheme="minorHAnsi" w:cstheme="minorHAnsi"/>
                <w:sz w:val="22"/>
                <w:szCs w:val="22"/>
                <w:lang w:eastAsia="en-US"/>
              </w:rPr>
            </w:pPr>
            <w:r w:rsidRPr="00F01A71">
              <w:rPr>
                <w:rFonts w:asciiTheme="minorHAnsi" w:hAnsiTheme="minorHAnsi" w:cstheme="minorHAnsi"/>
                <w:sz w:val="22"/>
                <w:szCs w:val="22"/>
              </w:rPr>
              <w:t>Perth / Western Australia</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highlight w:val="yellow"/>
              </w:rPr>
            </w:pPr>
            <w:r w:rsidRPr="00645DB7">
              <w:rPr>
                <w:rFonts w:ascii="Museo Sans 100" w:hAnsi="Museo Sans 100" w:cs="Arial"/>
                <w:color w:val="000000"/>
                <w:sz w:val="20"/>
                <w:szCs w:val="20"/>
              </w:rPr>
              <w:t>-</w:t>
            </w:r>
            <w:r>
              <w:rPr>
                <w:rFonts w:ascii="Museo Sans 100" w:hAnsi="Museo Sans 100" w:cs="Arial"/>
                <w:color w:val="000000"/>
                <w:sz w:val="20"/>
                <w:szCs w:val="20"/>
              </w:rPr>
              <w:t>7</w:t>
            </w:r>
            <w:r w:rsidRPr="00645DB7">
              <w:rPr>
                <w:rFonts w:ascii="Museo Sans 100" w:hAnsi="Museo Sans 100" w:cs="Arial"/>
                <w:color w:val="000000"/>
                <w:sz w:val="20"/>
                <w:szCs w:val="20"/>
              </w:rPr>
              <w:t>.</w:t>
            </w:r>
            <w:r>
              <w:rPr>
                <w:rFonts w:ascii="Museo Sans 100" w:hAnsi="Museo Sans 100" w:cs="Arial"/>
                <w:color w:val="000000"/>
                <w:sz w:val="20"/>
                <w:szCs w:val="20"/>
              </w:rPr>
              <w:t>2</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highlight w:val="yellow"/>
              </w:rPr>
            </w:pPr>
            <w:r w:rsidRPr="00645DB7">
              <w:rPr>
                <w:rFonts w:ascii="Museo Sans 100" w:hAnsi="Museo Sans 100" w:cs="Arial"/>
                <w:color w:val="000000"/>
                <w:sz w:val="20"/>
                <w:szCs w:val="20"/>
              </w:rPr>
              <w:t>-2.9</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rPr>
            </w:pPr>
            <w:r>
              <w:rPr>
                <w:rFonts w:asciiTheme="minorHAnsi" w:hAnsiTheme="minorHAnsi" w:cstheme="minorHAnsi"/>
                <w:sz w:val="22"/>
                <w:szCs w:val="22"/>
              </w:rPr>
              <w:t>1.5</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5.8</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6.5</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3.9</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3.3</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6.0</w:t>
            </w:r>
          </w:p>
        </w:tc>
        <w:tc>
          <w:tcPr>
            <w:tcW w:w="420"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12.2</w:t>
            </w:r>
          </w:p>
        </w:tc>
      </w:tr>
      <w:tr w:rsidR="00176470" w:rsidRPr="00F01A71" w:rsidTr="00176470">
        <w:tc>
          <w:tcPr>
            <w:tcW w:w="752" w:type="pct"/>
            <w:tcBorders>
              <w:top w:val="single" w:sz="4" w:space="0" w:color="000000"/>
              <w:left w:val="single" w:sz="4" w:space="0" w:color="000000"/>
              <w:bottom w:val="single" w:sz="4" w:space="0" w:color="000000"/>
              <w:right w:val="single" w:sz="4" w:space="0" w:color="000000"/>
            </w:tcBorders>
            <w:hideMark/>
          </w:tcPr>
          <w:p w:rsidR="00176470" w:rsidRPr="00F01A71" w:rsidRDefault="00176470" w:rsidP="00176470">
            <w:pPr>
              <w:spacing w:before="0" w:after="0"/>
              <w:rPr>
                <w:rFonts w:asciiTheme="minorHAnsi" w:hAnsiTheme="minorHAnsi" w:cstheme="minorHAnsi"/>
                <w:sz w:val="22"/>
                <w:szCs w:val="22"/>
                <w:lang w:eastAsia="en-US"/>
              </w:rPr>
            </w:pPr>
            <w:r w:rsidRPr="00F01A71">
              <w:rPr>
                <w:rFonts w:asciiTheme="minorHAnsi" w:hAnsiTheme="minorHAnsi" w:cstheme="minorHAnsi"/>
                <w:sz w:val="22"/>
                <w:szCs w:val="22"/>
              </w:rPr>
              <w:t>Hobart / Tasmania</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highlight w:val="yellow"/>
              </w:rPr>
            </w:pPr>
            <w:r>
              <w:rPr>
                <w:rFonts w:ascii="Museo Sans 100" w:hAnsi="Museo Sans 100" w:cs="Arial"/>
                <w:color w:val="000000"/>
                <w:sz w:val="20"/>
                <w:szCs w:val="20"/>
              </w:rPr>
              <w:t>3.5</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highlight w:val="yellow"/>
              </w:rPr>
            </w:pPr>
            <w:r w:rsidRPr="00645DB7">
              <w:rPr>
                <w:rFonts w:ascii="Museo Sans 100" w:hAnsi="Museo Sans 100" w:cs="Arial"/>
                <w:color w:val="000000"/>
                <w:sz w:val="20"/>
                <w:szCs w:val="20"/>
              </w:rPr>
              <w:t>1.0</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rPr>
            </w:pPr>
            <w:r>
              <w:rPr>
                <w:rFonts w:asciiTheme="minorHAnsi" w:hAnsiTheme="minorHAnsi" w:cstheme="minorHAnsi"/>
                <w:sz w:val="22"/>
                <w:szCs w:val="22"/>
              </w:rPr>
              <w:t>1.0</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1.0</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1.7</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3.4</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3.6</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4.6</w:t>
            </w:r>
          </w:p>
        </w:tc>
        <w:tc>
          <w:tcPr>
            <w:tcW w:w="420"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5.0</w:t>
            </w:r>
          </w:p>
        </w:tc>
      </w:tr>
      <w:tr w:rsidR="00176470" w:rsidRPr="00F01A71" w:rsidTr="00176470">
        <w:tc>
          <w:tcPr>
            <w:tcW w:w="752" w:type="pct"/>
            <w:tcBorders>
              <w:top w:val="single" w:sz="4" w:space="0" w:color="000000"/>
              <w:left w:val="single" w:sz="4" w:space="0" w:color="000000"/>
              <w:bottom w:val="single" w:sz="4" w:space="0" w:color="000000"/>
              <w:right w:val="single" w:sz="4" w:space="0" w:color="000000"/>
            </w:tcBorders>
            <w:hideMark/>
          </w:tcPr>
          <w:p w:rsidR="00176470" w:rsidRPr="00F01A71" w:rsidRDefault="00176470" w:rsidP="00176470">
            <w:pPr>
              <w:spacing w:before="0" w:after="0"/>
              <w:rPr>
                <w:rFonts w:asciiTheme="minorHAnsi" w:hAnsiTheme="minorHAnsi" w:cstheme="minorHAnsi"/>
                <w:sz w:val="22"/>
                <w:szCs w:val="22"/>
                <w:lang w:eastAsia="en-US"/>
              </w:rPr>
            </w:pPr>
            <w:r w:rsidRPr="00F01A71">
              <w:rPr>
                <w:rFonts w:asciiTheme="minorHAnsi" w:hAnsiTheme="minorHAnsi" w:cstheme="minorHAnsi"/>
                <w:sz w:val="22"/>
                <w:szCs w:val="22"/>
              </w:rPr>
              <w:t>Darwin / Northern Territory</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highlight w:val="yellow"/>
              </w:rPr>
            </w:pPr>
            <w:r w:rsidRPr="00645DB7">
              <w:rPr>
                <w:rFonts w:ascii="Museo Sans 100" w:hAnsi="Museo Sans 100" w:cs="Arial"/>
                <w:color w:val="000000"/>
                <w:sz w:val="20"/>
                <w:szCs w:val="20"/>
              </w:rPr>
              <w:t>-</w:t>
            </w:r>
            <w:r>
              <w:rPr>
                <w:rFonts w:ascii="Museo Sans 100" w:hAnsi="Museo Sans 100" w:cs="Arial"/>
                <w:color w:val="000000"/>
                <w:sz w:val="20"/>
                <w:szCs w:val="20"/>
              </w:rPr>
              <w:t>8.2</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highlight w:val="yellow"/>
              </w:rPr>
            </w:pPr>
            <w:r w:rsidRPr="00645DB7">
              <w:rPr>
                <w:rFonts w:ascii="Museo Sans 100" w:hAnsi="Museo Sans 100" w:cs="Arial"/>
                <w:color w:val="000000"/>
                <w:sz w:val="20"/>
                <w:szCs w:val="20"/>
              </w:rPr>
              <w:t>-2.7</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rPr>
            </w:pPr>
            <w:r>
              <w:rPr>
                <w:rFonts w:asciiTheme="minorHAnsi" w:hAnsiTheme="minorHAnsi" w:cstheme="minorHAnsi"/>
                <w:sz w:val="22"/>
                <w:szCs w:val="22"/>
              </w:rPr>
              <w:t>2.7</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8.4</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4.2</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1.6</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6.0</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10.6</w:t>
            </w:r>
          </w:p>
        </w:tc>
        <w:tc>
          <w:tcPr>
            <w:tcW w:w="420"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12.0</w:t>
            </w:r>
          </w:p>
        </w:tc>
      </w:tr>
      <w:tr w:rsidR="00176470" w:rsidRPr="00F01A71" w:rsidTr="00176470">
        <w:tc>
          <w:tcPr>
            <w:tcW w:w="752" w:type="pct"/>
            <w:tcBorders>
              <w:top w:val="single" w:sz="4" w:space="0" w:color="000000"/>
              <w:left w:val="single" w:sz="4" w:space="0" w:color="000000"/>
              <w:bottom w:val="single" w:sz="4" w:space="0" w:color="000000"/>
              <w:right w:val="single" w:sz="4" w:space="0" w:color="000000"/>
            </w:tcBorders>
            <w:hideMark/>
          </w:tcPr>
          <w:p w:rsidR="00176470" w:rsidRPr="00F01A71" w:rsidRDefault="00176470" w:rsidP="00176470">
            <w:pPr>
              <w:spacing w:before="0" w:after="0"/>
              <w:rPr>
                <w:rFonts w:asciiTheme="minorHAnsi" w:hAnsiTheme="minorHAnsi" w:cstheme="minorHAnsi"/>
                <w:sz w:val="22"/>
                <w:szCs w:val="22"/>
                <w:lang w:eastAsia="en-US"/>
              </w:rPr>
            </w:pPr>
            <w:r w:rsidRPr="00F01A71">
              <w:rPr>
                <w:rFonts w:asciiTheme="minorHAnsi" w:hAnsiTheme="minorHAnsi" w:cstheme="minorHAnsi"/>
                <w:sz w:val="22"/>
                <w:szCs w:val="22"/>
              </w:rPr>
              <w:t>Canberra / Australian Capital Territory</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highlight w:val="yellow"/>
              </w:rPr>
            </w:pPr>
            <w:r>
              <w:rPr>
                <w:rFonts w:ascii="Museo Sans 100" w:hAnsi="Museo Sans 100" w:cs="Arial"/>
                <w:color w:val="000000"/>
                <w:sz w:val="20"/>
                <w:szCs w:val="20"/>
              </w:rPr>
              <w:t>0.2</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645DB7" w:rsidRDefault="00176470" w:rsidP="00176470">
            <w:pPr>
              <w:spacing w:before="0" w:after="0"/>
              <w:jc w:val="center"/>
              <w:rPr>
                <w:rFonts w:ascii="Museo Sans 100" w:hAnsi="Museo Sans 100" w:cs="Arial"/>
                <w:color w:val="000000"/>
                <w:sz w:val="20"/>
                <w:szCs w:val="20"/>
                <w:highlight w:val="yellow"/>
              </w:rPr>
            </w:pPr>
            <w:r w:rsidRPr="00645DB7">
              <w:rPr>
                <w:rFonts w:ascii="Museo Sans 100" w:hAnsi="Museo Sans 100" w:cs="Arial"/>
                <w:color w:val="000000"/>
                <w:sz w:val="20"/>
                <w:szCs w:val="20"/>
              </w:rPr>
              <w:t>-1.5</w:t>
            </w:r>
          </w:p>
        </w:tc>
        <w:tc>
          <w:tcPr>
            <w:tcW w:w="479"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rPr>
            </w:pPr>
            <w:r>
              <w:rPr>
                <w:rFonts w:asciiTheme="minorHAnsi" w:hAnsiTheme="minorHAnsi" w:cstheme="minorHAnsi"/>
                <w:sz w:val="22"/>
                <w:szCs w:val="22"/>
              </w:rPr>
              <w:t>-1.8</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0.4</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hAnsiTheme="minorHAnsi" w:cstheme="minorHAnsi"/>
                <w:sz w:val="22"/>
                <w:szCs w:val="22"/>
                <w:lang w:eastAsia="en-US"/>
              </w:rPr>
            </w:pPr>
            <w:r w:rsidRPr="00F01A71">
              <w:rPr>
                <w:rFonts w:asciiTheme="minorHAnsi" w:hAnsiTheme="minorHAnsi" w:cstheme="minorHAnsi"/>
                <w:sz w:val="22"/>
                <w:szCs w:val="22"/>
              </w:rPr>
              <w:t>3.1</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6.4</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4.8</w:t>
            </w:r>
          </w:p>
        </w:tc>
        <w:tc>
          <w:tcPr>
            <w:tcW w:w="478"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4.2</w:t>
            </w:r>
          </w:p>
        </w:tc>
        <w:tc>
          <w:tcPr>
            <w:tcW w:w="420" w:type="pct"/>
            <w:tcBorders>
              <w:top w:val="single" w:sz="4" w:space="0" w:color="000000"/>
              <w:left w:val="single" w:sz="4" w:space="0" w:color="000000"/>
              <w:bottom w:val="single" w:sz="4" w:space="0" w:color="000000"/>
              <w:right w:val="single" w:sz="4" w:space="0" w:color="000000"/>
            </w:tcBorders>
            <w:vAlign w:val="center"/>
          </w:tcPr>
          <w:p w:rsidR="00176470" w:rsidRPr="00F01A71" w:rsidRDefault="00176470" w:rsidP="00176470">
            <w:pPr>
              <w:spacing w:before="0" w:after="0"/>
              <w:jc w:val="center"/>
              <w:rPr>
                <w:rFonts w:asciiTheme="minorHAnsi" w:eastAsiaTheme="minorHAnsi" w:hAnsiTheme="minorHAnsi" w:cstheme="minorHAnsi"/>
                <w:sz w:val="22"/>
                <w:szCs w:val="22"/>
                <w:lang w:val="en-US"/>
              </w:rPr>
            </w:pPr>
            <w:r>
              <w:rPr>
                <w:rFonts w:asciiTheme="minorHAnsi" w:hAnsiTheme="minorHAnsi" w:cstheme="minorHAnsi"/>
                <w:sz w:val="22"/>
                <w:szCs w:val="22"/>
              </w:rPr>
              <w:t>8.4</w:t>
            </w:r>
          </w:p>
        </w:tc>
      </w:tr>
    </w:tbl>
    <w:p w:rsidR="00830D57" w:rsidRDefault="00830D57" w:rsidP="00830D57">
      <w:pPr>
        <w:spacing w:before="100" w:after="100"/>
        <w:rPr>
          <w:rFonts w:ascii="Museo Sans 100" w:hAnsi="Museo Sans 100"/>
          <w:i/>
          <w:sz w:val="20"/>
          <w:szCs w:val="20"/>
        </w:rPr>
      </w:pPr>
      <w:r>
        <w:rPr>
          <w:rFonts w:ascii="Museo Sans 100" w:hAnsi="Museo Sans 100"/>
          <w:i/>
          <w:sz w:val="20"/>
          <w:szCs w:val="20"/>
        </w:rPr>
        <w:t>NOTE: The table above covers the first year in which NRAS r</w:t>
      </w:r>
      <w:r w:rsidR="00682B73">
        <w:rPr>
          <w:rFonts w:ascii="Museo Sans 100" w:hAnsi="Museo Sans 100"/>
          <w:i/>
          <w:sz w:val="20"/>
          <w:szCs w:val="20"/>
        </w:rPr>
        <w:t>ents could be raised since the S</w:t>
      </w:r>
      <w:r>
        <w:rPr>
          <w:rFonts w:ascii="Museo Sans 100" w:hAnsi="Museo Sans 100"/>
          <w:i/>
          <w:sz w:val="20"/>
          <w:szCs w:val="20"/>
        </w:rPr>
        <w:t>cheme commenced.</w:t>
      </w:r>
    </w:p>
    <w:p w:rsidR="00480239" w:rsidRDefault="00480239" w:rsidP="003511C7">
      <w:pPr>
        <w:pStyle w:val="Heading1"/>
        <w:contextualSpacing w:val="0"/>
      </w:pPr>
      <w:r w:rsidRPr="003511C7">
        <w:rPr>
          <w:rFonts w:asciiTheme="majorHAnsi" w:eastAsiaTheme="majorEastAsia" w:hAnsiTheme="majorHAnsi" w:cstheme="majorBidi"/>
          <w:bCs w:val="0"/>
          <w:color w:val="005A70"/>
          <w:spacing w:val="0"/>
          <w:kern w:val="0"/>
          <w:sz w:val="32"/>
          <w:szCs w:val="36"/>
        </w:rPr>
        <w:t>Tenancy management</w:t>
      </w:r>
    </w:p>
    <w:p w:rsidR="00480239" w:rsidRPr="003511C7" w:rsidRDefault="00480239" w:rsidP="00480239">
      <w:pPr>
        <w:rPr>
          <w:sz w:val="22"/>
          <w:szCs w:val="22"/>
        </w:rPr>
      </w:pPr>
      <w:r w:rsidRPr="003511C7">
        <w:rPr>
          <w:sz w:val="22"/>
          <w:szCs w:val="22"/>
        </w:rPr>
        <w:t>Approved participants may contract a service provider to m</w:t>
      </w:r>
      <w:r w:rsidR="00427E49" w:rsidRPr="003511C7">
        <w:rPr>
          <w:sz w:val="22"/>
          <w:szCs w:val="22"/>
        </w:rPr>
        <w:t>anage dwellings on their behalf or</w:t>
      </w:r>
      <w:r w:rsidRPr="003511C7">
        <w:rPr>
          <w:sz w:val="22"/>
          <w:szCs w:val="22"/>
        </w:rPr>
        <w:t xml:space="preserve"> </w:t>
      </w:r>
      <w:r w:rsidR="00427E49" w:rsidRPr="003511C7">
        <w:rPr>
          <w:sz w:val="22"/>
          <w:szCs w:val="22"/>
        </w:rPr>
        <w:t>they may</w:t>
      </w:r>
      <w:r w:rsidRPr="003511C7">
        <w:rPr>
          <w:sz w:val="22"/>
          <w:szCs w:val="22"/>
        </w:rPr>
        <w:t xml:space="preserve"> undertake the tenancy management role </w:t>
      </w:r>
      <w:r w:rsidR="00427E49" w:rsidRPr="003511C7">
        <w:rPr>
          <w:sz w:val="22"/>
          <w:szCs w:val="22"/>
        </w:rPr>
        <w:t>in-house</w:t>
      </w:r>
      <w:r w:rsidRPr="003511C7">
        <w:rPr>
          <w:sz w:val="22"/>
          <w:szCs w:val="22"/>
        </w:rPr>
        <w:t xml:space="preserve">. </w:t>
      </w:r>
    </w:p>
    <w:p w:rsidR="00480239" w:rsidRPr="003511C7" w:rsidRDefault="00480239" w:rsidP="00480239">
      <w:pPr>
        <w:rPr>
          <w:sz w:val="22"/>
          <w:szCs w:val="22"/>
        </w:rPr>
      </w:pPr>
      <w:r w:rsidRPr="003511C7">
        <w:rPr>
          <w:sz w:val="22"/>
          <w:szCs w:val="22"/>
        </w:rPr>
        <w:t xml:space="preserve">Tenancy managers </w:t>
      </w:r>
      <w:r w:rsidR="00427E49" w:rsidRPr="003511C7">
        <w:rPr>
          <w:sz w:val="22"/>
          <w:szCs w:val="22"/>
        </w:rPr>
        <w:t>will</w:t>
      </w:r>
      <w:r w:rsidRPr="003511C7">
        <w:rPr>
          <w:sz w:val="22"/>
          <w:szCs w:val="22"/>
        </w:rPr>
        <w:t xml:space="preserve"> perform functions such as:</w:t>
      </w:r>
    </w:p>
    <w:p w:rsidR="00480239" w:rsidRPr="003511C7" w:rsidRDefault="00480239" w:rsidP="000D6BD2">
      <w:pPr>
        <w:pStyle w:val="ListParagraph"/>
        <w:numPr>
          <w:ilvl w:val="0"/>
          <w:numId w:val="5"/>
        </w:numPr>
        <w:rPr>
          <w:sz w:val="22"/>
          <w:szCs w:val="22"/>
        </w:rPr>
      </w:pPr>
      <w:r w:rsidRPr="003511C7">
        <w:rPr>
          <w:sz w:val="22"/>
          <w:szCs w:val="22"/>
        </w:rPr>
        <w:t>assessing tenant eligibility and retaining tenant records</w:t>
      </w:r>
      <w:r w:rsidR="00682B73" w:rsidRPr="003511C7">
        <w:rPr>
          <w:sz w:val="22"/>
          <w:szCs w:val="22"/>
        </w:rPr>
        <w:t xml:space="preserve">; </w:t>
      </w:r>
    </w:p>
    <w:p w:rsidR="00480239" w:rsidRPr="003511C7" w:rsidRDefault="00480239" w:rsidP="000D6BD2">
      <w:pPr>
        <w:pStyle w:val="ListParagraph"/>
        <w:numPr>
          <w:ilvl w:val="0"/>
          <w:numId w:val="5"/>
        </w:numPr>
        <w:rPr>
          <w:sz w:val="22"/>
          <w:szCs w:val="22"/>
        </w:rPr>
      </w:pPr>
      <w:r w:rsidRPr="003511C7">
        <w:rPr>
          <w:sz w:val="22"/>
          <w:szCs w:val="22"/>
        </w:rPr>
        <w:t xml:space="preserve">managing determination of </w:t>
      </w:r>
      <w:r w:rsidR="0024240F" w:rsidRPr="003511C7">
        <w:rPr>
          <w:sz w:val="22"/>
          <w:szCs w:val="22"/>
        </w:rPr>
        <w:t xml:space="preserve">the </w:t>
      </w:r>
      <w:r w:rsidRPr="003511C7">
        <w:rPr>
          <w:sz w:val="22"/>
          <w:szCs w:val="22"/>
        </w:rPr>
        <w:t xml:space="preserve">market </w:t>
      </w:r>
      <w:r w:rsidR="0024240F" w:rsidRPr="003511C7">
        <w:rPr>
          <w:sz w:val="22"/>
          <w:szCs w:val="22"/>
        </w:rPr>
        <w:t>rent and NRAS rent</w:t>
      </w:r>
      <w:r w:rsidR="00682B73" w:rsidRPr="003511C7">
        <w:rPr>
          <w:sz w:val="22"/>
          <w:szCs w:val="22"/>
        </w:rPr>
        <w:t xml:space="preserve">; </w:t>
      </w:r>
    </w:p>
    <w:p w:rsidR="00480239" w:rsidRPr="003511C7" w:rsidRDefault="00480239" w:rsidP="000D6BD2">
      <w:pPr>
        <w:pStyle w:val="ListParagraph"/>
        <w:numPr>
          <w:ilvl w:val="0"/>
          <w:numId w:val="5"/>
        </w:numPr>
        <w:rPr>
          <w:sz w:val="22"/>
          <w:szCs w:val="22"/>
        </w:rPr>
      </w:pPr>
      <w:r w:rsidRPr="003511C7">
        <w:rPr>
          <w:sz w:val="22"/>
          <w:szCs w:val="22"/>
        </w:rPr>
        <w:t>providing property management and maintenance functions</w:t>
      </w:r>
      <w:r w:rsidR="00682B73" w:rsidRPr="003511C7">
        <w:rPr>
          <w:sz w:val="22"/>
          <w:szCs w:val="22"/>
        </w:rPr>
        <w:t xml:space="preserve">; </w:t>
      </w:r>
    </w:p>
    <w:p w:rsidR="00480239" w:rsidRPr="003511C7" w:rsidRDefault="00480239" w:rsidP="000D6BD2">
      <w:pPr>
        <w:pStyle w:val="ListParagraph"/>
        <w:numPr>
          <w:ilvl w:val="0"/>
          <w:numId w:val="5"/>
        </w:numPr>
        <w:rPr>
          <w:sz w:val="22"/>
          <w:szCs w:val="22"/>
        </w:rPr>
      </w:pPr>
      <w:r w:rsidRPr="003511C7">
        <w:rPr>
          <w:sz w:val="22"/>
          <w:szCs w:val="22"/>
        </w:rPr>
        <w:t>managing the ongoing tenancy of the NRAS dwellings</w:t>
      </w:r>
      <w:r w:rsidR="00682B73" w:rsidRPr="003511C7">
        <w:rPr>
          <w:sz w:val="22"/>
          <w:szCs w:val="22"/>
        </w:rPr>
        <w:t xml:space="preserve">; </w:t>
      </w:r>
    </w:p>
    <w:p w:rsidR="00480239" w:rsidRPr="003511C7" w:rsidRDefault="00480239" w:rsidP="000D6BD2">
      <w:pPr>
        <w:pStyle w:val="ListParagraph"/>
        <w:numPr>
          <w:ilvl w:val="0"/>
          <w:numId w:val="5"/>
        </w:numPr>
        <w:rPr>
          <w:sz w:val="22"/>
          <w:szCs w:val="22"/>
        </w:rPr>
      </w:pPr>
      <w:r w:rsidRPr="003511C7">
        <w:rPr>
          <w:sz w:val="22"/>
          <w:szCs w:val="22"/>
        </w:rPr>
        <w:t>reporting compliance with tenant eligibility, rent levels and other regulatory compliance requirements</w:t>
      </w:r>
      <w:r w:rsidR="00682B73" w:rsidRPr="003511C7">
        <w:rPr>
          <w:sz w:val="22"/>
          <w:szCs w:val="22"/>
        </w:rPr>
        <w:t xml:space="preserve">; </w:t>
      </w:r>
    </w:p>
    <w:p w:rsidR="00427E49" w:rsidRPr="003511C7" w:rsidRDefault="00480239" w:rsidP="000D6BD2">
      <w:pPr>
        <w:pStyle w:val="ListParagraph"/>
        <w:numPr>
          <w:ilvl w:val="0"/>
          <w:numId w:val="5"/>
        </w:numPr>
        <w:rPr>
          <w:sz w:val="22"/>
          <w:szCs w:val="22"/>
        </w:rPr>
      </w:pPr>
      <w:r w:rsidRPr="003511C7">
        <w:rPr>
          <w:sz w:val="22"/>
          <w:szCs w:val="22"/>
        </w:rPr>
        <w:t xml:space="preserve">retaining tenancy compliance records for at least </w:t>
      </w:r>
      <w:r w:rsidR="00CF150C" w:rsidRPr="003511C7">
        <w:rPr>
          <w:sz w:val="22"/>
          <w:szCs w:val="22"/>
        </w:rPr>
        <w:t>five</w:t>
      </w:r>
      <w:r w:rsidRPr="003511C7">
        <w:rPr>
          <w:sz w:val="22"/>
          <w:szCs w:val="22"/>
        </w:rPr>
        <w:t> years</w:t>
      </w:r>
      <w:r w:rsidR="00682B73" w:rsidRPr="003511C7">
        <w:rPr>
          <w:sz w:val="22"/>
          <w:szCs w:val="22"/>
        </w:rPr>
        <w:t xml:space="preserve">; and </w:t>
      </w:r>
    </w:p>
    <w:p w:rsidR="00480239" w:rsidRPr="003511C7" w:rsidRDefault="00CF150C" w:rsidP="000D6BD2">
      <w:pPr>
        <w:pStyle w:val="ListParagraph"/>
        <w:numPr>
          <w:ilvl w:val="0"/>
          <w:numId w:val="5"/>
        </w:numPr>
        <w:rPr>
          <w:sz w:val="22"/>
          <w:szCs w:val="22"/>
        </w:rPr>
      </w:pPr>
      <w:r w:rsidRPr="003511C7">
        <w:rPr>
          <w:sz w:val="22"/>
          <w:szCs w:val="22"/>
        </w:rPr>
        <w:t>comply</w:t>
      </w:r>
      <w:r w:rsidR="00480239" w:rsidRPr="003511C7">
        <w:rPr>
          <w:sz w:val="22"/>
          <w:szCs w:val="22"/>
        </w:rPr>
        <w:t xml:space="preserve"> </w:t>
      </w:r>
      <w:r w:rsidR="00427E49" w:rsidRPr="003511C7">
        <w:rPr>
          <w:sz w:val="22"/>
          <w:szCs w:val="22"/>
        </w:rPr>
        <w:t>with</w:t>
      </w:r>
      <w:r w:rsidR="00480239" w:rsidRPr="003511C7">
        <w:rPr>
          <w:sz w:val="22"/>
          <w:szCs w:val="22"/>
        </w:rPr>
        <w:t xml:space="preserve"> the residential tenancy legislation and relevant tenancy and property </w:t>
      </w:r>
      <w:bookmarkStart w:id="0" w:name="_GoBack"/>
      <w:bookmarkEnd w:id="0"/>
      <w:r w:rsidRPr="003511C7">
        <w:rPr>
          <w:sz w:val="22"/>
          <w:szCs w:val="22"/>
        </w:rPr>
        <w:t>management  regulations in the state or t</w:t>
      </w:r>
      <w:r w:rsidR="00480239" w:rsidRPr="003511C7">
        <w:rPr>
          <w:sz w:val="22"/>
          <w:szCs w:val="22"/>
        </w:rPr>
        <w:t>erritory where the dwelling is located.</w:t>
      </w:r>
    </w:p>
    <w:p w:rsidR="00480239" w:rsidRDefault="00480239" w:rsidP="00480239">
      <w:r w:rsidRPr="003511C7">
        <w:rPr>
          <w:sz w:val="22"/>
          <w:szCs w:val="22"/>
        </w:rPr>
        <w:lastRenderedPageBreak/>
        <w:t xml:space="preserve">The Australian Government does not select tenants or maintain a waiting list for </w:t>
      </w:r>
      <w:r w:rsidR="001A0424" w:rsidRPr="003511C7">
        <w:rPr>
          <w:sz w:val="22"/>
          <w:szCs w:val="22"/>
        </w:rPr>
        <w:t xml:space="preserve">NRAS </w:t>
      </w:r>
      <w:r w:rsidR="00135961" w:rsidRPr="003511C7">
        <w:rPr>
          <w:sz w:val="22"/>
          <w:szCs w:val="22"/>
        </w:rPr>
        <w:t>dwellings</w:t>
      </w:r>
      <w:r w:rsidRPr="003511C7">
        <w:rPr>
          <w:sz w:val="22"/>
          <w:szCs w:val="22"/>
        </w:rPr>
        <w:t xml:space="preserve">. </w:t>
      </w:r>
      <w:r w:rsidR="00427E49" w:rsidRPr="003511C7">
        <w:rPr>
          <w:sz w:val="22"/>
          <w:szCs w:val="22"/>
        </w:rPr>
        <w:t xml:space="preserve"> </w:t>
      </w:r>
      <w:r w:rsidRPr="003511C7">
        <w:rPr>
          <w:sz w:val="22"/>
          <w:szCs w:val="22"/>
        </w:rPr>
        <w:t>Assessment and selection of tenants is at the discret</w:t>
      </w:r>
      <w:r w:rsidR="001A0424" w:rsidRPr="003511C7">
        <w:rPr>
          <w:sz w:val="22"/>
          <w:szCs w:val="22"/>
        </w:rPr>
        <w:t>ion of the approved participant,</w:t>
      </w:r>
      <w:r w:rsidRPr="003511C7">
        <w:rPr>
          <w:sz w:val="22"/>
          <w:szCs w:val="22"/>
        </w:rPr>
        <w:t xml:space="preserve"> </w:t>
      </w:r>
      <w:r w:rsidR="001A0424" w:rsidRPr="003511C7">
        <w:rPr>
          <w:sz w:val="22"/>
          <w:szCs w:val="22"/>
        </w:rPr>
        <w:t>a</w:t>
      </w:r>
      <w:r w:rsidRPr="003511C7">
        <w:rPr>
          <w:sz w:val="22"/>
          <w:szCs w:val="22"/>
        </w:rPr>
        <w:t>s long as NRAS el</w:t>
      </w:r>
      <w:r w:rsidR="001A0424" w:rsidRPr="003511C7">
        <w:rPr>
          <w:sz w:val="22"/>
          <w:szCs w:val="22"/>
        </w:rPr>
        <w:t xml:space="preserve">igibility requirements are met. </w:t>
      </w:r>
      <w:r w:rsidR="00984F52" w:rsidRPr="003511C7">
        <w:rPr>
          <w:sz w:val="22"/>
          <w:szCs w:val="22"/>
        </w:rPr>
        <w:t xml:space="preserve"> </w:t>
      </w:r>
      <w:r w:rsidRPr="003511C7">
        <w:rPr>
          <w:sz w:val="22"/>
          <w:szCs w:val="22"/>
        </w:rPr>
        <w:t xml:space="preserve">NRAS does not provide tenants with any special rights over and above the residential tenancy legislation or regulations of the </w:t>
      </w:r>
      <w:r w:rsidR="00CF150C" w:rsidRPr="003511C7">
        <w:rPr>
          <w:sz w:val="22"/>
          <w:szCs w:val="22"/>
        </w:rPr>
        <w:t>relevant state or t</w:t>
      </w:r>
      <w:r w:rsidR="00984F52" w:rsidRPr="003511C7">
        <w:rPr>
          <w:sz w:val="22"/>
          <w:szCs w:val="22"/>
        </w:rPr>
        <w:t>erritory.</w:t>
      </w:r>
      <w:r w:rsidR="00984F52">
        <w:t xml:space="preserve"> </w:t>
      </w:r>
    </w:p>
    <w:p w:rsidR="00200A22" w:rsidRPr="003511C7" w:rsidRDefault="00427E49" w:rsidP="003511C7">
      <w:pPr>
        <w:pStyle w:val="Heading1"/>
        <w:contextualSpacing w:val="0"/>
        <w:rPr>
          <w:color w:val="005A70"/>
        </w:rPr>
      </w:pPr>
      <w:r w:rsidRPr="003511C7">
        <w:rPr>
          <w:rFonts w:asciiTheme="majorHAnsi" w:eastAsiaTheme="majorEastAsia" w:hAnsiTheme="majorHAnsi" w:cstheme="majorBidi"/>
          <w:bCs w:val="0"/>
          <w:color w:val="005A70"/>
          <w:spacing w:val="0"/>
          <w:kern w:val="0"/>
          <w:sz w:val="32"/>
          <w:szCs w:val="36"/>
        </w:rPr>
        <w:t>Tenant eligibility</w:t>
      </w:r>
    </w:p>
    <w:p w:rsidR="00427E49" w:rsidRPr="003511C7" w:rsidRDefault="00427E49" w:rsidP="000241BF">
      <w:pPr>
        <w:rPr>
          <w:sz w:val="22"/>
          <w:szCs w:val="22"/>
        </w:rPr>
      </w:pPr>
      <w:r w:rsidRPr="003511C7">
        <w:rPr>
          <w:sz w:val="22"/>
          <w:szCs w:val="22"/>
        </w:rPr>
        <w:t xml:space="preserve">Dwellings must be rented to eligible tenants. </w:t>
      </w:r>
      <w:r w:rsidR="000241BF" w:rsidRPr="003511C7">
        <w:rPr>
          <w:sz w:val="22"/>
          <w:szCs w:val="22"/>
        </w:rPr>
        <w:t xml:space="preserve"> </w:t>
      </w:r>
      <w:r w:rsidRPr="003511C7">
        <w:rPr>
          <w:sz w:val="22"/>
          <w:szCs w:val="22"/>
        </w:rPr>
        <w:t>The household income limits for eligible t</w:t>
      </w:r>
      <w:r w:rsidR="000241BF" w:rsidRPr="003511C7">
        <w:rPr>
          <w:sz w:val="22"/>
          <w:szCs w:val="22"/>
        </w:rPr>
        <w:t xml:space="preserve">enants are updated annually and available on the Department’s website.  </w:t>
      </w:r>
      <w:r w:rsidRPr="003511C7">
        <w:rPr>
          <w:sz w:val="22"/>
          <w:szCs w:val="22"/>
        </w:rPr>
        <w:t>Initial tenant income levels are assessed agains</w:t>
      </w:r>
      <w:r w:rsidR="001A0424" w:rsidRPr="003511C7">
        <w:rPr>
          <w:sz w:val="22"/>
          <w:szCs w:val="22"/>
        </w:rPr>
        <w:t>t gross household income limits, based on</w:t>
      </w:r>
      <w:r w:rsidRPr="003511C7">
        <w:rPr>
          <w:sz w:val="22"/>
          <w:szCs w:val="22"/>
        </w:rPr>
        <w:t xml:space="preserve"> household composition.  </w:t>
      </w:r>
    </w:p>
    <w:p w:rsidR="00427E49" w:rsidRPr="003511C7" w:rsidRDefault="00427E49" w:rsidP="000241BF">
      <w:pPr>
        <w:rPr>
          <w:sz w:val="22"/>
          <w:szCs w:val="22"/>
        </w:rPr>
      </w:pPr>
      <w:r w:rsidRPr="003511C7">
        <w:rPr>
          <w:sz w:val="22"/>
          <w:szCs w:val="22"/>
        </w:rPr>
        <w:t>Assessment of household income is based on the gross household income for the 12 months prior to the day on which the household becomes NRAS tenants. All steps should be taken to accurately determine household income, for example, sighting the following documents:</w:t>
      </w:r>
    </w:p>
    <w:p w:rsidR="00427E49" w:rsidRPr="003511C7" w:rsidRDefault="000241BF" w:rsidP="000D6BD2">
      <w:pPr>
        <w:pStyle w:val="ListParagraph"/>
        <w:numPr>
          <w:ilvl w:val="0"/>
          <w:numId w:val="6"/>
        </w:numPr>
        <w:rPr>
          <w:sz w:val="22"/>
          <w:szCs w:val="22"/>
        </w:rPr>
      </w:pPr>
      <w:r w:rsidRPr="003511C7">
        <w:rPr>
          <w:sz w:val="22"/>
          <w:szCs w:val="22"/>
        </w:rPr>
        <w:t>c</w:t>
      </w:r>
      <w:r w:rsidR="00427E49" w:rsidRPr="003511C7">
        <w:rPr>
          <w:sz w:val="22"/>
          <w:szCs w:val="22"/>
        </w:rPr>
        <w:t>opies of payslips</w:t>
      </w:r>
      <w:r w:rsidRPr="003511C7">
        <w:rPr>
          <w:sz w:val="22"/>
          <w:szCs w:val="22"/>
        </w:rPr>
        <w:t xml:space="preserve">; </w:t>
      </w:r>
    </w:p>
    <w:p w:rsidR="00427E49" w:rsidRPr="003511C7" w:rsidRDefault="000241BF" w:rsidP="000D6BD2">
      <w:pPr>
        <w:pStyle w:val="ListParagraph"/>
        <w:numPr>
          <w:ilvl w:val="0"/>
          <w:numId w:val="6"/>
        </w:numPr>
        <w:rPr>
          <w:sz w:val="22"/>
          <w:szCs w:val="22"/>
        </w:rPr>
      </w:pPr>
      <w:r w:rsidRPr="003511C7">
        <w:rPr>
          <w:sz w:val="22"/>
          <w:szCs w:val="22"/>
        </w:rPr>
        <w:t>n</w:t>
      </w:r>
      <w:r w:rsidR="00427E49" w:rsidRPr="003511C7">
        <w:rPr>
          <w:sz w:val="22"/>
          <w:szCs w:val="22"/>
        </w:rPr>
        <w:t>otices of assessment of annual income tax returns</w:t>
      </w:r>
      <w:r w:rsidRPr="003511C7">
        <w:rPr>
          <w:sz w:val="22"/>
          <w:szCs w:val="22"/>
        </w:rPr>
        <w:t xml:space="preserve">; </w:t>
      </w:r>
    </w:p>
    <w:p w:rsidR="00427E49" w:rsidRPr="003511C7" w:rsidRDefault="000241BF" w:rsidP="000D6BD2">
      <w:pPr>
        <w:pStyle w:val="ListParagraph"/>
        <w:numPr>
          <w:ilvl w:val="0"/>
          <w:numId w:val="6"/>
        </w:numPr>
        <w:rPr>
          <w:sz w:val="22"/>
          <w:szCs w:val="22"/>
        </w:rPr>
      </w:pPr>
      <w:r w:rsidRPr="003511C7">
        <w:rPr>
          <w:sz w:val="22"/>
          <w:szCs w:val="22"/>
        </w:rPr>
        <w:t>s</w:t>
      </w:r>
      <w:r w:rsidR="00427E49" w:rsidRPr="003511C7">
        <w:rPr>
          <w:sz w:val="22"/>
          <w:szCs w:val="22"/>
        </w:rPr>
        <w:t>tatements from superannuation funds</w:t>
      </w:r>
      <w:r w:rsidRPr="003511C7">
        <w:rPr>
          <w:sz w:val="22"/>
          <w:szCs w:val="22"/>
        </w:rPr>
        <w:t xml:space="preserve">; </w:t>
      </w:r>
    </w:p>
    <w:p w:rsidR="00427E49" w:rsidRPr="003511C7" w:rsidRDefault="000241BF" w:rsidP="000D6BD2">
      <w:pPr>
        <w:pStyle w:val="ListParagraph"/>
        <w:numPr>
          <w:ilvl w:val="0"/>
          <w:numId w:val="6"/>
        </w:numPr>
        <w:rPr>
          <w:sz w:val="22"/>
          <w:szCs w:val="22"/>
        </w:rPr>
      </w:pPr>
      <w:r w:rsidRPr="003511C7">
        <w:rPr>
          <w:sz w:val="22"/>
          <w:szCs w:val="22"/>
        </w:rPr>
        <w:t>s</w:t>
      </w:r>
      <w:r w:rsidR="00427E49" w:rsidRPr="003511C7">
        <w:rPr>
          <w:sz w:val="22"/>
          <w:szCs w:val="22"/>
        </w:rPr>
        <w:t>tatements from Centrelink</w:t>
      </w:r>
      <w:r w:rsidRPr="003511C7">
        <w:rPr>
          <w:sz w:val="22"/>
          <w:szCs w:val="22"/>
        </w:rPr>
        <w:t xml:space="preserve">; </w:t>
      </w:r>
    </w:p>
    <w:p w:rsidR="00427E49" w:rsidRPr="003511C7" w:rsidRDefault="000241BF" w:rsidP="000D6BD2">
      <w:pPr>
        <w:pStyle w:val="ListParagraph"/>
        <w:numPr>
          <w:ilvl w:val="0"/>
          <w:numId w:val="6"/>
        </w:numPr>
        <w:rPr>
          <w:sz w:val="22"/>
          <w:szCs w:val="22"/>
        </w:rPr>
      </w:pPr>
      <w:r w:rsidRPr="003511C7">
        <w:rPr>
          <w:sz w:val="22"/>
          <w:szCs w:val="22"/>
        </w:rPr>
        <w:t>s</w:t>
      </w:r>
      <w:r w:rsidR="00427E49" w:rsidRPr="003511C7">
        <w:rPr>
          <w:sz w:val="22"/>
          <w:szCs w:val="22"/>
        </w:rPr>
        <w:t>tatements from dividends or rents paid</w:t>
      </w:r>
      <w:r w:rsidRPr="003511C7">
        <w:rPr>
          <w:sz w:val="22"/>
          <w:szCs w:val="22"/>
        </w:rPr>
        <w:t>; and</w:t>
      </w:r>
    </w:p>
    <w:p w:rsidR="000241BF" w:rsidRPr="003511C7" w:rsidRDefault="000241BF" w:rsidP="000D6BD2">
      <w:pPr>
        <w:pStyle w:val="ListParagraph"/>
        <w:numPr>
          <w:ilvl w:val="0"/>
          <w:numId w:val="6"/>
        </w:numPr>
        <w:rPr>
          <w:sz w:val="22"/>
          <w:szCs w:val="22"/>
        </w:rPr>
      </w:pPr>
      <w:r w:rsidRPr="003511C7">
        <w:rPr>
          <w:sz w:val="22"/>
          <w:szCs w:val="22"/>
        </w:rPr>
        <w:t>s</w:t>
      </w:r>
      <w:r w:rsidR="00427E49" w:rsidRPr="003511C7">
        <w:rPr>
          <w:sz w:val="22"/>
          <w:szCs w:val="22"/>
        </w:rPr>
        <w:t>tatements from parents to indicate the level of financial support provided.</w:t>
      </w:r>
    </w:p>
    <w:p w:rsidR="000241BF" w:rsidRPr="000241BF" w:rsidRDefault="00984F52" w:rsidP="001A0424">
      <w:r w:rsidRPr="003511C7">
        <w:rPr>
          <w:sz w:val="22"/>
          <w:szCs w:val="22"/>
        </w:rPr>
        <w:t>E</w:t>
      </w:r>
      <w:r w:rsidR="000241BF" w:rsidRPr="003511C7">
        <w:rPr>
          <w:sz w:val="22"/>
          <w:szCs w:val="22"/>
        </w:rPr>
        <w:t>xisting tenants will cease to be eligible if their household income exceeds the applicable household income by 25 per cent or more in two consecutive eligibility years.</w:t>
      </w:r>
      <w:r w:rsidR="000241BF" w:rsidRPr="000241BF">
        <w:t xml:space="preserve"> </w:t>
      </w:r>
    </w:p>
    <w:p w:rsidR="000241BF" w:rsidRPr="003511C7" w:rsidRDefault="000241BF" w:rsidP="003511C7">
      <w:pPr>
        <w:pStyle w:val="Heading1"/>
        <w:contextualSpacing w:val="0"/>
        <w:rPr>
          <w:rFonts w:ascii="Museo Sans 500" w:eastAsia="Cambria" w:hAnsi="Museo Sans 500" w:cs="MuseoSans-700"/>
          <w:color w:val="005A70"/>
          <w:sz w:val="22"/>
          <w:szCs w:val="22"/>
        </w:rPr>
      </w:pPr>
      <w:r w:rsidRPr="003511C7">
        <w:rPr>
          <w:rFonts w:asciiTheme="majorHAnsi" w:eastAsiaTheme="majorEastAsia" w:hAnsiTheme="majorHAnsi" w:cstheme="majorBidi"/>
          <w:bCs w:val="0"/>
          <w:color w:val="005A70"/>
          <w:spacing w:val="0"/>
          <w:kern w:val="0"/>
          <w:sz w:val="32"/>
          <w:szCs w:val="36"/>
        </w:rPr>
        <w:t>Managed investment schemes</w:t>
      </w:r>
    </w:p>
    <w:p w:rsidR="000241BF" w:rsidRPr="003511C7" w:rsidRDefault="000241BF" w:rsidP="000241BF">
      <w:pPr>
        <w:rPr>
          <w:sz w:val="22"/>
          <w:szCs w:val="22"/>
        </w:rPr>
      </w:pPr>
      <w:r w:rsidRPr="003511C7">
        <w:rPr>
          <w:sz w:val="22"/>
          <w:szCs w:val="22"/>
        </w:rPr>
        <w:t xml:space="preserve">NRAS approved participants will need to obtain legal advice as to whether they are subject to the provisions of the </w:t>
      </w:r>
      <w:r w:rsidRPr="003511C7">
        <w:rPr>
          <w:i/>
          <w:sz w:val="22"/>
          <w:szCs w:val="22"/>
        </w:rPr>
        <w:t>Corporations Act 2001</w:t>
      </w:r>
      <w:r w:rsidRPr="003511C7">
        <w:rPr>
          <w:sz w:val="22"/>
          <w:szCs w:val="22"/>
        </w:rPr>
        <w:t xml:space="preserve"> when dealing with managed investment schemes. </w:t>
      </w:r>
      <w:r w:rsidR="00984F52" w:rsidRPr="003511C7">
        <w:rPr>
          <w:sz w:val="22"/>
          <w:szCs w:val="22"/>
        </w:rPr>
        <w:t xml:space="preserve"> </w:t>
      </w:r>
      <w:r w:rsidRPr="003511C7">
        <w:rPr>
          <w:sz w:val="22"/>
          <w:szCs w:val="22"/>
        </w:rPr>
        <w:t xml:space="preserve">If an approved participant is operating a managed investment scheme that is required to be registered, then the participant will need to either: </w:t>
      </w:r>
    </w:p>
    <w:p w:rsidR="000D6BD2" w:rsidRPr="003511C7" w:rsidRDefault="000241BF" w:rsidP="000D6BD2">
      <w:pPr>
        <w:pStyle w:val="ListParagraph"/>
        <w:numPr>
          <w:ilvl w:val="0"/>
          <w:numId w:val="7"/>
        </w:numPr>
        <w:rPr>
          <w:sz w:val="22"/>
          <w:szCs w:val="22"/>
        </w:rPr>
      </w:pPr>
      <w:r w:rsidRPr="003511C7">
        <w:rPr>
          <w:sz w:val="22"/>
          <w:szCs w:val="22"/>
        </w:rPr>
        <w:t xml:space="preserve">comply with the relevant provisions under the </w:t>
      </w:r>
      <w:r w:rsidRPr="003511C7">
        <w:rPr>
          <w:i/>
          <w:sz w:val="22"/>
          <w:szCs w:val="22"/>
        </w:rPr>
        <w:t>Corporations Act 2001</w:t>
      </w:r>
      <w:r w:rsidRPr="003511C7">
        <w:rPr>
          <w:sz w:val="22"/>
          <w:szCs w:val="22"/>
        </w:rPr>
        <w:t>, including:</w:t>
      </w:r>
    </w:p>
    <w:p w:rsidR="000241BF" w:rsidRPr="003511C7" w:rsidRDefault="000241BF" w:rsidP="000D6BD2">
      <w:pPr>
        <w:pStyle w:val="ListParagraph"/>
        <w:numPr>
          <w:ilvl w:val="1"/>
          <w:numId w:val="7"/>
        </w:numPr>
        <w:rPr>
          <w:sz w:val="22"/>
          <w:szCs w:val="22"/>
        </w:rPr>
      </w:pPr>
      <w:r w:rsidRPr="003511C7">
        <w:rPr>
          <w:sz w:val="22"/>
          <w:szCs w:val="22"/>
        </w:rPr>
        <w:t>registering the scheme with the Australian Securities and Investments Commission (ASIC)</w:t>
      </w:r>
    </w:p>
    <w:p w:rsidR="000241BF" w:rsidRPr="003511C7" w:rsidRDefault="000241BF" w:rsidP="000D6BD2">
      <w:pPr>
        <w:pStyle w:val="ListParagraph"/>
        <w:numPr>
          <w:ilvl w:val="1"/>
          <w:numId w:val="7"/>
        </w:numPr>
        <w:rPr>
          <w:sz w:val="22"/>
          <w:szCs w:val="22"/>
        </w:rPr>
      </w:pPr>
      <w:r w:rsidRPr="003511C7">
        <w:rPr>
          <w:sz w:val="22"/>
          <w:szCs w:val="22"/>
        </w:rPr>
        <w:t xml:space="preserve">preparing any necessary disclosure material </w:t>
      </w:r>
    </w:p>
    <w:p w:rsidR="000241BF" w:rsidRPr="003511C7" w:rsidRDefault="000241BF" w:rsidP="000D6BD2">
      <w:pPr>
        <w:pStyle w:val="ListParagraph"/>
        <w:numPr>
          <w:ilvl w:val="1"/>
          <w:numId w:val="7"/>
        </w:numPr>
        <w:rPr>
          <w:sz w:val="22"/>
          <w:szCs w:val="22"/>
        </w:rPr>
      </w:pPr>
      <w:r w:rsidRPr="003511C7">
        <w:rPr>
          <w:sz w:val="22"/>
          <w:szCs w:val="22"/>
        </w:rPr>
        <w:t xml:space="preserve">holding an appropriate Australian financial services license </w:t>
      </w:r>
    </w:p>
    <w:p w:rsidR="000241BF" w:rsidRDefault="001A0424" w:rsidP="000D6BD2">
      <w:pPr>
        <w:pStyle w:val="ListParagraph"/>
        <w:numPr>
          <w:ilvl w:val="0"/>
          <w:numId w:val="7"/>
        </w:numPr>
      </w:pPr>
      <w:r w:rsidRPr="003511C7">
        <w:rPr>
          <w:sz w:val="22"/>
          <w:szCs w:val="22"/>
        </w:rPr>
        <w:t xml:space="preserve">or </w:t>
      </w:r>
      <w:r w:rsidR="000241BF" w:rsidRPr="003511C7">
        <w:rPr>
          <w:sz w:val="22"/>
          <w:szCs w:val="22"/>
        </w:rPr>
        <w:t xml:space="preserve">apply for relief from ASIC from the relevant provisions of the </w:t>
      </w:r>
      <w:r w:rsidR="000241BF" w:rsidRPr="003511C7">
        <w:rPr>
          <w:i/>
          <w:sz w:val="22"/>
          <w:szCs w:val="22"/>
        </w:rPr>
        <w:t>Corporations Act 2001</w:t>
      </w:r>
      <w:r w:rsidR="000241BF" w:rsidRPr="003511C7">
        <w:rPr>
          <w:sz w:val="22"/>
          <w:szCs w:val="22"/>
        </w:rPr>
        <w:t xml:space="preserve">. </w:t>
      </w:r>
    </w:p>
    <w:p w:rsidR="00200A22" w:rsidRPr="003511C7" w:rsidRDefault="000241BF" w:rsidP="003511C7">
      <w:pPr>
        <w:pStyle w:val="Heading1"/>
        <w:contextualSpacing w:val="0"/>
        <w:rPr>
          <w:color w:val="005A70"/>
        </w:rPr>
      </w:pPr>
      <w:r w:rsidRPr="003511C7">
        <w:rPr>
          <w:rFonts w:asciiTheme="majorHAnsi" w:eastAsiaTheme="majorEastAsia" w:hAnsiTheme="majorHAnsi" w:cstheme="majorBidi"/>
          <w:bCs w:val="0"/>
          <w:color w:val="005A70"/>
          <w:spacing w:val="0"/>
          <w:kern w:val="0"/>
          <w:sz w:val="32"/>
          <w:szCs w:val="36"/>
        </w:rPr>
        <w:t>NRAS related taxation issues</w:t>
      </w:r>
    </w:p>
    <w:p w:rsidR="00200A22" w:rsidRPr="003511C7" w:rsidRDefault="000241BF" w:rsidP="005606EC">
      <w:pPr>
        <w:spacing w:before="0" w:after="0"/>
        <w:rPr>
          <w:sz w:val="22"/>
          <w:szCs w:val="22"/>
        </w:rPr>
      </w:pPr>
      <w:r w:rsidRPr="003511C7">
        <w:rPr>
          <w:sz w:val="22"/>
          <w:szCs w:val="22"/>
        </w:rPr>
        <w:t>For more information</w:t>
      </w:r>
      <w:r w:rsidR="00CF150C" w:rsidRPr="003511C7">
        <w:rPr>
          <w:sz w:val="22"/>
          <w:szCs w:val="22"/>
        </w:rPr>
        <w:t xml:space="preserve"> please visit the </w:t>
      </w:r>
      <w:hyperlink r:id="rId9" w:history="1">
        <w:r w:rsidR="00CF150C" w:rsidRPr="003511C7">
          <w:rPr>
            <w:rStyle w:val="Hyperlink"/>
            <w:sz w:val="22"/>
            <w:szCs w:val="22"/>
          </w:rPr>
          <w:t>ATO website</w:t>
        </w:r>
      </w:hyperlink>
      <w:r w:rsidR="00CF150C" w:rsidRPr="003511C7">
        <w:rPr>
          <w:rStyle w:val="EndnoteReference"/>
          <w:sz w:val="22"/>
          <w:szCs w:val="22"/>
        </w:rPr>
        <w:endnoteReference w:id="1"/>
      </w:r>
      <w:r w:rsidR="00CF150C" w:rsidRPr="003511C7">
        <w:rPr>
          <w:sz w:val="22"/>
          <w:szCs w:val="22"/>
        </w:rPr>
        <w:t xml:space="preserve">. </w:t>
      </w:r>
      <w:r w:rsidRPr="003511C7">
        <w:rPr>
          <w:sz w:val="22"/>
          <w:szCs w:val="22"/>
        </w:rPr>
        <w:t xml:space="preserve"> </w:t>
      </w:r>
    </w:p>
    <w:p w:rsidR="000241BF" w:rsidRDefault="000241BF" w:rsidP="003511C7">
      <w:pPr>
        <w:pStyle w:val="Heading1"/>
        <w:contextualSpacing w:val="0"/>
      </w:pPr>
      <w:r w:rsidRPr="003511C7">
        <w:rPr>
          <w:rFonts w:asciiTheme="majorHAnsi" w:eastAsiaTheme="majorEastAsia" w:hAnsiTheme="majorHAnsi" w:cstheme="majorBidi"/>
          <w:bCs w:val="0"/>
          <w:color w:val="005A70"/>
          <w:spacing w:val="0"/>
          <w:kern w:val="0"/>
          <w:sz w:val="32"/>
          <w:szCs w:val="36"/>
        </w:rPr>
        <w:t>NRAS legislation</w:t>
      </w:r>
    </w:p>
    <w:p w:rsidR="00200A22" w:rsidRPr="003511C7" w:rsidRDefault="000D6BD2" w:rsidP="00743473">
      <w:pPr>
        <w:spacing w:before="0" w:after="0"/>
        <w:rPr>
          <w:sz w:val="22"/>
          <w:szCs w:val="22"/>
        </w:rPr>
      </w:pPr>
      <w:r w:rsidRPr="003511C7">
        <w:rPr>
          <w:sz w:val="22"/>
          <w:szCs w:val="22"/>
        </w:rPr>
        <w:t>The</w:t>
      </w:r>
      <w:r w:rsidR="00C50ABB" w:rsidRPr="003511C7">
        <w:rPr>
          <w:sz w:val="22"/>
          <w:szCs w:val="22"/>
        </w:rPr>
        <w:t xml:space="preserve"> legislative framework for the S</w:t>
      </w:r>
      <w:r w:rsidRPr="003511C7">
        <w:rPr>
          <w:sz w:val="22"/>
          <w:szCs w:val="22"/>
        </w:rPr>
        <w:t xml:space="preserve">cheme is </w:t>
      </w:r>
      <w:r w:rsidR="00C50ABB" w:rsidRPr="003511C7">
        <w:rPr>
          <w:sz w:val="22"/>
          <w:szCs w:val="22"/>
        </w:rPr>
        <w:t xml:space="preserve">available online at </w:t>
      </w:r>
      <w:r w:rsidR="00CF150C" w:rsidRPr="003511C7">
        <w:rPr>
          <w:sz w:val="22"/>
          <w:szCs w:val="22"/>
        </w:rPr>
        <w:t xml:space="preserve">the </w:t>
      </w:r>
      <w:hyperlink r:id="rId10" w:history="1">
        <w:r w:rsidR="003F74B7" w:rsidRPr="003511C7">
          <w:rPr>
            <w:rStyle w:val="Hyperlink"/>
            <w:sz w:val="22"/>
            <w:szCs w:val="22"/>
          </w:rPr>
          <w:t>NRAS website</w:t>
        </w:r>
      </w:hyperlink>
      <w:r w:rsidR="00CF150C" w:rsidRPr="003511C7">
        <w:rPr>
          <w:rStyle w:val="EndnoteReference"/>
          <w:sz w:val="22"/>
          <w:szCs w:val="22"/>
        </w:rPr>
        <w:endnoteReference w:id="2"/>
      </w:r>
      <w:r w:rsidR="00CF150C" w:rsidRPr="003511C7">
        <w:rPr>
          <w:sz w:val="22"/>
          <w:szCs w:val="22"/>
        </w:rPr>
        <w:t xml:space="preserve">. </w:t>
      </w:r>
    </w:p>
    <w:p w:rsidR="00200A22" w:rsidRDefault="000D6BD2" w:rsidP="003511C7">
      <w:pPr>
        <w:pStyle w:val="Heading1"/>
        <w:contextualSpacing w:val="0"/>
      </w:pPr>
      <w:r w:rsidRPr="003511C7">
        <w:rPr>
          <w:rFonts w:asciiTheme="majorHAnsi" w:eastAsiaTheme="majorEastAsia" w:hAnsiTheme="majorHAnsi" w:cstheme="majorBidi"/>
          <w:bCs w:val="0"/>
          <w:color w:val="005A70"/>
          <w:spacing w:val="0"/>
          <w:kern w:val="0"/>
          <w:sz w:val="32"/>
          <w:szCs w:val="36"/>
        </w:rPr>
        <w:t>Further information</w:t>
      </w:r>
    </w:p>
    <w:p w:rsidR="00CB05BE" w:rsidRPr="003511C7" w:rsidRDefault="000D6BD2" w:rsidP="00743473">
      <w:pPr>
        <w:spacing w:before="0" w:after="0"/>
        <w:rPr>
          <w:sz w:val="22"/>
          <w:szCs w:val="22"/>
        </w:rPr>
      </w:pPr>
      <w:r w:rsidRPr="003511C7">
        <w:rPr>
          <w:sz w:val="22"/>
          <w:szCs w:val="22"/>
        </w:rPr>
        <w:t>T</w:t>
      </w:r>
      <w:r w:rsidR="00CF150C" w:rsidRPr="003511C7">
        <w:rPr>
          <w:sz w:val="22"/>
          <w:szCs w:val="22"/>
        </w:rPr>
        <w:t xml:space="preserve">he Department regularly updates our </w:t>
      </w:r>
      <w:hyperlink r:id="rId11" w:history="1">
        <w:r w:rsidR="00CF150C" w:rsidRPr="003511C7">
          <w:rPr>
            <w:rStyle w:val="Hyperlink"/>
            <w:sz w:val="22"/>
            <w:szCs w:val="22"/>
          </w:rPr>
          <w:t>NRAS website</w:t>
        </w:r>
      </w:hyperlink>
      <w:r w:rsidR="00CF150C" w:rsidRPr="003511C7">
        <w:rPr>
          <w:rStyle w:val="EndnoteReference"/>
          <w:sz w:val="22"/>
          <w:szCs w:val="22"/>
        </w:rPr>
        <w:endnoteReference w:id="3"/>
      </w:r>
      <w:r w:rsidRPr="003511C7">
        <w:rPr>
          <w:sz w:val="22"/>
          <w:szCs w:val="22"/>
        </w:rPr>
        <w:t xml:space="preserve"> with information regarding the Scheme.  An email enquiry service is available at </w:t>
      </w:r>
      <w:hyperlink r:id="rId12" w:history="1">
        <w:r w:rsidR="00CF150C" w:rsidRPr="003511C7">
          <w:rPr>
            <w:rStyle w:val="Hyperlink"/>
            <w:sz w:val="22"/>
            <w:szCs w:val="22"/>
          </w:rPr>
          <w:t>nras@dss.gov.au</w:t>
        </w:r>
      </w:hyperlink>
      <w:r w:rsidRPr="003511C7">
        <w:rPr>
          <w:sz w:val="22"/>
          <w:szCs w:val="22"/>
        </w:rPr>
        <w:t xml:space="preserve">. </w:t>
      </w:r>
    </w:p>
    <w:sectPr w:rsidR="00CB05BE" w:rsidRPr="003511C7" w:rsidSect="00CE226C">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95" w:rsidRDefault="007C2B95">
      <w:r>
        <w:separator/>
      </w:r>
    </w:p>
  </w:endnote>
  <w:endnote w:type="continuationSeparator" w:id="0">
    <w:p w:rsidR="007C2B95" w:rsidRDefault="007C2B95">
      <w:r>
        <w:continuationSeparator/>
      </w:r>
    </w:p>
  </w:endnote>
  <w:endnote w:id="1">
    <w:p w:rsidR="00CF150C" w:rsidRPr="005606EC" w:rsidRDefault="00CF150C">
      <w:pPr>
        <w:pStyle w:val="EndnoteText"/>
        <w:rPr>
          <w:sz w:val="16"/>
          <w:szCs w:val="18"/>
        </w:rPr>
      </w:pPr>
      <w:r w:rsidRPr="005606EC">
        <w:rPr>
          <w:rStyle w:val="EndnoteReference"/>
          <w:sz w:val="18"/>
        </w:rPr>
        <w:endnoteRef/>
      </w:r>
      <w:r w:rsidRPr="005606EC">
        <w:rPr>
          <w:sz w:val="18"/>
        </w:rPr>
        <w:t xml:space="preserve"> </w:t>
      </w:r>
      <w:hyperlink r:id="rId1" w:history="1">
        <w:r w:rsidRPr="005606EC">
          <w:rPr>
            <w:rStyle w:val="Hyperlink"/>
            <w:sz w:val="16"/>
            <w:szCs w:val="18"/>
          </w:rPr>
          <w:t>https://www.ato.gov.au/general/property/in-detail/rental-affordability-scheme/national-rental-affordability-scheme---refundable-tax-offset-and-other-taxation-issues/</w:t>
        </w:r>
      </w:hyperlink>
    </w:p>
    <w:p w:rsidR="00CF150C" w:rsidRPr="005606EC" w:rsidRDefault="00CF150C">
      <w:pPr>
        <w:pStyle w:val="EndnoteText"/>
        <w:rPr>
          <w:sz w:val="16"/>
          <w:szCs w:val="18"/>
        </w:rPr>
      </w:pPr>
    </w:p>
  </w:endnote>
  <w:endnote w:id="2">
    <w:p w:rsidR="00CF150C" w:rsidRPr="005606EC" w:rsidRDefault="00CF150C">
      <w:pPr>
        <w:pStyle w:val="EndnoteText"/>
        <w:rPr>
          <w:sz w:val="16"/>
          <w:szCs w:val="18"/>
        </w:rPr>
      </w:pPr>
      <w:r w:rsidRPr="005606EC">
        <w:rPr>
          <w:rStyle w:val="EndnoteReference"/>
          <w:sz w:val="16"/>
          <w:szCs w:val="18"/>
        </w:rPr>
        <w:endnoteRef/>
      </w:r>
      <w:r w:rsidRPr="005606EC">
        <w:rPr>
          <w:sz w:val="16"/>
          <w:szCs w:val="18"/>
        </w:rPr>
        <w:t xml:space="preserve"> </w:t>
      </w:r>
      <w:hyperlink r:id="rId2" w:history="1">
        <w:r w:rsidRPr="005606EC">
          <w:rPr>
            <w:rStyle w:val="Hyperlink"/>
            <w:sz w:val="16"/>
            <w:szCs w:val="18"/>
          </w:rPr>
          <w:t>https://www.dss.gov.au/housing-support/programmes-services/national-rental-affordability-scheme/national-rental-affordability-scheme-legislation-regulations-and-policy-guidelines</w:t>
        </w:r>
      </w:hyperlink>
    </w:p>
    <w:p w:rsidR="00CF150C" w:rsidRPr="005606EC" w:rsidRDefault="00CF150C">
      <w:pPr>
        <w:pStyle w:val="EndnoteText"/>
        <w:rPr>
          <w:sz w:val="16"/>
          <w:szCs w:val="18"/>
        </w:rPr>
      </w:pPr>
    </w:p>
  </w:endnote>
  <w:endnote w:id="3">
    <w:p w:rsidR="00CF150C" w:rsidRPr="005606EC" w:rsidRDefault="00CF150C">
      <w:pPr>
        <w:pStyle w:val="EndnoteText"/>
        <w:rPr>
          <w:sz w:val="16"/>
          <w:szCs w:val="18"/>
        </w:rPr>
      </w:pPr>
      <w:r w:rsidRPr="005606EC">
        <w:rPr>
          <w:rStyle w:val="EndnoteReference"/>
          <w:sz w:val="16"/>
          <w:szCs w:val="18"/>
        </w:rPr>
        <w:endnoteRef/>
      </w:r>
      <w:r w:rsidRPr="005606EC">
        <w:rPr>
          <w:sz w:val="16"/>
          <w:szCs w:val="18"/>
        </w:rPr>
        <w:t xml:space="preserve"> </w:t>
      </w:r>
      <w:hyperlink r:id="rId3" w:history="1">
        <w:r w:rsidRPr="005606EC">
          <w:rPr>
            <w:rStyle w:val="Hyperlink"/>
            <w:sz w:val="16"/>
            <w:szCs w:val="18"/>
          </w:rPr>
          <w:t>https://www.dss.gov.au/our-responsibilities/housing-support/programmes-services/national-rental-affordability-scheme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useoSans-700">
    <w:altName w:val="Museo Sans 700"/>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95" w:rsidRDefault="007C2B95">
      <w:r>
        <w:separator/>
      </w:r>
    </w:p>
  </w:footnote>
  <w:footnote w:type="continuationSeparator" w:id="0">
    <w:p w:rsidR="007C2B95" w:rsidRDefault="007C2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233F41"/>
    <w:multiLevelType w:val="hybridMultilevel"/>
    <w:tmpl w:val="C0865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4425F"/>
    <w:multiLevelType w:val="hybridMultilevel"/>
    <w:tmpl w:val="DDA80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88175B"/>
    <w:multiLevelType w:val="hybridMultilevel"/>
    <w:tmpl w:val="5BCC3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17A32D7"/>
    <w:multiLevelType w:val="hybridMultilevel"/>
    <w:tmpl w:val="2B34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BE16E4"/>
    <w:multiLevelType w:val="hybridMultilevel"/>
    <w:tmpl w:val="B3F06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CC"/>
    <w:rsid w:val="0000022B"/>
    <w:rsid w:val="00002848"/>
    <w:rsid w:val="00002C18"/>
    <w:rsid w:val="00010549"/>
    <w:rsid w:val="00012F84"/>
    <w:rsid w:val="00013F99"/>
    <w:rsid w:val="000241BF"/>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A48"/>
    <w:rsid w:val="00097BFF"/>
    <w:rsid w:val="000A669D"/>
    <w:rsid w:val="000A66A8"/>
    <w:rsid w:val="000C014D"/>
    <w:rsid w:val="000D0178"/>
    <w:rsid w:val="000D4703"/>
    <w:rsid w:val="000D693C"/>
    <w:rsid w:val="000D6BD2"/>
    <w:rsid w:val="000E12D4"/>
    <w:rsid w:val="0010132B"/>
    <w:rsid w:val="00101C34"/>
    <w:rsid w:val="00104669"/>
    <w:rsid w:val="00110028"/>
    <w:rsid w:val="00116EDF"/>
    <w:rsid w:val="00124B26"/>
    <w:rsid w:val="00130C4E"/>
    <w:rsid w:val="00131B54"/>
    <w:rsid w:val="001354B7"/>
    <w:rsid w:val="00135961"/>
    <w:rsid w:val="001404FA"/>
    <w:rsid w:val="001413C5"/>
    <w:rsid w:val="00142956"/>
    <w:rsid w:val="00143502"/>
    <w:rsid w:val="00144494"/>
    <w:rsid w:val="00144868"/>
    <w:rsid w:val="00157709"/>
    <w:rsid w:val="00167330"/>
    <w:rsid w:val="00167CF4"/>
    <w:rsid w:val="00176470"/>
    <w:rsid w:val="00185F6A"/>
    <w:rsid w:val="001943DD"/>
    <w:rsid w:val="00195374"/>
    <w:rsid w:val="001A0424"/>
    <w:rsid w:val="001A127F"/>
    <w:rsid w:val="001A1F53"/>
    <w:rsid w:val="001A3CA4"/>
    <w:rsid w:val="001A3EA4"/>
    <w:rsid w:val="001B3AEC"/>
    <w:rsid w:val="001B5000"/>
    <w:rsid w:val="001B6F28"/>
    <w:rsid w:val="001D18C1"/>
    <w:rsid w:val="001D4585"/>
    <w:rsid w:val="001D5761"/>
    <w:rsid w:val="001D5D54"/>
    <w:rsid w:val="001E41C8"/>
    <w:rsid w:val="001F3AD7"/>
    <w:rsid w:val="001F45EB"/>
    <w:rsid w:val="00200A22"/>
    <w:rsid w:val="00207630"/>
    <w:rsid w:val="0021006D"/>
    <w:rsid w:val="00213082"/>
    <w:rsid w:val="0021714E"/>
    <w:rsid w:val="00222187"/>
    <w:rsid w:val="00222C8D"/>
    <w:rsid w:val="00222E33"/>
    <w:rsid w:val="00227B95"/>
    <w:rsid w:val="0023523A"/>
    <w:rsid w:val="002353DF"/>
    <w:rsid w:val="00235F71"/>
    <w:rsid w:val="0024240F"/>
    <w:rsid w:val="0025272A"/>
    <w:rsid w:val="002646B5"/>
    <w:rsid w:val="00271922"/>
    <w:rsid w:val="0027204E"/>
    <w:rsid w:val="00273412"/>
    <w:rsid w:val="00274ACF"/>
    <w:rsid w:val="00285F1B"/>
    <w:rsid w:val="00295831"/>
    <w:rsid w:val="00296F1B"/>
    <w:rsid w:val="002A5F8B"/>
    <w:rsid w:val="002A6DF5"/>
    <w:rsid w:val="002D00B0"/>
    <w:rsid w:val="002D2E16"/>
    <w:rsid w:val="002F19EF"/>
    <w:rsid w:val="00302415"/>
    <w:rsid w:val="0030693C"/>
    <w:rsid w:val="003102F6"/>
    <w:rsid w:val="00313304"/>
    <w:rsid w:val="00313C48"/>
    <w:rsid w:val="00314D15"/>
    <w:rsid w:val="003162AD"/>
    <w:rsid w:val="00317F5E"/>
    <w:rsid w:val="00321148"/>
    <w:rsid w:val="00321798"/>
    <w:rsid w:val="00325F44"/>
    <w:rsid w:val="00326976"/>
    <w:rsid w:val="003311D7"/>
    <w:rsid w:val="00332B8B"/>
    <w:rsid w:val="00342476"/>
    <w:rsid w:val="00347104"/>
    <w:rsid w:val="003511C7"/>
    <w:rsid w:val="0035213F"/>
    <w:rsid w:val="003555D2"/>
    <w:rsid w:val="00363DF3"/>
    <w:rsid w:val="003656B1"/>
    <w:rsid w:val="0037056B"/>
    <w:rsid w:val="0037149C"/>
    <w:rsid w:val="00377173"/>
    <w:rsid w:val="003774DA"/>
    <w:rsid w:val="00392557"/>
    <w:rsid w:val="003945C0"/>
    <w:rsid w:val="003A06C2"/>
    <w:rsid w:val="003B6D2E"/>
    <w:rsid w:val="003C430D"/>
    <w:rsid w:val="003C7404"/>
    <w:rsid w:val="003D3C5A"/>
    <w:rsid w:val="003D404A"/>
    <w:rsid w:val="003E6FDA"/>
    <w:rsid w:val="003F3072"/>
    <w:rsid w:val="003F74B7"/>
    <w:rsid w:val="00401A2A"/>
    <w:rsid w:val="004040CC"/>
    <w:rsid w:val="004103D7"/>
    <w:rsid w:val="0041307C"/>
    <w:rsid w:val="004167B4"/>
    <w:rsid w:val="00427E49"/>
    <w:rsid w:val="00430D7E"/>
    <w:rsid w:val="00433B04"/>
    <w:rsid w:val="00440BD3"/>
    <w:rsid w:val="00446F93"/>
    <w:rsid w:val="0045672C"/>
    <w:rsid w:val="004649E2"/>
    <w:rsid w:val="00464E8C"/>
    <w:rsid w:val="00466D36"/>
    <w:rsid w:val="00467185"/>
    <w:rsid w:val="0047050C"/>
    <w:rsid w:val="00475504"/>
    <w:rsid w:val="00480239"/>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06EC"/>
    <w:rsid w:val="005658EF"/>
    <w:rsid w:val="005822A3"/>
    <w:rsid w:val="0059070B"/>
    <w:rsid w:val="00594445"/>
    <w:rsid w:val="005A5563"/>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5DB7"/>
    <w:rsid w:val="00647F05"/>
    <w:rsid w:val="006530EF"/>
    <w:rsid w:val="00654D06"/>
    <w:rsid w:val="00661536"/>
    <w:rsid w:val="006678ED"/>
    <w:rsid w:val="0067233D"/>
    <w:rsid w:val="006745AE"/>
    <w:rsid w:val="00675BEF"/>
    <w:rsid w:val="00676AF3"/>
    <w:rsid w:val="00676D10"/>
    <w:rsid w:val="00680F71"/>
    <w:rsid w:val="00682A53"/>
    <w:rsid w:val="00682B73"/>
    <w:rsid w:val="0069174B"/>
    <w:rsid w:val="00693FA1"/>
    <w:rsid w:val="006B05E3"/>
    <w:rsid w:val="006B09BC"/>
    <w:rsid w:val="006B42A0"/>
    <w:rsid w:val="006B4E59"/>
    <w:rsid w:val="006C3402"/>
    <w:rsid w:val="006C3622"/>
    <w:rsid w:val="006C395C"/>
    <w:rsid w:val="006C45D4"/>
    <w:rsid w:val="006C4D76"/>
    <w:rsid w:val="006D7DE0"/>
    <w:rsid w:val="006E1F3C"/>
    <w:rsid w:val="006E6073"/>
    <w:rsid w:val="006F5F3B"/>
    <w:rsid w:val="006F7300"/>
    <w:rsid w:val="00703C09"/>
    <w:rsid w:val="007114F6"/>
    <w:rsid w:val="00712300"/>
    <w:rsid w:val="00720739"/>
    <w:rsid w:val="00721695"/>
    <w:rsid w:val="007242B4"/>
    <w:rsid w:val="00725FB2"/>
    <w:rsid w:val="00730C64"/>
    <w:rsid w:val="007322AF"/>
    <w:rsid w:val="00735477"/>
    <w:rsid w:val="00736DCA"/>
    <w:rsid w:val="00742399"/>
    <w:rsid w:val="00743473"/>
    <w:rsid w:val="007457E8"/>
    <w:rsid w:val="0074640C"/>
    <w:rsid w:val="0075003D"/>
    <w:rsid w:val="00751B37"/>
    <w:rsid w:val="00754D44"/>
    <w:rsid w:val="00767B7E"/>
    <w:rsid w:val="00773C66"/>
    <w:rsid w:val="007746A9"/>
    <w:rsid w:val="00785465"/>
    <w:rsid w:val="00787656"/>
    <w:rsid w:val="007A67EA"/>
    <w:rsid w:val="007B15AF"/>
    <w:rsid w:val="007B7E83"/>
    <w:rsid w:val="007C1631"/>
    <w:rsid w:val="007C2B95"/>
    <w:rsid w:val="007C636F"/>
    <w:rsid w:val="007D0EF8"/>
    <w:rsid w:val="007D39EB"/>
    <w:rsid w:val="00800A4D"/>
    <w:rsid w:val="008131E7"/>
    <w:rsid w:val="00813711"/>
    <w:rsid w:val="00814279"/>
    <w:rsid w:val="008263C2"/>
    <w:rsid w:val="00830D57"/>
    <w:rsid w:val="00842959"/>
    <w:rsid w:val="008451FE"/>
    <w:rsid w:val="008466A1"/>
    <w:rsid w:val="00846C1D"/>
    <w:rsid w:val="00851758"/>
    <w:rsid w:val="00853898"/>
    <w:rsid w:val="00856D5A"/>
    <w:rsid w:val="008609EB"/>
    <w:rsid w:val="00862D6D"/>
    <w:rsid w:val="008653E0"/>
    <w:rsid w:val="008657FB"/>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174B"/>
    <w:rsid w:val="0096485D"/>
    <w:rsid w:val="009738A8"/>
    <w:rsid w:val="00984F52"/>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50AFC"/>
    <w:rsid w:val="00A60693"/>
    <w:rsid w:val="00A67728"/>
    <w:rsid w:val="00A75502"/>
    <w:rsid w:val="00A81A4F"/>
    <w:rsid w:val="00A82E14"/>
    <w:rsid w:val="00A901E9"/>
    <w:rsid w:val="00A9762C"/>
    <w:rsid w:val="00AA4067"/>
    <w:rsid w:val="00AB1A5B"/>
    <w:rsid w:val="00AC0A54"/>
    <w:rsid w:val="00AC125E"/>
    <w:rsid w:val="00AC34F5"/>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843C8"/>
    <w:rsid w:val="00B93D7C"/>
    <w:rsid w:val="00B951E2"/>
    <w:rsid w:val="00B96F37"/>
    <w:rsid w:val="00BA607C"/>
    <w:rsid w:val="00BB3E2A"/>
    <w:rsid w:val="00BC16F5"/>
    <w:rsid w:val="00BC287D"/>
    <w:rsid w:val="00BC4A76"/>
    <w:rsid w:val="00BD32E5"/>
    <w:rsid w:val="00BD7ADD"/>
    <w:rsid w:val="00BE41C3"/>
    <w:rsid w:val="00BE6767"/>
    <w:rsid w:val="00BE68D7"/>
    <w:rsid w:val="00BF0784"/>
    <w:rsid w:val="00BF0AAA"/>
    <w:rsid w:val="00BF7763"/>
    <w:rsid w:val="00C02ED3"/>
    <w:rsid w:val="00C04D5E"/>
    <w:rsid w:val="00C24EA2"/>
    <w:rsid w:val="00C24F70"/>
    <w:rsid w:val="00C25D5B"/>
    <w:rsid w:val="00C325C4"/>
    <w:rsid w:val="00C33479"/>
    <w:rsid w:val="00C47BA2"/>
    <w:rsid w:val="00C50ABB"/>
    <w:rsid w:val="00C612DC"/>
    <w:rsid w:val="00C622CB"/>
    <w:rsid w:val="00C64D15"/>
    <w:rsid w:val="00C74F74"/>
    <w:rsid w:val="00C7554B"/>
    <w:rsid w:val="00C80192"/>
    <w:rsid w:val="00C83E31"/>
    <w:rsid w:val="00C916A4"/>
    <w:rsid w:val="00CA2A52"/>
    <w:rsid w:val="00CA2B15"/>
    <w:rsid w:val="00CA6490"/>
    <w:rsid w:val="00CB05BE"/>
    <w:rsid w:val="00CB4AF3"/>
    <w:rsid w:val="00CB5744"/>
    <w:rsid w:val="00CB7022"/>
    <w:rsid w:val="00CD1937"/>
    <w:rsid w:val="00CE214C"/>
    <w:rsid w:val="00CE226C"/>
    <w:rsid w:val="00CE6858"/>
    <w:rsid w:val="00CF150C"/>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A3F0D"/>
    <w:rsid w:val="00DC5665"/>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A2D"/>
    <w:rsid w:val="00E8698A"/>
    <w:rsid w:val="00E923F2"/>
    <w:rsid w:val="00E94D57"/>
    <w:rsid w:val="00EA31CC"/>
    <w:rsid w:val="00EB14DF"/>
    <w:rsid w:val="00EB2B64"/>
    <w:rsid w:val="00EB3A07"/>
    <w:rsid w:val="00EB4143"/>
    <w:rsid w:val="00EB4728"/>
    <w:rsid w:val="00EC207A"/>
    <w:rsid w:val="00EC3F31"/>
    <w:rsid w:val="00ED3C91"/>
    <w:rsid w:val="00ED4112"/>
    <w:rsid w:val="00EF1347"/>
    <w:rsid w:val="00EF2BEB"/>
    <w:rsid w:val="00F01129"/>
    <w:rsid w:val="00F01A71"/>
    <w:rsid w:val="00F03D93"/>
    <w:rsid w:val="00F03D9E"/>
    <w:rsid w:val="00F21279"/>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B6CE4"/>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3EB487-9155-4CAE-B569-F1A4193F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9"/>
    <w:qFormat/>
    <w:rsid w:val="00C02ED3"/>
    <w:pPr>
      <w:keepNext/>
      <w:keepLines/>
      <w:spacing w:before="240" w:line="240" w:lineRule="auto"/>
      <w:contextualSpacing/>
      <w:outlineLvl w:val="0"/>
    </w:pPr>
    <w:rPr>
      <w:rFonts w:ascii="Georgia" w:hAnsi="Georgia" w:cs="Arial"/>
      <w:bCs/>
      <w:color w:val="A6192E"/>
      <w:kern w:val="32"/>
      <w:sz w:val="36"/>
      <w:szCs w:val="32"/>
    </w:rPr>
  </w:style>
  <w:style w:type="paragraph" w:styleId="Heading2">
    <w:name w:val="heading 2"/>
    <w:basedOn w:val="Normal"/>
    <w:next w:val="Normal"/>
    <w:link w:val="Heading2Char"/>
    <w:uiPriority w:val="2"/>
    <w:qFormat/>
    <w:rsid w:val="00C02ED3"/>
    <w:pPr>
      <w:keepNext/>
      <w:keepLines/>
      <w:spacing w:before="240" w:line="240" w:lineRule="auto"/>
      <w:contextualSpacing/>
      <w:outlineLvl w:val="1"/>
    </w:pPr>
    <w:rPr>
      <w:rFonts w:ascii="Georgia" w:hAnsi="Georgia" w:cs="Arial"/>
      <w:bCs/>
      <w:iCs/>
      <w:color w:val="A6192E"/>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C02ED3"/>
    <w:pPr>
      <w:spacing w:before="240" w:line="240" w:lineRule="auto"/>
      <w:contextualSpacing/>
      <w:outlineLvl w:val="0"/>
    </w:pPr>
    <w:rPr>
      <w:rFonts w:ascii="Georgia" w:hAnsi="Georgia" w:cs="Arial"/>
      <w:bCs/>
      <w:color w:val="A6192E"/>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C02ED3"/>
    <w:pPr>
      <w:spacing w:before="120" w:after="120"/>
      <w:ind w:left="397"/>
      <w:contextualSpacing/>
    </w:pPr>
    <w:rPr>
      <w:rFonts w:ascii="Georgia" w:hAnsi="Georgia" w:cs="Arial"/>
      <w:bCs/>
      <w:iCs/>
      <w:color w:val="A6192E"/>
      <w:sz w:val="24"/>
      <w:szCs w:val="28"/>
    </w:rPr>
  </w:style>
  <w:style w:type="character" w:customStyle="1" w:styleId="Heading2Char">
    <w:name w:val="Heading 2 Char"/>
    <w:basedOn w:val="DefaultParagraphFont"/>
    <w:link w:val="Heading2"/>
    <w:uiPriority w:val="2"/>
    <w:rsid w:val="00C02ED3"/>
    <w:rPr>
      <w:rFonts w:ascii="Georgia" w:hAnsi="Georgia" w:cs="Arial"/>
      <w:bCs/>
      <w:iCs/>
      <w:color w:val="A6192E"/>
      <w:spacing w:val="4"/>
      <w:sz w:val="32"/>
      <w:szCs w:val="28"/>
    </w:rPr>
  </w:style>
  <w:style w:type="character" w:customStyle="1" w:styleId="PullouttextChar">
    <w:name w:val="Pullout text Char"/>
    <w:basedOn w:val="Heading2Char"/>
    <w:link w:val="Pullouttext"/>
    <w:uiPriority w:val="3"/>
    <w:rsid w:val="00C02ED3"/>
    <w:rPr>
      <w:rFonts w:ascii="Georgia" w:hAnsi="Georgia" w:cs="Arial"/>
      <w:bCs/>
      <w:iCs/>
      <w:color w:val="A6192E"/>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9"/>
    <w:rsid w:val="00C02ED3"/>
    <w:rPr>
      <w:rFonts w:ascii="Georgia" w:hAnsi="Georgia" w:cs="Arial"/>
      <w:bCs/>
      <w:color w:val="A6192E"/>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C02ED3"/>
    <w:rPr>
      <w:rFonts w:ascii="Georgia" w:hAnsi="Georgia" w:cs="Arial"/>
      <w:bCs/>
      <w:color w:val="A6192E"/>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customStyle="1" w:styleId="DSSDatatablestyle">
    <w:name w:val="DSS Data table style"/>
    <w:basedOn w:val="TableNormal"/>
    <w:uiPriority w:val="99"/>
    <w:rsid w:val="00101C34"/>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styleId="NormalWeb">
    <w:name w:val="Normal (Web)"/>
    <w:basedOn w:val="Normal"/>
    <w:uiPriority w:val="99"/>
    <w:unhideWhenUsed/>
    <w:rsid w:val="006F5F3B"/>
    <w:pPr>
      <w:spacing w:before="240" w:after="240" w:line="384" w:lineRule="atLeast"/>
    </w:pPr>
    <w:rPr>
      <w:rFonts w:ascii="Times New Roman" w:hAnsi="Times New Roman"/>
      <w:spacing w:val="0"/>
    </w:rPr>
  </w:style>
  <w:style w:type="paragraph" w:styleId="EndnoteText">
    <w:name w:val="endnote text"/>
    <w:basedOn w:val="Normal"/>
    <w:link w:val="EndnoteTextChar"/>
    <w:rsid w:val="00CF150C"/>
    <w:pPr>
      <w:spacing w:before="0" w:after="0" w:line="240" w:lineRule="auto"/>
    </w:pPr>
    <w:rPr>
      <w:sz w:val="20"/>
      <w:szCs w:val="20"/>
    </w:rPr>
  </w:style>
  <w:style w:type="character" w:customStyle="1" w:styleId="EndnoteTextChar">
    <w:name w:val="Endnote Text Char"/>
    <w:basedOn w:val="DefaultParagraphFont"/>
    <w:link w:val="EndnoteText"/>
    <w:rsid w:val="00CF150C"/>
    <w:rPr>
      <w:rFonts w:ascii="Arial" w:hAnsi="Arial"/>
      <w:spacing w:val="4"/>
    </w:rPr>
  </w:style>
  <w:style w:type="character" w:styleId="EndnoteReference">
    <w:name w:val="endnote reference"/>
    <w:basedOn w:val="DefaultParagraphFont"/>
    <w:rsid w:val="00CF150C"/>
    <w:rPr>
      <w:vertAlign w:val="superscript"/>
    </w:rPr>
  </w:style>
  <w:style w:type="character" w:styleId="FollowedHyperlink">
    <w:name w:val="FollowedHyperlink"/>
    <w:basedOn w:val="DefaultParagraphFont"/>
    <w:uiPriority w:val="99"/>
    <w:rsid w:val="00CF150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74152325">
      <w:bodyDiv w:val="1"/>
      <w:marLeft w:val="0"/>
      <w:marRight w:val="0"/>
      <w:marTop w:val="0"/>
      <w:marBottom w:val="0"/>
      <w:divBdr>
        <w:top w:val="none" w:sz="0" w:space="0" w:color="auto"/>
        <w:left w:val="none" w:sz="0" w:space="0" w:color="auto"/>
        <w:bottom w:val="none" w:sz="0" w:space="0" w:color="auto"/>
        <w:right w:val="none" w:sz="0" w:space="0" w:color="auto"/>
      </w:divBdr>
      <w:divsChild>
        <w:div w:id="258148488">
          <w:marLeft w:val="0"/>
          <w:marRight w:val="0"/>
          <w:marTop w:val="0"/>
          <w:marBottom w:val="0"/>
          <w:divBdr>
            <w:top w:val="none" w:sz="0" w:space="0" w:color="auto"/>
            <w:left w:val="none" w:sz="0" w:space="0" w:color="auto"/>
            <w:bottom w:val="none" w:sz="0" w:space="0" w:color="auto"/>
            <w:right w:val="none" w:sz="0" w:space="0" w:color="auto"/>
          </w:divBdr>
          <w:divsChild>
            <w:div w:id="292834853">
              <w:marLeft w:val="0"/>
              <w:marRight w:val="0"/>
              <w:marTop w:val="0"/>
              <w:marBottom w:val="0"/>
              <w:divBdr>
                <w:top w:val="none" w:sz="0" w:space="0" w:color="auto"/>
                <w:left w:val="none" w:sz="0" w:space="0" w:color="auto"/>
                <w:bottom w:val="none" w:sz="0" w:space="0" w:color="auto"/>
                <w:right w:val="none" w:sz="0" w:space="0" w:color="auto"/>
              </w:divBdr>
              <w:divsChild>
                <w:div w:id="4237669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60814239">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as@ds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our-responsibilities/housing-support/programmes-services/national-rental-affordability-scheme" TargetMode="External"/><Relationship Id="rId5" Type="http://schemas.openxmlformats.org/officeDocument/2006/relationships/webSettings" Target="webSettings.xml"/><Relationship Id="rId10" Type="http://schemas.openxmlformats.org/officeDocument/2006/relationships/hyperlink" Target="https://www.dss.gov.au/housing-support/programmes-services/national-rental-affordability-scheme/national-rental-affordability-scheme-legislation-regulations-and-policy-guidelines" TargetMode="External"/><Relationship Id="rId4" Type="http://schemas.openxmlformats.org/officeDocument/2006/relationships/settings" Target="settings.xml"/><Relationship Id="rId9" Type="http://schemas.openxmlformats.org/officeDocument/2006/relationships/hyperlink" Target="https://www.ato.gov.au/general/property/in-detail/rental-affordability-scheme/national-rental-affordability-scheme---refundable-tax-offset-and-other-taxation-issues/"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dss.gov.au/our-responsibilities/housing-support/programmes-services/national-rental-affordability-scheme" TargetMode="External"/><Relationship Id="rId2" Type="http://schemas.openxmlformats.org/officeDocument/2006/relationships/hyperlink" Target="https://www.dss.gov.au/housing-support/programmes-services/national-rental-affordability-scheme/national-rental-affordability-scheme-legislation-regulations-and-policy-guidelines" TargetMode="External"/><Relationship Id="rId1" Type="http://schemas.openxmlformats.org/officeDocument/2006/relationships/hyperlink" Target="https://www.ato.gov.au/general/property/in-detail/rental-affordability-scheme/national-rental-affordability-scheme---refundable-tax-offset-and-other-taxation-iss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Red.dotx" TargetMode="External"/></Relationships>
</file>

<file path=word/theme/theme1.xml><?xml version="1.0" encoding="utf-8"?>
<a:theme xmlns:a="http://schemas.openxmlformats.org/drawingml/2006/main" name="Office Them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E00A-3A30-4646-BCF2-E6DE7CAC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Red</Template>
  <TotalTime>34</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Information for approved participants</vt:lpstr>
    </vt:vector>
  </TitlesOfParts>
  <Company>Department of Social Services</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approved participants</dc:title>
  <dc:creator>MULLINGTON, Daniel</dc:creator>
  <cp:lastModifiedBy>RASHID, Muhammad</cp:lastModifiedBy>
  <cp:revision>5</cp:revision>
  <cp:lastPrinted>2018-09-07T01:23:00Z</cp:lastPrinted>
  <dcterms:created xsi:type="dcterms:W3CDTF">2018-09-07T00:47:00Z</dcterms:created>
  <dcterms:modified xsi:type="dcterms:W3CDTF">2018-09-07T01:24:00Z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