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i w:val="0"/>
          <w:spacing w:val="0"/>
          <w:kern w:val="0"/>
          <w:sz w:val="20"/>
          <w:szCs w:val="64"/>
        </w:rPr>
        <w:id w:val="976878793"/>
        <w:docPartObj>
          <w:docPartGallery w:val="Custom Cover Pages"/>
          <w:docPartUnique/>
        </w:docPartObj>
      </w:sdtPr>
      <w:sdtEndPr>
        <w:rPr>
          <w:szCs w:val="20"/>
        </w:rPr>
      </w:sdtEndPr>
      <w:sdtContent>
        <w:sdt>
          <w:sdtPr>
            <w:rPr>
              <w:szCs w:val="64"/>
            </w:rPr>
            <w:alias w:val="Title"/>
            <w:tag w:val=""/>
            <w:id w:val="1015354143"/>
            <w:dataBinding w:prefixMappings="xmlns:ns0='http://purl.org/dc/elements/1.1/' xmlns:ns1='http://schemas.openxmlformats.org/package/2006/metadata/core-properties' " w:xpath="/ns1:coreProperties[1]/ns0:title[1]" w:storeItemID="{6C3C8BC8-F283-45AE-878A-BAB7291924A1}"/>
            <w:text/>
          </w:sdtPr>
          <w:sdtEndPr/>
          <w:sdtContent>
            <w:p w14:paraId="5E4E7C3E" w14:textId="77777777" w:rsidR="00B1159F" w:rsidRPr="00507869" w:rsidRDefault="007829EF" w:rsidP="00D132A4">
              <w:pPr>
                <w:pStyle w:val="Title"/>
              </w:pPr>
              <w:r>
                <w:rPr>
                  <w:szCs w:val="64"/>
                  <w:lang w:val="en-AU"/>
                </w:rPr>
                <w:t>National Disability Insurance Scheme</w:t>
              </w:r>
            </w:p>
          </w:sdtContent>
        </w:sdt>
        <w:sdt>
          <w:sdtPr>
            <w:alias w:val="Subject"/>
            <w:tag w:val=""/>
            <w:id w:val="314299731"/>
            <w:dataBinding w:prefixMappings="xmlns:ns0='http://purl.org/dc/elements/1.1/' xmlns:ns1='http://schemas.openxmlformats.org/package/2006/metadata/core-properties' " w:xpath="/ns1:coreProperties[1]/ns0:subject[1]" w:storeItemID="{6C3C8BC8-F283-45AE-878A-BAB7291924A1}"/>
            <w:text/>
          </w:sdtPr>
          <w:sdtEndPr/>
          <w:sdtContent>
            <w:p w14:paraId="0401432C" w14:textId="4D6FC000" w:rsidR="00B1159F" w:rsidRDefault="007C4B92" w:rsidP="00D132A4">
              <w:pPr>
                <w:pStyle w:val="Subtitle"/>
              </w:pPr>
              <w:proofErr w:type="spellStart"/>
              <w:r>
                <w:rPr>
                  <w:lang w:val="en-AU"/>
                </w:rPr>
                <w:t>MyPlace</w:t>
              </w:r>
              <w:proofErr w:type="spellEnd"/>
              <w:r>
                <w:rPr>
                  <w:lang w:val="en-AU"/>
                </w:rPr>
                <w:t xml:space="preserve"> Portal Implementation Review – </w:t>
              </w:r>
              <w:r w:rsidR="00340F06">
                <w:rPr>
                  <w:lang w:val="en-AU"/>
                </w:rPr>
                <w:t>Final Report</w:t>
              </w:r>
            </w:p>
          </w:sdtContent>
        </w:sdt>
        <w:sdt>
          <w:sdtPr>
            <w:alias w:val="Date Completed"/>
            <w:tag w:val="{DocProperty:Date completed}"/>
            <w:id w:val="828408854"/>
            <w:text/>
          </w:sdtPr>
          <w:sdtEndPr/>
          <w:sdtContent>
            <w:p w14:paraId="60E50173" w14:textId="3876F0E4" w:rsidR="00B1159F" w:rsidRPr="002A160A" w:rsidRDefault="00446ED1" w:rsidP="000865AE">
              <w:pPr>
                <w:pStyle w:val="Date"/>
              </w:pPr>
              <w:r>
                <w:t>31</w:t>
              </w:r>
              <w:r w:rsidR="00E00442">
                <w:t xml:space="preserve"> August 2016</w:t>
              </w:r>
            </w:p>
          </w:sdtContent>
        </w:sdt>
        <w:p w14:paraId="4C75784F" w14:textId="77777777" w:rsidR="00B1159F" w:rsidRDefault="00435FC3" w:rsidP="003A010F">
          <w:pPr>
            <w:pStyle w:val="BodyText"/>
            <w:ind w:left="2376"/>
            <w:sectPr w:rsidR="00B1159F" w:rsidSect="00F207C6">
              <w:headerReference w:type="default" r:id="rId12"/>
              <w:footerReference w:type="default" r:id="rId13"/>
              <w:headerReference w:type="first" r:id="rId14"/>
              <w:footerReference w:type="first" r:id="rId15"/>
              <w:pgSz w:w="11909" w:h="16834" w:code="9"/>
              <w:pgMar w:top="4075" w:right="1022" w:bottom="2160" w:left="792" w:header="2074" w:footer="720" w:gutter="230"/>
              <w:pgNumType w:start="0"/>
              <w:cols w:space="720"/>
              <w:titlePg/>
              <w:docGrid w:linePitch="360"/>
            </w:sectPr>
          </w:pPr>
        </w:p>
      </w:sdtContent>
    </w:sdt>
    <w:sdt>
      <w:sdtPr>
        <w:rPr>
          <w:rFonts w:asciiTheme="minorHAnsi" w:eastAsiaTheme="minorHAnsi" w:hAnsiTheme="minorHAnsi" w:cstheme="minorBidi"/>
          <w:b w:val="0"/>
          <w:i w:val="0"/>
          <w:color w:val="auto"/>
          <w:sz w:val="20"/>
          <w:szCs w:val="20"/>
        </w:rPr>
        <w:id w:val="-590393900"/>
        <w:docPartObj>
          <w:docPartGallery w:val="Table of Contents"/>
          <w:docPartUnique/>
        </w:docPartObj>
      </w:sdtPr>
      <w:sdtEndPr>
        <w:rPr>
          <w:bCs/>
          <w:noProof/>
        </w:rPr>
      </w:sdtEndPr>
      <w:sdtContent>
        <w:p w14:paraId="76E60064" w14:textId="4EBA47AF" w:rsidR="007F02F6" w:rsidRPr="00E50964" w:rsidRDefault="007F02F6">
          <w:pPr>
            <w:pStyle w:val="TOCHeading"/>
            <w:rPr>
              <w:color w:val="821A1A" w:themeColor="accent1"/>
            </w:rPr>
          </w:pPr>
          <w:r w:rsidRPr="00E50964">
            <w:rPr>
              <w:color w:val="821A1A" w:themeColor="accent1"/>
            </w:rPr>
            <w:t>Contents</w:t>
          </w:r>
        </w:p>
        <w:p w14:paraId="59A927AB" w14:textId="77777777" w:rsidR="00536981" w:rsidRDefault="007F02F6">
          <w:pPr>
            <w:pStyle w:val="TOC1"/>
            <w:rPr>
              <w:rFonts w:eastAsiaTheme="minorEastAsia"/>
              <w:b w:val="0"/>
              <w:noProof/>
              <w:color w:val="auto"/>
              <w:sz w:val="22"/>
              <w:szCs w:val="22"/>
              <w:lang w:val="en-AU" w:eastAsia="en-AU"/>
            </w:rPr>
          </w:pPr>
          <w:r>
            <w:rPr>
              <w:b w:val="0"/>
            </w:rPr>
            <w:fldChar w:fldCharType="begin"/>
          </w:r>
          <w:r>
            <w:instrText xml:space="preserve"> TOC \o "1-3" \h \z \u </w:instrText>
          </w:r>
          <w:r>
            <w:rPr>
              <w:b w:val="0"/>
            </w:rPr>
            <w:fldChar w:fldCharType="separate"/>
          </w:r>
          <w:hyperlink w:anchor="_Toc460422954" w:history="1">
            <w:r w:rsidR="00536981" w:rsidRPr="006D4D6C">
              <w:rPr>
                <w:rStyle w:val="Hyperlink"/>
                <w:noProof/>
              </w:rPr>
              <w:t>Executive Summary</w:t>
            </w:r>
            <w:r w:rsidR="00536981">
              <w:rPr>
                <w:noProof/>
                <w:webHidden/>
              </w:rPr>
              <w:tab/>
            </w:r>
            <w:r w:rsidR="00536981">
              <w:rPr>
                <w:noProof/>
                <w:webHidden/>
              </w:rPr>
              <w:fldChar w:fldCharType="begin"/>
            </w:r>
            <w:r w:rsidR="00536981">
              <w:rPr>
                <w:noProof/>
                <w:webHidden/>
              </w:rPr>
              <w:instrText xml:space="preserve"> PAGEREF _Toc460422954 \h </w:instrText>
            </w:r>
            <w:r w:rsidR="00536981">
              <w:rPr>
                <w:noProof/>
                <w:webHidden/>
              </w:rPr>
            </w:r>
            <w:r w:rsidR="00536981">
              <w:rPr>
                <w:noProof/>
                <w:webHidden/>
              </w:rPr>
              <w:fldChar w:fldCharType="separate"/>
            </w:r>
            <w:r w:rsidR="00435FC3">
              <w:rPr>
                <w:noProof/>
                <w:webHidden/>
              </w:rPr>
              <w:t>2</w:t>
            </w:r>
            <w:r w:rsidR="00536981">
              <w:rPr>
                <w:noProof/>
                <w:webHidden/>
              </w:rPr>
              <w:fldChar w:fldCharType="end"/>
            </w:r>
          </w:hyperlink>
        </w:p>
        <w:p w14:paraId="4963B8D1" w14:textId="77777777" w:rsidR="00536981" w:rsidRDefault="00435FC3">
          <w:pPr>
            <w:pStyle w:val="TOC2"/>
            <w:rPr>
              <w:rFonts w:eastAsiaTheme="minorEastAsia"/>
              <w:noProof/>
              <w:sz w:val="22"/>
              <w:szCs w:val="22"/>
              <w:lang w:val="en-AU" w:eastAsia="en-AU"/>
            </w:rPr>
          </w:pPr>
          <w:hyperlink w:anchor="_Toc460422955" w:history="1">
            <w:r w:rsidR="00536981" w:rsidRPr="006D4D6C">
              <w:rPr>
                <w:rStyle w:val="Hyperlink"/>
                <w:noProof/>
              </w:rPr>
              <w:t>Terms of Reference</w:t>
            </w:r>
            <w:r w:rsidR="00536981">
              <w:rPr>
                <w:noProof/>
                <w:webHidden/>
              </w:rPr>
              <w:tab/>
            </w:r>
            <w:r w:rsidR="00536981">
              <w:rPr>
                <w:noProof/>
                <w:webHidden/>
              </w:rPr>
              <w:fldChar w:fldCharType="begin"/>
            </w:r>
            <w:r w:rsidR="00536981">
              <w:rPr>
                <w:noProof/>
                <w:webHidden/>
              </w:rPr>
              <w:instrText xml:space="preserve"> PAGEREF _Toc460422955 \h </w:instrText>
            </w:r>
            <w:r w:rsidR="00536981">
              <w:rPr>
                <w:noProof/>
                <w:webHidden/>
              </w:rPr>
            </w:r>
            <w:r w:rsidR="00536981">
              <w:rPr>
                <w:noProof/>
                <w:webHidden/>
              </w:rPr>
              <w:fldChar w:fldCharType="separate"/>
            </w:r>
            <w:r>
              <w:rPr>
                <w:noProof/>
                <w:webHidden/>
              </w:rPr>
              <w:t>2</w:t>
            </w:r>
            <w:r w:rsidR="00536981">
              <w:rPr>
                <w:noProof/>
                <w:webHidden/>
              </w:rPr>
              <w:fldChar w:fldCharType="end"/>
            </w:r>
          </w:hyperlink>
        </w:p>
        <w:p w14:paraId="11B600C5" w14:textId="77777777" w:rsidR="00536981" w:rsidRDefault="00435FC3">
          <w:pPr>
            <w:pStyle w:val="TOC2"/>
            <w:rPr>
              <w:rFonts w:eastAsiaTheme="minorEastAsia"/>
              <w:noProof/>
              <w:sz w:val="22"/>
              <w:szCs w:val="22"/>
              <w:lang w:val="en-AU" w:eastAsia="en-AU"/>
            </w:rPr>
          </w:pPr>
          <w:hyperlink w:anchor="_Toc460422956" w:history="1">
            <w:r w:rsidR="00536981" w:rsidRPr="006D4D6C">
              <w:rPr>
                <w:rStyle w:val="Hyperlink"/>
                <w:noProof/>
              </w:rPr>
              <w:t>Conclusions</w:t>
            </w:r>
            <w:r w:rsidR="00536981">
              <w:rPr>
                <w:noProof/>
                <w:webHidden/>
              </w:rPr>
              <w:tab/>
            </w:r>
            <w:r w:rsidR="00536981">
              <w:rPr>
                <w:noProof/>
                <w:webHidden/>
              </w:rPr>
              <w:fldChar w:fldCharType="begin"/>
            </w:r>
            <w:r w:rsidR="00536981">
              <w:rPr>
                <w:noProof/>
                <w:webHidden/>
              </w:rPr>
              <w:instrText xml:space="preserve"> PAGEREF _Toc460422956 \h </w:instrText>
            </w:r>
            <w:r w:rsidR="00536981">
              <w:rPr>
                <w:noProof/>
                <w:webHidden/>
              </w:rPr>
            </w:r>
            <w:r w:rsidR="00536981">
              <w:rPr>
                <w:noProof/>
                <w:webHidden/>
              </w:rPr>
              <w:fldChar w:fldCharType="separate"/>
            </w:r>
            <w:r>
              <w:rPr>
                <w:noProof/>
                <w:webHidden/>
              </w:rPr>
              <w:t>2</w:t>
            </w:r>
            <w:r w:rsidR="00536981">
              <w:rPr>
                <w:noProof/>
                <w:webHidden/>
              </w:rPr>
              <w:fldChar w:fldCharType="end"/>
            </w:r>
          </w:hyperlink>
        </w:p>
        <w:p w14:paraId="0E484D0D" w14:textId="77777777" w:rsidR="00536981" w:rsidRDefault="00435FC3">
          <w:pPr>
            <w:pStyle w:val="TOC2"/>
            <w:rPr>
              <w:rFonts w:eastAsiaTheme="minorEastAsia"/>
              <w:noProof/>
              <w:sz w:val="22"/>
              <w:szCs w:val="22"/>
              <w:lang w:val="en-AU" w:eastAsia="en-AU"/>
            </w:rPr>
          </w:pPr>
          <w:hyperlink w:anchor="_Toc460422957" w:history="1">
            <w:r w:rsidR="00536981" w:rsidRPr="006D4D6C">
              <w:rPr>
                <w:rStyle w:val="Hyperlink"/>
                <w:noProof/>
              </w:rPr>
              <w:t>Recommendations</w:t>
            </w:r>
            <w:r w:rsidR="00536981">
              <w:rPr>
                <w:noProof/>
                <w:webHidden/>
              </w:rPr>
              <w:tab/>
            </w:r>
            <w:r w:rsidR="00536981">
              <w:rPr>
                <w:noProof/>
                <w:webHidden/>
              </w:rPr>
              <w:fldChar w:fldCharType="begin"/>
            </w:r>
            <w:r w:rsidR="00536981">
              <w:rPr>
                <w:noProof/>
                <w:webHidden/>
              </w:rPr>
              <w:instrText xml:space="preserve"> PAGEREF _Toc460422957 \h </w:instrText>
            </w:r>
            <w:r w:rsidR="00536981">
              <w:rPr>
                <w:noProof/>
                <w:webHidden/>
              </w:rPr>
            </w:r>
            <w:r w:rsidR="00536981">
              <w:rPr>
                <w:noProof/>
                <w:webHidden/>
              </w:rPr>
              <w:fldChar w:fldCharType="separate"/>
            </w:r>
            <w:r>
              <w:rPr>
                <w:noProof/>
                <w:webHidden/>
              </w:rPr>
              <w:t>2</w:t>
            </w:r>
            <w:r w:rsidR="00536981">
              <w:rPr>
                <w:noProof/>
                <w:webHidden/>
              </w:rPr>
              <w:fldChar w:fldCharType="end"/>
            </w:r>
          </w:hyperlink>
        </w:p>
        <w:p w14:paraId="06C0AA24" w14:textId="77777777" w:rsidR="00536981" w:rsidRDefault="00435FC3">
          <w:pPr>
            <w:pStyle w:val="TOC2"/>
            <w:rPr>
              <w:rFonts w:eastAsiaTheme="minorEastAsia"/>
              <w:noProof/>
              <w:sz w:val="22"/>
              <w:szCs w:val="22"/>
              <w:lang w:val="en-AU" w:eastAsia="en-AU"/>
            </w:rPr>
          </w:pPr>
          <w:hyperlink w:anchor="_Toc460422958" w:history="1">
            <w:r w:rsidR="00536981" w:rsidRPr="006D4D6C">
              <w:rPr>
                <w:rStyle w:val="Hyperlink"/>
                <w:noProof/>
              </w:rPr>
              <w:t>Context</w:t>
            </w:r>
            <w:r w:rsidR="00536981">
              <w:rPr>
                <w:noProof/>
                <w:webHidden/>
              </w:rPr>
              <w:tab/>
            </w:r>
            <w:r w:rsidR="00536981">
              <w:rPr>
                <w:noProof/>
                <w:webHidden/>
              </w:rPr>
              <w:fldChar w:fldCharType="begin"/>
            </w:r>
            <w:r w:rsidR="00536981">
              <w:rPr>
                <w:noProof/>
                <w:webHidden/>
              </w:rPr>
              <w:instrText xml:space="preserve"> PAGEREF _Toc460422958 \h </w:instrText>
            </w:r>
            <w:r w:rsidR="00536981">
              <w:rPr>
                <w:noProof/>
                <w:webHidden/>
              </w:rPr>
            </w:r>
            <w:r w:rsidR="00536981">
              <w:rPr>
                <w:noProof/>
                <w:webHidden/>
              </w:rPr>
              <w:fldChar w:fldCharType="separate"/>
            </w:r>
            <w:r>
              <w:rPr>
                <w:noProof/>
                <w:webHidden/>
              </w:rPr>
              <w:t>3</w:t>
            </w:r>
            <w:r w:rsidR="00536981">
              <w:rPr>
                <w:noProof/>
                <w:webHidden/>
              </w:rPr>
              <w:fldChar w:fldCharType="end"/>
            </w:r>
          </w:hyperlink>
        </w:p>
        <w:p w14:paraId="284BE652" w14:textId="77777777" w:rsidR="00536981" w:rsidRDefault="00435FC3">
          <w:pPr>
            <w:pStyle w:val="TOC2"/>
            <w:rPr>
              <w:rFonts w:eastAsiaTheme="minorEastAsia"/>
              <w:noProof/>
              <w:sz w:val="22"/>
              <w:szCs w:val="22"/>
              <w:lang w:val="en-AU" w:eastAsia="en-AU"/>
            </w:rPr>
          </w:pPr>
          <w:hyperlink w:anchor="_Toc460422959" w:history="1">
            <w:r w:rsidR="00536981" w:rsidRPr="006D4D6C">
              <w:rPr>
                <w:rStyle w:val="Hyperlink"/>
                <w:noProof/>
              </w:rPr>
              <w:t>Disclaimer</w:t>
            </w:r>
            <w:r w:rsidR="00536981">
              <w:rPr>
                <w:noProof/>
                <w:webHidden/>
              </w:rPr>
              <w:tab/>
            </w:r>
            <w:r w:rsidR="00536981">
              <w:rPr>
                <w:noProof/>
                <w:webHidden/>
              </w:rPr>
              <w:fldChar w:fldCharType="begin"/>
            </w:r>
            <w:r w:rsidR="00536981">
              <w:rPr>
                <w:noProof/>
                <w:webHidden/>
              </w:rPr>
              <w:instrText xml:space="preserve"> PAGEREF _Toc460422959 \h </w:instrText>
            </w:r>
            <w:r w:rsidR="00536981">
              <w:rPr>
                <w:noProof/>
                <w:webHidden/>
              </w:rPr>
            </w:r>
            <w:r w:rsidR="00536981">
              <w:rPr>
                <w:noProof/>
                <w:webHidden/>
              </w:rPr>
              <w:fldChar w:fldCharType="separate"/>
            </w:r>
            <w:r>
              <w:rPr>
                <w:noProof/>
                <w:webHidden/>
              </w:rPr>
              <w:t>3</w:t>
            </w:r>
            <w:r w:rsidR="00536981">
              <w:rPr>
                <w:noProof/>
                <w:webHidden/>
              </w:rPr>
              <w:fldChar w:fldCharType="end"/>
            </w:r>
          </w:hyperlink>
        </w:p>
        <w:p w14:paraId="02CF96F5" w14:textId="77777777" w:rsidR="00536981" w:rsidRDefault="00435FC3">
          <w:pPr>
            <w:pStyle w:val="TOC2"/>
            <w:rPr>
              <w:rFonts w:eastAsiaTheme="minorEastAsia"/>
              <w:noProof/>
              <w:sz w:val="22"/>
              <w:szCs w:val="22"/>
              <w:lang w:val="en-AU" w:eastAsia="en-AU"/>
            </w:rPr>
          </w:pPr>
          <w:hyperlink w:anchor="_Toc460422960" w:history="1">
            <w:r w:rsidR="00536981" w:rsidRPr="006D4D6C">
              <w:rPr>
                <w:rStyle w:val="Hyperlink"/>
                <w:noProof/>
              </w:rPr>
              <w:t>Background</w:t>
            </w:r>
            <w:r w:rsidR="00536981">
              <w:rPr>
                <w:noProof/>
                <w:webHidden/>
              </w:rPr>
              <w:tab/>
            </w:r>
            <w:r w:rsidR="00536981">
              <w:rPr>
                <w:noProof/>
                <w:webHidden/>
              </w:rPr>
              <w:fldChar w:fldCharType="begin"/>
            </w:r>
            <w:r w:rsidR="00536981">
              <w:rPr>
                <w:noProof/>
                <w:webHidden/>
              </w:rPr>
              <w:instrText xml:space="preserve"> PAGEREF _Toc460422960 \h </w:instrText>
            </w:r>
            <w:r w:rsidR="00536981">
              <w:rPr>
                <w:noProof/>
                <w:webHidden/>
              </w:rPr>
            </w:r>
            <w:r w:rsidR="00536981">
              <w:rPr>
                <w:noProof/>
                <w:webHidden/>
              </w:rPr>
              <w:fldChar w:fldCharType="separate"/>
            </w:r>
            <w:r>
              <w:rPr>
                <w:noProof/>
                <w:webHidden/>
              </w:rPr>
              <w:t>4</w:t>
            </w:r>
            <w:r w:rsidR="00536981">
              <w:rPr>
                <w:noProof/>
                <w:webHidden/>
              </w:rPr>
              <w:fldChar w:fldCharType="end"/>
            </w:r>
          </w:hyperlink>
        </w:p>
        <w:p w14:paraId="70DEED33" w14:textId="77777777" w:rsidR="00536981" w:rsidRDefault="00435FC3">
          <w:pPr>
            <w:pStyle w:val="TOC1"/>
            <w:rPr>
              <w:rFonts w:eastAsiaTheme="minorEastAsia"/>
              <w:b w:val="0"/>
              <w:noProof/>
              <w:color w:val="auto"/>
              <w:sz w:val="22"/>
              <w:szCs w:val="22"/>
              <w:lang w:val="en-AU" w:eastAsia="en-AU"/>
            </w:rPr>
          </w:pPr>
          <w:hyperlink w:anchor="_Toc460422961" w:history="1">
            <w:r w:rsidR="00536981" w:rsidRPr="006D4D6C">
              <w:rPr>
                <w:rStyle w:val="Hyperlink"/>
                <w:noProof/>
              </w:rPr>
              <w:t>Background findings</w:t>
            </w:r>
            <w:r w:rsidR="00536981">
              <w:rPr>
                <w:noProof/>
                <w:webHidden/>
              </w:rPr>
              <w:tab/>
            </w:r>
            <w:r w:rsidR="00536981">
              <w:rPr>
                <w:noProof/>
                <w:webHidden/>
              </w:rPr>
              <w:fldChar w:fldCharType="begin"/>
            </w:r>
            <w:r w:rsidR="00536981">
              <w:rPr>
                <w:noProof/>
                <w:webHidden/>
              </w:rPr>
              <w:instrText xml:space="preserve"> PAGEREF _Toc460422961 \h </w:instrText>
            </w:r>
            <w:r w:rsidR="00536981">
              <w:rPr>
                <w:noProof/>
                <w:webHidden/>
              </w:rPr>
            </w:r>
            <w:r w:rsidR="00536981">
              <w:rPr>
                <w:noProof/>
                <w:webHidden/>
              </w:rPr>
              <w:fldChar w:fldCharType="separate"/>
            </w:r>
            <w:r>
              <w:rPr>
                <w:noProof/>
                <w:webHidden/>
              </w:rPr>
              <w:t>7</w:t>
            </w:r>
            <w:r w:rsidR="00536981">
              <w:rPr>
                <w:noProof/>
                <w:webHidden/>
              </w:rPr>
              <w:fldChar w:fldCharType="end"/>
            </w:r>
          </w:hyperlink>
        </w:p>
        <w:p w14:paraId="333EA036" w14:textId="77777777" w:rsidR="00536981" w:rsidRDefault="00435FC3">
          <w:pPr>
            <w:pStyle w:val="TOC2"/>
            <w:rPr>
              <w:rFonts w:eastAsiaTheme="minorEastAsia"/>
              <w:noProof/>
              <w:sz w:val="22"/>
              <w:szCs w:val="22"/>
              <w:lang w:val="en-AU" w:eastAsia="en-AU"/>
            </w:rPr>
          </w:pPr>
          <w:hyperlink w:anchor="_Toc460422962" w:history="1">
            <w:r w:rsidR="00536981" w:rsidRPr="006D4D6C">
              <w:rPr>
                <w:rStyle w:val="Hyperlink"/>
                <w:noProof/>
              </w:rPr>
              <w:t>Alignment of as-built ICT system to agreed business case</w:t>
            </w:r>
            <w:r w:rsidR="00536981">
              <w:rPr>
                <w:noProof/>
                <w:webHidden/>
              </w:rPr>
              <w:tab/>
            </w:r>
            <w:r w:rsidR="00536981">
              <w:rPr>
                <w:noProof/>
                <w:webHidden/>
              </w:rPr>
              <w:fldChar w:fldCharType="begin"/>
            </w:r>
            <w:r w:rsidR="00536981">
              <w:rPr>
                <w:noProof/>
                <w:webHidden/>
              </w:rPr>
              <w:instrText xml:space="preserve"> PAGEREF _Toc460422962 \h </w:instrText>
            </w:r>
            <w:r w:rsidR="00536981">
              <w:rPr>
                <w:noProof/>
                <w:webHidden/>
              </w:rPr>
            </w:r>
            <w:r w:rsidR="00536981">
              <w:rPr>
                <w:noProof/>
                <w:webHidden/>
              </w:rPr>
              <w:fldChar w:fldCharType="separate"/>
            </w:r>
            <w:r>
              <w:rPr>
                <w:noProof/>
                <w:webHidden/>
              </w:rPr>
              <w:t>7</w:t>
            </w:r>
            <w:r w:rsidR="00536981">
              <w:rPr>
                <w:noProof/>
                <w:webHidden/>
              </w:rPr>
              <w:fldChar w:fldCharType="end"/>
            </w:r>
          </w:hyperlink>
        </w:p>
        <w:p w14:paraId="04950A91" w14:textId="77777777" w:rsidR="00536981" w:rsidRDefault="00435FC3">
          <w:pPr>
            <w:pStyle w:val="TOC2"/>
            <w:rPr>
              <w:rFonts w:eastAsiaTheme="minorEastAsia"/>
              <w:noProof/>
              <w:sz w:val="22"/>
              <w:szCs w:val="22"/>
              <w:lang w:val="en-AU" w:eastAsia="en-AU"/>
            </w:rPr>
          </w:pPr>
          <w:hyperlink w:anchor="_Toc460422963" w:history="1">
            <w:r w:rsidR="00536981" w:rsidRPr="006D4D6C">
              <w:rPr>
                <w:rStyle w:val="Hyperlink"/>
                <w:noProof/>
              </w:rPr>
              <w:t>Identified limitations of the ICT system</w:t>
            </w:r>
            <w:r w:rsidR="00536981">
              <w:rPr>
                <w:noProof/>
                <w:webHidden/>
              </w:rPr>
              <w:tab/>
            </w:r>
            <w:r w:rsidR="00536981">
              <w:rPr>
                <w:noProof/>
                <w:webHidden/>
              </w:rPr>
              <w:fldChar w:fldCharType="begin"/>
            </w:r>
            <w:r w:rsidR="00536981">
              <w:rPr>
                <w:noProof/>
                <w:webHidden/>
              </w:rPr>
              <w:instrText xml:space="preserve"> PAGEREF _Toc460422963 \h </w:instrText>
            </w:r>
            <w:r w:rsidR="00536981">
              <w:rPr>
                <w:noProof/>
                <w:webHidden/>
              </w:rPr>
            </w:r>
            <w:r w:rsidR="00536981">
              <w:rPr>
                <w:noProof/>
                <w:webHidden/>
              </w:rPr>
              <w:fldChar w:fldCharType="separate"/>
            </w:r>
            <w:r>
              <w:rPr>
                <w:noProof/>
                <w:webHidden/>
              </w:rPr>
              <w:t>7</w:t>
            </w:r>
            <w:r w:rsidR="00536981">
              <w:rPr>
                <w:noProof/>
                <w:webHidden/>
              </w:rPr>
              <w:fldChar w:fldCharType="end"/>
            </w:r>
          </w:hyperlink>
        </w:p>
        <w:p w14:paraId="64C31312" w14:textId="77777777" w:rsidR="00536981" w:rsidRDefault="00435FC3">
          <w:pPr>
            <w:pStyle w:val="TOC2"/>
            <w:rPr>
              <w:rFonts w:eastAsiaTheme="minorEastAsia"/>
              <w:noProof/>
              <w:sz w:val="22"/>
              <w:szCs w:val="22"/>
              <w:lang w:val="en-AU" w:eastAsia="en-AU"/>
            </w:rPr>
          </w:pPr>
          <w:hyperlink w:anchor="_Toc460422964" w:history="1">
            <w:r w:rsidR="00536981" w:rsidRPr="006D4D6C">
              <w:rPr>
                <w:rStyle w:val="Hyperlink"/>
                <w:noProof/>
              </w:rPr>
              <w:t>Adequacy of NDIA’s practices and business processes</w:t>
            </w:r>
            <w:r w:rsidR="00536981">
              <w:rPr>
                <w:noProof/>
                <w:webHidden/>
              </w:rPr>
              <w:tab/>
            </w:r>
            <w:r w:rsidR="00536981">
              <w:rPr>
                <w:noProof/>
                <w:webHidden/>
              </w:rPr>
              <w:fldChar w:fldCharType="begin"/>
            </w:r>
            <w:r w:rsidR="00536981">
              <w:rPr>
                <w:noProof/>
                <w:webHidden/>
              </w:rPr>
              <w:instrText xml:space="preserve"> PAGEREF _Toc460422964 \h </w:instrText>
            </w:r>
            <w:r w:rsidR="00536981">
              <w:rPr>
                <w:noProof/>
                <w:webHidden/>
              </w:rPr>
            </w:r>
            <w:r w:rsidR="00536981">
              <w:rPr>
                <w:noProof/>
                <w:webHidden/>
              </w:rPr>
              <w:fldChar w:fldCharType="separate"/>
            </w:r>
            <w:r>
              <w:rPr>
                <w:noProof/>
                <w:webHidden/>
              </w:rPr>
              <w:t>8</w:t>
            </w:r>
            <w:r w:rsidR="00536981">
              <w:rPr>
                <w:noProof/>
                <w:webHidden/>
              </w:rPr>
              <w:fldChar w:fldCharType="end"/>
            </w:r>
          </w:hyperlink>
        </w:p>
        <w:p w14:paraId="2ABF94CC" w14:textId="77777777" w:rsidR="00536981" w:rsidRDefault="00435FC3">
          <w:pPr>
            <w:pStyle w:val="TOC1"/>
            <w:rPr>
              <w:rFonts w:eastAsiaTheme="minorEastAsia"/>
              <w:b w:val="0"/>
              <w:noProof/>
              <w:color w:val="auto"/>
              <w:sz w:val="22"/>
              <w:szCs w:val="22"/>
              <w:lang w:val="en-AU" w:eastAsia="en-AU"/>
            </w:rPr>
          </w:pPr>
          <w:hyperlink w:anchor="_Toc460422965" w:history="1">
            <w:r w:rsidR="00536981" w:rsidRPr="006D4D6C">
              <w:rPr>
                <w:rStyle w:val="Hyperlink"/>
                <w:noProof/>
              </w:rPr>
              <w:t>Assessment of MyPlace Implementation</w:t>
            </w:r>
            <w:r w:rsidR="00536981">
              <w:rPr>
                <w:noProof/>
                <w:webHidden/>
              </w:rPr>
              <w:tab/>
            </w:r>
            <w:r w:rsidR="00536981">
              <w:rPr>
                <w:noProof/>
                <w:webHidden/>
              </w:rPr>
              <w:fldChar w:fldCharType="begin"/>
            </w:r>
            <w:r w:rsidR="00536981">
              <w:rPr>
                <w:noProof/>
                <w:webHidden/>
              </w:rPr>
              <w:instrText xml:space="preserve"> PAGEREF _Toc460422965 \h </w:instrText>
            </w:r>
            <w:r w:rsidR="00536981">
              <w:rPr>
                <w:noProof/>
                <w:webHidden/>
              </w:rPr>
            </w:r>
            <w:r w:rsidR="00536981">
              <w:rPr>
                <w:noProof/>
                <w:webHidden/>
              </w:rPr>
              <w:fldChar w:fldCharType="separate"/>
            </w:r>
            <w:r>
              <w:rPr>
                <w:noProof/>
                <w:webHidden/>
              </w:rPr>
              <w:t>11</w:t>
            </w:r>
            <w:r w:rsidR="00536981">
              <w:rPr>
                <w:noProof/>
                <w:webHidden/>
              </w:rPr>
              <w:fldChar w:fldCharType="end"/>
            </w:r>
          </w:hyperlink>
        </w:p>
        <w:p w14:paraId="12BC283C" w14:textId="77777777" w:rsidR="00536981" w:rsidRDefault="00435FC3">
          <w:pPr>
            <w:pStyle w:val="TOC2"/>
            <w:rPr>
              <w:rFonts w:eastAsiaTheme="minorEastAsia"/>
              <w:noProof/>
              <w:sz w:val="22"/>
              <w:szCs w:val="22"/>
              <w:lang w:val="en-AU" w:eastAsia="en-AU"/>
            </w:rPr>
          </w:pPr>
          <w:hyperlink w:anchor="_Toc460422966" w:history="1">
            <w:r w:rsidR="00536981" w:rsidRPr="006D4D6C">
              <w:rPr>
                <w:rStyle w:val="Hyperlink"/>
                <w:noProof/>
              </w:rPr>
              <w:t>Observations</w:t>
            </w:r>
            <w:r w:rsidR="00536981">
              <w:rPr>
                <w:noProof/>
                <w:webHidden/>
              </w:rPr>
              <w:tab/>
            </w:r>
            <w:r w:rsidR="00536981">
              <w:rPr>
                <w:noProof/>
                <w:webHidden/>
              </w:rPr>
              <w:fldChar w:fldCharType="begin"/>
            </w:r>
            <w:r w:rsidR="00536981">
              <w:rPr>
                <w:noProof/>
                <w:webHidden/>
              </w:rPr>
              <w:instrText xml:space="preserve"> PAGEREF _Toc460422966 \h </w:instrText>
            </w:r>
            <w:r w:rsidR="00536981">
              <w:rPr>
                <w:noProof/>
                <w:webHidden/>
              </w:rPr>
            </w:r>
            <w:r w:rsidR="00536981">
              <w:rPr>
                <w:noProof/>
                <w:webHidden/>
              </w:rPr>
              <w:fldChar w:fldCharType="separate"/>
            </w:r>
            <w:r>
              <w:rPr>
                <w:noProof/>
                <w:webHidden/>
              </w:rPr>
              <w:t>11</w:t>
            </w:r>
            <w:r w:rsidR="00536981">
              <w:rPr>
                <w:noProof/>
                <w:webHidden/>
              </w:rPr>
              <w:fldChar w:fldCharType="end"/>
            </w:r>
          </w:hyperlink>
        </w:p>
        <w:p w14:paraId="57603C45" w14:textId="77777777" w:rsidR="00536981" w:rsidRDefault="00435FC3">
          <w:pPr>
            <w:pStyle w:val="TOC2"/>
            <w:rPr>
              <w:rFonts w:eastAsiaTheme="minorEastAsia"/>
              <w:noProof/>
              <w:sz w:val="22"/>
              <w:szCs w:val="22"/>
              <w:lang w:val="en-AU" w:eastAsia="en-AU"/>
            </w:rPr>
          </w:pPr>
          <w:hyperlink w:anchor="_Toc460422967" w:history="1">
            <w:r w:rsidR="00536981" w:rsidRPr="006D4D6C">
              <w:rPr>
                <w:rStyle w:val="Hyperlink"/>
                <w:noProof/>
              </w:rPr>
              <w:t>Key issues going forward</w:t>
            </w:r>
            <w:r w:rsidR="00536981">
              <w:rPr>
                <w:noProof/>
                <w:webHidden/>
              </w:rPr>
              <w:tab/>
            </w:r>
            <w:r w:rsidR="00536981">
              <w:rPr>
                <w:noProof/>
                <w:webHidden/>
              </w:rPr>
              <w:fldChar w:fldCharType="begin"/>
            </w:r>
            <w:r w:rsidR="00536981">
              <w:rPr>
                <w:noProof/>
                <w:webHidden/>
              </w:rPr>
              <w:instrText xml:space="preserve"> PAGEREF _Toc460422967 \h </w:instrText>
            </w:r>
            <w:r w:rsidR="00536981">
              <w:rPr>
                <w:noProof/>
                <w:webHidden/>
              </w:rPr>
            </w:r>
            <w:r w:rsidR="00536981">
              <w:rPr>
                <w:noProof/>
                <w:webHidden/>
              </w:rPr>
              <w:fldChar w:fldCharType="separate"/>
            </w:r>
            <w:r>
              <w:rPr>
                <w:noProof/>
                <w:webHidden/>
              </w:rPr>
              <w:t>12</w:t>
            </w:r>
            <w:r w:rsidR="00536981">
              <w:rPr>
                <w:noProof/>
                <w:webHidden/>
              </w:rPr>
              <w:fldChar w:fldCharType="end"/>
            </w:r>
          </w:hyperlink>
        </w:p>
        <w:p w14:paraId="21F4FEEE" w14:textId="77777777" w:rsidR="00536981" w:rsidRDefault="00435FC3">
          <w:pPr>
            <w:pStyle w:val="TOC2"/>
            <w:rPr>
              <w:rFonts w:eastAsiaTheme="minorEastAsia"/>
              <w:noProof/>
              <w:sz w:val="22"/>
              <w:szCs w:val="22"/>
              <w:lang w:val="en-AU" w:eastAsia="en-AU"/>
            </w:rPr>
          </w:pPr>
          <w:hyperlink w:anchor="_Toc460422968" w:history="1">
            <w:r w:rsidR="00536981" w:rsidRPr="006D4D6C">
              <w:rPr>
                <w:rStyle w:val="Hyperlink"/>
                <w:noProof/>
              </w:rPr>
              <w:t>Conclusions</w:t>
            </w:r>
            <w:r w:rsidR="00536981">
              <w:rPr>
                <w:noProof/>
                <w:webHidden/>
              </w:rPr>
              <w:tab/>
            </w:r>
            <w:r w:rsidR="00536981">
              <w:rPr>
                <w:noProof/>
                <w:webHidden/>
              </w:rPr>
              <w:fldChar w:fldCharType="begin"/>
            </w:r>
            <w:r w:rsidR="00536981">
              <w:rPr>
                <w:noProof/>
                <w:webHidden/>
              </w:rPr>
              <w:instrText xml:space="preserve"> PAGEREF _Toc460422968 \h </w:instrText>
            </w:r>
            <w:r w:rsidR="00536981">
              <w:rPr>
                <w:noProof/>
                <w:webHidden/>
              </w:rPr>
            </w:r>
            <w:r w:rsidR="00536981">
              <w:rPr>
                <w:noProof/>
                <w:webHidden/>
              </w:rPr>
              <w:fldChar w:fldCharType="separate"/>
            </w:r>
            <w:r>
              <w:rPr>
                <w:noProof/>
                <w:webHidden/>
              </w:rPr>
              <w:t>12</w:t>
            </w:r>
            <w:r w:rsidR="00536981">
              <w:rPr>
                <w:noProof/>
                <w:webHidden/>
              </w:rPr>
              <w:fldChar w:fldCharType="end"/>
            </w:r>
          </w:hyperlink>
        </w:p>
        <w:p w14:paraId="4EE4BE76" w14:textId="77777777" w:rsidR="00536981" w:rsidRDefault="00435FC3">
          <w:pPr>
            <w:pStyle w:val="TOC1"/>
            <w:rPr>
              <w:rFonts w:eastAsiaTheme="minorEastAsia"/>
              <w:b w:val="0"/>
              <w:noProof/>
              <w:color w:val="auto"/>
              <w:sz w:val="22"/>
              <w:szCs w:val="22"/>
              <w:lang w:val="en-AU" w:eastAsia="en-AU"/>
            </w:rPr>
          </w:pPr>
          <w:hyperlink w:anchor="_Toc460422969" w:history="1">
            <w:r w:rsidR="00536981" w:rsidRPr="006D4D6C">
              <w:rPr>
                <w:rStyle w:val="Hyperlink"/>
                <w:noProof/>
              </w:rPr>
              <w:t>Recommendations</w:t>
            </w:r>
            <w:r w:rsidR="00536981">
              <w:rPr>
                <w:noProof/>
                <w:webHidden/>
              </w:rPr>
              <w:tab/>
            </w:r>
            <w:r w:rsidR="00536981">
              <w:rPr>
                <w:noProof/>
                <w:webHidden/>
              </w:rPr>
              <w:fldChar w:fldCharType="begin"/>
            </w:r>
            <w:r w:rsidR="00536981">
              <w:rPr>
                <w:noProof/>
                <w:webHidden/>
              </w:rPr>
              <w:instrText xml:space="preserve"> PAGEREF _Toc460422969 \h </w:instrText>
            </w:r>
            <w:r w:rsidR="00536981">
              <w:rPr>
                <w:noProof/>
                <w:webHidden/>
              </w:rPr>
            </w:r>
            <w:r w:rsidR="00536981">
              <w:rPr>
                <w:noProof/>
                <w:webHidden/>
              </w:rPr>
              <w:fldChar w:fldCharType="separate"/>
            </w:r>
            <w:r>
              <w:rPr>
                <w:noProof/>
                <w:webHidden/>
              </w:rPr>
              <w:t>13</w:t>
            </w:r>
            <w:r w:rsidR="00536981">
              <w:rPr>
                <w:noProof/>
                <w:webHidden/>
              </w:rPr>
              <w:fldChar w:fldCharType="end"/>
            </w:r>
          </w:hyperlink>
        </w:p>
        <w:p w14:paraId="386B9214" w14:textId="77777777" w:rsidR="00536981" w:rsidRDefault="00435FC3">
          <w:pPr>
            <w:pStyle w:val="TOC2"/>
            <w:rPr>
              <w:rFonts w:eastAsiaTheme="minorEastAsia"/>
              <w:noProof/>
              <w:sz w:val="22"/>
              <w:szCs w:val="22"/>
              <w:lang w:val="en-AU" w:eastAsia="en-AU"/>
            </w:rPr>
          </w:pPr>
          <w:hyperlink w:anchor="_Toc460422970" w:history="1">
            <w:r w:rsidR="00536981" w:rsidRPr="006D4D6C">
              <w:rPr>
                <w:rStyle w:val="Hyperlink"/>
                <w:noProof/>
              </w:rPr>
              <w:t>R1. Implement and embed the Service Delivery Operating Model</w:t>
            </w:r>
            <w:r w:rsidR="00536981">
              <w:rPr>
                <w:noProof/>
                <w:webHidden/>
              </w:rPr>
              <w:tab/>
            </w:r>
            <w:r w:rsidR="00536981">
              <w:rPr>
                <w:noProof/>
                <w:webHidden/>
              </w:rPr>
              <w:fldChar w:fldCharType="begin"/>
            </w:r>
            <w:r w:rsidR="00536981">
              <w:rPr>
                <w:noProof/>
                <w:webHidden/>
              </w:rPr>
              <w:instrText xml:space="preserve"> PAGEREF _Toc460422970 \h </w:instrText>
            </w:r>
            <w:r w:rsidR="00536981">
              <w:rPr>
                <w:noProof/>
                <w:webHidden/>
              </w:rPr>
            </w:r>
            <w:r w:rsidR="00536981">
              <w:rPr>
                <w:noProof/>
                <w:webHidden/>
              </w:rPr>
              <w:fldChar w:fldCharType="separate"/>
            </w:r>
            <w:r>
              <w:rPr>
                <w:noProof/>
                <w:webHidden/>
              </w:rPr>
              <w:t>13</w:t>
            </w:r>
            <w:r w:rsidR="00536981">
              <w:rPr>
                <w:noProof/>
                <w:webHidden/>
              </w:rPr>
              <w:fldChar w:fldCharType="end"/>
            </w:r>
          </w:hyperlink>
        </w:p>
        <w:p w14:paraId="11CFE19C" w14:textId="77777777" w:rsidR="00536981" w:rsidRDefault="00435FC3">
          <w:pPr>
            <w:pStyle w:val="TOC2"/>
            <w:rPr>
              <w:rFonts w:eastAsiaTheme="minorEastAsia"/>
              <w:noProof/>
              <w:sz w:val="22"/>
              <w:szCs w:val="22"/>
              <w:lang w:val="en-AU" w:eastAsia="en-AU"/>
            </w:rPr>
          </w:pPr>
          <w:hyperlink w:anchor="_Toc460422971" w:history="1">
            <w:r w:rsidR="00536981" w:rsidRPr="006D4D6C">
              <w:rPr>
                <w:rStyle w:val="Hyperlink"/>
                <w:noProof/>
              </w:rPr>
              <w:t>R2. Enhance program management fundamentals including inter and intra-agency governance and an integrated program plan</w:t>
            </w:r>
            <w:r w:rsidR="00536981">
              <w:rPr>
                <w:noProof/>
                <w:webHidden/>
              </w:rPr>
              <w:tab/>
            </w:r>
            <w:r w:rsidR="00536981">
              <w:rPr>
                <w:noProof/>
                <w:webHidden/>
              </w:rPr>
              <w:fldChar w:fldCharType="begin"/>
            </w:r>
            <w:r w:rsidR="00536981">
              <w:rPr>
                <w:noProof/>
                <w:webHidden/>
              </w:rPr>
              <w:instrText xml:space="preserve"> PAGEREF _Toc460422971 \h </w:instrText>
            </w:r>
            <w:r w:rsidR="00536981">
              <w:rPr>
                <w:noProof/>
                <w:webHidden/>
              </w:rPr>
            </w:r>
            <w:r w:rsidR="00536981">
              <w:rPr>
                <w:noProof/>
                <w:webHidden/>
              </w:rPr>
              <w:fldChar w:fldCharType="separate"/>
            </w:r>
            <w:r>
              <w:rPr>
                <w:noProof/>
                <w:webHidden/>
              </w:rPr>
              <w:t>14</w:t>
            </w:r>
            <w:r w:rsidR="00536981">
              <w:rPr>
                <w:noProof/>
                <w:webHidden/>
              </w:rPr>
              <w:fldChar w:fldCharType="end"/>
            </w:r>
          </w:hyperlink>
        </w:p>
        <w:p w14:paraId="6F0ED710" w14:textId="77777777" w:rsidR="00536981" w:rsidRDefault="00435FC3">
          <w:pPr>
            <w:pStyle w:val="TOC2"/>
            <w:rPr>
              <w:rFonts w:eastAsiaTheme="minorEastAsia"/>
              <w:noProof/>
              <w:sz w:val="22"/>
              <w:szCs w:val="22"/>
              <w:lang w:val="en-AU" w:eastAsia="en-AU"/>
            </w:rPr>
          </w:pPr>
          <w:hyperlink w:anchor="_Toc460422972" w:history="1">
            <w:r w:rsidR="00536981" w:rsidRPr="006D4D6C">
              <w:rPr>
                <w:rStyle w:val="Hyperlink"/>
                <w:noProof/>
              </w:rPr>
              <w:t>R3. Monitor payments and service recovery against agreed performance metrics</w:t>
            </w:r>
            <w:r w:rsidR="00536981">
              <w:rPr>
                <w:noProof/>
                <w:webHidden/>
              </w:rPr>
              <w:tab/>
            </w:r>
            <w:r w:rsidR="00536981">
              <w:rPr>
                <w:noProof/>
                <w:webHidden/>
              </w:rPr>
              <w:fldChar w:fldCharType="begin"/>
            </w:r>
            <w:r w:rsidR="00536981">
              <w:rPr>
                <w:noProof/>
                <w:webHidden/>
              </w:rPr>
              <w:instrText xml:space="preserve"> PAGEREF _Toc460422972 \h </w:instrText>
            </w:r>
            <w:r w:rsidR="00536981">
              <w:rPr>
                <w:noProof/>
                <w:webHidden/>
              </w:rPr>
            </w:r>
            <w:r w:rsidR="00536981">
              <w:rPr>
                <w:noProof/>
                <w:webHidden/>
              </w:rPr>
              <w:fldChar w:fldCharType="separate"/>
            </w:r>
            <w:r>
              <w:rPr>
                <w:noProof/>
                <w:webHidden/>
              </w:rPr>
              <w:t>15</w:t>
            </w:r>
            <w:r w:rsidR="00536981">
              <w:rPr>
                <w:noProof/>
                <w:webHidden/>
              </w:rPr>
              <w:fldChar w:fldCharType="end"/>
            </w:r>
          </w:hyperlink>
        </w:p>
        <w:p w14:paraId="275D8643" w14:textId="77777777" w:rsidR="00536981" w:rsidRDefault="00435FC3">
          <w:pPr>
            <w:pStyle w:val="TOC2"/>
            <w:rPr>
              <w:rFonts w:eastAsiaTheme="minorEastAsia"/>
              <w:noProof/>
              <w:sz w:val="22"/>
              <w:szCs w:val="22"/>
              <w:lang w:val="en-AU" w:eastAsia="en-AU"/>
            </w:rPr>
          </w:pPr>
          <w:hyperlink w:anchor="_Toc460422973" w:history="1">
            <w:r w:rsidR="00536981" w:rsidRPr="006D4D6C">
              <w:rPr>
                <w:rStyle w:val="Hyperlink"/>
                <w:noProof/>
              </w:rPr>
              <w:t>R4. Review the resourcing model for Full Scheme Transition</w:t>
            </w:r>
            <w:r w:rsidR="00536981">
              <w:rPr>
                <w:noProof/>
                <w:webHidden/>
              </w:rPr>
              <w:tab/>
            </w:r>
            <w:r w:rsidR="00536981">
              <w:rPr>
                <w:noProof/>
                <w:webHidden/>
              </w:rPr>
              <w:fldChar w:fldCharType="begin"/>
            </w:r>
            <w:r w:rsidR="00536981">
              <w:rPr>
                <w:noProof/>
                <w:webHidden/>
              </w:rPr>
              <w:instrText xml:space="preserve"> PAGEREF _Toc460422973 \h </w:instrText>
            </w:r>
            <w:r w:rsidR="00536981">
              <w:rPr>
                <w:noProof/>
                <w:webHidden/>
              </w:rPr>
            </w:r>
            <w:r w:rsidR="00536981">
              <w:rPr>
                <w:noProof/>
                <w:webHidden/>
              </w:rPr>
              <w:fldChar w:fldCharType="separate"/>
            </w:r>
            <w:r>
              <w:rPr>
                <w:noProof/>
                <w:webHidden/>
              </w:rPr>
              <w:t>15</w:t>
            </w:r>
            <w:r w:rsidR="00536981">
              <w:rPr>
                <w:noProof/>
                <w:webHidden/>
              </w:rPr>
              <w:fldChar w:fldCharType="end"/>
            </w:r>
          </w:hyperlink>
        </w:p>
        <w:p w14:paraId="49F47F26" w14:textId="77777777" w:rsidR="00536981" w:rsidRDefault="00435FC3">
          <w:pPr>
            <w:pStyle w:val="TOC2"/>
            <w:rPr>
              <w:rFonts w:eastAsiaTheme="minorEastAsia"/>
              <w:noProof/>
              <w:sz w:val="22"/>
              <w:szCs w:val="22"/>
              <w:lang w:val="en-AU" w:eastAsia="en-AU"/>
            </w:rPr>
          </w:pPr>
          <w:hyperlink w:anchor="_Toc460422974" w:history="1">
            <w:r w:rsidR="00536981" w:rsidRPr="006D4D6C">
              <w:rPr>
                <w:rStyle w:val="Hyperlink"/>
                <w:noProof/>
              </w:rPr>
              <w:t>R5. Undertake a comprehensive Stakeholder and Change Impact Assessment</w:t>
            </w:r>
            <w:r w:rsidR="00536981">
              <w:rPr>
                <w:noProof/>
                <w:webHidden/>
              </w:rPr>
              <w:tab/>
            </w:r>
            <w:r w:rsidR="00536981">
              <w:rPr>
                <w:noProof/>
                <w:webHidden/>
              </w:rPr>
              <w:fldChar w:fldCharType="begin"/>
            </w:r>
            <w:r w:rsidR="00536981">
              <w:rPr>
                <w:noProof/>
                <w:webHidden/>
              </w:rPr>
              <w:instrText xml:space="preserve"> PAGEREF _Toc460422974 \h </w:instrText>
            </w:r>
            <w:r w:rsidR="00536981">
              <w:rPr>
                <w:noProof/>
                <w:webHidden/>
              </w:rPr>
            </w:r>
            <w:r w:rsidR="00536981">
              <w:rPr>
                <w:noProof/>
                <w:webHidden/>
              </w:rPr>
              <w:fldChar w:fldCharType="separate"/>
            </w:r>
            <w:r>
              <w:rPr>
                <w:noProof/>
                <w:webHidden/>
              </w:rPr>
              <w:t>16</w:t>
            </w:r>
            <w:r w:rsidR="00536981">
              <w:rPr>
                <w:noProof/>
                <w:webHidden/>
              </w:rPr>
              <w:fldChar w:fldCharType="end"/>
            </w:r>
          </w:hyperlink>
        </w:p>
        <w:p w14:paraId="43BEA13B" w14:textId="77777777" w:rsidR="00536981" w:rsidRDefault="00435FC3">
          <w:pPr>
            <w:pStyle w:val="TOC2"/>
            <w:rPr>
              <w:rFonts w:eastAsiaTheme="minorEastAsia"/>
              <w:noProof/>
              <w:sz w:val="22"/>
              <w:szCs w:val="22"/>
              <w:lang w:val="en-AU" w:eastAsia="en-AU"/>
            </w:rPr>
          </w:pPr>
          <w:hyperlink w:anchor="_Toc460422975" w:history="1">
            <w:r w:rsidR="00536981" w:rsidRPr="006D4D6C">
              <w:rPr>
                <w:rStyle w:val="Hyperlink"/>
                <w:noProof/>
              </w:rPr>
              <w:t>R6. Tailor and measure the Change Management approach</w:t>
            </w:r>
            <w:r w:rsidR="00536981">
              <w:rPr>
                <w:noProof/>
                <w:webHidden/>
              </w:rPr>
              <w:tab/>
            </w:r>
            <w:r w:rsidR="00536981">
              <w:rPr>
                <w:noProof/>
                <w:webHidden/>
              </w:rPr>
              <w:fldChar w:fldCharType="begin"/>
            </w:r>
            <w:r w:rsidR="00536981">
              <w:rPr>
                <w:noProof/>
                <w:webHidden/>
              </w:rPr>
              <w:instrText xml:space="preserve"> PAGEREF _Toc460422975 \h </w:instrText>
            </w:r>
            <w:r w:rsidR="00536981">
              <w:rPr>
                <w:noProof/>
                <w:webHidden/>
              </w:rPr>
            </w:r>
            <w:r w:rsidR="00536981">
              <w:rPr>
                <w:noProof/>
                <w:webHidden/>
              </w:rPr>
              <w:fldChar w:fldCharType="separate"/>
            </w:r>
            <w:r>
              <w:rPr>
                <w:noProof/>
                <w:webHidden/>
              </w:rPr>
              <w:t>16</w:t>
            </w:r>
            <w:r w:rsidR="00536981">
              <w:rPr>
                <w:noProof/>
                <w:webHidden/>
              </w:rPr>
              <w:fldChar w:fldCharType="end"/>
            </w:r>
          </w:hyperlink>
        </w:p>
        <w:p w14:paraId="033C38C4" w14:textId="77777777" w:rsidR="00536981" w:rsidRDefault="00435FC3">
          <w:pPr>
            <w:pStyle w:val="TOC1"/>
            <w:rPr>
              <w:rFonts w:eastAsiaTheme="minorEastAsia"/>
              <w:b w:val="0"/>
              <w:noProof/>
              <w:color w:val="auto"/>
              <w:sz w:val="22"/>
              <w:szCs w:val="22"/>
              <w:lang w:val="en-AU" w:eastAsia="en-AU"/>
            </w:rPr>
          </w:pPr>
          <w:hyperlink w:anchor="_Toc460422976" w:history="1">
            <w:r w:rsidR="00536981" w:rsidRPr="006D4D6C">
              <w:rPr>
                <w:rStyle w:val="Hyperlink"/>
                <w:rFonts w:cs="Times New Roman"/>
                <w:noProof/>
                <w:snapToGrid w:val="0"/>
                <w:w w:val="0"/>
              </w:rPr>
              <w:t>Appendix A. -</w:t>
            </w:r>
            <w:r w:rsidR="00536981" w:rsidRPr="006D4D6C">
              <w:rPr>
                <w:rStyle w:val="Hyperlink"/>
                <w:noProof/>
              </w:rPr>
              <w:t xml:space="preserve"> Glossary</w:t>
            </w:r>
            <w:r w:rsidR="00536981">
              <w:rPr>
                <w:noProof/>
                <w:webHidden/>
              </w:rPr>
              <w:tab/>
            </w:r>
            <w:r w:rsidR="00536981">
              <w:rPr>
                <w:noProof/>
                <w:webHidden/>
              </w:rPr>
              <w:fldChar w:fldCharType="begin"/>
            </w:r>
            <w:r w:rsidR="00536981">
              <w:rPr>
                <w:noProof/>
                <w:webHidden/>
              </w:rPr>
              <w:instrText xml:space="preserve"> PAGEREF _Toc460422976 \h </w:instrText>
            </w:r>
            <w:r w:rsidR="00536981">
              <w:rPr>
                <w:noProof/>
                <w:webHidden/>
              </w:rPr>
            </w:r>
            <w:r w:rsidR="00536981">
              <w:rPr>
                <w:noProof/>
                <w:webHidden/>
              </w:rPr>
              <w:fldChar w:fldCharType="separate"/>
            </w:r>
            <w:r>
              <w:rPr>
                <w:noProof/>
                <w:webHidden/>
              </w:rPr>
              <w:t>17</w:t>
            </w:r>
            <w:r w:rsidR="00536981">
              <w:rPr>
                <w:noProof/>
                <w:webHidden/>
              </w:rPr>
              <w:fldChar w:fldCharType="end"/>
            </w:r>
          </w:hyperlink>
        </w:p>
        <w:p w14:paraId="385A72FF" w14:textId="77777777" w:rsidR="00536981" w:rsidRDefault="00435FC3">
          <w:pPr>
            <w:pStyle w:val="TOC2"/>
            <w:rPr>
              <w:rFonts w:eastAsiaTheme="minorEastAsia"/>
              <w:noProof/>
              <w:sz w:val="22"/>
              <w:szCs w:val="22"/>
              <w:lang w:val="en-AU" w:eastAsia="en-AU"/>
            </w:rPr>
          </w:pPr>
          <w:hyperlink w:anchor="_Toc460422977" w:history="1">
            <w:r w:rsidR="00536981" w:rsidRPr="006D4D6C">
              <w:rPr>
                <w:rStyle w:val="Hyperlink"/>
                <w:noProof/>
              </w:rPr>
              <w:t>A.1. Glossary</w:t>
            </w:r>
            <w:r w:rsidR="00536981">
              <w:rPr>
                <w:noProof/>
                <w:webHidden/>
              </w:rPr>
              <w:tab/>
            </w:r>
            <w:r w:rsidR="00536981">
              <w:rPr>
                <w:noProof/>
                <w:webHidden/>
              </w:rPr>
              <w:fldChar w:fldCharType="begin"/>
            </w:r>
            <w:r w:rsidR="00536981">
              <w:rPr>
                <w:noProof/>
                <w:webHidden/>
              </w:rPr>
              <w:instrText xml:space="preserve"> PAGEREF _Toc460422977 \h </w:instrText>
            </w:r>
            <w:r w:rsidR="00536981">
              <w:rPr>
                <w:noProof/>
                <w:webHidden/>
              </w:rPr>
            </w:r>
            <w:r w:rsidR="00536981">
              <w:rPr>
                <w:noProof/>
                <w:webHidden/>
              </w:rPr>
              <w:fldChar w:fldCharType="separate"/>
            </w:r>
            <w:r>
              <w:rPr>
                <w:noProof/>
                <w:webHidden/>
              </w:rPr>
              <w:t>17</w:t>
            </w:r>
            <w:r w:rsidR="00536981">
              <w:rPr>
                <w:noProof/>
                <w:webHidden/>
              </w:rPr>
              <w:fldChar w:fldCharType="end"/>
            </w:r>
          </w:hyperlink>
        </w:p>
        <w:p w14:paraId="00FA7889" w14:textId="77777777" w:rsidR="00536981" w:rsidRDefault="00435FC3">
          <w:pPr>
            <w:pStyle w:val="TOC1"/>
            <w:rPr>
              <w:rFonts w:eastAsiaTheme="minorEastAsia"/>
              <w:b w:val="0"/>
              <w:noProof/>
              <w:color w:val="auto"/>
              <w:sz w:val="22"/>
              <w:szCs w:val="22"/>
              <w:lang w:val="en-AU" w:eastAsia="en-AU"/>
            </w:rPr>
          </w:pPr>
          <w:hyperlink w:anchor="_Toc460422978" w:history="1">
            <w:r w:rsidR="00536981" w:rsidRPr="006D4D6C">
              <w:rPr>
                <w:rStyle w:val="Hyperlink"/>
                <w:rFonts w:cs="Times New Roman"/>
                <w:noProof/>
                <w:snapToGrid w:val="0"/>
                <w:w w:val="0"/>
              </w:rPr>
              <w:t>Appendix B. -</w:t>
            </w:r>
            <w:r w:rsidR="00536981" w:rsidRPr="006D4D6C">
              <w:rPr>
                <w:rStyle w:val="Hyperlink"/>
                <w:noProof/>
              </w:rPr>
              <w:t xml:space="preserve"> Governance</w:t>
            </w:r>
            <w:r w:rsidR="00536981">
              <w:rPr>
                <w:noProof/>
                <w:webHidden/>
              </w:rPr>
              <w:tab/>
            </w:r>
            <w:r w:rsidR="00536981">
              <w:rPr>
                <w:noProof/>
                <w:webHidden/>
              </w:rPr>
              <w:fldChar w:fldCharType="begin"/>
            </w:r>
            <w:r w:rsidR="00536981">
              <w:rPr>
                <w:noProof/>
                <w:webHidden/>
              </w:rPr>
              <w:instrText xml:space="preserve"> PAGEREF _Toc460422978 \h </w:instrText>
            </w:r>
            <w:r w:rsidR="00536981">
              <w:rPr>
                <w:noProof/>
                <w:webHidden/>
              </w:rPr>
            </w:r>
            <w:r w:rsidR="00536981">
              <w:rPr>
                <w:noProof/>
                <w:webHidden/>
              </w:rPr>
              <w:fldChar w:fldCharType="separate"/>
            </w:r>
            <w:r>
              <w:rPr>
                <w:noProof/>
                <w:webHidden/>
              </w:rPr>
              <w:t>18</w:t>
            </w:r>
            <w:r w:rsidR="00536981">
              <w:rPr>
                <w:noProof/>
                <w:webHidden/>
              </w:rPr>
              <w:fldChar w:fldCharType="end"/>
            </w:r>
          </w:hyperlink>
        </w:p>
        <w:p w14:paraId="23EEC65C" w14:textId="77777777" w:rsidR="00536981" w:rsidRDefault="00435FC3">
          <w:pPr>
            <w:pStyle w:val="TOC2"/>
            <w:rPr>
              <w:rFonts w:eastAsiaTheme="minorEastAsia"/>
              <w:noProof/>
              <w:sz w:val="22"/>
              <w:szCs w:val="22"/>
              <w:lang w:val="en-AU" w:eastAsia="en-AU"/>
            </w:rPr>
          </w:pPr>
          <w:hyperlink w:anchor="_Toc460422979" w:history="1">
            <w:r w:rsidR="00536981" w:rsidRPr="006D4D6C">
              <w:rPr>
                <w:rStyle w:val="Hyperlink"/>
                <w:noProof/>
              </w:rPr>
              <w:t>B.1. NDIA Governance Structure</w:t>
            </w:r>
            <w:r w:rsidR="00536981">
              <w:rPr>
                <w:noProof/>
                <w:webHidden/>
              </w:rPr>
              <w:tab/>
            </w:r>
            <w:r w:rsidR="00536981">
              <w:rPr>
                <w:noProof/>
                <w:webHidden/>
              </w:rPr>
              <w:fldChar w:fldCharType="begin"/>
            </w:r>
            <w:r w:rsidR="00536981">
              <w:rPr>
                <w:noProof/>
                <w:webHidden/>
              </w:rPr>
              <w:instrText xml:space="preserve"> PAGEREF _Toc460422979 \h </w:instrText>
            </w:r>
            <w:r w:rsidR="00536981">
              <w:rPr>
                <w:noProof/>
                <w:webHidden/>
              </w:rPr>
            </w:r>
            <w:r w:rsidR="00536981">
              <w:rPr>
                <w:noProof/>
                <w:webHidden/>
              </w:rPr>
              <w:fldChar w:fldCharType="separate"/>
            </w:r>
            <w:r>
              <w:rPr>
                <w:noProof/>
                <w:webHidden/>
              </w:rPr>
              <w:t>18</w:t>
            </w:r>
            <w:r w:rsidR="00536981">
              <w:rPr>
                <w:noProof/>
                <w:webHidden/>
              </w:rPr>
              <w:fldChar w:fldCharType="end"/>
            </w:r>
          </w:hyperlink>
        </w:p>
        <w:p w14:paraId="70A9E886" w14:textId="5E7878AC" w:rsidR="007F02F6" w:rsidRDefault="007F02F6">
          <w:r>
            <w:rPr>
              <w:b/>
              <w:bCs/>
              <w:noProof/>
            </w:rPr>
            <w:fldChar w:fldCharType="end"/>
          </w:r>
        </w:p>
      </w:sdtContent>
    </w:sdt>
    <w:p w14:paraId="302FEADF" w14:textId="69BE113E" w:rsidR="00D223A4" w:rsidRDefault="00D223A4">
      <w:pPr>
        <w:spacing w:line="259" w:lineRule="auto"/>
        <w:rPr>
          <w:rFonts w:asciiTheme="majorHAnsi" w:eastAsiaTheme="majorEastAsia" w:hAnsiTheme="majorHAnsi" w:cstheme="majorBidi"/>
          <w:b/>
          <w:i/>
          <w:color w:val="821A1A" w:themeColor="text2"/>
          <w:sz w:val="32"/>
          <w:szCs w:val="32"/>
        </w:rPr>
      </w:pPr>
      <w:r>
        <w:br w:type="page"/>
      </w:r>
    </w:p>
    <w:p w14:paraId="3952334C" w14:textId="77777777" w:rsidR="00BA7499" w:rsidRPr="00E50964" w:rsidRDefault="002F58E2" w:rsidP="00E80CB8">
      <w:pPr>
        <w:pStyle w:val="ExhibitHeading1"/>
        <w:numPr>
          <w:ilvl w:val="0"/>
          <w:numId w:val="0"/>
        </w:numPr>
        <w:spacing w:after="360"/>
        <w:rPr>
          <w:color w:val="821A1A" w:themeColor="accent1"/>
        </w:rPr>
      </w:pPr>
      <w:bookmarkStart w:id="0" w:name="_Toc460422954"/>
      <w:r w:rsidRPr="006D369B">
        <w:rPr>
          <w:color w:val="821A1A" w:themeColor="accent1"/>
          <w:sz w:val="40"/>
        </w:rPr>
        <w:lastRenderedPageBreak/>
        <w:t>Executive Summary</w:t>
      </w:r>
      <w:bookmarkEnd w:id="0"/>
    </w:p>
    <w:p w14:paraId="59B2ECDC" w14:textId="7C2480B1" w:rsidR="00B84C96" w:rsidRPr="000851F6" w:rsidRDefault="007D01A8" w:rsidP="00B84C96">
      <w:pPr>
        <w:pStyle w:val="Non-numberedHeading2"/>
        <w:rPr>
          <w:sz w:val="24"/>
          <w:szCs w:val="28"/>
        </w:rPr>
      </w:pPr>
      <w:bookmarkStart w:id="1" w:name="_Toc460422955"/>
      <w:r>
        <w:rPr>
          <w:sz w:val="24"/>
          <w:szCs w:val="28"/>
        </w:rPr>
        <w:t>Terms of Reference</w:t>
      </w:r>
      <w:bookmarkEnd w:id="1"/>
    </w:p>
    <w:p w14:paraId="29FC2B0D" w14:textId="77777777" w:rsidR="00014E5B" w:rsidRPr="003227DD" w:rsidRDefault="00014E5B" w:rsidP="00014E5B">
      <w:pPr>
        <w:pStyle w:val="BodyText"/>
        <w:numPr>
          <w:ilvl w:val="0"/>
          <w:numId w:val="13"/>
        </w:numPr>
        <w:rPr>
          <w:rFonts w:ascii="Georgia" w:hAnsi="Georgia"/>
        </w:rPr>
      </w:pPr>
      <w:r w:rsidRPr="003227DD">
        <w:rPr>
          <w:rFonts w:ascii="Georgia" w:hAnsi="Georgia"/>
        </w:rPr>
        <w:t>Whether the ICT system has been built according to the agreed business case and government outcomes, including the NDIA Participant and Provider Portals, the Participant Plan components and Payment Engine, to ensure it meets the requirements set out for transition and full scheme.</w:t>
      </w:r>
    </w:p>
    <w:p w14:paraId="4A0C49B2" w14:textId="77777777" w:rsidR="00014E5B" w:rsidRPr="002D15DE" w:rsidRDefault="00014E5B" w:rsidP="005B3451">
      <w:pPr>
        <w:pStyle w:val="ListParagraph"/>
        <w:ind w:left="502"/>
        <w:rPr>
          <w:b/>
        </w:rPr>
      </w:pPr>
      <w:r w:rsidRPr="002D15DE">
        <w:rPr>
          <w:rFonts w:eastAsia="Georgia" w:cs="Georgia"/>
          <w:b/>
        </w:rPr>
        <w:t>Based on the available evidence sighted and interviews conducted, we have found that the ICT system has been built according to the agreed business case and government outcomes.</w:t>
      </w:r>
    </w:p>
    <w:p w14:paraId="5473FF70" w14:textId="77777777" w:rsidR="00014E5B" w:rsidRPr="002D15DE" w:rsidRDefault="00014E5B" w:rsidP="00014E5B">
      <w:pPr>
        <w:pStyle w:val="BodyText"/>
        <w:numPr>
          <w:ilvl w:val="0"/>
          <w:numId w:val="13"/>
        </w:numPr>
        <w:rPr>
          <w:rFonts w:ascii="Georgia" w:hAnsi="Georgia" w:cs="Arial"/>
        </w:rPr>
      </w:pPr>
      <w:r w:rsidRPr="003227DD">
        <w:rPr>
          <w:rFonts w:ascii="Georgia" w:hAnsi="Georgia"/>
        </w:rPr>
        <w:t>Identification of any limitations in the ICT system and gaps for further development.</w:t>
      </w:r>
    </w:p>
    <w:p w14:paraId="011B5A5C" w14:textId="77777777" w:rsidR="00014E5B" w:rsidRDefault="00014E5B" w:rsidP="005B3451">
      <w:pPr>
        <w:ind w:left="502"/>
        <w:rPr>
          <w:b/>
        </w:rPr>
      </w:pPr>
      <w:r>
        <w:rPr>
          <w:b/>
        </w:rPr>
        <w:t>Although</w:t>
      </w:r>
      <w:r w:rsidRPr="002D15DE">
        <w:rPr>
          <w:b/>
        </w:rPr>
        <w:t xml:space="preserve"> ICT system defects </w:t>
      </w:r>
      <w:r>
        <w:rPr>
          <w:b/>
        </w:rPr>
        <w:t xml:space="preserve">were </w:t>
      </w:r>
      <w:r w:rsidRPr="002D15DE">
        <w:rPr>
          <w:b/>
        </w:rPr>
        <w:t>identified that created gaps requiring further development, none of these defects prevented the implementation of the Minimum Viable Product (MVP).</w:t>
      </w:r>
    </w:p>
    <w:p w14:paraId="116639C4" w14:textId="77777777" w:rsidR="00014E5B" w:rsidRPr="003227DD" w:rsidRDefault="00014E5B" w:rsidP="00014E5B">
      <w:pPr>
        <w:pStyle w:val="BodyText"/>
        <w:numPr>
          <w:ilvl w:val="0"/>
          <w:numId w:val="13"/>
        </w:numPr>
        <w:rPr>
          <w:rFonts w:ascii="Georgia" w:hAnsi="Georgia"/>
        </w:rPr>
      </w:pPr>
      <w:r w:rsidRPr="003227DD">
        <w:rPr>
          <w:rFonts w:ascii="Georgia" w:hAnsi="Georgia"/>
        </w:rPr>
        <w:t>The adequacy of the NDIA’s practices and business processes to date in implementing the ICT system, including the sufficiency of communications and other supports designed to assist participants and providers with the use of the new system, training of NDIA staff and the sufficiency of the NDIA’s response to the issues arising from deployment of the new ICT system.</w:t>
      </w:r>
    </w:p>
    <w:p w14:paraId="19C2CC7A" w14:textId="10DE2E8A" w:rsidR="00014E5B" w:rsidRPr="00B21B09" w:rsidRDefault="00014E5B" w:rsidP="005B3451">
      <w:pPr>
        <w:ind w:left="502"/>
        <w:rPr>
          <w:b/>
        </w:rPr>
      </w:pPr>
      <w:r w:rsidRPr="00B21B09">
        <w:rPr>
          <w:b/>
        </w:rPr>
        <w:t>The NDIA has not implemented a comprehensive Service Delivery Operating Model (SDOM)</w:t>
      </w:r>
      <w:r w:rsidR="00E22E70">
        <w:rPr>
          <w:b/>
        </w:rPr>
        <w:t xml:space="preserve">. This </w:t>
      </w:r>
      <w:r w:rsidR="00E633F8">
        <w:rPr>
          <w:b/>
        </w:rPr>
        <w:t xml:space="preserve">has </w:t>
      </w:r>
      <w:r w:rsidR="00A70A76">
        <w:rPr>
          <w:b/>
        </w:rPr>
        <w:t xml:space="preserve">impacted </w:t>
      </w:r>
      <w:r w:rsidRPr="00B21B09">
        <w:rPr>
          <w:b/>
        </w:rPr>
        <w:t xml:space="preserve">the successful execution of the Full Scheme Launch and put the existing </w:t>
      </w:r>
      <w:proofErr w:type="spellStart"/>
      <w:r w:rsidRPr="00B21B09">
        <w:rPr>
          <w:b/>
        </w:rPr>
        <w:t>organisational</w:t>
      </w:r>
      <w:proofErr w:type="spellEnd"/>
      <w:r w:rsidRPr="00B21B09">
        <w:rPr>
          <w:b/>
        </w:rPr>
        <w:t xml:space="preserve"> operating model under stress. S</w:t>
      </w:r>
      <w:r w:rsidRPr="00C1760C">
        <w:rPr>
          <w:b/>
        </w:rPr>
        <w:t xml:space="preserve">takeholder engagement, training and preparedness were insufficient, and necessary training materials were not </w:t>
      </w:r>
      <w:proofErr w:type="spellStart"/>
      <w:r w:rsidRPr="00C1760C">
        <w:rPr>
          <w:b/>
        </w:rPr>
        <w:t>finalised</w:t>
      </w:r>
      <w:proofErr w:type="spellEnd"/>
      <w:r w:rsidRPr="00C1760C">
        <w:rPr>
          <w:b/>
        </w:rPr>
        <w:t xml:space="preserve"> for staff and providers by 29 June 2016.</w:t>
      </w:r>
    </w:p>
    <w:p w14:paraId="357CFE7D" w14:textId="77777777" w:rsidR="007D01A8" w:rsidRPr="000851F6" w:rsidRDefault="007D01A8" w:rsidP="007D01A8">
      <w:pPr>
        <w:pStyle w:val="Non-numberedHeading2"/>
        <w:rPr>
          <w:sz w:val="24"/>
          <w:szCs w:val="28"/>
        </w:rPr>
      </w:pPr>
      <w:bookmarkStart w:id="2" w:name="_Toc460422956"/>
      <w:r>
        <w:rPr>
          <w:sz w:val="24"/>
          <w:szCs w:val="28"/>
        </w:rPr>
        <w:t>Conclusions</w:t>
      </w:r>
      <w:bookmarkEnd w:id="2"/>
    </w:p>
    <w:p w14:paraId="21188108" w14:textId="3BC17E28" w:rsidR="007D01A8" w:rsidRPr="00712D17" w:rsidRDefault="00DB662F" w:rsidP="007D01A8">
      <w:r>
        <w:t>It is important to understand</w:t>
      </w:r>
      <w:r w:rsidRPr="00B64BA6">
        <w:t xml:space="preserve"> that the root cause</w:t>
      </w:r>
      <w:r>
        <w:t xml:space="preserve"> of payment failure</w:t>
      </w:r>
      <w:r w:rsidRPr="00B64BA6">
        <w:t xml:space="preserve"> was not a single catastrophic </w:t>
      </w:r>
      <w:r>
        <w:t>event,</w:t>
      </w:r>
      <w:r w:rsidRPr="00B64BA6">
        <w:t xml:space="preserve"> </w:t>
      </w:r>
      <w:r>
        <w:t>but r</w:t>
      </w:r>
      <w:r w:rsidRPr="00B64BA6">
        <w:t xml:space="preserve">ather a series of </w:t>
      </w:r>
      <w:r>
        <w:t xml:space="preserve">compounding issues which </w:t>
      </w:r>
      <w:r w:rsidRPr="00B64BA6">
        <w:t>prevented a</w:t>
      </w:r>
      <w:r>
        <w:t xml:space="preserve"> viable option to delay ICT implementation.</w:t>
      </w:r>
      <w:r w:rsidRPr="001A619E">
        <w:t xml:space="preserve"> </w:t>
      </w:r>
      <w:r w:rsidR="007D01A8" w:rsidRPr="00712D17">
        <w:t xml:space="preserve">The Full Scheme </w:t>
      </w:r>
      <w:r w:rsidR="007D6836">
        <w:t xml:space="preserve">ICT </w:t>
      </w:r>
      <w:r w:rsidR="007D01A8" w:rsidRPr="00712D17">
        <w:t xml:space="preserve">Implementation ran out of time to fully complete the </w:t>
      </w:r>
      <w:r w:rsidR="007D01A8">
        <w:t xml:space="preserve">required </w:t>
      </w:r>
      <w:r w:rsidR="007D01A8" w:rsidRPr="00712D17">
        <w:t xml:space="preserve">implementation </w:t>
      </w:r>
      <w:r w:rsidR="007D01A8">
        <w:t xml:space="preserve">activities </w:t>
      </w:r>
      <w:r w:rsidR="007D01A8" w:rsidRPr="00712D17">
        <w:t xml:space="preserve">and proceeded with </w:t>
      </w:r>
      <w:r w:rsidR="007D01A8">
        <w:t xml:space="preserve">the </w:t>
      </w:r>
      <w:r w:rsidR="007D01A8" w:rsidRPr="00712D17">
        <w:t xml:space="preserve">acceptance of the </w:t>
      </w:r>
      <w:r w:rsidR="007D01A8">
        <w:t xml:space="preserve">identified implementation </w:t>
      </w:r>
      <w:r w:rsidR="00CD71BA">
        <w:t xml:space="preserve">risks </w:t>
      </w:r>
      <w:r w:rsidR="007D01A8" w:rsidRPr="00712D17">
        <w:t xml:space="preserve">with the intention </w:t>
      </w:r>
      <w:r w:rsidR="007D01A8">
        <w:t>of applying</w:t>
      </w:r>
      <w:r w:rsidR="007D01A8" w:rsidRPr="00712D17">
        <w:t xml:space="preserve"> maximum response to the problems. However, the change effort </w:t>
      </w:r>
      <w:r w:rsidR="007D01A8">
        <w:t xml:space="preserve">and overall </w:t>
      </w:r>
      <w:r w:rsidR="006B35C6">
        <w:t>program</w:t>
      </w:r>
      <w:r w:rsidR="007D01A8">
        <w:t xml:space="preserve"> </w:t>
      </w:r>
      <w:r w:rsidR="007D01A8" w:rsidRPr="00712D17">
        <w:t xml:space="preserve">was under-resourced and underprepared </w:t>
      </w:r>
      <w:r w:rsidR="007D01A8">
        <w:t xml:space="preserve">in order </w:t>
      </w:r>
      <w:r w:rsidR="007D01A8" w:rsidRPr="00712D17">
        <w:t>to provide the accurate and timely support required by participants and providers when faced with ICT challenges</w:t>
      </w:r>
      <w:r w:rsidR="007D01A8">
        <w:t>.</w:t>
      </w:r>
    </w:p>
    <w:p w14:paraId="5AC05F65" w14:textId="6F1A9809" w:rsidR="007D01A8" w:rsidRDefault="007D01A8" w:rsidP="007D01A8">
      <w:pPr>
        <w:spacing w:line="259" w:lineRule="auto"/>
      </w:pPr>
      <w:r w:rsidRPr="00712D17">
        <w:t xml:space="preserve">The NDIA was effective at managing </w:t>
      </w:r>
      <w:r>
        <w:t>some</w:t>
      </w:r>
      <w:r w:rsidRPr="00712D17">
        <w:t xml:space="preserve"> of the risks leading up to the ICT implementation</w:t>
      </w:r>
      <w:r>
        <w:t>, in partnership with DHS and DSS</w:t>
      </w:r>
      <w:r w:rsidR="007F0DA7">
        <w:t xml:space="preserve"> and with the support of States &amp; Territory governments</w:t>
      </w:r>
      <w:r w:rsidRPr="00712D17">
        <w:t xml:space="preserve">. </w:t>
      </w:r>
      <w:r>
        <w:t xml:space="preserve">The </w:t>
      </w:r>
      <w:r w:rsidRPr="00712D17">
        <w:t>residual execution risks</w:t>
      </w:r>
      <w:r>
        <w:t xml:space="preserve"> of the program were </w:t>
      </w:r>
      <w:r w:rsidRPr="00712D17">
        <w:t xml:space="preserve">found </w:t>
      </w:r>
      <w:r>
        <w:t xml:space="preserve">to be </w:t>
      </w:r>
      <w:r w:rsidRPr="00712D17">
        <w:t xml:space="preserve">affecting </w:t>
      </w:r>
      <w:r>
        <w:t xml:space="preserve">the </w:t>
      </w:r>
      <w:r w:rsidRPr="00712D17">
        <w:t>critical path</w:t>
      </w:r>
      <w:r>
        <w:t xml:space="preserve"> </w:t>
      </w:r>
      <w:r w:rsidRPr="00712D17">
        <w:t xml:space="preserve">on a daily basis. As evidenced in the readiness assessments, these </w:t>
      </w:r>
      <w:r>
        <w:t xml:space="preserve">risks </w:t>
      </w:r>
      <w:r w:rsidRPr="00712D17">
        <w:t xml:space="preserve">were </w:t>
      </w:r>
      <w:r>
        <w:t>continuously managed</w:t>
      </w:r>
      <w:r w:rsidRPr="00712D17">
        <w:t xml:space="preserve"> up until go-live. The NDIA was less effective at managing the inherent risks of complexity, maturity and scale against a finite completion date.</w:t>
      </w:r>
    </w:p>
    <w:p w14:paraId="53399760" w14:textId="42942771" w:rsidR="00BD7B8F" w:rsidRPr="000851F6" w:rsidRDefault="007D01A8" w:rsidP="00BD7B8F">
      <w:pPr>
        <w:pStyle w:val="Non-numberedHeading2"/>
        <w:rPr>
          <w:sz w:val="24"/>
          <w:szCs w:val="28"/>
        </w:rPr>
      </w:pPr>
      <w:bookmarkStart w:id="3" w:name="_Toc460422957"/>
      <w:r>
        <w:rPr>
          <w:sz w:val="24"/>
          <w:szCs w:val="28"/>
        </w:rPr>
        <w:t>Recommendations</w:t>
      </w:r>
      <w:bookmarkEnd w:id="3"/>
    </w:p>
    <w:p w14:paraId="0667521D" w14:textId="0F11CDEE" w:rsidR="002E5227" w:rsidRPr="00892C6E" w:rsidRDefault="0064704D" w:rsidP="002E5227">
      <w:pPr>
        <w:pStyle w:val="BodyText"/>
      </w:pPr>
      <w:r>
        <w:t>Considering the need to transition in another approximately 400,000 users to the Scheme</w:t>
      </w:r>
      <w:r w:rsidR="00DD31E4">
        <w:t xml:space="preserve"> over the next three years</w:t>
      </w:r>
      <w:r>
        <w:t xml:space="preserve">, </w:t>
      </w:r>
      <w:r w:rsidR="002E5227">
        <w:t>PwC makes</w:t>
      </w:r>
      <w:r w:rsidR="002E5227" w:rsidRPr="00892C6E">
        <w:t xml:space="preserve"> </w:t>
      </w:r>
      <w:r w:rsidR="002E5227">
        <w:t>six</w:t>
      </w:r>
      <w:r w:rsidR="002E5227" w:rsidRPr="00892C6E">
        <w:t xml:space="preserve"> recommendations to address the identified issues being faced by the NDIS </w:t>
      </w:r>
      <w:proofErr w:type="spellStart"/>
      <w:r w:rsidR="002E5227" w:rsidRPr="00892C6E">
        <w:t>MyPlace</w:t>
      </w:r>
      <w:proofErr w:type="spellEnd"/>
      <w:r w:rsidR="002E5227" w:rsidRPr="00892C6E">
        <w:t xml:space="preserve"> Portal Implementation. The recommendations are:</w:t>
      </w:r>
    </w:p>
    <w:p w14:paraId="44C5CA8C" w14:textId="77777777" w:rsidR="002E5227" w:rsidRDefault="002E5227" w:rsidP="002E5227">
      <w:pPr>
        <w:pStyle w:val="BodyText"/>
        <w:ind w:left="720"/>
      </w:pPr>
      <w:r w:rsidRPr="00892C6E">
        <w:rPr>
          <w:b/>
        </w:rPr>
        <w:t>R1.</w:t>
      </w:r>
      <w:r w:rsidRPr="009D3FB2">
        <w:t xml:space="preserve"> Implement and embed the Service Delivery Operating Model</w:t>
      </w:r>
    </w:p>
    <w:p w14:paraId="72F8368C" w14:textId="77777777" w:rsidR="002E5227" w:rsidRDefault="002E5227" w:rsidP="002E5227">
      <w:pPr>
        <w:pStyle w:val="BodyText"/>
        <w:ind w:left="1134" w:hanging="414"/>
      </w:pPr>
      <w:r w:rsidRPr="00892C6E">
        <w:rPr>
          <w:b/>
        </w:rPr>
        <w:t>R2.</w:t>
      </w:r>
      <w:r w:rsidRPr="009D3FB2">
        <w:t xml:space="preserve"> Enhance program management fundamentals including inter and intra-agency governance and </w:t>
      </w:r>
      <w:r>
        <w:t xml:space="preserve">an </w:t>
      </w:r>
      <w:r w:rsidRPr="009D3FB2">
        <w:t>integrated program plan</w:t>
      </w:r>
    </w:p>
    <w:p w14:paraId="375182F5" w14:textId="77777777" w:rsidR="002E5227" w:rsidRDefault="002E5227" w:rsidP="002E5227">
      <w:pPr>
        <w:pStyle w:val="BodyText"/>
        <w:ind w:left="720"/>
      </w:pPr>
      <w:r w:rsidRPr="00892C6E">
        <w:rPr>
          <w:b/>
        </w:rPr>
        <w:t>R3.</w:t>
      </w:r>
      <w:r w:rsidRPr="009D3FB2">
        <w:t xml:space="preserve"> </w:t>
      </w:r>
      <w:r w:rsidRPr="00C24FB0">
        <w:t>Monitor payments and service recovery against agreed performance metrics</w:t>
      </w:r>
    </w:p>
    <w:p w14:paraId="4D19D2A3" w14:textId="77777777" w:rsidR="002E5227" w:rsidRDefault="002E5227" w:rsidP="002E5227">
      <w:pPr>
        <w:pStyle w:val="BodyText"/>
        <w:ind w:left="720"/>
      </w:pPr>
      <w:r w:rsidRPr="00892C6E">
        <w:rPr>
          <w:b/>
        </w:rPr>
        <w:t>R4.</w:t>
      </w:r>
      <w:r w:rsidRPr="009D3FB2">
        <w:t xml:space="preserve"> Review the resourcing model for Full Scheme Transition</w:t>
      </w:r>
    </w:p>
    <w:p w14:paraId="72B284B0" w14:textId="77777777" w:rsidR="002E5227" w:rsidRDefault="002E5227" w:rsidP="002E5227">
      <w:pPr>
        <w:pStyle w:val="BodyText"/>
        <w:ind w:left="720"/>
      </w:pPr>
      <w:r w:rsidRPr="00892C6E">
        <w:rPr>
          <w:b/>
        </w:rPr>
        <w:t>R5.</w:t>
      </w:r>
      <w:r w:rsidRPr="009D3FB2">
        <w:t xml:space="preserve"> Undertake a comprehensive Stakeholder and Change Impact Assessment</w:t>
      </w:r>
      <w:r w:rsidRPr="00892C6E">
        <w:t xml:space="preserve"> </w:t>
      </w:r>
    </w:p>
    <w:p w14:paraId="13E4E897" w14:textId="73CFB4F0" w:rsidR="004C6CCA" w:rsidRDefault="002E5227" w:rsidP="00E77393">
      <w:pPr>
        <w:pStyle w:val="BodyText"/>
        <w:ind w:left="720"/>
      </w:pPr>
      <w:r w:rsidRPr="00892C6E">
        <w:rPr>
          <w:b/>
        </w:rPr>
        <w:t>R6.</w:t>
      </w:r>
      <w:r w:rsidRPr="009D3FB2">
        <w:t xml:space="preserve"> Tailor and measure the Change Management approach</w:t>
      </w:r>
      <w:r>
        <w:t>.</w:t>
      </w:r>
      <w:r w:rsidR="004C6CCA">
        <w:br w:type="page"/>
      </w:r>
    </w:p>
    <w:p w14:paraId="4953ECFC" w14:textId="4BFC363C" w:rsidR="00A769D0" w:rsidRDefault="00A769D0" w:rsidP="00A769D0">
      <w:pPr>
        <w:pStyle w:val="Non-numberedHeading2"/>
      </w:pPr>
      <w:bookmarkStart w:id="4" w:name="_Toc460422958"/>
      <w:r>
        <w:lastRenderedPageBreak/>
        <w:t>Context</w:t>
      </w:r>
      <w:bookmarkEnd w:id="4"/>
    </w:p>
    <w:p w14:paraId="291C9958" w14:textId="77777777" w:rsidR="006D1D20" w:rsidRDefault="006D1D20" w:rsidP="006D1D20">
      <w:pPr>
        <w:pStyle w:val="BodyText"/>
        <w:spacing w:before="240"/>
        <w:rPr>
          <w:rFonts w:ascii="Georgia" w:hAnsi="Georgia"/>
        </w:rPr>
      </w:pPr>
      <w:r>
        <w:rPr>
          <w:rFonts w:ascii="Georgia" w:hAnsi="Georgia"/>
        </w:rPr>
        <w:t>As set out in our engagement letter dated 9 August 2016, the Department of Social Services (DSS) requested PwC, as an independent reviewer, to assess the following:</w:t>
      </w:r>
    </w:p>
    <w:p w14:paraId="4933870E" w14:textId="77777777" w:rsidR="006D1D20" w:rsidRDefault="006D1D20" w:rsidP="00E50964">
      <w:pPr>
        <w:pStyle w:val="BodySingle"/>
        <w:numPr>
          <w:ilvl w:val="0"/>
          <w:numId w:val="8"/>
        </w:numPr>
        <w:rPr>
          <w:rFonts w:ascii="Georgia" w:hAnsi="Georgia" w:cs="Arial"/>
        </w:rPr>
      </w:pPr>
      <w:r>
        <w:rPr>
          <w:rFonts w:ascii="Georgia" w:hAnsi="Georgia" w:cs="Arial"/>
        </w:rPr>
        <w:t>wh</w:t>
      </w:r>
      <w:r w:rsidRPr="004D7D4F">
        <w:rPr>
          <w:rFonts w:ascii="Georgia" w:hAnsi="Georgia" w:cs="Arial"/>
        </w:rPr>
        <w:t xml:space="preserve">ether the ICT system has been built according to the agreed business case and government outcomes, including the NDIA Participant and Provider Portals, the Participant Plan components and Payment Engine, to ensure it meets the requirements set out for transition and </w:t>
      </w:r>
      <w:r>
        <w:rPr>
          <w:rFonts w:ascii="Georgia" w:hAnsi="Georgia" w:cs="Arial"/>
        </w:rPr>
        <w:t>F</w:t>
      </w:r>
      <w:r w:rsidRPr="004D7D4F">
        <w:rPr>
          <w:rFonts w:ascii="Georgia" w:hAnsi="Georgia" w:cs="Arial"/>
        </w:rPr>
        <w:t xml:space="preserve">ull </w:t>
      </w:r>
      <w:r>
        <w:rPr>
          <w:rFonts w:ascii="Georgia" w:hAnsi="Georgia" w:cs="Arial"/>
        </w:rPr>
        <w:t>S</w:t>
      </w:r>
      <w:r w:rsidRPr="004D7D4F">
        <w:rPr>
          <w:rFonts w:ascii="Georgia" w:hAnsi="Georgia" w:cs="Arial"/>
        </w:rPr>
        <w:t>cheme</w:t>
      </w:r>
    </w:p>
    <w:p w14:paraId="58D105DE" w14:textId="77777777" w:rsidR="006D1D20" w:rsidRPr="004D7D4F" w:rsidRDefault="006D1D20" w:rsidP="00E50964">
      <w:pPr>
        <w:pStyle w:val="BodySingle"/>
        <w:numPr>
          <w:ilvl w:val="0"/>
          <w:numId w:val="8"/>
        </w:numPr>
        <w:rPr>
          <w:rFonts w:ascii="Georgia" w:hAnsi="Georgia" w:cs="Arial"/>
        </w:rPr>
      </w:pPr>
      <w:r>
        <w:rPr>
          <w:rFonts w:ascii="Georgia" w:hAnsi="Georgia" w:cs="Arial"/>
        </w:rPr>
        <w:t>i</w:t>
      </w:r>
      <w:r w:rsidRPr="004D7D4F">
        <w:rPr>
          <w:rFonts w:ascii="Georgia" w:hAnsi="Georgia" w:cs="Arial"/>
        </w:rPr>
        <w:t>dentification of any limitations in the ICT system and gaps for further development</w:t>
      </w:r>
    </w:p>
    <w:p w14:paraId="65DAF10F" w14:textId="77777777" w:rsidR="006D1D20" w:rsidRDefault="006D1D20" w:rsidP="00E50964">
      <w:pPr>
        <w:pStyle w:val="BodySingle"/>
        <w:numPr>
          <w:ilvl w:val="0"/>
          <w:numId w:val="8"/>
        </w:numPr>
        <w:rPr>
          <w:rFonts w:ascii="Georgia" w:hAnsi="Georgia" w:cs="Arial"/>
        </w:rPr>
      </w:pPr>
      <w:r w:rsidRPr="004D7D4F">
        <w:rPr>
          <w:rFonts w:ascii="Georgia" w:hAnsi="Georgia" w:cs="Arial"/>
        </w:rPr>
        <w:t>the adequacy of the NDIA’s practices and business processes to date in implementing the ICT system, including the sufficiency of communications and other supports designed to assist participants and providers with the use of the new system, training of NDIA staff and the sufficiency of the NDIA’s response to the issues arising from deployment of the new ICT system.</w:t>
      </w:r>
      <w:r>
        <w:rPr>
          <w:rFonts w:ascii="Georgia" w:hAnsi="Georgia" w:cs="Arial"/>
        </w:rPr>
        <w:br/>
      </w:r>
    </w:p>
    <w:p w14:paraId="2B0AB4FB" w14:textId="6990D989" w:rsidR="00340F06" w:rsidRDefault="008B05BF" w:rsidP="00340F06">
      <w:pPr>
        <w:pStyle w:val="BodyText"/>
      </w:pPr>
      <w:r>
        <w:t>This document presents our findings and recommendations from our review of the above items.</w:t>
      </w:r>
    </w:p>
    <w:p w14:paraId="77631E4E" w14:textId="561D49EC" w:rsidR="008B05BF" w:rsidRDefault="009466DB" w:rsidP="00340F06">
      <w:pPr>
        <w:pStyle w:val="BodyText"/>
      </w:pPr>
      <w:r>
        <w:t>The scope of our review did not include any assessment of previous government decisions regarding delivery timeframes and options for the Scheme.</w:t>
      </w:r>
    </w:p>
    <w:p w14:paraId="35113B9C" w14:textId="77777777" w:rsidR="009466DB" w:rsidRDefault="009466DB" w:rsidP="00340F06">
      <w:pPr>
        <w:pStyle w:val="BodyText"/>
      </w:pPr>
    </w:p>
    <w:p w14:paraId="6544F4C3" w14:textId="165E42B3" w:rsidR="006D1D20" w:rsidRDefault="006D1D20" w:rsidP="006D1D20">
      <w:pPr>
        <w:pStyle w:val="Non-numberedHeading2"/>
      </w:pPr>
      <w:bookmarkStart w:id="5" w:name="_Toc460422959"/>
      <w:r>
        <w:t>Disclaimer</w:t>
      </w:r>
      <w:bookmarkEnd w:id="5"/>
    </w:p>
    <w:p w14:paraId="67E1D938" w14:textId="3F68996F" w:rsidR="006D1D20" w:rsidRPr="00257D94" w:rsidRDefault="006D1D20" w:rsidP="006D1D20">
      <w:pPr>
        <w:pStyle w:val="BodyText"/>
        <w:spacing w:before="240"/>
        <w:rPr>
          <w:rFonts w:ascii="Georgia" w:hAnsi="Georgia"/>
        </w:rPr>
      </w:pPr>
      <w:r w:rsidRPr="00257D94">
        <w:rPr>
          <w:rFonts w:ascii="Georgia" w:hAnsi="Georgia"/>
        </w:rPr>
        <w:t>This report is not intended to be used by anyone other than DSS.</w:t>
      </w:r>
    </w:p>
    <w:p w14:paraId="5E572145" w14:textId="77777777" w:rsidR="006D1D20" w:rsidRPr="00257D94" w:rsidRDefault="006D1D20" w:rsidP="006D1D20">
      <w:pPr>
        <w:pStyle w:val="BodyText"/>
        <w:spacing w:before="240"/>
        <w:rPr>
          <w:rFonts w:ascii="Georgia" w:hAnsi="Georgia"/>
        </w:rPr>
      </w:pPr>
      <w:r w:rsidRPr="00257D94">
        <w:rPr>
          <w:rFonts w:ascii="Georgia" w:hAnsi="Georgia"/>
        </w:rPr>
        <w:t>We prepared this report solely for DSS’s use and benefit in accordance with and for the purpose set out in our engagement letter with DSS dated 9 August 2016. In doing so, we acted exclusively for DSS and considered no-one else’s interests.</w:t>
      </w:r>
    </w:p>
    <w:p w14:paraId="4FA42B6F" w14:textId="77777777" w:rsidR="006D1D20" w:rsidRPr="00257D94" w:rsidRDefault="006D1D20" w:rsidP="006D1D20">
      <w:pPr>
        <w:pStyle w:val="BodyText"/>
        <w:spacing w:before="240"/>
        <w:rPr>
          <w:rFonts w:ascii="Georgia" w:hAnsi="Georgia"/>
        </w:rPr>
      </w:pPr>
      <w:r w:rsidRPr="00257D94">
        <w:rPr>
          <w:rFonts w:ascii="Georgia" w:hAnsi="Georgia"/>
        </w:rPr>
        <w:t>We accept no responsibility, duty or liability:</w:t>
      </w:r>
    </w:p>
    <w:p w14:paraId="68231338" w14:textId="77777777" w:rsidR="006D1D20" w:rsidRPr="00257D94" w:rsidRDefault="006D1D20" w:rsidP="00E50964">
      <w:pPr>
        <w:pStyle w:val="BodyText"/>
        <w:numPr>
          <w:ilvl w:val="0"/>
          <w:numId w:val="11"/>
        </w:numPr>
        <w:spacing w:after="0" w:line="290" w:lineRule="atLeast"/>
        <w:ind w:left="714" w:hanging="357"/>
        <w:rPr>
          <w:rFonts w:ascii="Georgia" w:hAnsi="Georgia" w:cs="Arial"/>
        </w:rPr>
      </w:pPr>
      <w:r w:rsidRPr="00257D94">
        <w:rPr>
          <w:rFonts w:ascii="Georgia" w:hAnsi="Georgia" w:cs="Arial"/>
        </w:rPr>
        <w:t>to anyone other than DSS in connection with this report</w:t>
      </w:r>
    </w:p>
    <w:p w14:paraId="24A539A4" w14:textId="77777777" w:rsidR="006D1D20" w:rsidRPr="00257D94" w:rsidRDefault="006D1D20" w:rsidP="00E50964">
      <w:pPr>
        <w:pStyle w:val="BodyText"/>
        <w:numPr>
          <w:ilvl w:val="0"/>
          <w:numId w:val="11"/>
        </w:numPr>
        <w:spacing w:after="0" w:line="290" w:lineRule="atLeast"/>
        <w:ind w:left="714" w:hanging="357"/>
        <w:rPr>
          <w:rFonts w:ascii="Georgia" w:hAnsi="Georgia" w:cs="Arial"/>
        </w:rPr>
      </w:pPr>
      <w:proofErr w:type="gramStart"/>
      <w:r w:rsidRPr="00257D94">
        <w:rPr>
          <w:rFonts w:ascii="Georgia" w:hAnsi="Georgia" w:cs="Arial"/>
        </w:rPr>
        <w:t>to</w:t>
      </w:r>
      <w:proofErr w:type="gramEnd"/>
      <w:r w:rsidRPr="00257D94">
        <w:rPr>
          <w:rFonts w:ascii="Georgia" w:hAnsi="Georgia" w:cs="Arial"/>
        </w:rPr>
        <w:t xml:space="preserve"> DSS for the consequences or using or relying on it for a purpose other than that referred to above.</w:t>
      </w:r>
    </w:p>
    <w:p w14:paraId="71A10A70" w14:textId="77777777" w:rsidR="006D1D20" w:rsidRPr="00257D94" w:rsidRDefault="006D1D20" w:rsidP="006D1D20">
      <w:pPr>
        <w:pStyle w:val="BodyText"/>
        <w:spacing w:before="240"/>
        <w:rPr>
          <w:rFonts w:ascii="Georgia" w:hAnsi="Georgia"/>
        </w:rPr>
      </w:pPr>
      <w:r w:rsidRPr="00257D94">
        <w:rPr>
          <w:rFonts w:ascii="Georgia" w:hAnsi="Georgia"/>
        </w:rPr>
        <w:t>We make no representation concerning the appropriateness of this report for anyone other than DSS. If anyone other than DSS chooses to use or rely on it they do so at their own risk.</w:t>
      </w:r>
    </w:p>
    <w:p w14:paraId="4A1A5DED" w14:textId="77777777" w:rsidR="006D1D20" w:rsidRPr="00257D94" w:rsidRDefault="006D1D20" w:rsidP="006D1D20">
      <w:pPr>
        <w:pStyle w:val="BodyText"/>
        <w:spacing w:before="240"/>
        <w:rPr>
          <w:rFonts w:ascii="Georgia" w:hAnsi="Georgia"/>
        </w:rPr>
      </w:pPr>
      <w:r w:rsidRPr="00257D94">
        <w:rPr>
          <w:rFonts w:ascii="Georgia" w:hAnsi="Georgia"/>
        </w:rPr>
        <w:t>This disclaimer applies:</w:t>
      </w:r>
    </w:p>
    <w:p w14:paraId="70923505" w14:textId="77777777" w:rsidR="006D1D20" w:rsidRDefault="006D1D20" w:rsidP="00E50964">
      <w:pPr>
        <w:pStyle w:val="BodyText"/>
        <w:numPr>
          <w:ilvl w:val="0"/>
          <w:numId w:val="11"/>
        </w:numPr>
        <w:spacing w:after="0" w:line="290" w:lineRule="atLeast"/>
        <w:ind w:left="714" w:hanging="357"/>
        <w:rPr>
          <w:rFonts w:ascii="Georgia" w:hAnsi="Georgia" w:cs="Arial"/>
        </w:rPr>
      </w:pPr>
      <w:r w:rsidRPr="00257D94">
        <w:rPr>
          <w:rFonts w:ascii="Georgia" w:hAnsi="Georgia" w:cs="Arial"/>
        </w:rPr>
        <w:t>to the maximum extent permitted by law and, without limitation, to liability arising in negligence or under statute; and</w:t>
      </w:r>
    </w:p>
    <w:p w14:paraId="7D350C29" w14:textId="7092D6C2" w:rsidR="00E905DF" w:rsidRPr="00257D94" w:rsidRDefault="00E905DF" w:rsidP="00E50964">
      <w:pPr>
        <w:pStyle w:val="BodyText"/>
        <w:numPr>
          <w:ilvl w:val="0"/>
          <w:numId w:val="11"/>
        </w:numPr>
        <w:spacing w:after="0" w:line="290" w:lineRule="atLeast"/>
        <w:ind w:left="714" w:hanging="357"/>
        <w:rPr>
          <w:rFonts w:ascii="Georgia" w:hAnsi="Georgia" w:cs="Arial"/>
        </w:rPr>
      </w:pPr>
      <w:proofErr w:type="gramStart"/>
      <w:r w:rsidRPr="00257D94">
        <w:rPr>
          <w:rFonts w:ascii="Georgia" w:hAnsi="Georgia" w:cs="Arial"/>
        </w:rPr>
        <w:t>even</w:t>
      </w:r>
      <w:proofErr w:type="gramEnd"/>
      <w:r w:rsidRPr="00257D94">
        <w:rPr>
          <w:rFonts w:ascii="Georgia" w:hAnsi="Georgia" w:cs="Arial"/>
        </w:rPr>
        <w:t xml:space="preserve"> if we consent to anyone other than DSS receiving or using this report.</w:t>
      </w:r>
    </w:p>
    <w:p w14:paraId="539813D2" w14:textId="77777777" w:rsidR="00F3045B" w:rsidRDefault="00F3045B">
      <w:pPr>
        <w:spacing w:line="259" w:lineRule="auto"/>
      </w:pPr>
    </w:p>
    <w:p w14:paraId="76D4384F" w14:textId="73B34BE8" w:rsidR="006A1FC5" w:rsidRDefault="006A1FC5">
      <w:pPr>
        <w:spacing w:line="259" w:lineRule="auto"/>
      </w:pPr>
      <w:r>
        <w:br w:type="page"/>
      </w:r>
    </w:p>
    <w:p w14:paraId="111467E3" w14:textId="17C5A202" w:rsidR="005A1889" w:rsidRDefault="00340F06" w:rsidP="005A1889">
      <w:pPr>
        <w:pStyle w:val="Non-numberedHeading2"/>
      </w:pPr>
      <w:bookmarkStart w:id="6" w:name="_Toc460422960"/>
      <w:r>
        <w:lastRenderedPageBreak/>
        <w:t>B</w:t>
      </w:r>
      <w:r w:rsidR="005A1889">
        <w:t>ackground</w:t>
      </w:r>
      <w:bookmarkEnd w:id="6"/>
    </w:p>
    <w:p w14:paraId="5BB64996" w14:textId="2AD31643" w:rsidR="00206B51" w:rsidRDefault="00206B51" w:rsidP="00206B51">
      <w:pPr>
        <w:pStyle w:val="BodyText"/>
      </w:pPr>
      <w:r>
        <w:t xml:space="preserve">The National Disability Insurance Scheme (NDIS, or the Scheme) was announced to begin from July 2013 by the then Prime Minister on 30 April 2012. </w:t>
      </w:r>
      <w:r w:rsidR="00F840E8">
        <w:t>The NDIS will provide all Australians under the age of 65 who have a permanent and significant disability with the reasonable and necessary supports they need t</w:t>
      </w:r>
      <w:r w:rsidR="00841AA8">
        <w:t>o enjoy an ordinary life.</w:t>
      </w:r>
    </w:p>
    <w:p w14:paraId="61C7C62A" w14:textId="7F09C122" w:rsidR="00206B51" w:rsidRDefault="00206B51" w:rsidP="00206B51">
      <w:r>
        <w:t>The NDIA agreed to a ‘Full Scheme Launch’ date of 1 July 2016. Full Scheme Launch marks the completion of the Scheme Trial phase. Transition to Full Scheme is the period between the end of trials and Full Scheme</w:t>
      </w:r>
      <w:r w:rsidR="007652C6">
        <w:t xml:space="preserve">. Full Scheme is scheduled for all </w:t>
      </w:r>
      <w:r w:rsidR="0032408F">
        <w:t>jurisdictions by</w:t>
      </w:r>
      <w:r>
        <w:t xml:space="preserve"> 2019-20. This is shown in </w:t>
      </w:r>
      <w:r w:rsidRPr="00087D25">
        <w:rPr>
          <w:i/>
        </w:rPr>
        <w:fldChar w:fldCharType="begin"/>
      </w:r>
      <w:r w:rsidRPr="00087D25">
        <w:rPr>
          <w:i/>
        </w:rPr>
        <w:instrText xml:space="preserve"> REF _Ref459752353 \h </w:instrText>
      </w:r>
      <w:r w:rsidRPr="00B21B09">
        <w:rPr>
          <w:i/>
        </w:rPr>
        <w:instrText xml:space="preserve"> \* MERGEFORMAT </w:instrText>
      </w:r>
      <w:r w:rsidRPr="00087D25">
        <w:rPr>
          <w:i/>
        </w:rPr>
      </w:r>
      <w:r w:rsidRPr="00087D25">
        <w:rPr>
          <w:i/>
        </w:rPr>
        <w:fldChar w:fldCharType="separate"/>
      </w:r>
      <w:r w:rsidR="00435FC3" w:rsidRPr="00435FC3">
        <w:rPr>
          <w:i/>
        </w:rPr>
        <w:t xml:space="preserve">Figure </w:t>
      </w:r>
      <w:r w:rsidR="00435FC3" w:rsidRPr="00435FC3">
        <w:rPr>
          <w:i/>
          <w:noProof/>
        </w:rPr>
        <w:t>1</w:t>
      </w:r>
      <w:r w:rsidRPr="00087D25">
        <w:rPr>
          <w:i/>
        </w:rPr>
        <w:fldChar w:fldCharType="end"/>
      </w:r>
      <w:r>
        <w:t xml:space="preserve"> below. </w:t>
      </w:r>
    </w:p>
    <w:p w14:paraId="480A1738" w14:textId="77777777" w:rsidR="00206B51" w:rsidRPr="00491F54" w:rsidRDefault="00206B51" w:rsidP="00206B51">
      <w:pPr>
        <w:pStyle w:val="Caption"/>
        <w:keepNext/>
        <w:jc w:val="center"/>
        <w:rPr>
          <w:b/>
          <w:i w:val="0"/>
        </w:rPr>
      </w:pPr>
      <w:bookmarkStart w:id="7" w:name="_Ref459752353"/>
      <w:proofErr w:type="gramStart"/>
      <w:r w:rsidRPr="00491F54">
        <w:rPr>
          <w:b/>
          <w:i w:val="0"/>
        </w:rPr>
        <w:t xml:space="preserve">Figure </w:t>
      </w:r>
      <w:proofErr w:type="gramEnd"/>
      <w:r w:rsidRPr="00491F54">
        <w:rPr>
          <w:b/>
          <w:i w:val="0"/>
        </w:rPr>
        <w:fldChar w:fldCharType="begin"/>
      </w:r>
      <w:r w:rsidRPr="00491F54">
        <w:rPr>
          <w:b/>
          <w:i w:val="0"/>
        </w:rPr>
        <w:instrText xml:space="preserve"> SEQ Figure \* ARABIC </w:instrText>
      </w:r>
      <w:r w:rsidRPr="00491F54">
        <w:rPr>
          <w:b/>
          <w:i w:val="0"/>
        </w:rPr>
        <w:fldChar w:fldCharType="separate"/>
      </w:r>
      <w:r w:rsidR="00435FC3">
        <w:rPr>
          <w:b/>
          <w:i w:val="0"/>
          <w:noProof/>
        </w:rPr>
        <w:t>1</w:t>
      </w:r>
      <w:r w:rsidRPr="00491F54">
        <w:rPr>
          <w:b/>
          <w:i w:val="0"/>
        </w:rPr>
        <w:fldChar w:fldCharType="end"/>
      </w:r>
      <w:bookmarkEnd w:id="7"/>
      <w:proofErr w:type="gramStart"/>
      <w:r w:rsidRPr="00491F54">
        <w:rPr>
          <w:b/>
          <w:i w:val="0"/>
        </w:rPr>
        <w:t>.</w:t>
      </w:r>
      <w:proofErr w:type="gramEnd"/>
      <w:r w:rsidRPr="00491F54">
        <w:rPr>
          <w:b/>
          <w:i w:val="0"/>
        </w:rPr>
        <w:t xml:space="preserve"> NDIS </w:t>
      </w:r>
      <w:r>
        <w:rPr>
          <w:b/>
          <w:i w:val="0"/>
        </w:rPr>
        <w:t>transition to Full Scheme</w:t>
      </w:r>
    </w:p>
    <w:p w14:paraId="462990A4" w14:textId="77777777" w:rsidR="00206B51" w:rsidRDefault="00206B51" w:rsidP="00206B51">
      <w:r>
        <w:rPr>
          <w:noProof/>
          <w:lang w:val="en-AU" w:eastAsia="en-AU"/>
        </w:rPr>
        <w:drawing>
          <wp:inline distT="0" distB="0" distL="0" distR="0" wp14:anchorId="092BD838" wp14:editId="234B686E">
            <wp:extent cx="6264275" cy="2885420"/>
            <wp:effectExtent l="0" t="0" r="3175" b="0"/>
            <wp:docPr id="10" name="Picture 10" descr="Figure 1. NDIS transition to Full Scheme, see above and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4275" cy="2885420"/>
                    </a:xfrm>
                    <a:prstGeom prst="rect">
                      <a:avLst/>
                    </a:prstGeom>
                    <a:noFill/>
                  </pic:spPr>
                </pic:pic>
              </a:graphicData>
            </a:graphic>
          </wp:inline>
        </w:drawing>
      </w:r>
    </w:p>
    <w:p w14:paraId="439EC07D" w14:textId="53352F78" w:rsidR="00206B51" w:rsidRDefault="00206B51" w:rsidP="00206B51">
      <w:pPr>
        <w:pStyle w:val="ListParagraph"/>
        <w:spacing w:after="160" w:line="259" w:lineRule="auto"/>
        <w:ind w:left="0"/>
        <w:contextualSpacing w:val="0"/>
      </w:pPr>
      <w:r>
        <w:t xml:space="preserve">The Productivity Commission had originally suggested that Full Scheme </w:t>
      </w:r>
      <w:r w:rsidR="00973CD5">
        <w:t>L</w:t>
      </w:r>
      <w:r>
        <w:t>aunch should commence on 1 July 2015</w:t>
      </w:r>
      <w:r w:rsidR="00BB0862">
        <w:t>.</w:t>
      </w:r>
      <w:r>
        <w:t xml:space="preserve"> </w:t>
      </w:r>
      <w:r w:rsidR="00BB0862">
        <w:t>The</w:t>
      </w:r>
      <w:r>
        <w:t xml:space="preserve"> Full Scheme Launch date </w:t>
      </w:r>
      <w:r w:rsidR="00D412E7">
        <w:t>was</w:t>
      </w:r>
      <w:r>
        <w:t xml:space="preserve"> </w:t>
      </w:r>
      <w:r w:rsidR="00BB0862">
        <w:t xml:space="preserve">ultimately scheduled for </w:t>
      </w:r>
      <w:r>
        <w:t>1 July 2016.</w:t>
      </w:r>
    </w:p>
    <w:p w14:paraId="326B3A67" w14:textId="662AB2F3" w:rsidR="00206B51" w:rsidRDefault="00206B51" w:rsidP="00DA793B">
      <w:pPr>
        <w:pStyle w:val="ListParagraph"/>
        <w:spacing w:after="160" w:line="259" w:lineRule="auto"/>
        <w:ind w:left="0"/>
        <w:contextualSpacing w:val="0"/>
      </w:pPr>
      <w:r>
        <w:t xml:space="preserve">The NDIA had authority to bring forward to </w:t>
      </w:r>
      <w:r w:rsidR="0065086C">
        <w:t>government</w:t>
      </w:r>
      <w:r>
        <w:t xml:space="preserve"> a Business Case outlining the ICT systems required by the NDIA to operate at Full Scheme. </w:t>
      </w:r>
      <w:r w:rsidR="00185E36">
        <w:t xml:space="preserve">The Business Case was brought forward in the 2015-16 Budget. </w:t>
      </w:r>
    </w:p>
    <w:p w14:paraId="56AC5F01" w14:textId="0F200EF0" w:rsidR="00206B51" w:rsidRDefault="00206B51" w:rsidP="00206B51">
      <w:pPr>
        <w:pStyle w:val="BodyText"/>
      </w:pPr>
      <w:r>
        <w:t xml:space="preserve">The number of trial sites and cohorts was gradually increased since the Scheme’s </w:t>
      </w:r>
      <w:r w:rsidR="003574AD">
        <w:t>inception</w:t>
      </w:r>
      <w:r>
        <w:t>, with trials completed by 1 July 2016</w:t>
      </w:r>
      <w:r w:rsidR="00A36DB8">
        <w:t>, with the exception of Western Australia where the trial has been extended until 30 June 2017</w:t>
      </w:r>
      <w:r>
        <w:t>. Th</w:t>
      </w:r>
      <w:r w:rsidR="00A36DB8">
        <w:t>e trial</w:t>
      </w:r>
      <w:r>
        <w:t xml:space="preserve"> process was valuable in assessing how to best approach the transition to Full Scheme. Once at Full Scheme, it is expected there will be around 465,000 people living with disability who are benefiting from the Scheme. The trial sites were supported by an interim Siebel</w:t>
      </w:r>
      <w:r w:rsidR="00D412E7">
        <w:t xml:space="preserve"> based ICT</w:t>
      </w:r>
      <w:r>
        <w:t xml:space="preserve"> solution provided by DSS.</w:t>
      </w:r>
    </w:p>
    <w:p w14:paraId="2DC57E2F" w14:textId="5BE9CDED" w:rsidR="00206B51" w:rsidRDefault="00206B51" w:rsidP="00206B51">
      <w:pPr>
        <w:pStyle w:val="BodyText"/>
      </w:pPr>
      <w:r>
        <w:t>Due to the complex nature of the Scheme, significant planning and design across all areas was required</w:t>
      </w:r>
      <w:r w:rsidR="0022014C">
        <w:t xml:space="preserve">, </w:t>
      </w:r>
      <w:r>
        <w:t xml:space="preserve">including the development of business models, business processes, technological solutions and human capital management. Compounding this complexity was the compressed </w:t>
      </w:r>
      <w:r w:rsidR="0022014C">
        <w:t xml:space="preserve">timeframe the NDIA </w:t>
      </w:r>
      <w:r w:rsidR="00092631">
        <w:t xml:space="preserve">was </w:t>
      </w:r>
      <w:r w:rsidR="0022014C">
        <w:t>operating in the lead up to Full Scheme Launch</w:t>
      </w:r>
      <w:r>
        <w:t>.</w:t>
      </w:r>
    </w:p>
    <w:p w14:paraId="0C869C3B" w14:textId="51F31835" w:rsidR="00206B51" w:rsidRDefault="00206B51" w:rsidP="00206B51">
      <w:pPr>
        <w:pStyle w:val="BodyText"/>
      </w:pPr>
      <w:r>
        <w:t>NDIA’s capabilities were reviewed in early 2014</w:t>
      </w:r>
      <w:r>
        <w:rPr>
          <w:rStyle w:val="FootnoteReference"/>
        </w:rPr>
        <w:footnoteReference w:id="1"/>
      </w:r>
      <w:r>
        <w:t xml:space="preserve"> and it was found that the interim ICT system would not be suitable to handle the</w:t>
      </w:r>
      <w:r w:rsidR="007D51F5">
        <w:t xml:space="preserve"> </w:t>
      </w:r>
      <w:r w:rsidR="003574AD">
        <w:t>t</w:t>
      </w:r>
      <w:r w:rsidR="007D51F5">
        <w:t>ransition to Full Scheme</w:t>
      </w:r>
      <w:r>
        <w:t xml:space="preserve">, and that its value was to simply get the </w:t>
      </w:r>
      <w:r w:rsidR="00B3472F">
        <w:t>S</w:t>
      </w:r>
      <w:r>
        <w:t>cheme operating in the first instance. This was confirmed by the Scheme Actuary who explained the need for a longitudinal record for each participant, something which the interim ICT system was not capable of doing</w:t>
      </w:r>
      <w:r>
        <w:rPr>
          <w:rStyle w:val="FootnoteReference"/>
        </w:rPr>
        <w:footnoteReference w:id="2"/>
      </w:r>
      <w:r>
        <w:t>. A fit-for-purpose ICT solution was therefore required for the Full Scheme ICT Launch in July 2016.</w:t>
      </w:r>
    </w:p>
    <w:p w14:paraId="23243E08" w14:textId="3371EFD7" w:rsidR="00206B51" w:rsidRDefault="00206B51" w:rsidP="00206B51">
      <w:pPr>
        <w:pStyle w:val="BodyText"/>
      </w:pPr>
      <w:r>
        <w:t xml:space="preserve">The second pass Business Case put forward the recommendation of searching for a </w:t>
      </w:r>
      <w:r w:rsidRPr="0004252F">
        <w:rPr>
          <w:i/>
        </w:rPr>
        <w:t xml:space="preserve">“modular solution set that procures a fit-for-purpose Case Management and EDW Analytics &amp; Reporting solution through an open </w:t>
      </w:r>
      <w:r w:rsidRPr="0004252F">
        <w:rPr>
          <w:i/>
        </w:rPr>
        <w:lastRenderedPageBreak/>
        <w:t>approach to market”</w:t>
      </w:r>
      <w:r>
        <w:rPr>
          <w:rStyle w:val="FootnoteReference"/>
        </w:rPr>
        <w:footnoteReference w:id="3"/>
      </w:r>
      <w:r>
        <w:t xml:space="preserve">. The second pass Business Case addendum changed the preferred option to an in-house </w:t>
      </w:r>
      <w:r w:rsidR="00973CD5">
        <w:t>g</w:t>
      </w:r>
      <w:r>
        <w:t>overnment solution. The reasons cited for this change are:</w:t>
      </w:r>
    </w:p>
    <w:p w14:paraId="406C6E08" w14:textId="77777777" w:rsidR="00206B51" w:rsidRPr="00973CD5" w:rsidRDefault="00206B51" w:rsidP="00973CD5">
      <w:pPr>
        <w:pStyle w:val="BodyText"/>
        <w:numPr>
          <w:ilvl w:val="0"/>
          <w:numId w:val="11"/>
        </w:numPr>
        <w:spacing w:after="0" w:line="290" w:lineRule="atLeast"/>
        <w:ind w:left="714" w:hanging="357"/>
        <w:rPr>
          <w:rFonts w:ascii="Georgia" w:hAnsi="Georgia" w:cs="Arial"/>
        </w:rPr>
      </w:pPr>
      <w:r w:rsidRPr="00973CD5">
        <w:rPr>
          <w:rFonts w:ascii="Georgia" w:hAnsi="Georgia" w:cs="Arial"/>
        </w:rPr>
        <w:t>Due to the consideration of risk, aggressive delivery timelines and the internal capabilities of NDIA to manage a program of this size and complexity would indicate that the DHS Government option is the most viable option.</w:t>
      </w:r>
    </w:p>
    <w:p w14:paraId="1AC5FA6E" w14:textId="77777777" w:rsidR="00206B51" w:rsidRPr="00973CD5" w:rsidRDefault="00206B51" w:rsidP="00973CD5">
      <w:pPr>
        <w:pStyle w:val="BodyText"/>
        <w:numPr>
          <w:ilvl w:val="0"/>
          <w:numId w:val="11"/>
        </w:numPr>
        <w:spacing w:after="0" w:line="290" w:lineRule="atLeast"/>
        <w:ind w:left="714" w:hanging="357"/>
        <w:rPr>
          <w:rFonts w:ascii="Georgia" w:hAnsi="Georgia" w:cs="Arial"/>
        </w:rPr>
      </w:pPr>
      <w:r w:rsidRPr="00973CD5">
        <w:rPr>
          <w:rFonts w:ascii="Georgia" w:hAnsi="Georgia" w:cs="Arial"/>
        </w:rPr>
        <w:t xml:space="preserve">The NDIA is a relatively new and maturing </w:t>
      </w:r>
      <w:proofErr w:type="spellStart"/>
      <w:r w:rsidRPr="00973CD5">
        <w:rPr>
          <w:rFonts w:ascii="Georgia" w:hAnsi="Georgia" w:cs="Arial"/>
        </w:rPr>
        <w:t>organisation</w:t>
      </w:r>
      <w:proofErr w:type="spellEnd"/>
      <w:r w:rsidRPr="00973CD5">
        <w:rPr>
          <w:rFonts w:ascii="Georgia" w:hAnsi="Georgia" w:cs="Arial"/>
        </w:rPr>
        <w:t xml:space="preserve"> that does not have the required commercial acumen in technology and complex transformation management. </w:t>
      </w:r>
    </w:p>
    <w:p w14:paraId="3825196A" w14:textId="77777777" w:rsidR="00206B51" w:rsidRPr="00973CD5" w:rsidRDefault="00206B51" w:rsidP="00973CD5">
      <w:pPr>
        <w:pStyle w:val="BodyText"/>
        <w:numPr>
          <w:ilvl w:val="0"/>
          <w:numId w:val="11"/>
        </w:numPr>
        <w:spacing w:after="0" w:line="290" w:lineRule="atLeast"/>
        <w:ind w:left="714" w:hanging="357"/>
        <w:rPr>
          <w:rFonts w:ascii="Georgia" w:hAnsi="Georgia" w:cs="Arial"/>
        </w:rPr>
      </w:pPr>
      <w:r w:rsidRPr="00973CD5">
        <w:rPr>
          <w:rFonts w:ascii="Georgia" w:hAnsi="Georgia" w:cs="Arial"/>
        </w:rPr>
        <w:t>DHS has an existing technology platform that can be leveraged.</w:t>
      </w:r>
    </w:p>
    <w:p w14:paraId="024CCDFB" w14:textId="77777777" w:rsidR="00206B51" w:rsidRPr="00973CD5" w:rsidRDefault="00206B51" w:rsidP="00973CD5">
      <w:pPr>
        <w:pStyle w:val="BodyText"/>
        <w:numPr>
          <w:ilvl w:val="0"/>
          <w:numId w:val="11"/>
        </w:numPr>
        <w:spacing w:after="0" w:line="290" w:lineRule="atLeast"/>
        <w:ind w:left="714" w:hanging="357"/>
        <w:rPr>
          <w:rFonts w:ascii="Georgia" w:hAnsi="Georgia" w:cs="Arial"/>
        </w:rPr>
      </w:pPr>
      <w:r w:rsidRPr="00973CD5">
        <w:rPr>
          <w:rFonts w:ascii="Georgia" w:hAnsi="Georgia" w:cs="Arial"/>
        </w:rPr>
        <w:t>The DHS system is available immediately.</w:t>
      </w:r>
    </w:p>
    <w:p w14:paraId="5786BAD3" w14:textId="77777777" w:rsidR="00206B51" w:rsidRPr="00973CD5" w:rsidRDefault="00206B51" w:rsidP="00973CD5">
      <w:pPr>
        <w:pStyle w:val="BodyText"/>
        <w:numPr>
          <w:ilvl w:val="0"/>
          <w:numId w:val="11"/>
        </w:numPr>
        <w:spacing w:after="120" w:line="290" w:lineRule="atLeast"/>
        <w:ind w:left="714" w:hanging="357"/>
        <w:rPr>
          <w:rFonts w:ascii="Georgia" w:hAnsi="Georgia" w:cs="Arial"/>
        </w:rPr>
      </w:pPr>
      <w:r w:rsidRPr="00973CD5">
        <w:rPr>
          <w:rFonts w:ascii="Georgia" w:hAnsi="Georgia" w:cs="Arial"/>
        </w:rPr>
        <w:t>Alignment with Whole of Government policies, digital strategies and re-use of existing government platforms and assets.</w:t>
      </w:r>
      <w:r w:rsidRPr="00973CD5">
        <w:rPr>
          <w:rFonts w:ascii="Georgia" w:hAnsi="Georgia" w:cs="Arial"/>
        </w:rPr>
        <w:footnoteReference w:id="4"/>
      </w:r>
    </w:p>
    <w:p w14:paraId="66BA03AC" w14:textId="703F20DB" w:rsidR="00206B51" w:rsidRDefault="00206B51" w:rsidP="00206B51">
      <w:pPr>
        <w:pStyle w:val="BodyText"/>
      </w:pPr>
      <w:r>
        <w:t>DHS was appointed in the May 2015</w:t>
      </w:r>
      <w:r w:rsidR="008E116B">
        <w:t>-16</w:t>
      </w:r>
      <w:r>
        <w:t xml:space="preserve"> </w:t>
      </w:r>
      <w:proofErr w:type="gramStart"/>
      <w:r>
        <w:t>Budget</w:t>
      </w:r>
      <w:proofErr w:type="gramEnd"/>
      <w:r>
        <w:rPr>
          <w:rStyle w:val="FootnoteReference"/>
        </w:rPr>
        <w:footnoteReference w:id="5"/>
      </w:r>
      <w:r>
        <w:t xml:space="preserve"> to provide the ICT capability and system for the transition to Full Scheme for the above reasons. In order to go-live with the Full Scheme ICT solution, a migration of trial participants and providers from Siebel to SAP was required and this</w:t>
      </w:r>
      <w:r w:rsidR="003574AD">
        <w:t xml:space="preserve"> subsequently</w:t>
      </w:r>
      <w:r>
        <w:t xml:space="preserve"> posed data migration challenges.</w:t>
      </w:r>
    </w:p>
    <w:p w14:paraId="6CE014AD" w14:textId="051E8486" w:rsidR="00484227" w:rsidRDefault="00484227">
      <w:pPr>
        <w:spacing w:line="259" w:lineRule="auto"/>
      </w:pPr>
      <w:r>
        <w:br w:type="page"/>
      </w:r>
    </w:p>
    <w:p w14:paraId="6CF54167" w14:textId="2C41926C" w:rsidR="008023F0" w:rsidRDefault="008023F0" w:rsidP="008023F0">
      <w:pPr>
        <w:pStyle w:val="BodyText"/>
      </w:pPr>
      <w:r w:rsidRPr="00563ACA">
        <w:rPr>
          <w:i/>
        </w:rPr>
        <w:lastRenderedPageBreak/>
        <w:fldChar w:fldCharType="begin"/>
      </w:r>
      <w:r w:rsidRPr="00563ACA">
        <w:rPr>
          <w:i/>
        </w:rPr>
        <w:instrText xml:space="preserve"> REF _Ref459284777 \h  \* MERGEFORMAT </w:instrText>
      </w:r>
      <w:r w:rsidRPr="00563ACA">
        <w:rPr>
          <w:i/>
        </w:rPr>
      </w:r>
      <w:r w:rsidRPr="00563ACA">
        <w:rPr>
          <w:i/>
        </w:rPr>
        <w:fldChar w:fldCharType="separate"/>
      </w:r>
      <w:r w:rsidR="00435FC3" w:rsidRPr="00435FC3">
        <w:rPr>
          <w:i/>
        </w:rPr>
        <w:t xml:space="preserve">Figure </w:t>
      </w:r>
      <w:r w:rsidR="00435FC3" w:rsidRPr="00435FC3">
        <w:rPr>
          <w:i/>
          <w:noProof/>
        </w:rPr>
        <w:t>2</w:t>
      </w:r>
      <w:r w:rsidRPr="00563ACA">
        <w:rPr>
          <w:i/>
        </w:rPr>
        <w:fldChar w:fldCharType="end"/>
      </w:r>
      <w:r>
        <w:t xml:space="preserve"> provides a summary of the key events since the announcement of the NDIS in April 2012. </w:t>
      </w:r>
    </w:p>
    <w:p w14:paraId="17DB0608" w14:textId="77777777" w:rsidR="008023F0" w:rsidRPr="0071297E" w:rsidRDefault="008023F0" w:rsidP="008023F0">
      <w:pPr>
        <w:pStyle w:val="Caption"/>
        <w:keepNext/>
        <w:jc w:val="center"/>
        <w:rPr>
          <w:b/>
          <w:i w:val="0"/>
        </w:rPr>
      </w:pPr>
      <w:bookmarkStart w:id="8" w:name="_Ref459284777"/>
      <w:r w:rsidRPr="0071297E">
        <w:rPr>
          <w:b/>
          <w:i w:val="0"/>
        </w:rPr>
        <w:t xml:space="preserve">Figure </w:t>
      </w:r>
      <w:r>
        <w:rPr>
          <w:b/>
          <w:i w:val="0"/>
        </w:rPr>
        <w:fldChar w:fldCharType="begin"/>
      </w:r>
      <w:r>
        <w:rPr>
          <w:b/>
          <w:i w:val="0"/>
        </w:rPr>
        <w:instrText xml:space="preserve"> SEQ Figure \* ARABIC </w:instrText>
      </w:r>
      <w:r>
        <w:rPr>
          <w:b/>
          <w:i w:val="0"/>
        </w:rPr>
        <w:fldChar w:fldCharType="separate"/>
      </w:r>
      <w:r w:rsidR="00435FC3">
        <w:rPr>
          <w:b/>
          <w:i w:val="0"/>
          <w:noProof/>
        </w:rPr>
        <w:t>2</w:t>
      </w:r>
      <w:r>
        <w:rPr>
          <w:b/>
          <w:i w:val="0"/>
        </w:rPr>
        <w:fldChar w:fldCharType="end"/>
      </w:r>
      <w:bookmarkEnd w:id="8"/>
      <w:r w:rsidRPr="0071297E">
        <w:rPr>
          <w:b/>
          <w:i w:val="0"/>
          <w:noProof/>
        </w:rPr>
        <w:t xml:space="preserve"> Timeline of events</w:t>
      </w:r>
    </w:p>
    <w:p w14:paraId="48830CE4" w14:textId="239AEAAD" w:rsidR="008023F0" w:rsidRDefault="008023F0" w:rsidP="008023F0">
      <w:pPr>
        <w:pStyle w:val="BodyText"/>
        <w:spacing w:before="240"/>
        <w:jc w:val="center"/>
        <w:rPr>
          <w:rFonts w:ascii="Georgia" w:hAnsi="Georgia" w:cs="Arial"/>
        </w:rPr>
      </w:pPr>
      <w:r w:rsidRPr="00DF1D82">
        <w:rPr>
          <w:rFonts w:ascii="Georgia" w:hAnsi="Georgia" w:cs="Arial"/>
        </w:rPr>
        <w:t xml:space="preserve"> </w:t>
      </w:r>
      <w:r w:rsidR="00B011F9" w:rsidRPr="00B011F9">
        <w:rPr>
          <w:noProof/>
          <w:lang w:val="en-AU" w:eastAsia="en-AU"/>
        </w:rPr>
        <w:drawing>
          <wp:inline distT="0" distB="0" distL="0" distR="0" wp14:anchorId="1FF00712" wp14:editId="4BD357E9">
            <wp:extent cx="6506795" cy="7687733"/>
            <wp:effectExtent l="0" t="0" r="8890" b="0"/>
            <wp:docPr id="13" name="Picture 13" descr="Figure 2 Timeline of events&#10;30 April 2012 - Then PM announced NDIS to start from July 2013&#10;1 July 2013 - Commencement of trials of different approaches to inform best practices *&#10;May 2015 - Government decision to appoint DHS as ICT provider&#10;November 2015 - NDIA EMG endorses MVP &#10;September – December 2015 - Network migration to DHS, Citrix back to DSS for apps&#10;December 2015 - NSW and Victoria provided first data set – did not meet data standards&#10;March 2016 - NSW Data accepted following iterations to resolve issues&#10;NDIA EMG presented revised MVP&#10;May 2016 - Further update to MVP&#10;June – July 2016 - Victorian data accepted for all regions&#10;February 2016 - Victorian data accepted for one region only&#10;Application migration – email, HPRM, appointments etc&#10;16 June 2016 - Siebel Reduced functionality &amp; Portal read only&#10;Post 16 June 2016 - 911 plans updated inadvertently in Siebel requiring data migration rerun&#10;29 June 2016 - NDIA EMG endorsed go-live decision&#10;17 June 2016 - Advance payments to self managed participants of $2.3 million&#10;20 June 2016 - Smart Centres implemented to manage  call volumes&#10;1 August  2016 - DHS to implement staff assisted claiming strategy&#10;5 August 2016 - 91.4k payment requests ,75.5k paid, 1.3k incomplete, 54 pending, 6.2k rejected&#10;36 prioritised change requests for implementation&#10;* Excluding QLD who commenced early transition in Januar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6795" cy="7687733"/>
                    </a:xfrm>
                    <a:prstGeom prst="rect">
                      <a:avLst/>
                    </a:prstGeom>
                    <a:noFill/>
                    <a:ln>
                      <a:noFill/>
                    </a:ln>
                  </pic:spPr>
                </pic:pic>
              </a:graphicData>
            </a:graphic>
          </wp:inline>
        </w:drawing>
      </w:r>
    </w:p>
    <w:p w14:paraId="0BDBDB61" w14:textId="66925234" w:rsidR="006D1D20" w:rsidRDefault="008023F0" w:rsidP="008023F0">
      <w:pPr>
        <w:spacing w:line="259" w:lineRule="auto"/>
      </w:pPr>
      <w:r>
        <w:br w:type="page"/>
      </w:r>
    </w:p>
    <w:p w14:paraId="40660140" w14:textId="21E573FE" w:rsidR="00A769D0" w:rsidRPr="006D369B" w:rsidRDefault="006126F7" w:rsidP="007F7FBA">
      <w:pPr>
        <w:pStyle w:val="ExhibitHeading1"/>
        <w:numPr>
          <w:ilvl w:val="0"/>
          <w:numId w:val="0"/>
        </w:numPr>
        <w:rPr>
          <w:color w:val="821A1A" w:themeColor="accent1"/>
          <w:sz w:val="40"/>
        </w:rPr>
      </w:pPr>
      <w:bookmarkStart w:id="9" w:name="_Toc460422961"/>
      <w:r w:rsidRPr="006D369B">
        <w:rPr>
          <w:color w:val="821A1A" w:themeColor="accent1"/>
          <w:sz w:val="40"/>
        </w:rPr>
        <w:lastRenderedPageBreak/>
        <w:t>Background</w:t>
      </w:r>
      <w:r w:rsidR="007F47E2">
        <w:rPr>
          <w:color w:val="821A1A" w:themeColor="accent1"/>
          <w:sz w:val="40"/>
        </w:rPr>
        <w:t xml:space="preserve"> </w:t>
      </w:r>
      <w:r w:rsidR="009D28DF">
        <w:rPr>
          <w:color w:val="821A1A" w:themeColor="accent1"/>
          <w:sz w:val="40"/>
        </w:rPr>
        <w:t>f</w:t>
      </w:r>
      <w:r w:rsidR="007F47E2">
        <w:rPr>
          <w:color w:val="821A1A" w:themeColor="accent1"/>
          <w:sz w:val="40"/>
        </w:rPr>
        <w:t>indings</w:t>
      </w:r>
      <w:bookmarkEnd w:id="9"/>
    </w:p>
    <w:p w14:paraId="30F4817A" w14:textId="04A5AD95" w:rsidR="00A769D0" w:rsidRPr="000851F6" w:rsidRDefault="001975CC" w:rsidP="00A769D0">
      <w:pPr>
        <w:pStyle w:val="Non-numberedHeading2"/>
        <w:rPr>
          <w:sz w:val="24"/>
          <w:szCs w:val="28"/>
        </w:rPr>
      </w:pPr>
      <w:bookmarkStart w:id="10" w:name="_Toc460422962"/>
      <w:r w:rsidRPr="000851F6">
        <w:rPr>
          <w:sz w:val="24"/>
          <w:szCs w:val="28"/>
        </w:rPr>
        <w:t xml:space="preserve">Alignment of as-built ICT </w:t>
      </w:r>
      <w:r w:rsidR="0003604C" w:rsidRPr="000851F6">
        <w:rPr>
          <w:sz w:val="24"/>
          <w:szCs w:val="28"/>
        </w:rPr>
        <w:t>system</w:t>
      </w:r>
      <w:r w:rsidRPr="000851F6">
        <w:rPr>
          <w:sz w:val="24"/>
          <w:szCs w:val="28"/>
        </w:rPr>
        <w:t xml:space="preserve"> to agreed business case</w:t>
      </w:r>
      <w:bookmarkEnd w:id="10"/>
    </w:p>
    <w:p w14:paraId="498CF171" w14:textId="77777777" w:rsidR="00C523D9" w:rsidRDefault="00C523D9" w:rsidP="00C523D9">
      <w:pPr>
        <w:rPr>
          <w:rFonts w:ascii="Georgia" w:eastAsia="Georgia" w:hAnsi="Georgia" w:cs="Georgia"/>
        </w:rPr>
      </w:pPr>
      <w:r w:rsidRPr="0073006F">
        <w:rPr>
          <w:rFonts w:ascii="Georgia" w:eastAsia="Georgia" w:hAnsi="Georgia" w:cs="Georgia"/>
        </w:rPr>
        <w:t>Based on the available evidence sighted and interviews conducted, we have found that the ICT system has been built according to the agreed business case and government outcomes.</w:t>
      </w:r>
    </w:p>
    <w:p w14:paraId="3F176361" w14:textId="77777777" w:rsidR="00C523D9" w:rsidRDefault="00C523D9" w:rsidP="00C523D9">
      <w:r>
        <w:rPr>
          <w:rFonts w:ascii="Georgia" w:eastAsia="Georgia" w:hAnsi="Georgia" w:cs="Georgia"/>
        </w:rPr>
        <w:t xml:space="preserve">The Business Case approved by the Government in </w:t>
      </w:r>
      <w:r>
        <w:t xml:space="preserve">May </w:t>
      </w:r>
      <w:r>
        <w:rPr>
          <w:rFonts w:ascii="Georgia" w:eastAsia="Georgia" w:hAnsi="Georgia" w:cs="Georgia"/>
        </w:rPr>
        <w:t>201</w:t>
      </w:r>
      <w:r>
        <w:t>5</w:t>
      </w:r>
      <w:r>
        <w:rPr>
          <w:rFonts w:ascii="Georgia" w:eastAsia="Georgia" w:hAnsi="Georgia" w:cs="Georgia"/>
        </w:rPr>
        <w:t xml:space="preserve"> defined the intent of the Full Scheme ICT Solution for the NDIA, including the outcomes that would be delivered</w:t>
      </w:r>
      <w:r>
        <w:rPr>
          <w:rStyle w:val="FootnoteReference"/>
          <w:rFonts w:ascii="Georgia" w:eastAsia="Georgia" w:hAnsi="Georgia" w:cs="Georgia"/>
        </w:rPr>
        <w:footnoteReference w:id="6"/>
      </w:r>
      <w:r>
        <w:rPr>
          <w:rFonts w:ascii="Georgia" w:eastAsia="Georgia" w:hAnsi="Georgia" w:cs="Georgia"/>
        </w:rPr>
        <w:t>. The NDIA Business Capability Model linked the strategic goals and outcomes of the NDIS through to the operational functions and capabilities.</w:t>
      </w:r>
    </w:p>
    <w:p w14:paraId="3D8A7821" w14:textId="2623E7CD" w:rsidR="00C523D9" w:rsidRDefault="00C523D9" w:rsidP="00C523D9">
      <w:r>
        <w:rPr>
          <w:rFonts w:ascii="Georgia" w:eastAsia="Georgia" w:hAnsi="Georgia" w:cs="Georgia"/>
        </w:rPr>
        <w:t>The Full Scheme ICT Solution</w:t>
      </w:r>
      <w:r w:rsidR="00237519">
        <w:rPr>
          <w:rFonts w:ascii="Georgia" w:eastAsia="Georgia" w:hAnsi="Georgia" w:cs="Georgia"/>
        </w:rPr>
        <w:t xml:space="preserve"> was delivered in collaboration between NDIA, DHS and DSS</w:t>
      </w:r>
      <w:r w:rsidR="00A74AFD">
        <w:rPr>
          <w:rFonts w:ascii="Georgia" w:eastAsia="Georgia" w:hAnsi="Georgia" w:cs="Georgia"/>
        </w:rPr>
        <w:t xml:space="preserve"> and with the support of State and Territory governments.</w:t>
      </w:r>
      <w:r w:rsidR="00237519">
        <w:rPr>
          <w:rFonts w:ascii="Georgia" w:eastAsia="Georgia" w:hAnsi="Georgia" w:cs="Georgia"/>
        </w:rPr>
        <w:t xml:space="preserve"> </w:t>
      </w:r>
      <w:r w:rsidR="00A74AFD">
        <w:rPr>
          <w:rFonts w:ascii="Georgia" w:eastAsia="Georgia" w:hAnsi="Georgia" w:cs="Georgia"/>
        </w:rPr>
        <w:t xml:space="preserve">The ICT solution </w:t>
      </w:r>
      <w:r>
        <w:rPr>
          <w:rFonts w:ascii="Georgia" w:eastAsia="Georgia" w:hAnsi="Georgia" w:cs="Georgia"/>
        </w:rPr>
        <w:t xml:space="preserve">was built using DHS’s existing ICT capabilities to </w:t>
      </w:r>
      <w:proofErr w:type="spellStart"/>
      <w:r>
        <w:rPr>
          <w:rFonts w:ascii="Georgia" w:eastAsia="Georgia" w:hAnsi="Georgia" w:cs="Georgia"/>
        </w:rPr>
        <w:t>maximise</w:t>
      </w:r>
      <w:proofErr w:type="spellEnd"/>
      <w:r>
        <w:rPr>
          <w:rFonts w:ascii="Georgia" w:eastAsia="Georgia" w:hAnsi="Georgia" w:cs="Georgia"/>
        </w:rPr>
        <w:t xml:space="preserve"> re-use of existing government capabilities</w:t>
      </w:r>
      <w:r w:rsidR="00A74AFD">
        <w:rPr>
          <w:rFonts w:ascii="Georgia" w:eastAsia="Georgia" w:hAnsi="Georgia" w:cs="Georgia"/>
        </w:rPr>
        <w:t xml:space="preserve"> and alignment to government ICT builds</w:t>
      </w:r>
      <w:proofErr w:type="gramStart"/>
      <w:r w:rsidR="00A74AFD">
        <w:rPr>
          <w:rFonts w:ascii="Georgia" w:eastAsia="Georgia" w:hAnsi="Georgia" w:cs="Georgia"/>
        </w:rPr>
        <w:t>.</w:t>
      </w:r>
      <w:r>
        <w:rPr>
          <w:rFonts w:ascii="Georgia" w:eastAsia="Georgia" w:hAnsi="Georgia" w:cs="Georgia"/>
        </w:rPr>
        <w:t>.</w:t>
      </w:r>
      <w:proofErr w:type="gramEnd"/>
      <w:r w:rsidR="00237519">
        <w:rPr>
          <w:rFonts w:ascii="Georgia" w:eastAsia="Georgia" w:hAnsi="Georgia" w:cs="Georgia"/>
        </w:rPr>
        <w:t xml:space="preserve"> </w:t>
      </w:r>
      <w:r>
        <w:rPr>
          <w:rFonts w:ascii="Georgia" w:eastAsia="Georgia" w:hAnsi="Georgia" w:cs="Georgia"/>
        </w:rPr>
        <w:t xml:space="preserve">The repeat pattern capabilities were configured to meet the needs of the NDIS. </w:t>
      </w:r>
      <w:r>
        <w:t>Nineteen</w:t>
      </w:r>
      <w:r>
        <w:rPr>
          <w:rFonts w:ascii="Georgia" w:eastAsia="Georgia" w:hAnsi="Georgia" w:cs="Georgia"/>
        </w:rPr>
        <w:t xml:space="preserve"> DHS patterns were re-used and another </w:t>
      </w:r>
      <w:r>
        <w:t xml:space="preserve">three </w:t>
      </w:r>
      <w:r>
        <w:rPr>
          <w:rFonts w:ascii="Georgia" w:eastAsia="Georgia" w:hAnsi="Georgia" w:cs="Georgia"/>
        </w:rPr>
        <w:t xml:space="preserve">were </w:t>
      </w:r>
      <w:r>
        <w:t>enriched with NDIA requirements</w:t>
      </w:r>
      <w:r>
        <w:rPr>
          <w:rFonts w:ascii="Georgia" w:eastAsia="Georgia" w:hAnsi="Georgia" w:cs="Georgia"/>
        </w:rPr>
        <w:t xml:space="preserve">. In addition, </w:t>
      </w:r>
      <w:r>
        <w:t xml:space="preserve">three </w:t>
      </w:r>
      <w:r>
        <w:rPr>
          <w:rFonts w:ascii="Georgia" w:eastAsia="Georgia" w:hAnsi="Georgia" w:cs="Georgia"/>
        </w:rPr>
        <w:t xml:space="preserve">new NDIA patterns were developed. </w:t>
      </w:r>
    </w:p>
    <w:p w14:paraId="273E6D5E" w14:textId="5321CE70" w:rsidR="00C523D9" w:rsidRDefault="00C523D9" w:rsidP="00C523D9">
      <w:pPr>
        <w:spacing w:line="259" w:lineRule="auto"/>
      </w:pPr>
    </w:p>
    <w:p w14:paraId="6F49A40D" w14:textId="1481A416" w:rsidR="00A769D0" w:rsidRPr="000851F6" w:rsidRDefault="001975CC" w:rsidP="00A769D0">
      <w:pPr>
        <w:pStyle w:val="Non-numberedHeading2"/>
        <w:rPr>
          <w:rFonts w:ascii="Georgia" w:eastAsia="Georgia" w:hAnsi="Georgia" w:cs="Georgia"/>
          <w:sz w:val="24"/>
          <w:szCs w:val="28"/>
        </w:rPr>
      </w:pPr>
      <w:bookmarkStart w:id="11" w:name="_Toc460422963"/>
      <w:r w:rsidRPr="000851F6">
        <w:rPr>
          <w:sz w:val="24"/>
          <w:szCs w:val="28"/>
        </w:rPr>
        <w:t>Identified limitations of the ICT system</w:t>
      </w:r>
      <w:bookmarkEnd w:id="11"/>
      <w:r w:rsidR="0073006F" w:rsidRPr="000851F6">
        <w:rPr>
          <w:rFonts w:ascii="Georgia" w:eastAsia="Georgia" w:hAnsi="Georgia" w:cs="Georgia"/>
          <w:sz w:val="24"/>
          <w:szCs w:val="28"/>
        </w:rPr>
        <w:t xml:space="preserve"> </w:t>
      </w:r>
    </w:p>
    <w:p w14:paraId="23A519E5" w14:textId="77777777" w:rsidR="00663669" w:rsidRDefault="00663669" w:rsidP="00663669">
      <w:pPr>
        <w:rPr>
          <w:rFonts w:ascii="Georgia" w:eastAsia="Georgia" w:hAnsi="Georgia" w:cs="Georgia"/>
        </w:rPr>
      </w:pPr>
      <w:r>
        <w:rPr>
          <w:rFonts w:ascii="Georgia" w:eastAsia="Georgia" w:hAnsi="Georgia" w:cs="Georgia"/>
        </w:rPr>
        <w:t>Although</w:t>
      </w:r>
      <w:r w:rsidRPr="0073006F">
        <w:rPr>
          <w:rFonts w:ascii="Georgia" w:eastAsia="Georgia" w:hAnsi="Georgia" w:cs="Georgia"/>
        </w:rPr>
        <w:t xml:space="preserve"> ICT system defects</w:t>
      </w:r>
      <w:r>
        <w:rPr>
          <w:rFonts w:ascii="Georgia" w:eastAsia="Georgia" w:hAnsi="Georgia" w:cs="Georgia"/>
        </w:rPr>
        <w:t xml:space="preserve"> were</w:t>
      </w:r>
      <w:r w:rsidRPr="0073006F">
        <w:rPr>
          <w:rFonts w:ascii="Georgia" w:eastAsia="Georgia" w:hAnsi="Georgia" w:cs="Georgia"/>
        </w:rPr>
        <w:t xml:space="preserve"> identified that created gaps requiring further development, none of these defects prevented the implementation of the Minimum Viable Product (MVP).</w:t>
      </w:r>
    </w:p>
    <w:p w14:paraId="2A1A3B2F" w14:textId="13938E36" w:rsidR="00663669" w:rsidRDefault="00663669" w:rsidP="00663669">
      <w:pPr>
        <w:rPr>
          <w:rFonts w:ascii="Georgia" w:eastAsia="Georgia" w:hAnsi="Georgia" w:cs="Georgia"/>
        </w:rPr>
      </w:pPr>
      <w:r>
        <w:rPr>
          <w:rFonts w:ascii="Georgia" w:eastAsia="Georgia" w:hAnsi="Georgia" w:cs="Georgia"/>
        </w:rPr>
        <w:t>The MVP defined the minimum functions and features required for the Full Scheme ICT Solution to perform its critical capability. The MVP was endorsed by the</w:t>
      </w:r>
      <w:r w:rsidR="007C160B">
        <w:rPr>
          <w:rFonts w:ascii="Georgia" w:eastAsia="Georgia" w:hAnsi="Georgia" w:cs="Georgia"/>
        </w:rPr>
        <w:t xml:space="preserve"> NDIA</w:t>
      </w:r>
      <w:r>
        <w:rPr>
          <w:rFonts w:ascii="Georgia" w:eastAsia="Georgia" w:hAnsi="Georgia" w:cs="Georgia"/>
        </w:rPr>
        <w:t xml:space="preserve"> Executive Management Group (EMG) in November 2015</w:t>
      </w:r>
      <w:r>
        <w:rPr>
          <w:rStyle w:val="FootnoteReference"/>
          <w:rFonts w:ascii="Georgia" w:eastAsia="Georgia" w:hAnsi="Georgia" w:cs="Georgia"/>
        </w:rPr>
        <w:footnoteReference w:id="7"/>
      </w:r>
      <w:r>
        <w:rPr>
          <w:rFonts w:ascii="Georgia" w:eastAsia="Georgia" w:hAnsi="Georgia" w:cs="Georgia"/>
        </w:rPr>
        <w:t>.</w:t>
      </w:r>
      <w:r w:rsidR="003C4F70">
        <w:rPr>
          <w:rFonts w:ascii="Georgia" w:eastAsia="Georgia" w:hAnsi="Georgia" w:cs="Georgia"/>
        </w:rPr>
        <w:t xml:space="preserve"> </w:t>
      </w:r>
      <w:r>
        <w:rPr>
          <w:rFonts w:ascii="Georgia" w:eastAsia="Georgia" w:hAnsi="Georgia" w:cs="Georgia"/>
        </w:rPr>
        <w:t>Using the Accelerated Delivery Approach (ADA), the MVP was iterated in the lead-up to the launch, including building on what was identified in the Pilot and Surge phases</w:t>
      </w:r>
      <w:r w:rsidR="00404BBE">
        <w:rPr>
          <w:rFonts w:ascii="Georgia" w:eastAsia="Georgia" w:hAnsi="Georgia" w:cs="Georgia"/>
        </w:rPr>
        <w:t xml:space="preserve"> of the trial</w:t>
      </w:r>
      <w:r>
        <w:rPr>
          <w:rFonts w:ascii="Georgia" w:eastAsia="Georgia" w:hAnsi="Georgia" w:cs="Georgia"/>
        </w:rPr>
        <w:t>.</w:t>
      </w:r>
      <w:r w:rsidR="003C4F70">
        <w:rPr>
          <w:rFonts w:ascii="Georgia" w:eastAsia="Georgia" w:hAnsi="Georgia" w:cs="Georgia"/>
        </w:rPr>
        <w:t xml:space="preserve"> </w:t>
      </w:r>
      <w:r>
        <w:rPr>
          <w:rFonts w:ascii="Georgia" w:eastAsia="Georgia" w:hAnsi="Georgia" w:cs="Georgia"/>
        </w:rPr>
        <w:t>A revised MVP was presented to the EMG on 8 March 2016 and a further update in early May 2016</w:t>
      </w:r>
      <w:r>
        <w:rPr>
          <w:rStyle w:val="FootnoteReference"/>
          <w:rFonts w:ascii="Georgia" w:eastAsia="Georgia" w:hAnsi="Georgia" w:cs="Georgia"/>
        </w:rPr>
        <w:footnoteReference w:id="8"/>
      </w:r>
      <w:r>
        <w:rPr>
          <w:rFonts w:ascii="Georgia" w:eastAsia="Georgia" w:hAnsi="Georgia" w:cs="Georgia"/>
        </w:rPr>
        <w:t xml:space="preserve"> which sought the EMG’s endorsement of the final business requirements and the elements of the MVP that could not be delivered by 1 July 2016. Functionality for decision-quality assurance and back-end work-flow efficiency were removed from the scope, although this did not affect the ICT system’s ability to discharge payments to approved plans effectively.</w:t>
      </w:r>
    </w:p>
    <w:p w14:paraId="4B5D4574" w14:textId="77777777" w:rsidR="00663669" w:rsidRDefault="00663669" w:rsidP="00663669">
      <w:pPr>
        <w:rPr>
          <w:rFonts w:ascii="Georgia" w:eastAsia="Georgia" w:hAnsi="Georgia" w:cs="Georgia"/>
        </w:rPr>
      </w:pPr>
      <w:r>
        <w:rPr>
          <w:rFonts w:ascii="Georgia" w:eastAsia="Georgia" w:hAnsi="Georgia" w:cs="Georgia"/>
        </w:rPr>
        <w:t>As NDIA transitions to Full Scheme, the ICT system will need to be uplifted from the current MVP to full ICT support. This will require delivery of the capability that had previously been removed from the scope. A number of planned strategic projects</w:t>
      </w:r>
      <w:r>
        <w:rPr>
          <w:rStyle w:val="FootnoteReference"/>
          <w:rFonts w:ascii="Georgia" w:eastAsia="Georgia" w:hAnsi="Georgia" w:cs="Georgia"/>
        </w:rPr>
        <w:footnoteReference w:id="9"/>
      </w:r>
      <w:r>
        <w:rPr>
          <w:rFonts w:ascii="Georgia" w:eastAsia="Georgia" w:hAnsi="Georgia" w:cs="Georgia"/>
        </w:rPr>
        <w:t xml:space="preserve"> have been identified to increase the current system capability, building on the repeat pattern capability where appropriate. Examples of these strategic projects are improving the work management system and improving the system’s ability to cater for in-kind arrangements.</w:t>
      </w:r>
    </w:p>
    <w:p w14:paraId="543E4E24" w14:textId="427CA452" w:rsidR="00663669" w:rsidRPr="009B65C8" w:rsidRDefault="00663669" w:rsidP="00663669">
      <w:pPr>
        <w:rPr>
          <w:rFonts w:ascii="Georgia" w:eastAsia="Georgia" w:hAnsi="Georgia" w:cs="Georgia"/>
        </w:rPr>
      </w:pPr>
      <w:r>
        <w:rPr>
          <w:rFonts w:ascii="Georgia" w:eastAsia="Georgia" w:hAnsi="Georgia" w:cs="Georgia"/>
        </w:rPr>
        <w:t>At the go-live on 1 July 2016 there were no out</w:t>
      </w:r>
      <w:r w:rsidRPr="009B65C8">
        <w:rPr>
          <w:rFonts w:ascii="Georgia" w:eastAsia="Georgia" w:hAnsi="Georgia" w:cs="Georgia"/>
        </w:rPr>
        <w:t xml:space="preserve">standing priority 1 </w:t>
      </w:r>
      <w:r>
        <w:rPr>
          <w:rFonts w:ascii="Georgia" w:eastAsia="Georgia" w:hAnsi="Georgia" w:cs="Georgia"/>
        </w:rPr>
        <w:t>system defects</w:t>
      </w:r>
      <w:r>
        <w:rPr>
          <w:rStyle w:val="FootnoteReference"/>
          <w:rFonts w:ascii="Georgia" w:eastAsia="Georgia" w:hAnsi="Georgia" w:cs="Georgia"/>
        </w:rPr>
        <w:footnoteReference w:id="10"/>
      </w:r>
      <w:r>
        <w:rPr>
          <w:rFonts w:ascii="Georgia" w:eastAsia="Georgia" w:hAnsi="Georgia" w:cs="Georgia"/>
        </w:rPr>
        <w:t xml:space="preserve"> and none have been raised in the time since 1 July 2016. </w:t>
      </w:r>
      <w:r w:rsidRPr="009B65C8">
        <w:rPr>
          <w:rFonts w:ascii="Georgia" w:eastAsia="Georgia" w:hAnsi="Georgia" w:cs="Georgia"/>
        </w:rPr>
        <w:t>Evidence show</w:t>
      </w:r>
      <w:r>
        <w:rPr>
          <w:rFonts w:ascii="Georgia" w:eastAsia="Georgia" w:hAnsi="Georgia" w:cs="Georgia"/>
        </w:rPr>
        <w:t>s</w:t>
      </w:r>
      <w:r w:rsidRPr="009B65C8">
        <w:rPr>
          <w:rFonts w:ascii="Georgia" w:eastAsia="Georgia" w:hAnsi="Georgia" w:cs="Georgia"/>
        </w:rPr>
        <w:t xml:space="preserve"> that </w:t>
      </w:r>
      <w:r>
        <w:rPr>
          <w:rFonts w:ascii="Georgia" w:eastAsia="Georgia" w:hAnsi="Georgia" w:cs="Georgia"/>
        </w:rPr>
        <w:t xml:space="preserve">53 priority 1 and 2 incidents were raised from 1 July to 5 August 2016. </w:t>
      </w:r>
    </w:p>
    <w:p w14:paraId="0B28B1B2" w14:textId="77777777" w:rsidR="00C523D9" w:rsidRDefault="00C523D9">
      <w:pPr>
        <w:spacing w:line="259" w:lineRule="auto"/>
        <w:rPr>
          <w:rFonts w:ascii="Georgia" w:eastAsia="Georgia" w:hAnsi="Georgia" w:cs="Georgia"/>
        </w:rPr>
      </w:pPr>
    </w:p>
    <w:p w14:paraId="0A6D6757" w14:textId="77777777" w:rsidR="00A769D0" w:rsidRDefault="00A769D0">
      <w:pPr>
        <w:spacing w:line="259" w:lineRule="auto"/>
        <w:rPr>
          <w:rFonts w:ascii="Georgia" w:eastAsia="Georgia" w:hAnsi="Georgia" w:cs="Georgia"/>
          <w:b/>
          <w:i/>
          <w:color w:val="821A1A" w:themeColor="text2"/>
          <w:sz w:val="32"/>
          <w:szCs w:val="32"/>
        </w:rPr>
      </w:pPr>
      <w:r>
        <w:rPr>
          <w:rFonts w:ascii="Georgia" w:eastAsia="Georgia" w:hAnsi="Georgia" w:cs="Georgia"/>
        </w:rPr>
        <w:br w:type="page"/>
      </w:r>
    </w:p>
    <w:p w14:paraId="77276A73" w14:textId="3397E53E" w:rsidR="00A769D0" w:rsidRPr="000851F6" w:rsidRDefault="001975CC" w:rsidP="00A769D0">
      <w:pPr>
        <w:pStyle w:val="Non-numberedHeading2"/>
        <w:rPr>
          <w:sz w:val="24"/>
          <w:szCs w:val="28"/>
        </w:rPr>
      </w:pPr>
      <w:bookmarkStart w:id="12" w:name="_Toc460422964"/>
      <w:r w:rsidRPr="000851F6">
        <w:rPr>
          <w:sz w:val="24"/>
          <w:szCs w:val="28"/>
        </w:rPr>
        <w:lastRenderedPageBreak/>
        <w:t>Adequacy of NDIA’s practices and business processes</w:t>
      </w:r>
      <w:bookmarkEnd w:id="12"/>
    </w:p>
    <w:p w14:paraId="0CAA31DE" w14:textId="77777777" w:rsidR="00663669" w:rsidRPr="00CB1864" w:rsidRDefault="00663669" w:rsidP="00663669">
      <w:pPr>
        <w:pStyle w:val="HeadingText"/>
      </w:pPr>
      <w:r w:rsidRPr="00CB1864">
        <w:t>NDIA Operating Model and Business Processes</w:t>
      </w:r>
    </w:p>
    <w:p w14:paraId="7847C2B9" w14:textId="08E2593C" w:rsidR="00663669" w:rsidRPr="00B21B09" w:rsidRDefault="00663669" w:rsidP="00663669">
      <w:pPr>
        <w:rPr>
          <w:rFonts w:ascii="Georgia" w:eastAsia="Georgia" w:hAnsi="Georgia" w:cs="Georgia"/>
        </w:rPr>
      </w:pPr>
      <w:r w:rsidRPr="00B21B09">
        <w:rPr>
          <w:rFonts w:ascii="Georgia" w:eastAsia="Georgia" w:hAnsi="Georgia" w:cs="Georgia"/>
        </w:rPr>
        <w:t xml:space="preserve">The NDIA currently has not implemented a </w:t>
      </w:r>
      <w:r>
        <w:rPr>
          <w:rFonts w:ascii="Georgia" w:eastAsia="Georgia" w:hAnsi="Georgia" w:cs="Georgia"/>
        </w:rPr>
        <w:t>c</w:t>
      </w:r>
      <w:r w:rsidRPr="00B21B09">
        <w:rPr>
          <w:rFonts w:ascii="Georgia" w:eastAsia="Georgia" w:hAnsi="Georgia" w:cs="Georgia"/>
        </w:rPr>
        <w:t>omprehensive Service Delivery Operating Model (SDOM)</w:t>
      </w:r>
      <w:r w:rsidR="00E611E8">
        <w:rPr>
          <w:rFonts w:ascii="Georgia" w:eastAsia="Georgia" w:hAnsi="Georgia" w:cs="Georgia"/>
        </w:rPr>
        <w:t>.</w:t>
      </w:r>
      <w:r w:rsidRPr="00B21B09">
        <w:rPr>
          <w:rFonts w:ascii="Georgia" w:eastAsia="Georgia" w:hAnsi="Georgia" w:cs="Georgia"/>
        </w:rPr>
        <w:t xml:space="preserve"> </w:t>
      </w:r>
      <w:r w:rsidR="00E611E8">
        <w:rPr>
          <w:rFonts w:ascii="Georgia" w:eastAsia="Georgia" w:hAnsi="Georgia" w:cs="Georgia"/>
        </w:rPr>
        <w:t>This</w:t>
      </w:r>
      <w:r w:rsidR="00E611E8" w:rsidRPr="00B21B09">
        <w:rPr>
          <w:rFonts w:ascii="Georgia" w:eastAsia="Georgia" w:hAnsi="Georgia" w:cs="Georgia"/>
        </w:rPr>
        <w:t xml:space="preserve"> </w:t>
      </w:r>
      <w:r w:rsidRPr="00B21B09">
        <w:rPr>
          <w:rFonts w:ascii="Georgia" w:eastAsia="Georgia" w:hAnsi="Georgia" w:cs="Georgia"/>
        </w:rPr>
        <w:t xml:space="preserve">has impacted on the successful execution of the Full Scheme Launch and put the existing </w:t>
      </w:r>
      <w:proofErr w:type="spellStart"/>
      <w:r w:rsidRPr="00B21B09">
        <w:rPr>
          <w:rFonts w:ascii="Georgia" w:eastAsia="Georgia" w:hAnsi="Georgia" w:cs="Georgia"/>
        </w:rPr>
        <w:t>organisational</w:t>
      </w:r>
      <w:proofErr w:type="spellEnd"/>
      <w:r w:rsidRPr="00B21B09">
        <w:rPr>
          <w:rFonts w:ascii="Georgia" w:eastAsia="Georgia" w:hAnsi="Georgia" w:cs="Georgia"/>
        </w:rPr>
        <w:t xml:space="preserve"> operating model under stress.</w:t>
      </w:r>
      <w:r w:rsidRPr="00BF63AD">
        <w:rPr>
          <w:rFonts w:ascii="Georgia" w:eastAsia="Georgia" w:hAnsi="Georgia" w:cs="Georgia"/>
        </w:rPr>
        <w:t xml:space="preserve"> </w:t>
      </w:r>
      <w:r>
        <w:rPr>
          <w:rFonts w:ascii="Georgia" w:eastAsia="Georgia" w:hAnsi="Georgia" w:cs="Georgia"/>
        </w:rPr>
        <w:t xml:space="preserve">A NDIA Knowledge Tool is currently being developed with the intention to </w:t>
      </w:r>
      <w:r w:rsidRPr="00B21B09">
        <w:rPr>
          <w:rFonts w:ascii="Georgia" w:eastAsia="Georgia" w:hAnsi="Georgia" w:cs="Georgia"/>
        </w:rPr>
        <w:t xml:space="preserve">clearly define NDIA customer offerings, process, technology, information, </w:t>
      </w:r>
      <w:proofErr w:type="spellStart"/>
      <w:r w:rsidRPr="00B21B09">
        <w:rPr>
          <w:rFonts w:ascii="Georgia" w:eastAsia="Georgia" w:hAnsi="Georgia" w:cs="Georgia"/>
        </w:rPr>
        <w:t>organisational</w:t>
      </w:r>
      <w:proofErr w:type="spellEnd"/>
      <w:r w:rsidRPr="00B21B09">
        <w:rPr>
          <w:rFonts w:ascii="Georgia" w:eastAsia="Georgia" w:hAnsi="Georgia" w:cs="Georgia"/>
        </w:rPr>
        <w:t xml:space="preserve"> structure (including governance, roles and accountabilities), with mechanisms to understand the interaction between key components of the operating model. </w:t>
      </w:r>
    </w:p>
    <w:p w14:paraId="7406326F" w14:textId="02C06A7F" w:rsidR="00663669" w:rsidRDefault="00663669" w:rsidP="00663669">
      <w:r>
        <w:t>Continuous development and adaptation of the ICT solution has placed additional stress on the NDIA. During the ICT solution development, there</w:t>
      </w:r>
      <w:r w:rsidDel="00085646">
        <w:t xml:space="preserve"> </w:t>
      </w:r>
      <w:r>
        <w:t>is evidence that some k</w:t>
      </w:r>
      <w:r w:rsidRPr="00C96E04">
        <w:t xml:space="preserve">ey business readiness activities </w:t>
      </w:r>
      <w:r>
        <w:t xml:space="preserve">were either </w:t>
      </w:r>
      <w:r w:rsidRPr="00C96E04">
        <w:t xml:space="preserve">identified </w:t>
      </w:r>
      <w:r>
        <w:t xml:space="preserve">too late </w:t>
      </w:r>
      <w:r w:rsidRPr="00C96E04">
        <w:t>or not compl</w:t>
      </w:r>
      <w:r>
        <w:t>eted effectively</w:t>
      </w:r>
      <w:r>
        <w:rPr>
          <w:rStyle w:val="FootnoteReference"/>
        </w:rPr>
        <w:footnoteReference w:id="11"/>
      </w:r>
      <w:proofErr w:type="gramStart"/>
      <w:r w:rsidR="00404BBE">
        <w:t xml:space="preserve"> </w:t>
      </w:r>
      <w:proofErr w:type="gramEnd"/>
      <w:r>
        <w:rPr>
          <w:rStyle w:val="FootnoteReference"/>
        </w:rPr>
        <w:footnoteReference w:id="12"/>
      </w:r>
      <w:r w:rsidR="00404BBE">
        <w:t xml:space="preserve"> </w:t>
      </w:r>
      <w:r>
        <w:rPr>
          <w:rStyle w:val="FootnoteReference"/>
        </w:rPr>
        <w:footnoteReference w:id="13"/>
      </w:r>
      <w:r>
        <w:t xml:space="preserve">. It has been reported in interviews that stakeholder engagement, training and preparedness was not sufficient, and necessary training materials were not </w:t>
      </w:r>
      <w:proofErr w:type="spellStart"/>
      <w:r>
        <w:t>finalised</w:t>
      </w:r>
      <w:proofErr w:type="spellEnd"/>
      <w:r>
        <w:t xml:space="preserve"> for staff and providers by 29 June 2016</w:t>
      </w:r>
      <w:r>
        <w:rPr>
          <w:rStyle w:val="FootnoteReference"/>
        </w:rPr>
        <w:footnoteReference w:id="14"/>
      </w:r>
      <w:r>
        <w:t>.</w:t>
      </w:r>
    </w:p>
    <w:p w14:paraId="5170CE8D" w14:textId="43A9B6C1" w:rsidR="00663669" w:rsidRDefault="00663669" w:rsidP="006139D9">
      <w:pPr>
        <w:pStyle w:val="BodyText"/>
      </w:pPr>
      <w:r>
        <w:t xml:space="preserve">Governance and coordination across the agency has been a reported challenge for the </w:t>
      </w:r>
      <w:r w:rsidR="00931AAD">
        <w:t>ICT implementation</w:t>
      </w:r>
      <w:r>
        <w:t>, with business plans and schedules across business areas being uncoordinated until as late as April 2016</w:t>
      </w:r>
      <w:r>
        <w:rPr>
          <w:rStyle w:val="FootnoteReference"/>
        </w:rPr>
        <w:footnoteReference w:id="15"/>
      </w:r>
      <w:r>
        <w:t>. The lack of one single program wide framework, operating rhythm and integrated schedule for program execution were noted as key risks for the project</w:t>
      </w:r>
      <w:r>
        <w:rPr>
          <w:rStyle w:val="FootnoteReference"/>
        </w:rPr>
        <w:footnoteReference w:id="16"/>
      </w:r>
      <w:r>
        <w:t xml:space="preserve">. In addition, no evidence of a holistic program plan has been sighted. </w:t>
      </w:r>
    </w:p>
    <w:p w14:paraId="7067A0EB" w14:textId="2F9726D9" w:rsidR="00663669" w:rsidRPr="00BF171A" w:rsidRDefault="00663669" w:rsidP="00663669">
      <w:pPr>
        <w:pStyle w:val="BodyText"/>
        <w:rPr>
          <w:b/>
        </w:rPr>
      </w:pPr>
      <w:r>
        <w:rPr>
          <w:b/>
        </w:rPr>
        <w:t>Mi</w:t>
      </w:r>
      <w:r w:rsidR="00784A7D">
        <w:rPr>
          <w:b/>
        </w:rPr>
        <w:t>gration of data to support the F</w:t>
      </w:r>
      <w:r>
        <w:rPr>
          <w:b/>
        </w:rPr>
        <w:t xml:space="preserve">ull </w:t>
      </w:r>
      <w:r w:rsidR="00784A7D">
        <w:rPr>
          <w:b/>
        </w:rPr>
        <w:t>Scheme ICT L</w:t>
      </w:r>
      <w:r>
        <w:rPr>
          <w:b/>
        </w:rPr>
        <w:t>aunch</w:t>
      </w:r>
    </w:p>
    <w:p w14:paraId="52954271" w14:textId="77777777" w:rsidR="00663669" w:rsidRDefault="00663669" w:rsidP="00663669">
      <w:pPr>
        <w:pStyle w:val="BodyText"/>
      </w:pPr>
      <w:r>
        <w:t>In order to transition from the Siebel based interim ICT solution (supported by DSS) to the SAP based Full Scheme ICT solution (provided by DHS)</w:t>
      </w:r>
      <w:proofErr w:type="gramStart"/>
      <w:r>
        <w:t>,</w:t>
      </w:r>
      <w:proofErr w:type="gramEnd"/>
      <w:r>
        <w:t xml:space="preserve"> data had to be migrated from DSS to DHS systems and loaded from the States and Territories.</w:t>
      </w:r>
    </w:p>
    <w:p w14:paraId="4322D89E" w14:textId="60D4E812" w:rsidR="00663669" w:rsidRDefault="00663669" w:rsidP="00663669">
      <w:pPr>
        <w:pStyle w:val="BodyText"/>
      </w:pPr>
      <w:r>
        <w:t xml:space="preserve">DSS’s role in the data migration was to transfer data from the interim ICT solution to a DHS data warehouse. NDIA managed the transformation of this data to agreed DHS standards. An interface design agreement was agreed and signed by NDIA on the data required from DSS and this data was provided on a daily basis starting in June 2015. </w:t>
      </w:r>
    </w:p>
    <w:p w14:paraId="2ADD10FF" w14:textId="77777777" w:rsidR="00663669" w:rsidRDefault="00663669" w:rsidP="00663669">
      <w:pPr>
        <w:pStyle w:val="BodyText"/>
      </w:pPr>
      <w:r w:rsidRPr="0006406B">
        <w:t xml:space="preserve">Data </w:t>
      </w:r>
      <w:r>
        <w:t>m</w:t>
      </w:r>
      <w:r w:rsidRPr="0006406B">
        <w:t>igration issues were a significant challenge in the implementation of the ICT</w:t>
      </w:r>
      <w:r>
        <w:t xml:space="preserve"> system</w:t>
      </w:r>
      <w:r w:rsidRPr="0006406B">
        <w:t>. Key challenges appear to relate to</w:t>
      </w:r>
      <w:r>
        <w:t>:</w:t>
      </w:r>
    </w:p>
    <w:p w14:paraId="7DE1DA2E" w14:textId="77777777" w:rsidR="00663669" w:rsidRDefault="00663669" w:rsidP="007F7FBA">
      <w:pPr>
        <w:pStyle w:val="BodyText"/>
        <w:numPr>
          <w:ilvl w:val="0"/>
          <w:numId w:val="9"/>
        </w:numPr>
      </w:pPr>
      <w:r>
        <w:t>management of the master data relating to the NDIA service catalogue;</w:t>
      </w:r>
    </w:p>
    <w:p w14:paraId="5C7C04DB" w14:textId="77777777" w:rsidR="00663669" w:rsidRDefault="00663669" w:rsidP="007F7FBA">
      <w:pPr>
        <w:pStyle w:val="BodyText"/>
        <w:numPr>
          <w:ilvl w:val="0"/>
          <w:numId w:val="9"/>
        </w:numPr>
      </w:pPr>
      <w:r>
        <w:t xml:space="preserve">migration of line items from the </w:t>
      </w:r>
      <w:r w:rsidRPr="0006406B">
        <w:t>DSS</w:t>
      </w:r>
      <w:r>
        <w:t xml:space="preserve"> system (Siebel) to the DHS system (SAP); and</w:t>
      </w:r>
    </w:p>
    <w:p w14:paraId="1CD32000" w14:textId="02E05373" w:rsidR="00663669" w:rsidRPr="0006406B" w:rsidRDefault="00663669" w:rsidP="007F7FBA">
      <w:pPr>
        <w:pStyle w:val="BodyText"/>
        <w:numPr>
          <w:ilvl w:val="0"/>
          <w:numId w:val="9"/>
        </w:numPr>
      </w:pPr>
      <w:proofErr w:type="gramStart"/>
      <w:r>
        <w:t>the</w:t>
      </w:r>
      <w:proofErr w:type="gramEnd"/>
      <w:r>
        <w:t xml:space="preserve"> timeliness and </w:t>
      </w:r>
      <w:r w:rsidRPr="0006406B">
        <w:t>quality of data received from States and Territories</w:t>
      </w:r>
      <w:r w:rsidR="00A74AFD">
        <w:t>, including data</w:t>
      </w:r>
      <w:r w:rsidR="00092631">
        <w:t xml:space="preserve"> forms</w:t>
      </w:r>
      <w:r w:rsidR="00A74AFD">
        <w:t xml:space="preserve"> with missing fields</w:t>
      </w:r>
      <w:r w:rsidR="001A11C8">
        <w:t xml:space="preserve"> or incomplete fields</w:t>
      </w:r>
      <w:r w:rsidRPr="0006406B">
        <w:t xml:space="preserve">. </w:t>
      </w:r>
    </w:p>
    <w:p w14:paraId="7F19B5EB" w14:textId="77777777" w:rsidR="00663669" w:rsidRDefault="00663669" w:rsidP="00663669">
      <w:pPr>
        <w:pStyle w:val="BodyText"/>
        <w:rPr>
          <w:b/>
        </w:rPr>
      </w:pPr>
      <w:r>
        <w:rPr>
          <w:b/>
        </w:rPr>
        <w:t>Contingency planning</w:t>
      </w:r>
    </w:p>
    <w:p w14:paraId="186505B0" w14:textId="77777777" w:rsidR="00663669" w:rsidRDefault="00663669" w:rsidP="00663669">
      <w:pPr>
        <w:pStyle w:val="BodyText"/>
      </w:pPr>
      <w:r>
        <w:t>In a contingency planning workshop held on 31 May 2016, combined representatives from NDIA, DSS and DHS considered four scenarios</w:t>
      </w:r>
      <w:r>
        <w:rPr>
          <w:rStyle w:val="FootnoteReference"/>
        </w:rPr>
        <w:footnoteReference w:id="17"/>
      </w:r>
      <w:r>
        <w:t>:</w:t>
      </w:r>
    </w:p>
    <w:p w14:paraId="7697FA97" w14:textId="77777777" w:rsidR="00663669" w:rsidRDefault="00663669" w:rsidP="007F7FBA">
      <w:pPr>
        <w:pStyle w:val="BodyText"/>
        <w:numPr>
          <w:ilvl w:val="0"/>
          <w:numId w:val="12"/>
        </w:numPr>
      </w:pPr>
      <w:r>
        <w:t>d</w:t>
      </w:r>
      <w:r w:rsidRPr="00FC5FF9">
        <w:t>elay ‘Go-Live’ implementation of Full Scheme Launch Tranche (all systems) for between 3-6 months</w:t>
      </w:r>
    </w:p>
    <w:p w14:paraId="3F7561E6" w14:textId="77777777" w:rsidR="00663669" w:rsidRDefault="00663669" w:rsidP="007F7FBA">
      <w:pPr>
        <w:pStyle w:val="BodyText"/>
        <w:numPr>
          <w:ilvl w:val="0"/>
          <w:numId w:val="12"/>
        </w:numPr>
      </w:pPr>
      <w:r>
        <w:t>d</w:t>
      </w:r>
      <w:r w:rsidRPr="00FC5FF9">
        <w:t>elay ‘Go-Live’ implementation of CRM systems for up to 1 month but maintain deployment of ERP as planned for 1 July 2016</w:t>
      </w:r>
    </w:p>
    <w:p w14:paraId="153995E4" w14:textId="651DAE87" w:rsidR="00663669" w:rsidRDefault="00663669" w:rsidP="007F7FBA">
      <w:pPr>
        <w:pStyle w:val="BodyText"/>
        <w:numPr>
          <w:ilvl w:val="0"/>
          <w:numId w:val="12"/>
        </w:numPr>
      </w:pPr>
      <w:r w:rsidRPr="00FC5FF9">
        <w:t xml:space="preserve">‘Go live’ with </w:t>
      </w:r>
      <w:r w:rsidR="00582C0B">
        <w:t>Full Scheme Launch (</w:t>
      </w:r>
      <w:r w:rsidRPr="00FC5FF9">
        <w:t>FSL</w:t>
      </w:r>
      <w:r w:rsidR="00582C0B">
        <w:t>)</w:t>
      </w:r>
      <w:r w:rsidRPr="00FC5FF9">
        <w:t xml:space="preserve"> on 1 July but slow down the plan approvals from the bi-lateral data loading from the States and Territories</w:t>
      </w:r>
    </w:p>
    <w:p w14:paraId="5D37FD6E" w14:textId="77777777" w:rsidR="00663669" w:rsidRDefault="00663669" w:rsidP="007F7FBA">
      <w:pPr>
        <w:pStyle w:val="BodyText"/>
        <w:numPr>
          <w:ilvl w:val="0"/>
          <w:numId w:val="12"/>
        </w:numPr>
      </w:pPr>
      <w:r w:rsidRPr="008712BD">
        <w:lastRenderedPageBreak/>
        <w:t xml:space="preserve">‘Go-live’ with FSL on 1 July as planned including the immediate establishment of a joint command </w:t>
      </w:r>
      <w:proofErr w:type="spellStart"/>
      <w:r w:rsidRPr="008712BD">
        <w:t>centre</w:t>
      </w:r>
      <w:proofErr w:type="spellEnd"/>
      <w:r w:rsidRPr="008712BD">
        <w:t xml:space="preserve"> and establish tiger teams to resolve issues post deployment</w:t>
      </w:r>
    </w:p>
    <w:p w14:paraId="17CC2D9A" w14:textId="6A38A02A" w:rsidR="00663669" w:rsidRDefault="00663669" w:rsidP="00663669">
      <w:pPr>
        <w:pStyle w:val="BodyText"/>
      </w:pPr>
      <w:r>
        <w:t xml:space="preserve">NDIA enacted </w:t>
      </w:r>
      <w:r w:rsidR="00120601">
        <w:t>Scenario 4</w:t>
      </w:r>
      <w:r>
        <w:t xml:space="preserve"> following an </w:t>
      </w:r>
      <w:r w:rsidRPr="008712BD">
        <w:t>Executive Conti</w:t>
      </w:r>
      <w:r>
        <w:t>ngency Planning Workshop on 31</w:t>
      </w:r>
      <w:r w:rsidRPr="008712BD">
        <w:t xml:space="preserve"> May 2016</w:t>
      </w:r>
      <w:r>
        <w:t xml:space="preserve">. Other scenarios were not enacted at this time. Scenario 3 was enacted pre-emptively on 29 June 2016 to focus efforts on migrating participants and providers as part of the go-live implementation by holding off on plan approvals. </w:t>
      </w:r>
    </w:p>
    <w:p w14:paraId="0EFE1D6D" w14:textId="77777777" w:rsidR="00663669" w:rsidRPr="00BF171A" w:rsidRDefault="00663669" w:rsidP="00663669">
      <w:pPr>
        <w:pStyle w:val="BodyText"/>
        <w:rPr>
          <w:b/>
        </w:rPr>
      </w:pPr>
      <w:r>
        <w:rPr>
          <w:b/>
        </w:rPr>
        <w:t>Analysis of post ICT implementation transactions</w:t>
      </w:r>
    </w:p>
    <w:p w14:paraId="45BBA614" w14:textId="173FA202" w:rsidR="00663669" w:rsidRDefault="002634EC" w:rsidP="00663669">
      <w:r w:rsidRPr="00B21B09">
        <w:rPr>
          <w:i/>
        </w:rPr>
        <w:fldChar w:fldCharType="begin"/>
      </w:r>
      <w:r w:rsidRPr="00B21B09">
        <w:rPr>
          <w:i/>
        </w:rPr>
        <w:instrText xml:space="preserve"> REF _Ref459804693 \h  \* MERGEFORMAT </w:instrText>
      </w:r>
      <w:r w:rsidRPr="00B21B09">
        <w:rPr>
          <w:i/>
        </w:rPr>
      </w:r>
      <w:r w:rsidRPr="00B21B09">
        <w:rPr>
          <w:i/>
        </w:rPr>
        <w:fldChar w:fldCharType="separate"/>
      </w:r>
      <w:r w:rsidR="00435FC3" w:rsidRPr="00435FC3">
        <w:rPr>
          <w:i/>
        </w:rPr>
        <w:t>Figure 3</w:t>
      </w:r>
      <w:r w:rsidRPr="00B21B09">
        <w:rPr>
          <w:i/>
        </w:rPr>
        <w:fldChar w:fldCharType="end"/>
      </w:r>
      <w:r>
        <w:t xml:space="preserve"> illustrates analysis of the payment summary trends from before and after the system go-live. The data shows a significant drop in payment amount and number of transactions during June (due to the interim ICT system shut down) and July 2016</w:t>
      </w:r>
      <w:r>
        <w:rPr>
          <w:rStyle w:val="FootnoteReference"/>
        </w:rPr>
        <w:footnoteReference w:id="18"/>
      </w:r>
      <w:r>
        <w:t>.</w:t>
      </w:r>
    </w:p>
    <w:p w14:paraId="6F8FB599" w14:textId="4C8D9D51" w:rsidR="00663669" w:rsidRPr="00CE5726" w:rsidRDefault="00663669" w:rsidP="00663669">
      <w:pPr>
        <w:pStyle w:val="Caption"/>
        <w:keepNext/>
        <w:jc w:val="center"/>
        <w:rPr>
          <w:b/>
          <w:i w:val="0"/>
        </w:rPr>
      </w:pPr>
      <w:bookmarkStart w:id="13" w:name="_Ref459804693"/>
      <w:r w:rsidRPr="002F5837">
        <w:rPr>
          <w:b/>
          <w:i w:val="0"/>
        </w:rPr>
        <w:t xml:space="preserve">Figure </w:t>
      </w:r>
      <w:r w:rsidRPr="002F5837">
        <w:rPr>
          <w:b/>
          <w:i w:val="0"/>
        </w:rPr>
        <w:fldChar w:fldCharType="begin"/>
      </w:r>
      <w:r w:rsidRPr="002F5837">
        <w:rPr>
          <w:b/>
          <w:i w:val="0"/>
        </w:rPr>
        <w:instrText xml:space="preserve"> SEQ Figure \* ARABIC </w:instrText>
      </w:r>
      <w:r w:rsidRPr="002F5837">
        <w:rPr>
          <w:b/>
          <w:i w:val="0"/>
        </w:rPr>
        <w:fldChar w:fldCharType="separate"/>
      </w:r>
      <w:r w:rsidR="00435FC3">
        <w:rPr>
          <w:b/>
          <w:i w:val="0"/>
          <w:noProof/>
        </w:rPr>
        <w:t>3</w:t>
      </w:r>
      <w:r w:rsidRPr="002F5837">
        <w:rPr>
          <w:b/>
          <w:i w:val="0"/>
        </w:rPr>
        <w:fldChar w:fldCharType="end"/>
      </w:r>
      <w:bookmarkEnd w:id="13"/>
      <w:r w:rsidRPr="002F5837">
        <w:rPr>
          <w:b/>
          <w:i w:val="0"/>
        </w:rPr>
        <w:t>: Total monthly payments (participants and providers)</w:t>
      </w:r>
    </w:p>
    <w:p w14:paraId="7736941B" w14:textId="4D1EA4FA" w:rsidR="00663669" w:rsidRDefault="000865AE" w:rsidP="00663669">
      <w:pPr>
        <w:jc w:val="center"/>
      </w:pPr>
      <w:r>
        <w:rPr>
          <w:noProof/>
          <w:lang w:val="en-AU" w:eastAsia="en-AU"/>
        </w:rPr>
        <w:drawing>
          <wp:inline distT="0" distB="0" distL="0" distR="0" wp14:anchorId="09E95D95" wp14:editId="3A270B7D">
            <wp:extent cx="4456430" cy="2402205"/>
            <wp:effectExtent l="0" t="0" r="1270" b="0"/>
            <wp:docPr id="7" name="Picture 7" descr="Figure 3: Total monthly payments (participants and providers), see above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6430" cy="2402205"/>
                    </a:xfrm>
                    <a:prstGeom prst="rect">
                      <a:avLst/>
                    </a:prstGeom>
                    <a:noFill/>
                  </pic:spPr>
                </pic:pic>
              </a:graphicData>
            </a:graphic>
          </wp:inline>
        </w:drawing>
      </w:r>
    </w:p>
    <w:p w14:paraId="03DCD4CF" w14:textId="1E1857D1" w:rsidR="00663669" w:rsidRDefault="002634EC" w:rsidP="00663669">
      <w:r w:rsidRPr="00B21B09">
        <w:rPr>
          <w:i/>
        </w:rPr>
        <w:fldChar w:fldCharType="begin"/>
      </w:r>
      <w:r w:rsidRPr="00B21B09">
        <w:rPr>
          <w:i/>
        </w:rPr>
        <w:instrText xml:space="preserve"> REF _Ref459804806 \h  \* MERGEFORMAT </w:instrText>
      </w:r>
      <w:r w:rsidRPr="00B21B09">
        <w:rPr>
          <w:i/>
        </w:rPr>
      </w:r>
      <w:r w:rsidRPr="00B21B09">
        <w:rPr>
          <w:i/>
        </w:rPr>
        <w:fldChar w:fldCharType="separate"/>
      </w:r>
      <w:r w:rsidR="00435FC3" w:rsidRPr="00435FC3">
        <w:rPr>
          <w:i/>
        </w:rPr>
        <w:t>Figure 4</w:t>
      </w:r>
      <w:r w:rsidRPr="00B21B09">
        <w:rPr>
          <w:i/>
        </w:rPr>
        <w:fldChar w:fldCharType="end"/>
      </w:r>
      <w:r>
        <w:t xml:space="preserve"> shows the daily gradual ramp up of amount and number of payment transactions in the period 1 July to 17 August, increasing from </w:t>
      </w:r>
      <w:r w:rsidRPr="00F96954">
        <w:t>$74,218</w:t>
      </w:r>
      <w:r>
        <w:t xml:space="preserve"> (272 payments) to a maximum of $4.53 million (14,377 payments) on 15 August</w:t>
      </w:r>
      <w:r>
        <w:rPr>
          <w:rStyle w:val="FootnoteReference"/>
        </w:rPr>
        <w:footnoteReference w:id="19"/>
      </w:r>
      <w:r>
        <w:t>.</w:t>
      </w:r>
    </w:p>
    <w:p w14:paraId="49DCCC8F" w14:textId="5DD7705C" w:rsidR="00663669" w:rsidRPr="002F5837" w:rsidRDefault="00663669" w:rsidP="00663669">
      <w:pPr>
        <w:pStyle w:val="Caption"/>
        <w:keepNext/>
        <w:jc w:val="center"/>
        <w:rPr>
          <w:b/>
        </w:rPr>
      </w:pPr>
      <w:bookmarkStart w:id="14" w:name="_Ref459804806"/>
      <w:r w:rsidRPr="002F5837">
        <w:rPr>
          <w:b/>
          <w:i w:val="0"/>
        </w:rPr>
        <w:t xml:space="preserve">Figure </w:t>
      </w:r>
      <w:r w:rsidRPr="002F5837">
        <w:rPr>
          <w:b/>
          <w:i w:val="0"/>
        </w:rPr>
        <w:fldChar w:fldCharType="begin"/>
      </w:r>
      <w:r w:rsidRPr="002F5837">
        <w:rPr>
          <w:b/>
          <w:i w:val="0"/>
        </w:rPr>
        <w:instrText xml:space="preserve"> SEQ Figure \* ARABIC </w:instrText>
      </w:r>
      <w:r w:rsidRPr="002F5837">
        <w:rPr>
          <w:b/>
          <w:i w:val="0"/>
        </w:rPr>
        <w:fldChar w:fldCharType="separate"/>
      </w:r>
      <w:r w:rsidR="00435FC3">
        <w:rPr>
          <w:b/>
          <w:i w:val="0"/>
          <w:noProof/>
        </w:rPr>
        <w:t>4</w:t>
      </w:r>
      <w:r w:rsidRPr="002F5837">
        <w:rPr>
          <w:b/>
          <w:i w:val="0"/>
        </w:rPr>
        <w:fldChar w:fldCharType="end"/>
      </w:r>
      <w:bookmarkEnd w:id="14"/>
      <w:r w:rsidRPr="002F5837">
        <w:rPr>
          <w:b/>
          <w:i w:val="0"/>
        </w:rPr>
        <w:t>: Daily payment trend post 1 July (participants and providers)</w:t>
      </w:r>
    </w:p>
    <w:p w14:paraId="36A06F1A" w14:textId="1960322A" w:rsidR="00663669" w:rsidRDefault="000865AE" w:rsidP="00663669">
      <w:pPr>
        <w:jc w:val="center"/>
      </w:pPr>
      <w:r>
        <w:rPr>
          <w:noProof/>
          <w:lang w:val="en-AU" w:eastAsia="en-AU"/>
        </w:rPr>
        <w:drawing>
          <wp:inline distT="0" distB="0" distL="0" distR="0" wp14:anchorId="6D408234" wp14:editId="151AD254">
            <wp:extent cx="4590415" cy="2871470"/>
            <wp:effectExtent l="0" t="0" r="635" b="5080"/>
            <wp:docPr id="8" name="Picture 8" descr="Figure 4: Daily payment trend post 1 July (participants and providers), see above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0415" cy="2871470"/>
                    </a:xfrm>
                    <a:prstGeom prst="rect">
                      <a:avLst/>
                    </a:prstGeom>
                    <a:noFill/>
                  </pic:spPr>
                </pic:pic>
              </a:graphicData>
            </a:graphic>
          </wp:inline>
        </w:drawing>
      </w:r>
    </w:p>
    <w:p w14:paraId="4EFF4DFC" w14:textId="77777777" w:rsidR="00663669" w:rsidRDefault="00663669" w:rsidP="00663669">
      <w:pPr>
        <w:pStyle w:val="HeadingText"/>
      </w:pPr>
      <w:r>
        <w:lastRenderedPageBreak/>
        <w:t>Change Readiness</w:t>
      </w:r>
    </w:p>
    <w:p w14:paraId="335F975C" w14:textId="77777777" w:rsidR="00663669" w:rsidRDefault="00663669" w:rsidP="00663669">
      <w:pPr>
        <w:pStyle w:val="BodyText"/>
      </w:pPr>
      <w:r w:rsidRPr="00BF171A">
        <w:rPr>
          <w:b/>
        </w:rPr>
        <w:t>Implementa</w:t>
      </w:r>
      <w:r>
        <w:rPr>
          <w:b/>
        </w:rPr>
        <w:t>tion of the Change M</w:t>
      </w:r>
      <w:r w:rsidRPr="00BF171A">
        <w:rPr>
          <w:b/>
        </w:rPr>
        <w:t xml:space="preserve">anagement plan for the </w:t>
      </w:r>
      <w:proofErr w:type="spellStart"/>
      <w:r w:rsidRPr="00BF171A">
        <w:rPr>
          <w:b/>
        </w:rPr>
        <w:t>MyPlace</w:t>
      </w:r>
      <w:proofErr w:type="spellEnd"/>
      <w:r w:rsidRPr="00BF171A">
        <w:rPr>
          <w:b/>
        </w:rPr>
        <w:t xml:space="preserve"> portal </w:t>
      </w:r>
    </w:p>
    <w:p w14:paraId="753E83F4" w14:textId="5B2F4ABC" w:rsidR="00663669" w:rsidRDefault="00663669" w:rsidP="00663669">
      <w:pPr>
        <w:pStyle w:val="BodyText"/>
      </w:pPr>
      <w:r>
        <w:t xml:space="preserve">The </w:t>
      </w:r>
      <w:r w:rsidR="003C16DB">
        <w:t xml:space="preserve">NDIA’s </w:t>
      </w:r>
      <w:r>
        <w:t xml:space="preserve">Change Impact Assessments </w:t>
      </w:r>
      <w:r w:rsidR="00E67735">
        <w:t>did</w:t>
      </w:r>
      <w:r>
        <w:t xml:space="preserve"> not go into a sufficient level of detail around stakeholder needs, therefore the engagement, training and communication approaches could not be tailored for each recipient group. As an example, the impacts on different types of </w:t>
      </w:r>
      <w:r w:rsidR="00120601">
        <w:t xml:space="preserve">cohorts </w:t>
      </w:r>
      <w:r>
        <w:t>needed to be considered earlier, in order to create appropriate ICT solutions and change activities</w:t>
      </w:r>
      <w:r>
        <w:rPr>
          <w:rStyle w:val="FootnoteReference"/>
        </w:rPr>
        <w:footnoteReference w:id="20"/>
      </w:r>
      <w:r>
        <w:t>.</w:t>
      </w:r>
    </w:p>
    <w:p w14:paraId="7A59182E" w14:textId="6BF1E344" w:rsidR="00663669" w:rsidRDefault="00663669" w:rsidP="00663669">
      <w:pPr>
        <w:pStyle w:val="BodyText"/>
      </w:pPr>
      <w:r>
        <w:t>Interviews report that there was a perception of an inconsistent and ineffective engagement approach, including the level of communication to the States about specific data needs.</w:t>
      </w:r>
      <w:r w:rsidR="00010F55">
        <w:t xml:space="preserve"> </w:t>
      </w:r>
      <w:r w:rsidR="00C81E0C">
        <w:t xml:space="preserve">There is evidence </w:t>
      </w:r>
      <w:r w:rsidR="00010F55">
        <w:t>that NDIA provided incorrect data forms</w:t>
      </w:r>
      <w:r w:rsidR="00C81E0C">
        <w:t xml:space="preserve"> and inconsistent pricing schedules </w:t>
      </w:r>
      <w:r w:rsidR="00010F55">
        <w:t xml:space="preserve">to </w:t>
      </w:r>
      <w:r w:rsidR="00C022B8">
        <w:t xml:space="preserve">participants and providers. </w:t>
      </w:r>
    </w:p>
    <w:p w14:paraId="2479FFBB" w14:textId="77777777" w:rsidR="00C81E0C" w:rsidRDefault="00C81E0C" w:rsidP="00663669">
      <w:pPr>
        <w:pStyle w:val="BodyText"/>
      </w:pPr>
    </w:p>
    <w:p w14:paraId="0355FC19" w14:textId="77777777" w:rsidR="00663669" w:rsidRPr="00BF171A" w:rsidRDefault="00663669" w:rsidP="00663669">
      <w:pPr>
        <w:pStyle w:val="BodyText"/>
        <w:rPr>
          <w:b/>
        </w:rPr>
      </w:pPr>
      <w:r>
        <w:rPr>
          <w:b/>
        </w:rPr>
        <w:t>T</w:t>
      </w:r>
      <w:r w:rsidRPr="00BF171A">
        <w:rPr>
          <w:b/>
        </w:rPr>
        <w:t>raining and other support structures to address the change</w:t>
      </w:r>
    </w:p>
    <w:p w14:paraId="7D09D777" w14:textId="2F4179C3" w:rsidR="00663669" w:rsidRDefault="00663669" w:rsidP="00663669">
      <w:pPr>
        <w:pStyle w:val="BodyText"/>
      </w:pPr>
      <w:r>
        <w:t xml:space="preserve">A thorough stakeholder assessment and training needs analysis informs the engagement and training approach so that the full range of users are wholly enabled and empowered to use the system. </w:t>
      </w:r>
      <w:r w:rsidR="00675D91">
        <w:t xml:space="preserve">Interviews </w:t>
      </w:r>
      <w:r>
        <w:t xml:space="preserve">suggest the e-learn approach and electronic communication approach were insufficient to provide the necessary context and upskill for </w:t>
      </w:r>
      <w:r w:rsidR="001F110B">
        <w:t>some</w:t>
      </w:r>
      <w:r>
        <w:t xml:space="preserve"> users, which led to subsequent resource-intensive follow-up with stakeholders in order to embed the change. Although the manual follow-up with stakeholders is receiving positive feedback, </w:t>
      </w:r>
      <w:r w:rsidR="00675D91">
        <w:t>it is unclear if this approach will be sustainable if sim</w:t>
      </w:r>
      <w:r w:rsidR="00973AA3">
        <w:t>ilar issues occur again during t</w:t>
      </w:r>
      <w:r w:rsidR="00675D91">
        <w:t>ransition to Full Scheme</w:t>
      </w:r>
      <w:r>
        <w:t>.</w:t>
      </w:r>
    </w:p>
    <w:p w14:paraId="7D9BE93C" w14:textId="15D78613" w:rsidR="00663669" w:rsidRDefault="00663669" w:rsidP="00663669">
      <w:pPr>
        <w:pStyle w:val="BodyText"/>
      </w:pPr>
      <w:r>
        <w:t>The agile system delivery approach meant there was no access to a</w:t>
      </w:r>
      <w:r w:rsidR="004A0882">
        <w:t xml:space="preserve"> stable</w:t>
      </w:r>
      <w:r>
        <w:t xml:space="preserve"> training environment, nor sufficient time allowed </w:t>
      </w:r>
      <w:proofErr w:type="gramStart"/>
      <w:r>
        <w:t>to produce and update</w:t>
      </w:r>
      <w:proofErr w:type="gramEnd"/>
      <w:r>
        <w:t xml:space="preserve"> the required training materials</w:t>
      </w:r>
      <w:r w:rsidR="00973AA3">
        <w:t>. T</w:t>
      </w:r>
      <w:r>
        <w:t xml:space="preserve">his led to outdated materials being used and subsequent confusion among </w:t>
      </w:r>
      <w:r w:rsidR="00941A2E">
        <w:t>staff, participants and providers</w:t>
      </w:r>
      <w:r>
        <w:t xml:space="preserve">. In addition, the communication on upgrades and shutdown of the portal was reported as poor </w:t>
      </w:r>
      <w:r w:rsidRPr="00F117D4">
        <w:t>and this continues to be an issue with communication around system fixes, changes and data migration</w:t>
      </w:r>
      <w:r>
        <w:t>.</w:t>
      </w:r>
    </w:p>
    <w:p w14:paraId="49327178" w14:textId="1F12C829" w:rsidR="00663669" w:rsidRDefault="00306E1F" w:rsidP="00663669">
      <w:pPr>
        <w:pStyle w:val="BodyText"/>
      </w:pPr>
      <w:r>
        <w:t>Interviews suggest that</w:t>
      </w:r>
      <w:r w:rsidR="00663669">
        <w:t xml:space="preserve"> the broad NDIS change is not easily understood. Training and communications materials may have addressed the basic Siebel to SAP change requirements; however, </w:t>
      </w:r>
      <w:r>
        <w:t xml:space="preserve">it </w:t>
      </w:r>
      <w:r w:rsidR="00663669">
        <w:t>does not appear to address the broader mind-set and business model shift also required to successfully embed the change</w:t>
      </w:r>
      <w:r w:rsidR="00663669">
        <w:rPr>
          <w:rStyle w:val="FootnoteReference"/>
        </w:rPr>
        <w:footnoteReference w:id="21"/>
      </w:r>
      <w:r w:rsidR="00663669">
        <w:t xml:space="preserve">. </w:t>
      </w:r>
      <w:r w:rsidR="00663669" w:rsidRPr="00E6748D">
        <w:t xml:space="preserve">Though there is evidence of the broader change impact of the </w:t>
      </w:r>
      <w:r>
        <w:t>S</w:t>
      </w:r>
      <w:r w:rsidR="00663669" w:rsidRPr="00E6748D">
        <w:t>ch</w:t>
      </w:r>
      <w:r w:rsidR="00663669">
        <w:t>eme having been thought through</w:t>
      </w:r>
      <w:r w:rsidR="00663669">
        <w:rPr>
          <w:rStyle w:val="FootnoteReference"/>
        </w:rPr>
        <w:footnoteReference w:id="22"/>
      </w:r>
      <w:r w:rsidR="00663669" w:rsidRPr="00E6748D">
        <w:t xml:space="preserve">, it is unclear how or if this was connected to the ICT solution as a key enabler. </w:t>
      </w:r>
      <w:r w:rsidR="00663669">
        <w:t>In addition, limited training and forums were provided before 1 July</w:t>
      </w:r>
      <w:r w:rsidR="00663669">
        <w:rPr>
          <w:vertAlign w:val="superscript"/>
        </w:rPr>
        <w:t xml:space="preserve"> </w:t>
      </w:r>
      <w:r w:rsidR="00663669" w:rsidRPr="00015509">
        <w:t>to prepare stakeholders ahead of Full Scheme Launch</w:t>
      </w:r>
      <w:r w:rsidR="00663669">
        <w:t>.</w:t>
      </w:r>
    </w:p>
    <w:p w14:paraId="630751F4" w14:textId="77777777" w:rsidR="00663669" w:rsidRPr="00BF171A" w:rsidRDefault="00663669" w:rsidP="00663669">
      <w:pPr>
        <w:pStyle w:val="BodyText"/>
        <w:rPr>
          <w:b/>
        </w:rPr>
      </w:pPr>
      <w:r>
        <w:rPr>
          <w:b/>
        </w:rPr>
        <w:t>R</w:t>
      </w:r>
      <w:r w:rsidRPr="00BF171A">
        <w:rPr>
          <w:b/>
        </w:rPr>
        <w:t>eadiness of the NDIA to operate the new ICT system</w:t>
      </w:r>
    </w:p>
    <w:p w14:paraId="59FC876B" w14:textId="27587812" w:rsidR="00663669" w:rsidRDefault="00663669" w:rsidP="00663669">
      <w:pPr>
        <w:pStyle w:val="BodyText"/>
      </w:pPr>
      <w:r>
        <w:t xml:space="preserve">The Operational Readiness Go Decision was made despite </w:t>
      </w:r>
      <w:proofErr w:type="gramStart"/>
      <w:r>
        <w:t>multiple amber</w:t>
      </w:r>
      <w:proofErr w:type="gramEnd"/>
      <w:r>
        <w:t xml:space="preserve"> and some red milestone status across people, provider and participant readiness and training</w:t>
      </w:r>
      <w:r>
        <w:rPr>
          <w:rStyle w:val="FootnoteReference"/>
        </w:rPr>
        <w:footnoteReference w:id="23"/>
      </w:r>
      <w:r>
        <w:t>, suggesting that this decision was based primarily on ICT system</w:t>
      </w:r>
      <w:r w:rsidR="00C07751">
        <w:t xml:space="preserve"> readiness</w:t>
      </w:r>
      <w:r>
        <w:t xml:space="preserve"> as opposed to business, people and sector readiness.</w:t>
      </w:r>
    </w:p>
    <w:p w14:paraId="67E01FB7" w14:textId="77777777" w:rsidR="00566F42" w:rsidRDefault="00566F42">
      <w:pPr>
        <w:spacing w:line="259" w:lineRule="auto"/>
        <w:rPr>
          <w:b/>
        </w:rPr>
      </w:pPr>
      <w:r>
        <w:rPr>
          <w:b/>
        </w:rPr>
        <w:br w:type="page"/>
      </w:r>
    </w:p>
    <w:p w14:paraId="164285B5" w14:textId="6C17F656" w:rsidR="00A769D0" w:rsidRPr="006D369B" w:rsidRDefault="00A769D0" w:rsidP="007F7FBA">
      <w:pPr>
        <w:pStyle w:val="ExhibitHeading1"/>
        <w:numPr>
          <w:ilvl w:val="0"/>
          <w:numId w:val="0"/>
        </w:numPr>
        <w:rPr>
          <w:color w:val="821A1A" w:themeColor="accent1"/>
          <w:sz w:val="40"/>
        </w:rPr>
      </w:pPr>
      <w:bookmarkStart w:id="15" w:name="_Toc460422965"/>
      <w:r w:rsidRPr="006D369B">
        <w:rPr>
          <w:color w:val="821A1A" w:themeColor="accent1"/>
          <w:sz w:val="40"/>
        </w:rPr>
        <w:lastRenderedPageBreak/>
        <w:t>Assessment</w:t>
      </w:r>
      <w:r w:rsidR="00C45576" w:rsidRPr="006D369B">
        <w:rPr>
          <w:color w:val="821A1A" w:themeColor="accent1"/>
          <w:sz w:val="40"/>
        </w:rPr>
        <w:t xml:space="preserve"> of </w:t>
      </w:r>
      <w:proofErr w:type="spellStart"/>
      <w:r w:rsidR="00C45576" w:rsidRPr="006D369B">
        <w:rPr>
          <w:color w:val="821A1A" w:themeColor="accent1"/>
          <w:sz w:val="40"/>
        </w:rPr>
        <w:t>MyPlace</w:t>
      </w:r>
      <w:proofErr w:type="spellEnd"/>
      <w:r w:rsidR="007F02F6" w:rsidRPr="006D369B">
        <w:rPr>
          <w:color w:val="821A1A" w:themeColor="accent1"/>
          <w:sz w:val="40"/>
        </w:rPr>
        <w:t xml:space="preserve"> </w:t>
      </w:r>
      <w:r w:rsidR="00C45576" w:rsidRPr="006D369B">
        <w:rPr>
          <w:color w:val="821A1A" w:themeColor="accent1"/>
          <w:sz w:val="40"/>
        </w:rPr>
        <w:t>Implementation</w:t>
      </w:r>
      <w:bookmarkEnd w:id="15"/>
    </w:p>
    <w:p w14:paraId="747935DC" w14:textId="1B46CEEE" w:rsidR="00A769D0" w:rsidRPr="000851F6" w:rsidRDefault="00A769D0" w:rsidP="00A769D0">
      <w:pPr>
        <w:pStyle w:val="Non-numberedHeading2"/>
        <w:rPr>
          <w:sz w:val="24"/>
          <w:szCs w:val="28"/>
        </w:rPr>
      </w:pPr>
      <w:bookmarkStart w:id="16" w:name="_Toc460422966"/>
      <w:r w:rsidRPr="000851F6">
        <w:rPr>
          <w:sz w:val="24"/>
          <w:szCs w:val="28"/>
        </w:rPr>
        <w:t>Observations</w:t>
      </w:r>
      <w:bookmarkEnd w:id="16"/>
    </w:p>
    <w:p w14:paraId="4D770DC5" w14:textId="7B6800BD" w:rsidR="000E62C7" w:rsidRDefault="000E62C7" w:rsidP="007F7FBA">
      <w:pPr>
        <w:pStyle w:val="BodyText"/>
        <w:numPr>
          <w:ilvl w:val="0"/>
          <w:numId w:val="15"/>
        </w:numPr>
      </w:pPr>
      <w:r>
        <w:t>T</w:t>
      </w:r>
      <w:r w:rsidRPr="000860EE">
        <w:t>he NDIA Executive Management Group committed to a go</w:t>
      </w:r>
      <w:r w:rsidR="00120601">
        <w:t>-</w:t>
      </w:r>
      <w:r w:rsidRPr="000860EE">
        <w:t>live on 1 July 2016 for the Full Scheme ICT solution as the contingency options for delaying the roll-out were limited.</w:t>
      </w:r>
    </w:p>
    <w:p w14:paraId="6B5825AA" w14:textId="5FF1418D" w:rsidR="000E62C7" w:rsidRDefault="000E62C7" w:rsidP="007F7FBA">
      <w:pPr>
        <w:pStyle w:val="BodyText"/>
        <w:numPr>
          <w:ilvl w:val="0"/>
          <w:numId w:val="15"/>
        </w:numPr>
      </w:pPr>
      <w:r>
        <w:t xml:space="preserve">The compressed timeframes in the lead up to Full Scheme Launch affected a broader range of aspects than only the ICT implementation. These include </w:t>
      </w:r>
      <w:proofErr w:type="spellStart"/>
      <w:r>
        <w:t>finalising</w:t>
      </w:r>
      <w:proofErr w:type="spellEnd"/>
      <w:r>
        <w:t xml:space="preserve"> arrangements for in-kind funding and specialist disability accommodation which are key components </w:t>
      </w:r>
      <w:r w:rsidR="008A62EA">
        <w:t xml:space="preserve">of plans and until </w:t>
      </w:r>
      <w:r w:rsidR="00092631">
        <w:t xml:space="preserve">these </w:t>
      </w:r>
      <w:r w:rsidR="008A62EA">
        <w:t>arrangements could be settled plans could not be completed</w:t>
      </w:r>
      <w:r>
        <w:t>.</w:t>
      </w:r>
    </w:p>
    <w:p w14:paraId="2FA9E890" w14:textId="350AE0C0" w:rsidR="000E62C7" w:rsidRDefault="000E62C7" w:rsidP="007F7FBA">
      <w:pPr>
        <w:pStyle w:val="BodyText"/>
        <w:numPr>
          <w:ilvl w:val="0"/>
          <w:numId w:val="15"/>
        </w:numPr>
      </w:pPr>
      <w:r>
        <w:t>Reporting to the government, in particular the Minister for Social Services, on the issues of the Full Scheme ICT roll</w:t>
      </w:r>
      <w:r w:rsidR="00973CD5">
        <w:t>-</w:t>
      </w:r>
      <w:r>
        <w:t xml:space="preserve">out was limited. The Minister for Social Services did not receive </w:t>
      </w:r>
      <w:r w:rsidR="00995D9E">
        <w:t xml:space="preserve">adequate </w:t>
      </w:r>
      <w:r>
        <w:t xml:space="preserve">updates on payment performance so was unable to understand the magnitude of the problem. </w:t>
      </w:r>
    </w:p>
    <w:p w14:paraId="244BB541" w14:textId="77777777" w:rsidR="000E62C7" w:rsidRDefault="000E62C7" w:rsidP="007F7FBA">
      <w:pPr>
        <w:pStyle w:val="BodyText"/>
        <w:numPr>
          <w:ilvl w:val="0"/>
          <w:numId w:val="15"/>
        </w:numPr>
      </w:pPr>
      <w:r>
        <w:t xml:space="preserve">It appears that the NDIA </w:t>
      </w:r>
      <w:proofErr w:type="spellStart"/>
      <w:r>
        <w:t>MyPlace</w:t>
      </w:r>
      <w:proofErr w:type="spellEnd"/>
      <w:r>
        <w:t xml:space="preserve"> Portal implementation focused on the ICT implementation, with many business and change management processes being found to be immature, absent and/or late in the implementation. </w:t>
      </w:r>
    </w:p>
    <w:p w14:paraId="07754965" w14:textId="77777777" w:rsidR="000E62C7" w:rsidRPr="004D1D43" w:rsidRDefault="000E62C7" w:rsidP="007F7FBA">
      <w:pPr>
        <w:pStyle w:val="BodyText"/>
        <w:numPr>
          <w:ilvl w:val="0"/>
          <w:numId w:val="15"/>
        </w:numPr>
      </w:pPr>
      <w:r w:rsidRPr="004D1D43">
        <w:t>The current</w:t>
      </w:r>
      <w:r>
        <w:t xml:space="preserve"> NDIA Full Scheme ICT program approach</w:t>
      </w:r>
      <w:r w:rsidRPr="004D1D43">
        <w:t xml:space="preserve"> is not conducive to transparency in reporting and</w:t>
      </w:r>
      <w:r>
        <w:t xml:space="preserve"> is not focused on</w:t>
      </w:r>
      <w:r w:rsidRPr="004D1D43">
        <w:t xml:space="preserve"> customer experience</w:t>
      </w:r>
      <w:r>
        <w:t xml:space="preserve"> during times of rapid change</w:t>
      </w:r>
      <w:r w:rsidRPr="004D1D43">
        <w:t>. This is compounded by a</w:t>
      </w:r>
      <w:r>
        <w:t xml:space="preserve"> complex stakeholder landscape and a </w:t>
      </w:r>
      <w:r w:rsidRPr="004D1D43">
        <w:t xml:space="preserve">lack of clear </w:t>
      </w:r>
      <w:proofErr w:type="spellStart"/>
      <w:r>
        <w:t>organisational</w:t>
      </w:r>
      <w:proofErr w:type="spellEnd"/>
      <w:r>
        <w:t xml:space="preserve"> </w:t>
      </w:r>
      <w:r w:rsidRPr="004D1D43">
        <w:t xml:space="preserve">accountability. </w:t>
      </w:r>
    </w:p>
    <w:p w14:paraId="398D65CF" w14:textId="1381EDA5" w:rsidR="000E62C7" w:rsidRDefault="00B50EBA" w:rsidP="007F7FBA">
      <w:pPr>
        <w:pStyle w:val="BodyText"/>
        <w:numPr>
          <w:ilvl w:val="0"/>
          <w:numId w:val="15"/>
        </w:numPr>
      </w:pPr>
      <w:r>
        <w:t>The NDIA</w:t>
      </w:r>
      <w:r w:rsidR="0081046E">
        <w:t xml:space="preserve"> and DHS</w:t>
      </w:r>
      <w:r>
        <w:t xml:space="preserve"> consciously adopted </w:t>
      </w:r>
      <w:r w:rsidR="008271A0">
        <w:t>a</w:t>
      </w:r>
      <w:r w:rsidR="000E62C7">
        <w:t xml:space="preserve"> fast-tracked ICT implementation program delivery approach (known as the Accelerated Delivery Approach or ADA) and DHS’s repeat pattern capabilities </w:t>
      </w:r>
      <w:r>
        <w:t xml:space="preserve">in order to </w:t>
      </w:r>
      <w:r w:rsidR="000E62C7">
        <w:t>meet the compressed delivery schedule.</w:t>
      </w:r>
      <w:r w:rsidR="006033A8">
        <w:t xml:space="preserve"> </w:t>
      </w:r>
    </w:p>
    <w:p w14:paraId="00877FEF" w14:textId="77777777" w:rsidR="000E62C7" w:rsidRDefault="000E62C7" w:rsidP="007F7FBA">
      <w:pPr>
        <w:pStyle w:val="BodyText"/>
        <w:numPr>
          <w:ilvl w:val="0"/>
          <w:numId w:val="15"/>
        </w:numPr>
      </w:pPr>
      <w:r>
        <w:t>In addition to the above</w:t>
      </w:r>
      <w:r w:rsidRPr="00E8466C">
        <w:t xml:space="preserve">, the project did not </w:t>
      </w:r>
      <w:r>
        <w:t>establish</w:t>
      </w:r>
      <w:r w:rsidRPr="00E8466C">
        <w:t xml:space="preserve"> a pre-production test bed and control group </w:t>
      </w:r>
      <w:r>
        <w:t xml:space="preserve">(of representative participants and providers) </w:t>
      </w:r>
      <w:r w:rsidRPr="00E8466C">
        <w:t>to trial impacts and user experience</w:t>
      </w:r>
      <w:r>
        <w:t xml:space="preserve"> of moving to the new Full Scheme ICT solution before 1 July 2016.</w:t>
      </w:r>
    </w:p>
    <w:p w14:paraId="69439D1C" w14:textId="77777777" w:rsidR="000E62C7" w:rsidRDefault="000E62C7" w:rsidP="007F7FBA">
      <w:pPr>
        <w:pStyle w:val="BodyText"/>
        <w:numPr>
          <w:ilvl w:val="0"/>
          <w:numId w:val="15"/>
        </w:numPr>
      </w:pPr>
      <w:r w:rsidRPr="003D2B8D">
        <w:t xml:space="preserve">Since the data migration and subsequent change in host system from Siebel to SAP, there has been an unforeseen impact on participant and provider payments due to heightened system controls. </w:t>
      </w:r>
      <w:r>
        <w:t xml:space="preserve">The controls regarding participant and provider payments in the SAP system are stronger than the interim Siebel system and this has contributed to payment failures. </w:t>
      </w:r>
      <w:r w:rsidRPr="003D2B8D">
        <w:t>As a temporary solution, the system controls in</w:t>
      </w:r>
      <w:r>
        <w:t xml:space="preserve"> the</w:t>
      </w:r>
      <w:r w:rsidRPr="003D2B8D">
        <w:t xml:space="preserve"> SAP</w:t>
      </w:r>
      <w:r>
        <w:t xml:space="preserve"> system</w:t>
      </w:r>
      <w:r w:rsidRPr="003D2B8D">
        <w:t xml:space="preserve"> have been </w:t>
      </w:r>
      <w:r>
        <w:t>relaxed</w:t>
      </w:r>
      <w:r w:rsidRPr="003D2B8D">
        <w:t xml:space="preserve"> </w:t>
      </w:r>
      <w:r>
        <w:t xml:space="preserve">with these to be restored once the system is </w:t>
      </w:r>
      <w:proofErr w:type="spellStart"/>
      <w:r>
        <w:t>stabilised</w:t>
      </w:r>
      <w:proofErr w:type="spellEnd"/>
      <w:r w:rsidRPr="003D2B8D">
        <w:t>.</w:t>
      </w:r>
    </w:p>
    <w:p w14:paraId="61EF183B" w14:textId="5B854E8D" w:rsidR="000E62C7" w:rsidRDefault="00120601" w:rsidP="007F7FBA">
      <w:pPr>
        <w:pStyle w:val="BodyText"/>
        <w:numPr>
          <w:ilvl w:val="0"/>
          <w:numId w:val="15"/>
        </w:numPr>
      </w:pPr>
      <w:r>
        <w:t>F</w:t>
      </w:r>
      <w:r w:rsidRPr="00BD03EA">
        <w:t>unctional and user acceptance testing was completed before 1 July 2016, however</w:t>
      </w:r>
      <w:r>
        <w:t>,</w:t>
      </w:r>
      <w:r w:rsidRPr="00BD03EA">
        <w:t xml:space="preserve"> issues with migrated data was still being identified and resolved post go</w:t>
      </w:r>
      <w:r>
        <w:t>-</w:t>
      </w:r>
      <w:r w:rsidRPr="00BD03EA">
        <w:t>live. Testing on data in non-live environments was not able to detect all data issues that led to payment failures post 1 July</w:t>
      </w:r>
      <w:r>
        <w:t>.</w:t>
      </w:r>
      <w:r w:rsidRPr="00BD03EA">
        <w:t xml:space="preserve"> 2016</w:t>
      </w:r>
      <w:r w:rsidR="007D2F4D">
        <w:t>.</w:t>
      </w:r>
    </w:p>
    <w:p w14:paraId="2C818BAB" w14:textId="01C43D07" w:rsidR="000E62C7" w:rsidRDefault="000E62C7" w:rsidP="007F7FBA">
      <w:pPr>
        <w:pStyle w:val="BodyText"/>
        <w:numPr>
          <w:ilvl w:val="0"/>
          <w:numId w:val="15"/>
        </w:numPr>
      </w:pPr>
      <w:r w:rsidRPr="00DA7D88">
        <w:t xml:space="preserve">While the Gateway Reviews and NDIA risk registers appear to have effectively identified risk and issues of the Full Scheme </w:t>
      </w:r>
      <w:r w:rsidR="00973CD5">
        <w:t>ICT r</w:t>
      </w:r>
      <w:r w:rsidRPr="00DA7D88">
        <w:t>oll</w:t>
      </w:r>
      <w:r w:rsidR="00973CD5">
        <w:t>-</w:t>
      </w:r>
      <w:r w:rsidRPr="00DA7D88">
        <w:t xml:space="preserve">out, the NDIA appears to have been less effective at remediation of issues and </w:t>
      </w:r>
      <w:proofErr w:type="spellStart"/>
      <w:r w:rsidRPr="00DA7D88">
        <w:t>operationalising</w:t>
      </w:r>
      <w:proofErr w:type="spellEnd"/>
      <w:r w:rsidRPr="00DA7D88">
        <w:t xml:space="preserve"> the key milestones. In particular, there appears to have been lack of clear accountability and visibility over change activities, resulting in key change and implementation issues being overlooked and disconnected. In response to these challenges, the Full Scheme Launch (FSL) Committee was established in early June 2016 to provide daily oversight of the ICT system ‘go-live’. This appears to have been a positive step, however would have ideally occurred much earlier in the </w:t>
      </w:r>
      <w:r w:rsidR="00784A7D">
        <w:t>lead up to the Full Scheme ICT L</w:t>
      </w:r>
      <w:r>
        <w:t>aunch</w:t>
      </w:r>
      <w:r w:rsidRPr="00DA7D88">
        <w:t xml:space="preserve">. </w:t>
      </w:r>
    </w:p>
    <w:p w14:paraId="0CE18EB9" w14:textId="40477AE3" w:rsidR="00CE4195" w:rsidRDefault="00CE4195" w:rsidP="007F7FBA">
      <w:pPr>
        <w:pStyle w:val="BodyText"/>
        <w:numPr>
          <w:ilvl w:val="0"/>
          <w:numId w:val="15"/>
        </w:numPr>
      </w:pPr>
      <w:r>
        <w:t>T</w:t>
      </w:r>
      <w:r w:rsidRPr="00FA6409">
        <w:t>he NDI</w:t>
      </w:r>
      <w:r>
        <w:t xml:space="preserve">A </w:t>
      </w:r>
      <w:r w:rsidRPr="00FA6409">
        <w:t>was able to identify and remedy residual risk</w:t>
      </w:r>
      <w:r>
        <w:t>s</w:t>
      </w:r>
      <w:r w:rsidRPr="00FA6409">
        <w:t xml:space="preserve"> that presented </w:t>
      </w:r>
      <w:r>
        <w:t>during</w:t>
      </w:r>
      <w:r w:rsidRPr="00FA6409">
        <w:t xml:space="preserve"> the roll</w:t>
      </w:r>
      <w:r>
        <w:t>-</w:t>
      </w:r>
      <w:r w:rsidRPr="00FA6409">
        <w:t xml:space="preserve">out, but the larger, inherent risks of the </w:t>
      </w:r>
      <w:r>
        <w:t>program</w:t>
      </w:r>
      <w:r w:rsidRPr="00FA6409">
        <w:t xml:space="preserve"> (project complexity, scale, timeframes and finite completion date)</w:t>
      </w:r>
      <w:r>
        <w:t xml:space="preserve"> </w:t>
      </w:r>
      <w:r w:rsidRPr="00FA6409">
        <w:t xml:space="preserve">were not </w:t>
      </w:r>
      <w:r>
        <w:t xml:space="preserve">adequately </w:t>
      </w:r>
      <w:r w:rsidRPr="00FA6409">
        <w:t xml:space="preserve">identified and handled, leading to the </w:t>
      </w:r>
      <w:r>
        <w:t>circumstances contributing to the various failures identified at th</w:t>
      </w:r>
      <w:r w:rsidR="00784A7D">
        <w:t>e Full Scheme ICT L</w:t>
      </w:r>
      <w:r>
        <w:t>aunch</w:t>
      </w:r>
      <w:r w:rsidRPr="00FA6409">
        <w:t>.</w:t>
      </w:r>
    </w:p>
    <w:p w14:paraId="00D7D8BF" w14:textId="162E5262" w:rsidR="000E62C7" w:rsidRDefault="000E62C7" w:rsidP="007F7FBA">
      <w:pPr>
        <w:pStyle w:val="BodyText"/>
        <w:numPr>
          <w:ilvl w:val="0"/>
          <w:numId w:val="15"/>
        </w:numPr>
      </w:pPr>
      <w:r>
        <w:t xml:space="preserve">The NDIA to date has been operating without a comprehensive Service Delivery Operating Model. The absence of an embedded comprehensive NDIA Service Delivery Operating Model has resulted in a lack of clarity regarding business </w:t>
      </w:r>
      <w:r w:rsidRPr="004E4801">
        <w:t>processes, accountabilities and governance</w:t>
      </w:r>
      <w:r>
        <w:t xml:space="preserve"> across the </w:t>
      </w:r>
      <w:proofErr w:type="spellStart"/>
      <w:r>
        <w:t>organisation</w:t>
      </w:r>
      <w:proofErr w:type="spellEnd"/>
      <w:r>
        <w:t>. The NDIA Knowledge Tool platform is currently being developed to document and support the NDIA Service Delivery Operating Model</w:t>
      </w:r>
      <w:r w:rsidR="002F3B52">
        <w:t>,</w:t>
      </w:r>
      <w:r>
        <w:t xml:space="preserve"> however</w:t>
      </w:r>
      <w:r w:rsidR="00120601">
        <w:t>,</w:t>
      </w:r>
      <w:r>
        <w:t xml:space="preserve"> this is yet to be implemented. An initial review </w:t>
      </w:r>
      <w:r w:rsidR="00E76236">
        <w:t xml:space="preserve">of the </w:t>
      </w:r>
      <w:r w:rsidR="00E76236">
        <w:lastRenderedPageBreak/>
        <w:t xml:space="preserve">Knowledge Tool identified that </w:t>
      </w:r>
      <w:r>
        <w:t>gaps and overlaps in governance and accountability</w:t>
      </w:r>
      <w:r w:rsidR="00E76236">
        <w:t xml:space="preserve"> may still exist</w:t>
      </w:r>
      <w:r>
        <w:t xml:space="preserve"> across business processes </w:t>
      </w:r>
      <w:r w:rsidR="00E76236">
        <w:t>in the Service Delivery Operating Model documented in</w:t>
      </w:r>
      <w:r>
        <w:t xml:space="preserve"> the new tool. </w:t>
      </w:r>
    </w:p>
    <w:p w14:paraId="73A2BEA5" w14:textId="77777777" w:rsidR="000E62C7" w:rsidRPr="004649C5" w:rsidRDefault="000E62C7" w:rsidP="007F7FBA">
      <w:pPr>
        <w:pStyle w:val="BodyText"/>
        <w:numPr>
          <w:ilvl w:val="0"/>
          <w:numId w:val="15"/>
        </w:numPr>
      </w:pPr>
      <w:r>
        <w:t xml:space="preserve">Payment logs were difficult to access across this review, indicating the NDIA had insufficient reporting and protocols for payment failures, backlogs and suspense files. Comprehensive daily monitoring of payment transaction failures, escalation and remediation does not appear to have occurred to a sufficient level even when payment failure issues were well known post 1 July 2016. </w:t>
      </w:r>
    </w:p>
    <w:p w14:paraId="4578C70A" w14:textId="1607C501" w:rsidR="000E62C7" w:rsidRPr="004649C5" w:rsidRDefault="000E62C7" w:rsidP="007F7FBA">
      <w:pPr>
        <w:pStyle w:val="BodyText"/>
        <w:numPr>
          <w:ilvl w:val="0"/>
          <w:numId w:val="15"/>
        </w:numPr>
      </w:pPr>
      <w:r w:rsidRPr="004649C5">
        <w:t xml:space="preserve">The change management </w:t>
      </w:r>
      <w:r>
        <w:t>approach</w:t>
      </w:r>
      <w:r w:rsidRPr="004649C5">
        <w:t xml:space="preserve"> was inadequate from the outset as </w:t>
      </w:r>
      <w:r>
        <w:t xml:space="preserve">there was an assumption that </w:t>
      </w:r>
      <w:r w:rsidRPr="004649C5">
        <w:t xml:space="preserve">the ICT </w:t>
      </w:r>
      <w:r>
        <w:t>solution</w:t>
      </w:r>
      <w:r w:rsidRPr="004649C5">
        <w:t xml:space="preserve"> </w:t>
      </w:r>
      <w:r>
        <w:t>would</w:t>
      </w:r>
      <w:r w:rsidRPr="004649C5">
        <w:t xml:space="preserve"> be sufficiently intuitive for end</w:t>
      </w:r>
      <w:r>
        <w:t>-</w:t>
      </w:r>
      <w:r w:rsidRPr="004649C5">
        <w:t xml:space="preserve">users. </w:t>
      </w:r>
      <w:r>
        <w:t>As a result</w:t>
      </w:r>
      <w:r w:rsidRPr="004649C5">
        <w:t xml:space="preserve">, there was no </w:t>
      </w:r>
      <w:r>
        <w:t xml:space="preserve">effective, overarching </w:t>
      </w:r>
      <w:r w:rsidRPr="004649C5">
        <w:t xml:space="preserve">change </w:t>
      </w:r>
      <w:r>
        <w:t xml:space="preserve">management </w:t>
      </w:r>
      <w:r w:rsidRPr="004649C5">
        <w:t>plan</w:t>
      </w:r>
      <w:r>
        <w:t>,</w:t>
      </w:r>
      <w:r w:rsidRPr="004649C5">
        <w:t xml:space="preserve"> which led to insufficient preparation</w:t>
      </w:r>
      <w:r>
        <w:t>,</w:t>
      </w:r>
      <w:r w:rsidRPr="004649C5">
        <w:t xml:space="preserve"> stakeholder needs identified too late</w:t>
      </w:r>
      <w:r>
        <w:t>,</w:t>
      </w:r>
      <w:r w:rsidRPr="004649C5">
        <w:t xml:space="preserve"> and ineffective implementation of change activities. </w:t>
      </w:r>
    </w:p>
    <w:p w14:paraId="45789CD4" w14:textId="77777777" w:rsidR="000E62C7" w:rsidRDefault="000E62C7" w:rsidP="007F7FBA">
      <w:pPr>
        <w:pStyle w:val="BodyText"/>
        <w:numPr>
          <w:ilvl w:val="0"/>
          <w:numId w:val="15"/>
        </w:numPr>
      </w:pPr>
      <w:r w:rsidRPr="004649C5">
        <w:t xml:space="preserve">As a result of the tight </w:t>
      </w:r>
      <w:r>
        <w:t>timeframes in the lead up to Full Scheme Launch</w:t>
      </w:r>
      <w:r w:rsidRPr="004649C5">
        <w:t xml:space="preserve">, there </w:t>
      </w:r>
      <w:r>
        <w:t xml:space="preserve">was no training environment from which to build training materials that represented the system in its current form. </w:t>
      </w:r>
      <w:r w:rsidRPr="004649C5">
        <w:t>Further,</w:t>
      </w:r>
      <w:r>
        <w:t xml:space="preserve"> process changes and associated training and communication could not keep up with the</w:t>
      </w:r>
      <w:r w:rsidRPr="004649C5">
        <w:t xml:space="preserve"> regular system changes</w:t>
      </w:r>
      <w:r>
        <w:t>, with the result that</w:t>
      </w:r>
      <w:r w:rsidRPr="004649C5">
        <w:t xml:space="preserve"> staff </w:t>
      </w:r>
      <w:r>
        <w:t xml:space="preserve">became </w:t>
      </w:r>
      <w:r w:rsidRPr="004649C5">
        <w:t xml:space="preserve">unsure about </w:t>
      </w:r>
      <w:r>
        <w:t xml:space="preserve">system </w:t>
      </w:r>
      <w:r w:rsidRPr="004649C5">
        <w:t>functionality and</w:t>
      </w:r>
      <w:r>
        <w:t xml:space="preserve"> were</w:t>
      </w:r>
      <w:r w:rsidRPr="004649C5">
        <w:t xml:space="preserve"> </w:t>
      </w:r>
      <w:r>
        <w:t>unable</w:t>
      </w:r>
      <w:r w:rsidRPr="004649C5">
        <w:t xml:space="preserve"> to provide </w:t>
      </w:r>
      <w:r>
        <w:t>correct</w:t>
      </w:r>
      <w:r w:rsidRPr="004649C5">
        <w:t xml:space="preserve"> responses to </w:t>
      </w:r>
      <w:r>
        <w:t xml:space="preserve">system </w:t>
      </w:r>
      <w:r w:rsidRPr="004649C5">
        <w:t>enquiries</w:t>
      </w:r>
      <w:r>
        <w:t xml:space="preserve"> from providers and participants</w:t>
      </w:r>
      <w:r w:rsidRPr="004649C5">
        <w:t>.</w:t>
      </w:r>
    </w:p>
    <w:p w14:paraId="1633D408" w14:textId="77777777" w:rsidR="000E62C7" w:rsidRDefault="000E62C7" w:rsidP="000E62C7">
      <w:pPr>
        <w:pStyle w:val="BodyText"/>
      </w:pPr>
    </w:p>
    <w:p w14:paraId="50E97897" w14:textId="4F0076C9" w:rsidR="00A769D0" w:rsidRPr="000851F6" w:rsidRDefault="009D28DF" w:rsidP="00A769D0">
      <w:pPr>
        <w:pStyle w:val="Non-numberedHeading2"/>
        <w:rPr>
          <w:sz w:val="24"/>
        </w:rPr>
      </w:pPr>
      <w:bookmarkStart w:id="17" w:name="_Toc460422967"/>
      <w:r>
        <w:rPr>
          <w:sz w:val="24"/>
        </w:rPr>
        <w:t>Key issues going f</w:t>
      </w:r>
      <w:r w:rsidR="00A769D0" w:rsidRPr="000851F6">
        <w:rPr>
          <w:sz w:val="24"/>
        </w:rPr>
        <w:t>orward</w:t>
      </w:r>
      <w:bookmarkEnd w:id="17"/>
    </w:p>
    <w:p w14:paraId="373EF23F" w14:textId="77777777" w:rsidR="00C1564B" w:rsidRDefault="00C1564B" w:rsidP="00C1564B">
      <w:pPr>
        <w:pStyle w:val="BodyText"/>
      </w:pPr>
      <w:r w:rsidRPr="00FA6409">
        <w:t xml:space="preserve">Throughout the review process, </w:t>
      </w:r>
      <w:r>
        <w:t>three</w:t>
      </w:r>
      <w:r w:rsidRPr="00FA6409">
        <w:t xml:space="preserve"> key issues </w:t>
      </w:r>
      <w:r>
        <w:t>were</w:t>
      </w:r>
      <w:r w:rsidRPr="00FA6409">
        <w:t xml:space="preserve"> identified </w:t>
      </w:r>
      <w:r>
        <w:t xml:space="preserve">as </w:t>
      </w:r>
      <w:r w:rsidRPr="00FA6409">
        <w:t>hav</w:t>
      </w:r>
      <w:r>
        <w:t>ing</w:t>
      </w:r>
      <w:r w:rsidRPr="00FA6409">
        <w:t xml:space="preserve"> caused</w:t>
      </w:r>
      <w:r>
        <w:t xml:space="preserve"> significant challenges,</w:t>
      </w:r>
      <w:r w:rsidRPr="00FA6409">
        <w:t xml:space="preserve"> and if left unchecked</w:t>
      </w:r>
      <w:r>
        <w:t>,</w:t>
      </w:r>
      <w:r w:rsidRPr="00FA6409">
        <w:t xml:space="preserve"> will continue to </w:t>
      </w:r>
      <w:r>
        <w:t>do so</w:t>
      </w:r>
      <w:r w:rsidRPr="00FA6409">
        <w:t>.</w:t>
      </w:r>
    </w:p>
    <w:p w14:paraId="04E01F9A" w14:textId="34A5821A" w:rsidR="00C1564B" w:rsidRPr="00FA6409" w:rsidRDefault="00C1564B" w:rsidP="00C1564B">
      <w:pPr>
        <w:pStyle w:val="BodyText"/>
      </w:pPr>
      <w:r w:rsidRPr="00FA6409">
        <w:t xml:space="preserve">The first is that the NDIA’s </w:t>
      </w:r>
      <w:r>
        <w:t>Service Delivery O</w:t>
      </w:r>
      <w:r w:rsidRPr="00FA6409">
        <w:t xml:space="preserve">perating </w:t>
      </w:r>
      <w:r>
        <w:t>M</w:t>
      </w:r>
      <w:r w:rsidRPr="00FA6409">
        <w:t xml:space="preserve">odel was not </w:t>
      </w:r>
      <w:r>
        <w:t>implemented</w:t>
      </w:r>
      <w:r w:rsidR="0081046E">
        <w:t xml:space="preserve"> and embedded</w:t>
      </w:r>
      <w:r w:rsidRPr="00FA6409">
        <w:t xml:space="preserve"> </w:t>
      </w:r>
      <w:r>
        <w:t xml:space="preserve">in a way that would effectively </w:t>
      </w:r>
      <w:r w:rsidRPr="00FA6409">
        <w:t xml:space="preserve">support the size and scale of the </w:t>
      </w:r>
      <w:r w:rsidR="00784A7D">
        <w:t>Full Scheme ICT L</w:t>
      </w:r>
      <w:r>
        <w:t>aunch</w:t>
      </w:r>
      <w:r w:rsidRPr="00FA6409">
        <w:t xml:space="preserve">. </w:t>
      </w:r>
    </w:p>
    <w:p w14:paraId="2528F9B7" w14:textId="77777777" w:rsidR="00C1564B" w:rsidRDefault="00C1564B" w:rsidP="00C1564B">
      <w:pPr>
        <w:pStyle w:val="BodyText"/>
      </w:pPr>
      <w:r w:rsidRPr="00FA6409">
        <w:t>The second</w:t>
      </w:r>
      <w:r>
        <w:t xml:space="preserve"> issue</w:t>
      </w:r>
      <w:r w:rsidRPr="00FA6409">
        <w:t xml:space="preserve"> is a flow</w:t>
      </w:r>
      <w:r>
        <w:t>-</w:t>
      </w:r>
      <w:r w:rsidRPr="00FA6409">
        <w:t xml:space="preserve">on effect </w:t>
      </w:r>
      <w:r>
        <w:t>of</w:t>
      </w:r>
      <w:r w:rsidRPr="00FA6409">
        <w:t xml:space="preserve"> the first</w:t>
      </w:r>
      <w:r>
        <w:t>:</w:t>
      </w:r>
      <w:r w:rsidRPr="00FA6409">
        <w:t xml:space="preserve"> in its current state, and even when </w:t>
      </w:r>
      <w:proofErr w:type="spellStart"/>
      <w:r w:rsidRPr="00FA6409">
        <w:t>stabilised</w:t>
      </w:r>
      <w:proofErr w:type="spellEnd"/>
      <w:r w:rsidRPr="00FA6409">
        <w:t xml:space="preserve"> in the short term, there is real risk that the NDIA operating model will not be able to cope with </w:t>
      </w:r>
      <w:r>
        <w:t xml:space="preserve">approximately </w:t>
      </w:r>
      <w:r w:rsidRPr="00FA6409">
        <w:t>400,000</w:t>
      </w:r>
      <w:r>
        <w:t xml:space="preserve"> additional</w:t>
      </w:r>
      <w:r w:rsidRPr="00FA6409">
        <w:t xml:space="preserve"> </w:t>
      </w:r>
      <w:r>
        <w:t>participants</w:t>
      </w:r>
      <w:r w:rsidRPr="00FA6409">
        <w:t xml:space="preserve"> and their providers by 2019-20</w:t>
      </w:r>
      <w:r>
        <w:t>,</w:t>
      </w:r>
      <w:r w:rsidRPr="00FA6409">
        <w:t xml:space="preserve"> when the </w:t>
      </w:r>
      <w:r>
        <w:t>F</w:t>
      </w:r>
      <w:r w:rsidRPr="00FA6409">
        <w:t xml:space="preserve">ull </w:t>
      </w:r>
      <w:r>
        <w:t>S</w:t>
      </w:r>
      <w:r w:rsidRPr="00FA6409">
        <w:t>cheme is expected to be operating.</w:t>
      </w:r>
    </w:p>
    <w:p w14:paraId="7731EFA9" w14:textId="7029A610" w:rsidR="00381551" w:rsidRDefault="00C1564B" w:rsidP="00C1564B">
      <w:pPr>
        <w:spacing w:line="259" w:lineRule="auto"/>
      </w:pPr>
      <w:r>
        <w:t xml:space="preserve">The third is that there was a need for a more tailored change approach that </w:t>
      </w:r>
      <w:proofErr w:type="spellStart"/>
      <w:r>
        <w:t>recognised</w:t>
      </w:r>
      <w:proofErr w:type="spellEnd"/>
      <w:r>
        <w:t xml:space="preserve"> the broad range of individual impacts and needs in orde</w:t>
      </w:r>
      <w:r w:rsidR="00784A7D">
        <w:t>r to be able to understand the S</w:t>
      </w:r>
      <w:r>
        <w:t>cheme and use the ICT system effectively.</w:t>
      </w:r>
    </w:p>
    <w:p w14:paraId="5EED67A3" w14:textId="22FD3A0E" w:rsidR="00A769D0" w:rsidRDefault="00A769D0">
      <w:pPr>
        <w:spacing w:line="259" w:lineRule="auto"/>
      </w:pPr>
    </w:p>
    <w:p w14:paraId="1518D588" w14:textId="23BA00B6" w:rsidR="004C6CCA" w:rsidRPr="000851F6" w:rsidRDefault="004C6CCA" w:rsidP="004C6CCA">
      <w:pPr>
        <w:pStyle w:val="Non-numberedHeading2"/>
        <w:rPr>
          <w:sz w:val="24"/>
        </w:rPr>
      </w:pPr>
      <w:bookmarkStart w:id="18" w:name="_Toc460422968"/>
      <w:r w:rsidRPr="000851F6">
        <w:rPr>
          <w:sz w:val="24"/>
        </w:rPr>
        <w:t>Conclusions</w:t>
      </w:r>
      <w:bookmarkEnd w:id="18"/>
    </w:p>
    <w:p w14:paraId="6845456E" w14:textId="15469397" w:rsidR="00C1564B" w:rsidRDefault="00C1564B" w:rsidP="00C1564B">
      <w:r w:rsidRPr="00B64BA6">
        <w:t xml:space="preserve">The complexity of the </w:t>
      </w:r>
      <w:r w:rsidR="00E0522B">
        <w:t>stakeholder landscape</w:t>
      </w:r>
      <w:r w:rsidRPr="00B64BA6">
        <w:t xml:space="preserve">, the amount of change leading up to and after the </w:t>
      </w:r>
      <w:r>
        <w:t>F</w:t>
      </w:r>
      <w:r w:rsidRPr="00B64BA6">
        <w:t xml:space="preserve">ull </w:t>
      </w:r>
      <w:r>
        <w:t>S</w:t>
      </w:r>
      <w:r w:rsidRPr="00B64BA6">
        <w:t xml:space="preserve">cheme </w:t>
      </w:r>
      <w:r>
        <w:t>Launch</w:t>
      </w:r>
      <w:r w:rsidRPr="00B64BA6">
        <w:t xml:space="preserve">, the </w:t>
      </w:r>
      <w:r>
        <w:t>low quality and timeliness of</w:t>
      </w:r>
      <w:r w:rsidRPr="00B64BA6">
        <w:t xml:space="preserve"> data</w:t>
      </w:r>
      <w:r>
        <w:t>,</w:t>
      </w:r>
      <w:r w:rsidRPr="00B64BA6">
        <w:t xml:space="preserve"> and the newness (immaturity) of the process </w:t>
      </w:r>
      <w:r>
        <w:t xml:space="preserve">all </w:t>
      </w:r>
      <w:r w:rsidRPr="00B64BA6">
        <w:t xml:space="preserve">combined to create a critical risk that payments would fail. The </w:t>
      </w:r>
      <w:r>
        <w:t xml:space="preserve">NDIA </w:t>
      </w:r>
      <w:r w:rsidRPr="00B64BA6">
        <w:t xml:space="preserve">EMG was faced with a decision to either proceed and remediate or </w:t>
      </w:r>
      <w:r>
        <w:t>delay</w:t>
      </w:r>
      <w:r w:rsidRPr="00B64BA6">
        <w:t xml:space="preserve">. </w:t>
      </w:r>
      <w:r>
        <w:t>After considering the options and related contingencies,</w:t>
      </w:r>
      <w:r w:rsidDel="00063674">
        <w:t xml:space="preserve"> </w:t>
      </w:r>
      <w:r>
        <w:t>they made the decision to proceed to Full Scheme Launch on 1 July 2016.</w:t>
      </w:r>
    </w:p>
    <w:p w14:paraId="44856D65" w14:textId="77777777" w:rsidR="00C1564B" w:rsidRDefault="00C1564B" w:rsidP="00C1564B">
      <w:r>
        <w:t>It is important to understand</w:t>
      </w:r>
      <w:r w:rsidRPr="00B64BA6">
        <w:t xml:space="preserve"> that the root cause</w:t>
      </w:r>
      <w:r>
        <w:t xml:space="preserve"> of payment failure</w:t>
      </w:r>
      <w:r w:rsidRPr="00B64BA6">
        <w:t xml:space="preserve"> was not a single catastrophic </w:t>
      </w:r>
      <w:r>
        <w:t>event,</w:t>
      </w:r>
      <w:r w:rsidRPr="00B64BA6">
        <w:t xml:space="preserve"> </w:t>
      </w:r>
      <w:r>
        <w:t>but r</w:t>
      </w:r>
      <w:r w:rsidRPr="00B64BA6">
        <w:t xml:space="preserve">ather a series of </w:t>
      </w:r>
      <w:r>
        <w:t xml:space="preserve">compounding issues which </w:t>
      </w:r>
      <w:r w:rsidRPr="00B64BA6">
        <w:t>prevented a</w:t>
      </w:r>
      <w:r>
        <w:t xml:space="preserve"> viable option to delay ICT implementation.</w:t>
      </w:r>
      <w:r w:rsidRPr="001A619E">
        <w:t xml:space="preserve"> </w:t>
      </w:r>
    </w:p>
    <w:p w14:paraId="5B5EE189" w14:textId="77777777" w:rsidR="00BF149B" w:rsidRPr="00712D17" w:rsidRDefault="00BF149B" w:rsidP="00BF149B">
      <w:r w:rsidRPr="00712D17">
        <w:t xml:space="preserve">The Full Scheme </w:t>
      </w:r>
      <w:r>
        <w:t xml:space="preserve">ICT </w:t>
      </w:r>
      <w:r w:rsidRPr="00712D17">
        <w:t xml:space="preserve">Implementation ran out of time to fully complete the </w:t>
      </w:r>
      <w:r>
        <w:t xml:space="preserve">required </w:t>
      </w:r>
      <w:r w:rsidRPr="00712D17">
        <w:t xml:space="preserve">implementation </w:t>
      </w:r>
      <w:r>
        <w:t xml:space="preserve">activities </w:t>
      </w:r>
      <w:r w:rsidRPr="00712D17">
        <w:t xml:space="preserve">and proceeded with </w:t>
      </w:r>
      <w:r>
        <w:t xml:space="preserve">the </w:t>
      </w:r>
      <w:r w:rsidRPr="00712D17">
        <w:t xml:space="preserve">acceptance of the </w:t>
      </w:r>
      <w:r>
        <w:t xml:space="preserve">identified implementation risks </w:t>
      </w:r>
      <w:r w:rsidRPr="00712D17">
        <w:t xml:space="preserve">with the intention </w:t>
      </w:r>
      <w:r>
        <w:t>of applying</w:t>
      </w:r>
      <w:r w:rsidRPr="00712D17">
        <w:t xml:space="preserve"> maximum response to the problems. However, the change effort </w:t>
      </w:r>
      <w:r>
        <w:t xml:space="preserve">and overall program </w:t>
      </w:r>
      <w:r w:rsidRPr="00712D17">
        <w:t xml:space="preserve">was under-resourced and underprepared </w:t>
      </w:r>
      <w:r>
        <w:t xml:space="preserve">in order </w:t>
      </w:r>
      <w:r w:rsidRPr="00712D17">
        <w:t>to provide the accurate and timely support required by participants and providers when faced with ICT challenges</w:t>
      </w:r>
      <w:r>
        <w:t>.</w:t>
      </w:r>
    </w:p>
    <w:p w14:paraId="157C5EDF" w14:textId="77777777" w:rsidR="00BF149B" w:rsidRDefault="00BF149B" w:rsidP="00BF149B">
      <w:pPr>
        <w:spacing w:line="259" w:lineRule="auto"/>
      </w:pPr>
      <w:r w:rsidRPr="00712D17">
        <w:t xml:space="preserve">The NDIA was effective at managing </w:t>
      </w:r>
      <w:r>
        <w:t>some</w:t>
      </w:r>
      <w:r w:rsidRPr="00712D17">
        <w:t xml:space="preserve"> of the risks leading up to the ICT implementation</w:t>
      </w:r>
      <w:r>
        <w:t>, in partnership with DHS and DSS and with the support of States &amp; Territory governments</w:t>
      </w:r>
      <w:r w:rsidRPr="00712D17">
        <w:t xml:space="preserve">. </w:t>
      </w:r>
      <w:r>
        <w:t xml:space="preserve">The </w:t>
      </w:r>
      <w:r w:rsidRPr="00712D17">
        <w:t>residual execution risks</w:t>
      </w:r>
      <w:r>
        <w:t xml:space="preserve"> of the program were </w:t>
      </w:r>
      <w:r w:rsidRPr="00712D17">
        <w:t xml:space="preserve">found </w:t>
      </w:r>
      <w:r>
        <w:t xml:space="preserve">to be </w:t>
      </w:r>
      <w:r w:rsidRPr="00712D17">
        <w:t xml:space="preserve">affecting </w:t>
      </w:r>
      <w:r>
        <w:t xml:space="preserve">the </w:t>
      </w:r>
      <w:r w:rsidRPr="00712D17">
        <w:t>critical path</w:t>
      </w:r>
      <w:r>
        <w:t xml:space="preserve"> </w:t>
      </w:r>
      <w:r w:rsidRPr="00712D17">
        <w:t xml:space="preserve">on a daily basis. As evidenced in the readiness assessments, these </w:t>
      </w:r>
      <w:r>
        <w:t xml:space="preserve">risks </w:t>
      </w:r>
      <w:r w:rsidRPr="00712D17">
        <w:t xml:space="preserve">were </w:t>
      </w:r>
      <w:r>
        <w:t>continuously managed</w:t>
      </w:r>
      <w:r w:rsidRPr="00712D17">
        <w:t xml:space="preserve"> up until go-live. The NDIA was less effective at managing the inherent risks of complexity, maturity and scale against a finite completion date.</w:t>
      </w:r>
    </w:p>
    <w:p w14:paraId="3C63CD16" w14:textId="5F503DD1" w:rsidR="004C6CCA" w:rsidRDefault="00646F79" w:rsidP="00BF149B">
      <w:pPr>
        <w:spacing w:line="259" w:lineRule="auto"/>
      </w:pPr>
      <w:r>
        <w:t xml:space="preserve"> </w:t>
      </w:r>
      <w:r w:rsidR="004C6CCA">
        <w:br w:type="page"/>
      </w:r>
    </w:p>
    <w:p w14:paraId="268D37EE" w14:textId="79CEADE5" w:rsidR="00A769D0" w:rsidRPr="006D369B" w:rsidRDefault="00A769D0" w:rsidP="00EF41BF">
      <w:pPr>
        <w:pStyle w:val="ExhibitHeading1"/>
        <w:numPr>
          <w:ilvl w:val="0"/>
          <w:numId w:val="0"/>
        </w:numPr>
        <w:rPr>
          <w:color w:val="821A1A" w:themeColor="accent1"/>
          <w:sz w:val="40"/>
        </w:rPr>
      </w:pPr>
      <w:bookmarkStart w:id="19" w:name="_Toc460422969"/>
      <w:r w:rsidRPr="006D369B">
        <w:rPr>
          <w:color w:val="821A1A" w:themeColor="accent1"/>
          <w:sz w:val="40"/>
        </w:rPr>
        <w:lastRenderedPageBreak/>
        <w:t>Recommendations</w:t>
      </w:r>
      <w:bookmarkEnd w:id="19"/>
    </w:p>
    <w:p w14:paraId="56709005" w14:textId="09CD0CB0" w:rsidR="00A769D0" w:rsidRPr="000851F6" w:rsidRDefault="00B66B15" w:rsidP="00A769D0">
      <w:pPr>
        <w:pStyle w:val="Non-numberedHeading2"/>
        <w:rPr>
          <w:sz w:val="24"/>
        </w:rPr>
      </w:pPr>
      <w:bookmarkStart w:id="20" w:name="_Toc460329909"/>
      <w:bookmarkStart w:id="21" w:name="_Toc460330789"/>
      <w:bookmarkStart w:id="22" w:name="_Toc460338128"/>
      <w:bookmarkStart w:id="23" w:name="_Toc460341104"/>
      <w:bookmarkStart w:id="24" w:name="_Toc460422970"/>
      <w:r w:rsidRPr="000851F6">
        <w:rPr>
          <w:sz w:val="24"/>
        </w:rPr>
        <w:t>R1. Implement and embed the Service Delivery Operating Model</w:t>
      </w:r>
      <w:bookmarkEnd w:id="20"/>
      <w:bookmarkEnd w:id="21"/>
      <w:bookmarkEnd w:id="22"/>
      <w:bookmarkEnd w:id="23"/>
      <w:bookmarkEnd w:id="24"/>
    </w:p>
    <w:p w14:paraId="617E7589" w14:textId="6575219C" w:rsidR="00B66B15" w:rsidRDefault="00B66B15" w:rsidP="00B66B15">
      <w:pPr>
        <w:spacing w:after="120"/>
        <w:rPr>
          <w:rFonts w:eastAsia="Times New Roman" w:cs="Times New Roman"/>
          <w:shd w:val="clear" w:color="auto" w:fill="FFFFFF"/>
          <w:lang w:val="en-GB" w:eastAsia="en-GB"/>
        </w:rPr>
      </w:pPr>
      <w:r w:rsidRPr="00BB201C">
        <w:rPr>
          <w:rFonts w:eastAsia="Times New Roman" w:cs="Times New Roman"/>
          <w:shd w:val="clear" w:color="auto" w:fill="FFFFFF"/>
          <w:lang w:val="en-GB" w:eastAsia="en-GB"/>
        </w:rPr>
        <w:t>The NDI</w:t>
      </w:r>
      <w:r>
        <w:rPr>
          <w:rFonts w:eastAsia="Times New Roman" w:cs="Times New Roman"/>
          <w:shd w:val="clear" w:color="auto" w:fill="FFFFFF"/>
          <w:lang w:val="en-GB" w:eastAsia="en-GB"/>
        </w:rPr>
        <w:t>A to date has been operating without a comprehensive Service Delivery Operating Model. NDIA has begun documenting their S</w:t>
      </w:r>
      <w:r w:rsidR="008D177D">
        <w:rPr>
          <w:rFonts w:eastAsia="Times New Roman" w:cs="Times New Roman"/>
          <w:shd w:val="clear" w:color="auto" w:fill="FFFFFF"/>
          <w:lang w:val="en-GB" w:eastAsia="en-GB"/>
        </w:rPr>
        <w:t xml:space="preserve">ervice Delivery Operating </w:t>
      </w:r>
      <w:proofErr w:type="gramStart"/>
      <w:r w:rsidR="008D177D">
        <w:rPr>
          <w:rFonts w:eastAsia="Times New Roman" w:cs="Times New Roman"/>
          <w:shd w:val="clear" w:color="auto" w:fill="FFFFFF"/>
          <w:lang w:val="en-GB" w:eastAsia="en-GB"/>
        </w:rPr>
        <w:t>Model,</w:t>
      </w:r>
      <w:proofErr w:type="gramEnd"/>
      <w:r>
        <w:rPr>
          <w:rFonts w:eastAsia="Times New Roman" w:cs="Times New Roman"/>
          <w:shd w:val="clear" w:color="auto" w:fill="FFFFFF"/>
          <w:lang w:val="en-GB" w:eastAsia="en-GB"/>
        </w:rPr>
        <w:t xml:space="preserve"> however, it has yet to implement the model. This</w:t>
      </w:r>
      <w:r w:rsidRPr="00BB201C">
        <w:rPr>
          <w:rFonts w:eastAsia="Times New Roman" w:cs="Times New Roman"/>
          <w:shd w:val="clear" w:color="auto" w:fill="FFFFFF"/>
          <w:lang w:val="en-GB" w:eastAsia="en-GB"/>
        </w:rPr>
        <w:t xml:space="preserve"> has </w:t>
      </w:r>
      <w:r>
        <w:rPr>
          <w:rFonts w:eastAsia="Times New Roman" w:cs="Times New Roman"/>
          <w:shd w:val="clear" w:color="auto" w:fill="FFFFFF"/>
          <w:lang w:val="en-GB" w:eastAsia="en-GB"/>
        </w:rPr>
        <w:t xml:space="preserve">led to the poor </w:t>
      </w:r>
      <w:r w:rsidRPr="00BB201C">
        <w:rPr>
          <w:rFonts w:eastAsia="Times New Roman" w:cs="Times New Roman"/>
          <w:shd w:val="clear" w:color="auto" w:fill="FFFFFF"/>
          <w:lang w:val="en-GB" w:eastAsia="en-GB"/>
        </w:rPr>
        <w:t xml:space="preserve">execution </w:t>
      </w:r>
      <w:r w:rsidR="00671805">
        <w:rPr>
          <w:rFonts w:eastAsia="Times New Roman" w:cs="Times New Roman"/>
          <w:shd w:val="clear" w:color="auto" w:fill="FFFFFF"/>
          <w:lang w:val="en-GB" w:eastAsia="en-GB"/>
        </w:rPr>
        <w:t>of</w:t>
      </w:r>
      <w:r w:rsidR="00513618">
        <w:rPr>
          <w:rFonts w:eastAsia="Times New Roman" w:cs="Times New Roman"/>
          <w:shd w:val="clear" w:color="auto" w:fill="FFFFFF"/>
          <w:lang w:val="en-GB" w:eastAsia="en-GB"/>
        </w:rPr>
        <w:t xml:space="preserve"> important</w:t>
      </w:r>
      <w:r w:rsidR="008D177D">
        <w:rPr>
          <w:rFonts w:eastAsia="Times New Roman" w:cs="Times New Roman"/>
          <w:shd w:val="clear" w:color="auto" w:fill="FFFFFF"/>
          <w:lang w:val="en-GB" w:eastAsia="en-GB"/>
        </w:rPr>
        <w:t xml:space="preserve"> </w:t>
      </w:r>
      <w:r>
        <w:rPr>
          <w:rFonts w:eastAsia="Times New Roman" w:cs="Times New Roman"/>
          <w:shd w:val="clear" w:color="auto" w:fill="FFFFFF"/>
          <w:lang w:val="en-GB" w:eastAsia="en-GB"/>
        </w:rPr>
        <w:t>client services for participants and providers</w:t>
      </w:r>
      <w:r w:rsidR="00585909">
        <w:rPr>
          <w:rFonts w:eastAsia="Times New Roman" w:cs="Times New Roman"/>
          <w:shd w:val="clear" w:color="auto" w:fill="FFFFFF"/>
          <w:lang w:val="en-GB" w:eastAsia="en-GB"/>
        </w:rPr>
        <w:t xml:space="preserve">, for example, </w:t>
      </w:r>
      <w:r w:rsidR="007478F5">
        <w:rPr>
          <w:rFonts w:eastAsia="Times New Roman" w:cs="Times New Roman"/>
          <w:shd w:val="clear" w:color="auto" w:fill="FFFFFF"/>
          <w:lang w:val="en-GB" w:eastAsia="en-GB"/>
        </w:rPr>
        <w:t>plan approvals</w:t>
      </w:r>
      <w:r w:rsidR="00671805">
        <w:rPr>
          <w:rFonts w:eastAsia="Times New Roman" w:cs="Times New Roman"/>
          <w:shd w:val="clear" w:color="auto" w:fill="FFFFFF"/>
          <w:lang w:val="en-GB" w:eastAsia="en-GB"/>
        </w:rPr>
        <w:t>.</w:t>
      </w:r>
    </w:p>
    <w:p w14:paraId="4B6FEED2" w14:textId="77777777" w:rsidR="00B66B15" w:rsidRPr="001725C2" w:rsidRDefault="00B66B15" w:rsidP="00B66B15">
      <w:pPr>
        <w:pStyle w:val="BlockText2"/>
        <w:rPr>
          <w:b/>
        </w:rPr>
      </w:pPr>
      <w:r w:rsidRPr="001725C2">
        <w:rPr>
          <w:b/>
        </w:rPr>
        <w:t>Recommendation:</w:t>
      </w:r>
    </w:p>
    <w:p w14:paraId="2029D744" w14:textId="77777777" w:rsidR="00B66B15" w:rsidRDefault="00B66B15" w:rsidP="00B66B15">
      <w:pPr>
        <w:pStyle w:val="BlockText2"/>
        <w:rPr>
          <w:i w:val="0"/>
        </w:rPr>
      </w:pPr>
      <w:r>
        <w:rPr>
          <w:i w:val="0"/>
        </w:rPr>
        <w:t>NDIA to develop, implement and embed an end-to-end S</w:t>
      </w:r>
      <w:r w:rsidRPr="009D3FB2">
        <w:rPr>
          <w:i w:val="0"/>
        </w:rPr>
        <w:t xml:space="preserve">ervice </w:t>
      </w:r>
      <w:r>
        <w:rPr>
          <w:i w:val="0"/>
        </w:rPr>
        <w:t>D</w:t>
      </w:r>
      <w:r w:rsidRPr="009D3FB2">
        <w:rPr>
          <w:i w:val="0"/>
        </w:rPr>
        <w:t xml:space="preserve">elivery </w:t>
      </w:r>
      <w:r>
        <w:rPr>
          <w:i w:val="0"/>
        </w:rPr>
        <w:t>O</w:t>
      </w:r>
      <w:r w:rsidRPr="009D3FB2">
        <w:rPr>
          <w:i w:val="0"/>
        </w:rPr>
        <w:t xml:space="preserve">perating </w:t>
      </w:r>
      <w:r>
        <w:rPr>
          <w:i w:val="0"/>
        </w:rPr>
        <w:t>M</w:t>
      </w:r>
      <w:r w:rsidRPr="009D3FB2">
        <w:rPr>
          <w:i w:val="0"/>
        </w:rPr>
        <w:t>odel that</w:t>
      </w:r>
      <w:r>
        <w:rPr>
          <w:i w:val="0"/>
        </w:rPr>
        <w:t>:</w:t>
      </w:r>
    </w:p>
    <w:p w14:paraId="0034118A" w14:textId="77777777" w:rsidR="00B66B15" w:rsidRDefault="00B66B15" w:rsidP="00B66B15">
      <w:pPr>
        <w:pStyle w:val="BlockText2"/>
        <w:ind w:left="709" w:hanging="479"/>
        <w:rPr>
          <w:i w:val="0"/>
        </w:rPr>
      </w:pPr>
      <w:r>
        <w:rPr>
          <w:i w:val="0"/>
        </w:rPr>
        <w:sym w:font="Symbol" w:char="F0B7"/>
      </w:r>
      <w:r>
        <w:rPr>
          <w:i w:val="0"/>
        </w:rPr>
        <w:tab/>
      </w:r>
      <w:proofErr w:type="gramStart"/>
      <w:r w:rsidRPr="009D3FB2">
        <w:rPr>
          <w:i w:val="0"/>
        </w:rPr>
        <w:t>clearly</w:t>
      </w:r>
      <w:proofErr w:type="gramEnd"/>
      <w:r w:rsidRPr="009D3FB2">
        <w:rPr>
          <w:i w:val="0"/>
        </w:rPr>
        <w:t xml:space="preserve"> defines NDIA customer offerings, processes, technology, information, </w:t>
      </w:r>
      <w:proofErr w:type="spellStart"/>
      <w:r w:rsidRPr="009D3FB2">
        <w:rPr>
          <w:i w:val="0"/>
        </w:rPr>
        <w:t>organisational</w:t>
      </w:r>
      <w:proofErr w:type="spellEnd"/>
      <w:r w:rsidRPr="009D3FB2">
        <w:rPr>
          <w:i w:val="0"/>
        </w:rPr>
        <w:t xml:space="preserve"> structure (including governance, roles and accountabilities) and people capabilities</w:t>
      </w:r>
    </w:p>
    <w:p w14:paraId="689199B2" w14:textId="0F06AB10" w:rsidR="00B66B15" w:rsidRDefault="00B66B15" w:rsidP="00B66B15">
      <w:pPr>
        <w:pStyle w:val="BlockText2"/>
        <w:ind w:left="709" w:hanging="479"/>
        <w:rPr>
          <w:i w:val="0"/>
        </w:rPr>
      </w:pPr>
      <w:r>
        <w:rPr>
          <w:i w:val="0"/>
        </w:rPr>
        <w:sym w:font="Symbol" w:char="F0B7"/>
      </w:r>
      <w:r>
        <w:rPr>
          <w:i w:val="0"/>
        </w:rPr>
        <w:tab/>
      </w:r>
      <w:proofErr w:type="gramStart"/>
      <w:r>
        <w:rPr>
          <w:i w:val="0"/>
        </w:rPr>
        <w:t>details</w:t>
      </w:r>
      <w:proofErr w:type="gramEnd"/>
      <w:r>
        <w:rPr>
          <w:i w:val="0"/>
        </w:rPr>
        <w:t xml:space="preserve"> accountabilities and end-to-</w:t>
      </w:r>
      <w:r w:rsidRPr="006A1DAF">
        <w:rPr>
          <w:i w:val="0"/>
        </w:rPr>
        <w:t xml:space="preserve">end business processes to support successful delivery of services to providers and participants in the </w:t>
      </w:r>
      <w:r w:rsidR="00970FC5">
        <w:rPr>
          <w:i w:val="0"/>
        </w:rPr>
        <w:t>S</w:t>
      </w:r>
      <w:r w:rsidRPr="006A1DAF">
        <w:rPr>
          <w:i w:val="0"/>
        </w:rPr>
        <w:t>cheme</w:t>
      </w:r>
    </w:p>
    <w:p w14:paraId="34C23535" w14:textId="77777777" w:rsidR="00B66B15" w:rsidRDefault="00B66B15" w:rsidP="00B66B15">
      <w:pPr>
        <w:pStyle w:val="BlockText2"/>
        <w:ind w:left="709" w:hanging="479"/>
        <w:rPr>
          <w:i w:val="0"/>
        </w:rPr>
      </w:pPr>
      <w:r>
        <w:rPr>
          <w:i w:val="0"/>
        </w:rPr>
        <w:sym w:font="Symbol" w:char="F0B7"/>
      </w:r>
      <w:r>
        <w:rPr>
          <w:i w:val="0"/>
        </w:rPr>
        <w:tab/>
      </w:r>
      <w:proofErr w:type="gramStart"/>
      <w:r w:rsidRPr="000E3AFC">
        <w:rPr>
          <w:i w:val="0"/>
        </w:rPr>
        <w:t>contains</w:t>
      </w:r>
      <w:proofErr w:type="gramEnd"/>
      <w:r w:rsidRPr="000E3AFC">
        <w:rPr>
          <w:i w:val="0"/>
        </w:rPr>
        <w:t xml:space="preserve"> mechanisms to understand the interactions between key components of the operating model including interdependencies and accountabilities</w:t>
      </w:r>
      <w:r>
        <w:rPr>
          <w:i w:val="0"/>
        </w:rPr>
        <w:t xml:space="preserve"> to </w:t>
      </w:r>
      <w:r w:rsidRPr="000E3AFC">
        <w:rPr>
          <w:i w:val="0"/>
        </w:rPr>
        <w:t xml:space="preserve">Scheme participants and providers, </w:t>
      </w:r>
      <w:r>
        <w:rPr>
          <w:i w:val="0"/>
        </w:rPr>
        <w:t xml:space="preserve">other agencies, </w:t>
      </w:r>
      <w:r w:rsidRPr="000E3AFC">
        <w:rPr>
          <w:i w:val="0"/>
        </w:rPr>
        <w:t xml:space="preserve">States and Territories and </w:t>
      </w:r>
      <w:r>
        <w:rPr>
          <w:i w:val="0"/>
        </w:rPr>
        <w:t>government</w:t>
      </w:r>
      <w:r w:rsidRPr="000E3AFC">
        <w:rPr>
          <w:i w:val="0"/>
        </w:rPr>
        <w:t>.</w:t>
      </w:r>
    </w:p>
    <w:p w14:paraId="197FF791" w14:textId="5A724C23" w:rsidR="00B66B15" w:rsidRPr="009D3FB2" w:rsidRDefault="00B66B15" w:rsidP="00B66B15">
      <w:pPr>
        <w:pStyle w:val="BlockText2"/>
        <w:rPr>
          <w:i w:val="0"/>
        </w:rPr>
      </w:pPr>
      <w:r>
        <w:rPr>
          <w:i w:val="0"/>
        </w:rPr>
        <w:t xml:space="preserve">Appoint an experienced Chief Operating Officer (COO), reporting to the NDIA CEO, empowered to work across the Agency to make decisions, build capability where required and to quickly resolve critical issues relating to the transition to Full Scheme. Immediate priorities will be to </w:t>
      </w:r>
      <w:proofErr w:type="spellStart"/>
      <w:r>
        <w:rPr>
          <w:i w:val="0"/>
        </w:rPr>
        <w:t>finalise</w:t>
      </w:r>
      <w:proofErr w:type="spellEnd"/>
      <w:r>
        <w:rPr>
          <w:i w:val="0"/>
        </w:rPr>
        <w:t xml:space="preserve"> all business recovery activities and to rectify the low rate of plan approvals. NDIA Deputy </w:t>
      </w:r>
      <w:r w:rsidR="0066052E">
        <w:rPr>
          <w:i w:val="0"/>
        </w:rPr>
        <w:t xml:space="preserve">CEOs </w:t>
      </w:r>
      <w:r>
        <w:rPr>
          <w:i w:val="0"/>
        </w:rPr>
        <w:t>to report to the COO on all transition matters.</w:t>
      </w:r>
    </w:p>
    <w:p w14:paraId="5D4929D3" w14:textId="77777777" w:rsidR="00B66B15" w:rsidRDefault="00B66B15" w:rsidP="00B66B15">
      <w:pPr>
        <w:pStyle w:val="BlockText2"/>
        <w:rPr>
          <w:i w:val="0"/>
        </w:rPr>
      </w:pPr>
      <w:r>
        <w:rPr>
          <w:i w:val="0"/>
        </w:rPr>
        <w:t>C</w:t>
      </w:r>
      <w:r w:rsidRPr="009D3FB2">
        <w:rPr>
          <w:i w:val="0"/>
        </w:rPr>
        <w:t>onduct a maturity assessment across all business processes</w:t>
      </w:r>
      <w:r>
        <w:rPr>
          <w:i w:val="0"/>
        </w:rPr>
        <w:t xml:space="preserve"> including risk and governance.</w:t>
      </w:r>
      <w:r w:rsidRPr="009D3FB2">
        <w:rPr>
          <w:i w:val="0"/>
        </w:rPr>
        <w:t xml:space="preserve"> </w:t>
      </w:r>
      <w:r>
        <w:rPr>
          <w:i w:val="0"/>
        </w:rPr>
        <w:t>O</w:t>
      </w:r>
      <w:r w:rsidRPr="009D3FB2">
        <w:rPr>
          <w:i w:val="0"/>
        </w:rPr>
        <w:t>btain agreement on the target levels and tracking mechanisms for the appropriate process maturity.</w:t>
      </w:r>
      <w:r>
        <w:rPr>
          <w:i w:val="0"/>
        </w:rPr>
        <w:t xml:space="preserve"> Conduct an initial status review of this work in October 2016 with subsequent six monthly reports on process maturity, status and implementation progress.</w:t>
      </w:r>
    </w:p>
    <w:p w14:paraId="5AD66DAD" w14:textId="77777777" w:rsidR="00B66B15" w:rsidRDefault="00B66B15" w:rsidP="00B66B15">
      <w:pPr>
        <w:pStyle w:val="BlockText2"/>
        <w:rPr>
          <w:i w:val="0"/>
        </w:rPr>
      </w:pPr>
      <w:r>
        <w:rPr>
          <w:i w:val="0"/>
        </w:rPr>
        <w:t xml:space="preserve">In addition, there will need to be tailored change management activity to ensure </w:t>
      </w:r>
      <w:proofErr w:type="gramStart"/>
      <w:r>
        <w:rPr>
          <w:i w:val="0"/>
        </w:rPr>
        <w:t>staff are</w:t>
      </w:r>
      <w:proofErr w:type="gramEnd"/>
      <w:r>
        <w:rPr>
          <w:i w:val="0"/>
        </w:rPr>
        <w:t xml:space="preserve"> able to understand and align to the operating model.</w:t>
      </w:r>
    </w:p>
    <w:p w14:paraId="6F3A6082" w14:textId="77777777" w:rsidR="00B66B15" w:rsidRDefault="00B66B15" w:rsidP="00772991">
      <w:pPr>
        <w:spacing w:after="120"/>
        <w:rPr>
          <w:rFonts w:eastAsia="Times New Roman" w:cs="Times New Roman"/>
          <w:shd w:val="clear" w:color="auto" w:fill="FFFFFF"/>
          <w:lang w:val="en-GB" w:eastAsia="en-GB"/>
        </w:rPr>
      </w:pPr>
      <w:r w:rsidRPr="00892C6E">
        <w:rPr>
          <w:rFonts w:eastAsia="Times New Roman" w:cs="Times New Roman"/>
          <w:b/>
          <w:shd w:val="clear" w:color="auto" w:fill="FFFFFF"/>
          <w:lang w:val="en-GB" w:eastAsia="en-GB"/>
        </w:rPr>
        <w:t>Timing</w:t>
      </w:r>
      <w:r w:rsidRPr="00892C6E">
        <w:rPr>
          <w:rFonts w:eastAsia="Times New Roman" w:cs="Times New Roman"/>
          <w:shd w:val="clear" w:color="auto" w:fill="FFFFFF"/>
          <w:lang w:val="en-GB" w:eastAsia="en-GB"/>
        </w:rPr>
        <w:t xml:space="preserve">: </w:t>
      </w:r>
      <w:r>
        <w:rPr>
          <w:rFonts w:eastAsia="Times New Roman" w:cs="Times New Roman"/>
          <w:shd w:val="clear" w:color="auto" w:fill="FFFFFF"/>
          <w:lang w:val="en-GB" w:eastAsia="en-GB"/>
        </w:rPr>
        <w:t>Immediate</w:t>
      </w:r>
    </w:p>
    <w:p w14:paraId="2D955330" w14:textId="77777777" w:rsidR="00B66B15" w:rsidRDefault="00B66B15" w:rsidP="00B66B15">
      <w:pPr>
        <w:spacing w:after="0"/>
        <w:rPr>
          <w:rFonts w:eastAsia="Times New Roman" w:cs="Times New Roman"/>
          <w:shd w:val="clear" w:color="auto" w:fill="FFFFFF"/>
          <w:lang w:val="en-GB" w:eastAsia="en-GB"/>
        </w:rPr>
      </w:pPr>
      <w:r w:rsidRPr="00892C6E">
        <w:rPr>
          <w:rFonts w:eastAsia="Times New Roman" w:cs="Times New Roman"/>
          <w:b/>
          <w:shd w:val="clear" w:color="auto" w:fill="FFFFFF"/>
          <w:lang w:val="en-GB" w:eastAsia="en-GB"/>
        </w:rPr>
        <w:t>Dependencies</w:t>
      </w:r>
      <w:r w:rsidRPr="00892C6E">
        <w:rPr>
          <w:rFonts w:eastAsia="Times New Roman" w:cs="Times New Roman"/>
          <w:shd w:val="clear" w:color="auto" w:fill="FFFFFF"/>
          <w:lang w:val="en-GB" w:eastAsia="en-GB"/>
        </w:rPr>
        <w:t>:</w:t>
      </w:r>
      <w:r>
        <w:rPr>
          <w:rFonts w:eastAsia="Times New Roman" w:cs="Times New Roman"/>
          <w:shd w:val="clear" w:color="auto" w:fill="FFFFFF"/>
          <w:lang w:val="en-GB" w:eastAsia="en-GB"/>
        </w:rPr>
        <w:t xml:space="preserve"> Commencement of this recommendation is a prerequisite for the other recommendations.</w:t>
      </w:r>
    </w:p>
    <w:p w14:paraId="54A52AEF" w14:textId="77777777" w:rsidR="00B66B15" w:rsidRDefault="00B66B15" w:rsidP="00B66B15">
      <w:pPr>
        <w:spacing w:after="120"/>
        <w:rPr>
          <w:rFonts w:eastAsia="Times New Roman" w:cs="Times New Roman"/>
          <w:shd w:val="clear" w:color="auto" w:fill="FFFFFF"/>
          <w:lang w:val="en-GB" w:eastAsia="en-GB"/>
        </w:rPr>
      </w:pPr>
    </w:p>
    <w:p w14:paraId="5CEE11B3" w14:textId="5F6CEC23" w:rsidR="00B66B15" w:rsidRDefault="00B66B15">
      <w:pPr>
        <w:spacing w:line="259" w:lineRule="auto"/>
      </w:pPr>
      <w:r>
        <w:br w:type="page"/>
      </w:r>
    </w:p>
    <w:p w14:paraId="51167C19" w14:textId="77777777" w:rsidR="002069B4" w:rsidRPr="00842088" w:rsidRDefault="002069B4" w:rsidP="00842088">
      <w:pPr>
        <w:pStyle w:val="Non-numberedHeading2"/>
        <w:rPr>
          <w:sz w:val="24"/>
        </w:rPr>
      </w:pPr>
      <w:bookmarkStart w:id="25" w:name="_Toc460422971"/>
      <w:r w:rsidRPr="00842088">
        <w:rPr>
          <w:sz w:val="24"/>
        </w:rPr>
        <w:lastRenderedPageBreak/>
        <w:t>R2. Enhance program management fundamentals including inter and intra-agency governance and an integrated program plan</w:t>
      </w:r>
      <w:bookmarkEnd w:id="25"/>
    </w:p>
    <w:p w14:paraId="66A39A94" w14:textId="4A362750" w:rsidR="002069B4" w:rsidRDefault="002069B4" w:rsidP="002069B4">
      <w:pPr>
        <w:spacing w:after="120"/>
        <w:rPr>
          <w:rFonts w:eastAsia="Times New Roman" w:cs="Arial"/>
          <w:lang w:val="en-GB" w:eastAsia="en-GB"/>
        </w:rPr>
      </w:pPr>
      <w:r w:rsidRPr="00D67DE7">
        <w:rPr>
          <w:rFonts w:eastAsia="Times New Roman" w:cs="Times New Roman"/>
          <w:shd w:val="clear" w:color="auto" w:fill="FFFFFF"/>
          <w:lang w:val="en-GB" w:eastAsia="en-GB"/>
        </w:rPr>
        <w:t xml:space="preserve">Given the complex nature of the NDIS, rigorous and holistic </w:t>
      </w:r>
      <w:r>
        <w:rPr>
          <w:rFonts w:eastAsia="Times New Roman" w:cs="Times New Roman"/>
          <w:shd w:val="clear" w:color="auto" w:fill="FFFFFF"/>
          <w:lang w:val="en-GB" w:eastAsia="en-GB"/>
        </w:rPr>
        <w:t>program</w:t>
      </w:r>
      <w:r w:rsidRPr="00D67DE7">
        <w:rPr>
          <w:rFonts w:eastAsia="Times New Roman" w:cs="Times New Roman"/>
          <w:shd w:val="clear" w:color="auto" w:fill="FFFFFF"/>
          <w:lang w:val="en-GB" w:eastAsia="en-GB"/>
        </w:rPr>
        <w:t xml:space="preserve"> management has been an ongoing challenge. This is likely to be a </w:t>
      </w:r>
      <w:r>
        <w:rPr>
          <w:rFonts w:eastAsia="Times New Roman" w:cs="Times New Roman"/>
          <w:shd w:val="clear" w:color="auto" w:fill="FFFFFF"/>
          <w:lang w:val="en-GB" w:eastAsia="en-GB"/>
        </w:rPr>
        <w:t>continuing</w:t>
      </w:r>
      <w:r w:rsidRPr="00D67DE7">
        <w:rPr>
          <w:rFonts w:eastAsia="Times New Roman" w:cs="Times New Roman"/>
          <w:shd w:val="clear" w:color="auto" w:fill="FFFFFF"/>
          <w:lang w:val="en-GB" w:eastAsia="en-GB"/>
        </w:rPr>
        <w:t xml:space="preserve"> challenge </w:t>
      </w:r>
      <w:r>
        <w:rPr>
          <w:rFonts w:eastAsia="Times New Roman" w:cs="Times New Roman"/>
          <w:shd w:val="clear" w:color="auto" w:fill="FFFFFF"/>
          <w:lang w:val="en-GB" w:eastAsia="en-GB"/>
        </w:rPr>
        <w:t>throughout</w:t>
      </w:r>
      <w:r w:rsidRPr="00D67DE7">
        <w:rPr>
          <w:rFonts w:eastAsia="Times New Roman" w:cs="Times New Roman"/>
          <w:shd w:val="clear" w:color="auto" w:fill="FFFFFF"/>
          <w:lang w:val="en-GB" w:eastAsia="en-GB"/>
        </w:rPr>
        <w:t xml:space="preserve"> subsequent release tranches.</w:t>
      </w:r>
      <w:r>
        <w:rPr>
          <w:rFonts w:eastAsia="Times New Roman" w:cs="Times New Roman"/>
          <w:shd w:val="clear" w:color="auto" w:fill="FFFFFF"/>
          <w:lang w:val="en-GB" w:eastAsia="en-GB"/>
        </w:rPr>
        <w:t xml:space="preserve"> There needs to be a strong working relationship</w:t>
      </w:r>
      <w:r w:rsidR="00C3563E">
        <w:rPr>
          <w:rFonts w:eastAsia="Times New Roman" w:cs="Times New Roman"/>
          <w:shd w:val="clear" w:color="auto" w:fill="FFFFFF"/>
          <w:lang w:val="en-GB" w:eastAsia="en-GB"/>
        </w:rPr>
        <w:t>, particularly at a senior level,</w:t>
      </w:r>
      <w:r>
        <w:rPr>
          <w:rFonts w:eastAsia="Times New Roman" w:cs="Times New Roman"/>
          <w:shd w:val="clear" w:color="auto" w:fill="FFFFFF"/>
          <w:lang w:val="en-GB" w:eastAsia="en-GB"/>
        </w:rPr>
        <w:t xml:space="preserve"> between DSS, DHS and NDIA to not only manage outstanding issues related to the Full Scheme ICT Launch but to also manage the ongoing transition to Full Scheme.</w:t>
      </w:r>
    </w:p>
    <w:p w14:paraId="2D6E1541" w14:textId="77777777" w:rsidR="002069B4" w:rsidRPr="007F335F" w:rsidRDefault="002069B4" w:rsidP="002069B4">
      <w:pPr>
        <w:pStyle w:val="BlockText2"/>
        <w:rPr>
          <w:b/>
        </w:rPr>
      </w:pPr>
      <w:r>
        <w:rPr>
          <w:b/>
        </w:rPr>
        <w:t>Recommendation</w:t>
      </w:r>
      <w:r w:rsidRPr="007F335F">
        <w:rPr>
          <w:b/>
        </w:rPr>
        <w:t>:</w:t>
      </w:r>
    </w:p>
    <w:p w14:paraId="73323142" w14:textId="77777777" w:rsidR="002069B4" w:rsidRDefault="002069B4" w:rsidP="002069B4">
      <w:pPr>
        <w:pStyle w:val="BlockText2"/>
        <w:rPr>
          <w:i w:val="0"/>
        </w:rPr>
      </w:pPr>
      <w:r w:rsidRPr="00B3521A">
        <w:rPr>
          <w:i w:val="0"/>
        </w:rPr>
        <w:t xml:space="preserve">Establish a single, integrated plan, a comprehensive, consolidated Program </w:t>
      </w:r>
      <w:r>
        <w:rPr>
          <w:i w:val="0"/>
        </w:rPr>
        <w:t xml:space="preserve">Management Office, </w:t>
      </w:r>
      <w:r w:rsidRPr="00B3521A">
        <w:rPr>
          <w:i w:val="0"/>
        </w:rPr>
        <w:t>key artefacts</w:t>
      </w:r>
      <w:r>
        <w:rPr>
          <w:i w:val="0"/>
        </w:rPr>
        <w:t>,</w:t>
      </w:r>
      <w:r w:rsidRPr="00B3521A">
        <w:rPr>
          <w:i w:val="0"/>
        </w:rPr>
        <w:t xml:space="preserve"> and effective </w:t>
      </w:r>
      <w:r>
        <w:rPr>
          <w:i w:val="0"/>
        </w:rPr>
        <w:t>inter and intra</w:t>
      </w:r>
      <w:r w:rsidRPr="00B3521A">
        <w:rPr>
          <w:i w:val="0"/>
        </w:rPr>
        <w:t>-agency governance</w:t>
      </w:r>
      <w:r>
        <w:rPr>
          <w:i w:val="0"/>
        </w:rPr>
        <w:t xml:space="preserve">. </w:t>
      </w:r>
    </w:p>
    <w:p w14:paraId="6798983A" w14:textId="77777777" w:rsidR="002069B4" w:rsidRDefault="002069B4" w:rsidP="002069B4">
      <w:pPr>
        <w:pStyle w:val="BlockText2"/>
        <w:rPr>
          <w:i w:val="0"/>
        </w:rPr>
      </w:pPr>
      <w:r>
        <w:rPr>
          <w:i w:val="0"/>
        </w:rPr>
        <w:t>Appoint a</w:t>
      </w:r>
      <w:r w:rsidRPr="00B3521A">
        <w:rPr>
          <w:i w:val="0"/>
        </w:rPr>
        <w:t xml:space="preserve"> Senior Responsible Officer as dedicated </w:t>
      </w:r>
      <w:r>
        <w:rPr>
          <w:i w:val="0"/>
        </w:rPr>
        <w:t>p</w:t>
      </w:r>
      <w:r w:rsidRPr="00B3521A">
        <w:rPr>
          <w:i w:val="0"/>
        </w:rPr>
        <w:t xml:space="preserve">rogram </w:t>
      </w:r>
      <w:r>
        <w:rPr>
          <w:i w:val="0"/>
        </w:rPr>
        <w:t>d</w:t>
      </w:r>
      <w:r w:rsidRPr="00B3521A">
        <w:rPr>
          <w:i w:val="0"/>
        </w:rPr>
        <w:t xml:space="preserve">irector </w:t>
      </w:r>
      <w:r>
        <w:rPr>
          <w:i w:val="0"/>
        </w:rPr>
        <w:t>to</w:t>
      </w:r>
      <w:r w:rsidRPr="00B3521A">
        <w:rPr>
          <w:i w:val="0"/>
        </w:rPr>
        <w:t xml:space="preserve"> have day-to-day oversight of th</w:t>
      </w:r>
      <w:r>
        <w:rPr>
          <w:i w:val="0"/>
        </w:rPr>
        <w:t>e Project Management Office and agency governance</w:t>
      </w:r>
      <w:r w:rsidRPr="00B3521A">
        <w:rPr>
          <w:i w:val="0"/>
        </w:rPr>
        <w:t>.</w:t>
      </w:r>
    </w:p>
    <w:p w14:paraId="6414CE99" w14:textId="77777777" w:rsidR="002069B4" w:rsidRDefault="002069B4" w:rsidP="002069B4">
      <w:pPr>
        <w:pStyle w:val="BlockText2"/>
        <w:rPr>
          <w:i w:val="0"/>
        </w:rPr>
      </w:pPr>
      <w:r>
        <w:rPr>
          <w:i w:val="0"/>
        </w:rPr>
        <w:t xml:space="preserve">The Senior Responsible Officer </w:t>
      </w:r>
      <w:r w:rsidRPr="00B3521A">
        <w:rPr>
          <w:i w:val="0"/>
        </w:rPr>
        <w:t xml:space="preserve">should perform </w:t>
      </w:r>
      <w:r>
        <w:rPr>
          <w:i w:val="0"/>
        </w:rPr>
        <w:t>an immediate</w:t>
      </w:r>
      <w:r w:rsidRPr="00B3521A">
        <w:rPr>
          <w:i w:val="0"/>
        </w:rPr>
        <w:t xml:space="preserve"> review of the risks associated with scale</w:t>
      </w:r>
      <w:r>
        <w:rPr>
          <w:i w:val="0"/>
        </w:rPr>
        <w:t>-</w:t>
      </w:r>
      <w:r w:rsidRPr="00B3521A">
        <w:rPr>
          <w:i w:val="0"/>
        </w:rPr>
        <w:t>up</w:t>
      </w:r>
      <w:r>
        <w:rPr>
          <w:i w:val="0"/>
        </w:rPr>
        <w:t>,</w:t>
      </w:r>
      <w:r w:rsidRPr="00B3521A">
        <w:rPr>
          <w:i w:val="0"/>
        </w:rPr>
        <w:t xml:space="preserve"> and initiate a </w:t>
      </w:r>
      <w:r>
        <w:rPr>
          <w:i w:val="0"/>
        </w:rPr>
        <w:t>system</w:t>
      </w:r>
      <w:r w:rsidRPr="00B3521A">
        <w:rPr>
          <w:i w:val="0"/>
        </w:rPr>
        <w:t xml:space="preserve"> of controlled and considered releases of </w:t>
      </w:r>
      <w:r>
        <w:rPr>
          <w:i w:val="0"/>
        </w:rPr>
        <w:t>technology</w:t>
      </w:r>
      <w:r w:rsidRPr="00B3521A">
        <w:rPr>
          <w:i w:val="0"/>
        </w:rPr>
        <w:t xml:space="preserve"> changes and </w:t>
      </w:r>
      <w:r>
        <w:rPr>
          <w:i w:val="0"/>
        </w:rPr>
        <w:t>alignment</w:t>
      </w:r>
      <w:r w:rsidRPr="00B3521A">
        <w:rPr>
          <w:i w:val="0"/>
        </w:rPr>
        <w:t xml:space="preserve"> with policy settings.</w:t>
      </w:r>
      <w:r>
        <w:rPr>
          <w:i w:val="0"/>
        </w:rPr>
        <w:t xml:space="preserve"> Technology changes should only be released at wide intervals in order to promote stability of the overall system. Establish a senior inter-departmental committee to develop a comprehensive strategy to manage all outstanding issues related to the Full Scheme ICT Launch. This committee is to meet twice weekly until issues resolved.</w:t>
      </w:r>
    </w:p>
    <w:p w14:paraId="6CBC392A" w14:textId="0BE9DF7F" w:rsidR="001E1FBA" w:rsidRDefault="001E1FBA" w:rsidP="002069B4">
      <w:pPr>
        <w:pStyle w:val="BlockText2"/>
        <w:rPr>
          <w:i w:val="0"/>
        </w:rPr>
      </w:pPr>
      <w:proofErr w:type="spellStart"/>
      <w:r>
        <w:rPr>
          <w:i w:val="0"/>
        </w:rPr>
        <w:t>Formalise</w:t>
      </w:r>
      <w:proofErr w:type="spellEnd"/>
      <w:r>
        <w:rPr>
          <w:i w:val="0"/>
        </w:rPr>
        <w:t xml:space="preserve"> the overall service delivery agreement between NDIA and DHS to include key performance indicators, milestones, performance requirements (including service rebates) with a particular focus on delivering maximum value, high levels of integration and clear roles and responsibilities. </w:t>
      </w:r>
    </w:p>
    <w:p w14:paraId="0D46A225" w14:textId="77777777" w:rsidR="002069B4" w:rsidRDefault="002069B4" w:rsidP="002069B4">
      <w:pPr>
        <w:pStyle w:val="BlockText2"/>
        <w:rPr>
          <w:i w:val="0"/>
        </w:rPr>
      </w:pPr>
      <w:r>
        <w:rPr>
          <w:i w:val="0"/>
        </w:rPr>
        <w:t>Establish a senior working committee to oversee transition strategy, implementation of the transition strategy, change management activities, parliamentary communications and business transformation. Dedicate a senior executive to maintain appropriate and timely communications with government, in particular the Social Services Minister’s Office. Provider issues to be reported on a daily basis to the Social Services Minister’s Office until resolved.</w:t>
      </w:r>
    </w:p>
    <w:p w14:paraId="69C721C2" w14:textId="77777777" w:rsidR="002069B4" w:rsidRDefault="002069B4" w:rsidP="002069B4">
      <w:pPr>
        <w:spacing w:after="120"/>
        <w:rPr>
          <w:rFonts w:eastAsia="Times New Roman" w:cs="Times New Roman"/>
          <w:shd w:val="clear" w:color="auto" w:fill="FFFFFF"/>
          <w:lang w:val="en-GB" w:eastAsia="en-GB"/>
        </w:rPr>
      </w:pPr>
      <w:r>
        <w:rPr>
          <w:rFonts w:eastAsia="Times New Roman" w:cs="Times New Roman"/>
          <w:b/>
          <w:shd w:val="clear" w:color="auto" w:fill="FFFFFF"/>
          <w:lang w:val="en-GB" w:eastAsia="en-GB"/>
        </w:rPr>
        <w:t xml:space="preserve">Timing: </w:t>
      </w:r>
      <w:r>
        <w:rPr>
          <w:rFonts w:eastAsia="Times New Roman" w:cs="Times New Roman"/>
          <w:shd w:val="clear" w:color="auto" w:fill="FFFFFF"/>
          <w:lang w:val="en-GB" w:eastAsia="en-GB"/>
        </w:rPr>
        <w:t>Immediate, with ongoing review and tracking</w:t>
      </w:r>
    </w:p>
    <w:p w14:paraId="1766F1C9" w14:textId="77777777" w:rsidR="002069B4" w:rsidRDefault="002069B4" w:rsidP="002069B4">
      <w:pPr>
        <w:spacing w:after="120"/>
        <w:rPr>
          <w:rFonts w:eastAsia="Times New Roman" w:cs="Times New Roman"/>
          <w:shd w:val="clear" w:color="auto" w:fill="FFFFFF"/>
          <w:lang w:val="en-GB" w:eastAsia="en-GB"/>
        </w:rPr>
      </w:pPr>
      <w:r>
        <w:rPr>
          <w:rFonts w:eastAsia="Times New Roman" w:cs="Times New Roman"/>
          <w:b/>
          <w:shd w:val="clear" w:color="auto" w:fill="FFFFFF"/>
          <w:lang w:val="en-GB" w:eastAsia="en-GB"/>
        </w:rPr>
        <w:t>Dependencies:</w:t>
      </w:r>
      <w:r>
        <w:rPr>
          <w:rFonts w:eastAsia="Times New Roman" w:cs="Times New Roman"/>
          <w:shd w:val="clear" w:color="auto" w:fill="FFFFFF"/>
          <w:lang w:val="en-GB" w:eastAsia="en-GB"/>
        </w:rPr>
        <w:t xml:space="preserve"> Commencement of </w:t>
      </w:r>
      <w:r w:rsidRPr="002D4484">
        <w:rPr>
          <w:rFonts w:eastAsia="Times New Roman" w:cs="Times New Roman"/>
          <w:i/>
          <w:shd w:val="clear" w:color="auto" w:fill="FFFFFF"/>
          <w:lang w:val="en-GB" w:eastAsia="en-GB"/>
        </w:rPr>
        <w:t>R1. Implement and embed the Service Delivery Operating Model</w:t>
      </w:r>
      <w:r w:rsidRPr="00321EED">
        <w:rPr>
          <w:rFonts w:eastAsia="Times New Roman" w:cs="Times New Roman"/>
          <w:shd w:val="clear" w:color="auto" w:fill="FFFFFF"/>
          <w:lang w:val="en-GB" w:eastAsia="en-GB"/>
        </w:rPr>
        <w:t xml:space="preserve"> </w:t>
      </w:r>
      <w:r>
        <w:rPr>
          <w:rFonts w:eastAsia="Times New Roman" w:cs="Times New Roman"/>
          <w:shd w:val="clear" w:color="auto" w:fill="FFFFFF"/>
          <w:lang w:val="en-GB" w:eastAsia="en-GB"/>
        </w:rPr>
        <w:t>is a pre-requisite.</w:t>
      </w:r>
    </w:p>
    <w:p w14:paraId="63566B7B" w14:textId="54E55029" w:rsidR="000250B9" w:rsidRDefault="000250B9">
      <w:pPr>
        <w:spacing w:line="259" w:lineRule="auto"/>
        <w:rPr>
          <w:rFonts w:eastAsia="Times New Roman" w:cs="Times New Roman"/>
          <w:shd w:val="clear" w:color="auto" w:fill="FFFFFF"/>
          <w:lang w:val="en-GB" w:eastAsia="en-GB"/>
        </w:rPr>
      </w:pPr>
      <w:r>
        <w:rPr>
          <w:rFonts w:eastAsia="Times New Roman" w:cs="Times New Roman"/>
          <w:shd w:val="clear" w:color="auto" w:fill="FFFFFF"/>
          <w:lang w:val="en-GB" w:eastAsia="en-GB"/>
        </w:rPr>
        <w:br w:type="page"/>
      </w:r>
    </w:p>
    <w:p w14:paraId="0566481F" w14:textId="77777777" w:rsidR="002069B4" w:rsidRPr="00842088" w:rsidRDefault="002069B4" w:rsidP="00842088">
      <w:pPr>
        <w:pStyle w:val="Non-numberedHeading2"/>
        <w:rPr>
          <w:sz w:val="24"/>
        </w:rPr>
      </w:pPr>
      <w:bookmarkStart w:id="26" w:name="_Toc460422972"/>
      <w:r w:rsidRPr="00842088">
        <w:rPr>
          <w:sz w:val="24"/>
        </w:rPr>
        <w:lastRenderedPageBreak/>
        <w:t>R3. Monitor payments and service recovery against agreed performance metrics</w:t>
      </w:r>
      <w:bookmarkEnd w:id="26"/>
    </w:p>
    <w:p w14:paraId="3FE97918" w14:textId="421A8640" w:rsidR="002069B4" w:rsidRDefault="00EC0096" w:rsidP="002069B4">
      <w:pPr>
        <w:spacing w:after="120"/>
        <w:rPr>
          <w:rFonts w:eastAsia="Times New Roman" w:cs="Arial"/>
          <w:lang w:val="en-GB" w:eastAsia="en-GB"/>
        </w:rPr>
      </w:pPr>
      <w:r>
        <w:rPr>
          <w:rFonts w:eastAsia="Times New Roman" w:cs="Arial"/>
          <w:lang w:val="en-GB" w:eastAsia="en-GB"/>
        </w:rPr>
        <w:t>P</w:t>
      </w:r>
      <w:r w:rsidR="002069B4">
        <w:rPr>
          <w:rFonts w:eastAsia="Times New Roman" w:cs="Arial"/>
          <w:lang w:val="en-GB" w:eastAsia="en-GB"/>
        </w:rPr>
        <w:t>ayment</w:t>
      </w:r>
      <w:r w:rsidR="002069B4" w:rsidRPr="006F5689">
        <w:rPr>
          <w:rFonts w:eastAsia="Times New Roman" w:cs="Arial"/>
          <w:lang w:val="en-GB" w:eastAsia="en-GB"/>
        </w:rPr>
        <w:t xml:space="preserve"> failures </w:t>
      </w:r>
      <w:r w:rsidR="006F31A4">
        <w:rPr>
          <w:rFonts w:eastAsia="Times New Roman" w:cs="Arial"/>
          <w:lang w:val="en-GB" w:eastAsia="en-GB"/>
        </w:rPr>
        <w:t xml:space="preserve">since 1 July 2016 </w:t>
      </w:r>
      <w:r w:rsidR="002069B4">
        <w:rPr>
          <w:rFonts w:eastAsia="Times New Roman" w:cs="Arial"/>
          <w:lang w:val="en-GB" w:eastAsia="en-GB"/>
        </w:rPr>
        <w:t>ha</w:t>
      </w:r>
      <w:r w:rsidR="00207DD3">
        <w:rPr>
          <w:rFonts w:eastAsia="Times New Roman" w:cs="Arial"/>
          <w:lang w:val="en-GB" w:eastAsia="en-GB"/>
        </w:rPr>
        <w:t>ve</w:t>
      </w:r>
      <w:r w:rsidR="002069B4">
        <w:rPr>
          <w:rFonts w:eastAsia="Times New Roman" w:cs="Arial"/>
          <w:lang w:val="en-GB" w:eastAsia="en-GB"/>
        </w:rPr>
        <w:t xml:space="preserve"> led </w:t>
      </w:r>
      <w:r w:rsidR="002069B4" w:rsidRPr="006F5689">
        <w:rPr>
          <w:rFonts w:eastAsia="Times New Roman" w:cs="Arial"/>
          <w:lang w:val="en-GB" w:eastAsia="en-GB"/>
        </w:rPr>
        <w:t xml:space="preserve">to the lowering or loosening of </w:t>
      </w:r>
      <w:r w:rsidR="002069B4">
        <w:rPr>
          <w:rFonts w:eastAsia="Times New Roman" w:cs="Arial"/>
          <w:lang w:val="en-GB" w:eastAsia="en-GB"/>
        </w:rPr>
        <w:t>payment</w:t>
      </w:r>
      <w:r w:rsidR="002069B4" w:rsidRPr="006F5689">
        <w:rPr>
          <w:rFonts w:eastAsia="Times New Roman" w:cs="Arial"/>
          <w:lang w:val="en-GB" w:eastAsia="en-GB"/>
        </w:rPr>
        <w:t xml:space="preserve"> control</w:t>
      </w:r>
      <w:r w:rsidR="002069B4">
        <w:rPr>
          <w:rFonts w:eastAsia="Times New Roman" w:cs="Arial"/>
          <w:lang w:val="en-GB" w:eastAsia="en-GB"/>
        </w:rPr>
        <w:t>s</w:t>
      </w:r>
      <w:r w:rsidR="002069B4" w:rsidRPr="006F5689">
        <w:rPr>
          <w:rFonts w:eastAsia="Times New Roman" w:cs="Arial"/>
          <w:lang w:val="en-GB" w:eastAsia="en-GB"/>
        </w:rPr>
        <w:t xml:space="preserve"> </w:t>
      </w:r>
      <w:r w:rsidR="002069B4">
        <w:rPr>
          <w:rFonts w:eastAsia="Times New Roman" w:cs="Arial"/>
          <w:lang w:val="en-GB" w:eastAsia="en-GB"/>
        </w:rPr>
        <w:t xml:space="preserve">within the Full Scheme </w:t>
      </w:r>
      <w:r>
        <w:rPr>
          <w:rFonts w:eastAsia="Times New Roman" w:cs="Arial"/>
          <w:lang w:val="en-GB" w:eastAsia="en-GB"/>
        </w:rPr>
        <w:t xml:space="preserve">ICT </w:t>
      </w:r>
      <w:r w:rsidR="002069B4">
        <w:rPr>
          <w:rFonts w:eastAsia="Times New Roman" w:cs="Arial"/>
          <w:lang w:val="en-GB" w:eastAsia="en-GB"/>
        </w:rPr>
        <w:t>solution</w:t>
      </w:r>
      <w:r w:rsidR="002069B4" w:rsidRPr="006F5689">
        <w:rPr>
          <w:rFonts w:eastAsia="Times New Roman" w:cs="Arial"/>
          <w:lang w:val="en-GB" w:eastAsia="en-GB"/>
        </w:rPr>
        <w:t>.</w:t>
      </w:r>
    </w:p>
    <w:p w14:paraId="7AD77185" w14:textId="77777777" w:rsidR="002069B4" w:rsidRPr="007F335F" w:rsidRDefault="002069B4" w:rsidP="002069B4">
      <w:pPr>
        <w:pStyle w:val="BlockText2"/>
        <w:rPr>
          <w:b/>
        </w:rPr>
      </w:pPr>
      <w:r>
        <w:rPr>
          <w:b/>
        </w:rPr>
        <w:t>Recommendation</w:t>
      </w:r>
      <w:r w:rsidRPr="007F335F">
        <w:rPr>
          <w:b/>
        </w:rPr>
        <w:t>:</w:t>
      </w:r>
    </w:p>
    <w:p w14:paraId="362AF96C" w14:textId="77777777" w:rsidR="002069B4" w:rsidRDefault="002069B4" w:rsidP="002069B4">
      <w:pPr>
        <w:pStyle w:val="BlockText2"/>
        <w:rPr>
          <w:i w:val="0"/>
        </w:rPr>
      </w:pPr>
      <w:r>
        <w:rPr>
          <w:i w:val="0"/>
        </w:rPr>
        <w:t>Implement payment performance and service recovery metrics. Metrics should be set and used as key indicators for the NDIA to track payment performance. These reports are to be made available to government on a regular basis.</w:t>
      </w:r>
    </w:p>
    <w:p w14:paraId="29AF72B0" w14:textId="77777777" w:rsidR="002069B4" w:rsidRDefault="002069B4" w:rsidP="002069B4">
      <w:pPr>
        <w:pStyle w:val="BlockText2"/>
        <w:rPr>
          <w:i w:val="0"/>
        </w:rPr>
      </w:pPr>
      <w:r w:rsidRPr="00E64D54">
        <w:rPr>
          <w:i w:val="0"/>
        </w:rPr>
        <w:t xml:space="preserve">Agree a level of </w:t>
      </w:r>
      <w:r>
        <w:rPr>
          <w:i w:val="0"/>
        </w:rPr>
        <w:t>metrics and reporting</w:t>
      </w:r>
      <w:r w:rsidRPr="00E64D54">
        <w:rPr>
          <w:i w:val="0"/>
        </w:rPr>
        <w:t xml:space="preserve"> that balances </w:t>
      </w:r>
      <w:r>
        <w:rPr>
          <w:i w:val="0"/>
        </w:rPr>
        <w:t>compliance</w:t>
      </w:r>
      <w:r w:rsidRPr="00E64D54">
        <w:rPr>
          <w:i w:val="0"/>
        </w:rPr>
        <w:t xml:space="preserve"> against customer frustration a</w:t>
      </w:r>
      <w:r>
        <w:rPr>
          <w:i w:val="0"/>
        </w:rPr>
        <w:t>nd associated reputational risk. Payment performance measures to include volume, value and backlog.</w:t>
      </w:r>
    </w:p>
    <w:p w14:paraId="4ACF843B" w14:textId="65C66B74" w:rsidR="002069B4" w:rsidRDefault="002069B4" w:rsidP="002069B4">
      <w:pPr>
        <w:pStyle w:val="BlockText2"/>
        <w:rPr>
          <w:i w:val="0"/>
        </w:rPr>
      </w:pPr>
      <w:r>
        <w:rPr>
          <w:i w:val="0"/>
        </w:rPr>
        <w:t>E</w:t>
      </w:r>
      <w:r w:rsidRPr="00AA0137">
        <w:rPr>
          <w:i w:val="0"/>
        </w:rPr>
        <w:t>xamine</w:t>
      </w:r>
      <w:r>
        <w:rPr>
          <w:i w:val="0"/>
        </w:rPr>
        <w:t xml:space="preserve"> and address</w:t>
      </w:r>
      <w:r w:rsidRPr="00AA0137">
        <w:rPr>
          <w:i w:val="0"/>
        </w:rPr>
        <w:t xml:space="preserve"> </w:t>
      </w:r>
      <w:r>
        <w:rPr>
          <w:i w:val="0"/>
        </w:rPr>
        <w:t>payment</w:t>
      </w:r>
      <w:r w:rsidRPr="00AA0137">
        <w:rPr>
          <w:i w:val="0"/>
        </w:rPr>
        <w:t xml:space="preserve"> failures </w:t>
      </w:r>
      <w:r w:rsidR="003B354E">
        <w:rPr>
          <w:i w:val="0"/>
        </w:rPr>
        <w:t xml:space="preserve">and </w:t>
      </w:r>
      <w:r>
        <w:rPr>
          <w:i w:val="0"/>
        </w:rPr>
        <w:t>communicate to all stakeholders</w:t>
      </w:r>
      <w:r w:rsidRPr="00F66879">
        <w:rPr>
          <w:i w:val="0"/>
        </w:rPr>
        <w:t xml:space="preserve"> the extent to which </w:t>
      </w:r>
      <w:r>
        <w:rPr>
          <w:i w:val="0"/>
        </w:rPr>
        <w:t>these failures are due to compliance as opposed to process, system or user error.</w:t>
      </w:r>
      <w:r w:rsidR="00D5194D">
        <w:rPr>
          <w:i w:val="0"/>
        </w:rPr>
        <w:t xml:space="preserve"> Protocols should be established for how payment failures issues are communicated to all key stakeholders (including participants, provide</w:t>
      </w:r>
      <w:r w:rsidR="00207DD3">
        <w:rPr>
          <w:i w:val="0"/>
        </w:rPr>
        <w:t>rs, States and Territories, g</w:t>
      </w:r>
      <w:r w:rsidR="00D5194D">
        <w:rPr>
          <w:i w:val="0"/>
        </w:rPr>
        <w:t>overnment and NDIA staff), with a focus on transparency in reporting and communications.</w:t>
      </w:r>
    </w:p>
    <w:p w14:paraId="1610B16A" w14:textId="77777777" w:rsidR="002069B4" w:rsidRDefault="002069B4" w:rsidP="002069B4">
      <w:pPr>
        <w:spacing w:after="120"/>
        <w:rPr>
          <w:rFonts w:eastAsia="Times New Roman" w:cs="Times New Roman"/>
          <w:shd w:val="clear" w:color="auto" w:fill="FFFFFF"/>
          <w:lang w:val="en-GB" w:eastAsia="en-GB"/>
        </w:rPr>
      </w:pPr>
      <w:r>
        <w:rPr>
          <w:rFonts w:eastAsia="Times New Roman" w:cs="Times New Roman"/>
          <w:b/>
          <w:shd w:val="clear" w:color="auto" w:fill="FFFFFF"/>
          <w:lang w:val="en-GB" w:eastAsia="en-GB"/>
        </w:rPr>
        <w:t xml:space="preserve">Timing: </w:t>
      </w:r>
      <w:r>
        <w:rPr>
          <w:rFonts w:eastAsia="Times New Roman" w:cs="Times New Roman"/>
          <w:shd w:val="clear" w:color="auto" w:fill="FFFFFF"/>
          <w:lang w:val="en-GB" w:eastAsia="en-GB"/>
        </w:rPr>
        <w:t>Immediate</w:t>
      </w:r>
    </w:p>
    <w:p w14:paraId="68B4011F" w14:textId="672410DD" w:rsidR="002069B4" w:rsidRDefault="002069B4" w:rsidP="00A11E95">
      <w:pPr>
        <w:spacing w:after="120"/>
        <w:rPr>
          <w:rFonts w:eastAsia="Times New Roman" w:cs="Times New Roman"/>
          <w:shd w:val="clear" w:color="auto" w:fill="FFFFFF"/>
          <w:lang w:val="en-GB" w:eastAsia="en-GB"/>
        </w:rPr>
      </w:pPr>
      <w:r>
        <w:rPr>
          <w:rFonts w:eastAsia="Times New Roman" w:cs="Times New Roman"/>
          <w:b/>
          <w:shd w:val="clear" w:color="auto" w:fill="FFFFFF"/>
          <w:lang w:val="en-GB" w:eastAsia="en-GB"/>
        </w:rPr>
        <w:t>Dependencies:</w:t>
      </w:r>
      <w:r>
        <w:rPr>
          <w:rFonts w:eastAsia="Times New Roman" w:cs="Times New Roman"/>
          <w:shd w:val="clear" w:color="auto" w:fill="FFFFFF"/>
          <w:lang w:val="en-GB" w:eastAsia="en-GB"/>
        </w:rPr>
        <w:t xml:space="preserve"> Commencement of </w:t>
      </w:r>
      <w:r w:rsidRPr="00A317C6">
        <w:rPr>
          <w:rFonts w:eastAsia="Times New Roman" w:cs="Times New Roman"/>
          <w:i/>
          <w:shd w:val="clear" w:color="auto" w:fill="FFFFFF"/>
          <w:lang w:val="en-GB" w:eastAsia="en-GB"/>
        </w:rPr>
        <w:t>R1. Implement and embed the Service Delivery Operating Model</w:t>
      </w:r>
      <w:r w:rsidRPr="00321EED">
        <w:rPr>
          <w:rFonts w:eastAsia="Times New Roman" w:cs="Times New Roman"/>
          <w:shd w:val="clear" w:color="auto" w:fill="FFFFFF"/>
          <w:lang w:val="en-GB" w:eastAsia="en-GB"/>
        </w:rPr>
        <w:t xml:space="preserve"> </w:t>
      </w:r>
      <w:r>
        <w:rPr>
          <w:rFonts w:eastAsia="Times New Roman" w:cs="Times New Roman"/>
          <w:shd w:val="clear" w:color="auto" w:fill="FFFFFF"/>
          <w:lang w:val="en-GB" w:eastAsia="en-GB"/>
        </w:rPr>
        <w:t>is a pre-requisite.</w:t>
      </w:r>
    </w:p>
    <w:p w14:paraId="6DA7D802" w14:textId="77777777" w:rsidR="000250B9" w:rsidRPr="000250B9" w:rsidRDefault="000250B9" w:rsidP="000250B9">
      <w:pPr>
        <w:spacing w:line="259" w:lineRule="auto"/>
        <w:rPr>
          <w:rFonts w:eastAsia="Times New Roman" w:cs="Times New Roman"/>
          <w:shd w:val="clear" w:color="auto" w:fill="FFFFFF"/>
          <w:lang w:val="en-GB" w:eastAsia="en-GB"/>
        </w:rPr>
      </w:pPr>
    </w:p>
    <w:p w14:paraId="5C9BE6D0" w14:textId="77777777" w:rsidR="002069B4" w:rsidRPr="00842088" w:rsidRDefault="002069B4" w:rsidP="00842088">
      <w:pPr>
        <w:pStyle w:val="Non-numberedHeading2"/>
        <w:rPr>
          <w:sz w:val="24"/>
        </w:rPr>
      </w:pPr>
      <w:bookmarkStart w:id="27" w:name="_Toc460422973"/>
      <w:r w:rsidRPr="00842088">
        <w:rPr>
          <w:sz w:val="24"/>
        </w:rPr>
        <w:t>R4. Review the resourcing model for Full Scheme Transition</w:t>
      </w:r>
      <w:bookmarkEnd w:id="27"/>
    </w:p>
    <w:p w14:paraId="63F2B09F" w14:textId="7A54C173" w:rsidR="002069B4" w:rsidRDefault="002069B4" w:rsidP="002069B4">
      <w:pPr>
        <w:spacing w:after="120"/>
        <w:rPr>
          <w:rFonts w:eastAsia="Times New Roman" w:cs="Times New Roman"/>
          <w:shd w:val="clear" w:color="auto" w:fill="FFFFFF"/>
          <w:lang w:val="en-GB" w:eastAsia="en-GB"/>
        </w:rPr>
      </w:pPr>
      <w:r w:rsidRPr="00974F98">
        <w:rPr>
          <w:rFonts w:eastAsia="Times New Roman" w:cs="Times New Roman"/>
          <w:shd w:val="clear" w:color="auto" w:fill="FFFFFF"/>
          <w:lang w:val="en-GB" w:eastAsia="en-GB"/>
        </w:rPr>
        <w:t xml:space="preserve">NDIA </w:t>
      </w:r>
      <w:r>
        <w:rPr>
          <w:rFonts w:eastAsia="Times New Roman" w:cs="Times New Roman"/>
          <w:shd w:val="clear" w:color="auto" w:fill="FFFFFF"/>
          <w:lang w:val="en-GB" w:eastAsia="en-GB"/>
        </w:rPr>
        <w:t>is</w:t>
      </w:r>
      <w:r w:rsidRPr="00974F98">
        <w:rPr>
          <w:rFonts w:eastAsia="Times New Roman" w:cs="Times New Roman"/>
          <w:shd w:val="clear" w:color="auto" w:fill="FFFFFF"/>
          <w:lang w:val="en-GB" w:eastAsia="en-GB"/>
        </w:rPr>
        <w:t xml:space="preserve"> not yet equipped to manage the transition to full scale ramp</w:t>
      </w:r>
      <w:r>
        <w:rPr>
          <w:rFonts w:eastAsia="Times New Roman" w:cs="Times New Roman"/>
          <w:shd w:val="clear" w:color="auto" w:fill="FFFFFF"/>
          <w:lang w:val="en-GB" w:eastAsia="en-GB"/>
        </w:rPr>
        <w:t>-</w:t>
      </w:r>
      <w:r w:rsidRPr="00974F98">
        <w:rPr>
          <w:rFonts w:eastAsia="Times New Roman" w:cs="Times New Roman"/>
          <w:shd w:val="clear" w:color="auto" w:fill="FFFFFF"/>
          <w:lang w:val="en-GB" w:eastAsia="en-GB"/>
        </w:rPr>
        <w:t>up</w:t>
      </w:r>
      <w:r>
        <w:rPr>
          <w:rFonts w:eastAsia="Times New Roman" w:cs="Times New Roman"/>
          <w:shd w:val="clear" w:color="auto" w:fill="FFFFFF"/>
          <w:lang w:val="en-GB" w:eastAsia="en-GB"/>
        </w:rPr>
        <w:t>,</w:t>
      </w:r>
      <w:r w:rsidRPr="00974F98">
        <w:rPr>
          <w:rFonts w:eastAsia="Times New Roman" w:cs="Times New Roman"/>
          <w:shd w:val="clear" w:color="auto" w:fill="FFFFFF"/>
          <w:lang w:val="en-GB" w:eastAsia="en-GB"/>
        </w:rPr>
        <w:t xml:space="preserve"> as evidenced by the </w:t>
      </w:r>
      <w:r>
        <w:rPr>
          <w:rFonts w:eastAsia="Times New Roman" w:cs="Times New Roman"/>
          <w:shd w:val="clear" w:color="auto" w:fill="FFFFFF"/>
          <w:lang w:val="en-GB" w:eastAsia="en-GB"/>
        </w:rPr>
        <w:t>use of external support for the c</w:t>
      </w:r>
      <w:r w:rsidRPr="00974F98">
        <w:rPr>
          <w:rFonts w:eastAsia="Times New Roman" w:cs="Times New Roman"/>
          <w:shd w:val="clear" w:color="auto" w:fill="FFFFFF"/>
          <w:lang w:val="en-GB" w:eastAsia="en-GB"/>
        </w:rPr>
        <w:t>hange effort</w:t>
      </w:r>
      <w:r>
        <w:rPr>
          <w:rFonts w:eastAsia="Times New Roman" w:cs="Times New Roman"/>
          <w:shd w:val="clear" w:color="auto" w:fill="FFFFFF"/>
          <w:lang w:val="en-GB" w:eastAsia="en-GB"/>
        </w:rPr>
        <w:t>,</w:t>
      </w:r>
      <w:r w:rsidRPr="00974F98">
        <w:rPr>
          <w:rFonts w:eastAsia="Times New Roman" w:cs="Times New Roman"/>
          <w:shd w:val="clear" w:color="auto" w:fill="FFFFFF"/>
          <w:lang w:val="en-GB" w:eastAsia="en-GB"/>
        </w:rPr>
        <w:t xml:space="preserve"> and </w:t>
      </w:r>
      <w:r>
        <w:rPr>
          <w:rFonts w:eastAsia="Times New Roman" w:cs="Times New Roman"/>
          <w:shd w:val="clear" w:color="auto" w:fill="FFFFFF"/>
          <w:lang w:val="en-GB" w:eastAsia="en-GB"/>
        </w:rPr>
        <w:t xml:space="preserve">the </w:t>
      </w:r>
      <w:r w:rsidRPr="00974F98">
        <w:rPr>
          <w:rFonts w:eastAsia="Times New Roman" w:cs="Times New Roman"/>
          <w:shd w:val="clear" w:color="auto" w:fill="FFFFFF"/>
          <w:lang w:val="en-GB" w:eastAsia="en-GB"/>
        </w:rPr>
        <w:t xml:space="preserve">movement of employees out of their normal roles into temporary teams for issue resolution. </w:t>
      </w:r>
      <w:r>
        <w:rPr>
          <w:rFonts w:eastAsia="Times New Roman" w:cs="Times New Roman"/>
          <w:shd w:val="clear" w:color="auto" w:fill="FFFFFF"/>
          <w:lang w:val="en-GB" w:eastAsia="en-GB"/>
        </w:rPr>
        <w:t>In addition</w:t>
      </w:r>
      <w:r w:rsidRPr="00974F98">
        <w:rPr>
          <w:rFonts w:eastAsia="Times New Roman" w:cs="Times New Roman"/>
          <w:shd w:val="clear" w:color="auto" w:fill="FFFFFF"/>
          <w:lang w:val="en-GB" w:eastAsia="en-GB"/>
        </w:rPr>
        <w:t xml:space="preserve">, </w:t>
      </w:r>
      <w:r>
        <w:rPr>
          <w:rFonts w:eastAsia="Times New Roman" w:cs="Times New Roman"/>
          <w:shd w:val="clear" w:color="auto" w:fill="FFFFFF"/>
          <w:lang w:val="en-GB" w:eastAsia="en-GB"/>
        </w:rPr>
        <w:t xml:space="preserve">some </w:t>
      </w:r>
      <w:proofErr w:type="gramStart"/>
      <w:r w:rsidRPr="00974F98">
        <w:rPr>
          <w:rFonts w:eastAsia="Times New Roman" w:cs="Times New Roman"/>
          <w:shd w:val="clear" w:color="auto" w:fill="FFFFFF"/>
          <w:lang w:val="en-GB" w:eastAsia="en-GB"/>
        </w:rPr>
        <w:t>accountabilities</w:t>
      </w:r>
      <w:proofErr w:type="gramEnd"/>
      <w:r>
        <w:rPr>
          <w:rFonts w:eastAsia="Times New Roman" w:cs="Times New Roman"/>
          <w:shd w:val="clear" w:color="auto" w:fill="FFFFFF"/>
          <w:lang w:val="en-GB" w:eastAsia="en-GB"/>
        </w:rPr>
        <w:t xml:space="preserve"> are unclear</w:t>
      </w:r>
      <w:r w:rsidRPr="00974F98">
        <w:rPr>
          <w:rFonts w:eastAsia="Times New Roman" w:cs="Times New Roman"/>
          <w:shd w:val="clear" w:color="auto" w:fill="FFFFFF"/>
          <w:lang w:val="en-GB" w:eastAsia="en-GB"/>
        </w:rPr>
        <w:t xml:space="preserve">, </w:t>
      </w:r>
      <w:r>
        <w:rPr>
          <w:rFonts w:eastAsia="Times New Roman" w:cs="Times New Roman"/>
          <w:shd w:val="clear" w:color="auto" w:fill="FFFFFF"/>
          <w:lang w:val="en-GB" w:eastAsia="en-GB"/>
        </w:rPr>
        <w:t>affecting</w:t>
      </w:r>
      <w:r w:rsidRPr="00974F98">
        <w:rPr>
          <w:rFonts w:eastAsia="Times New Roman" w:cs="Times New Roman"/>
          <w:shd w:val="clear" w:color="auto" w:fill="FFFFFF"/>
          <w:lang w:val="en-GB" w:eastAsia="en-GB"/>
        </w:rPr>
        <w:t xml:space="preserve"> overall project governance. The impact of these factors will become more evident as </w:t>
      </w:r>
      <w:r w:rsidR="00207DD3">
        <w:rPr>
          <w:rFonts w:eastAsia="Times New Roman" w:cs="Times New Roman"/>
          <w:shd w:val="clear" w:color="auto" w:fill="FFFFFF"/>
          <w:lang w:val="en-GB" w:eastAsia="en-GB"/>
        </w:rPr>
        <w:t xml:space="preserve">the </w:t>
      </w:r>
      <w:r w:rsidRPr="00974F98">
        <w:rPr>
          <w:rFonts w:eastAsia="Times New Roman" w:cs="Times New Roman"/>
          <w:shd w:val="clear" w:color="auto" w:fill="FFFFFF"/>
          <w:lang w:val="en-GB" w:eastAsia="en-GB"/>
        </w:rPr>
        <w:t>roll</w:t>
      </w:r>
      <w:r>
        <w:rPr>
          <w:rFonts w:eastAsia="Times New Roman" w:cs="Times New Roman"/>
          <w:shd w:val="clear" w:color="auto" w:fill="FFFFFF"/>
          <w:lang w:val="en-GB" w:eastAsia="en-GB"/>
        </w:rPr>
        <w:t>-</w:t>
      </w:r>
      <w:r w:rsidRPr="00974F98">
        <w:rPr>
          <w:rFonts w:eastAsia="Times New Roman" w:cs="Times New Roman"/>
          <w:shd w:val="clear" w:color="auto" w:fill="FFFFFF"/>
          <w:lang w:val="en-GB" w:eastAsia="en-GB"/>
        </w:rPr>
        <w:t xml:space="preserve">out </w:t>
      </w:r>
      <w:r w:rsidR="00207DD3">
        <w:rPr>
          <w:rFonts w:eastAsia="Times New Roman" w:cs="Times New Roman"/>
          <w:shd w:val="clear" w:color="auto" w:fill="FFFFFF"/>
          <w:lang w:val="en-GB" w:eastAsia="en-GB"/>
        </w:rPr>
        <w:t>progresses</w:t>
      </w:r>
      <w:r w:rsidRPr="00974F98">
        <w:rPr>
          <w:rFonts w:eastAsia="Times New Roman" w:cs="Times New Roman"/>
          <w:shd w:val="clear" w:color="auto" w:fill="FFFFFF"/>
          <w:lang w:val="en-GB" w:eastAsia="en-GB"/>
        </w:rPr>
        <w:t>.</w:t>
      </w:r>
    </w:p>
    <w:p w14:paraId="706EB5A6" w14:textId="77777777" w:rsidR="002069B4" w:rsidRPr="001725C2" w:rsidRDefault="002069B4" w:rsidP="002069B4">
      <w:pPr>
        <w:pStyle w:val="BlockText2"/>
        <w:rPr>
          <w:b/>
        </w:rPr>
      </w:pPr>
      <w:r>
        <w:rPr>
          <w:b/>
        </w:rPr>
        <w:t>Recommendation</w:t>
      </w:r>
      <w:r w:rsidRPr="001725C2">
        <w:rPr>
          <w:b/>
        </w:rPr>
        <w:t>:</w:t>
      </w:r>
    </w:p>
    <w:p w14:paraId="623BA51A" w14:textId="77777777" w:rsidR="002069B4" w:rsidRDefault="002069B4" w:rsidP="002069B4">
      <w:pPr>
        <w:pStyle w:val="BlockText2"/>
        <w:rPr>
          <w:i w:val="0"/>
        </w:rPr>
      </w:pPr>
      <w:r>
        <w:rPr>
          <w:i w:val="0"/>
        </w:rPr>
        <w:t>R</w:t>
      </w:r>
      <w:r w:rsidRPr="00984808">
        <w:rPr>
          <w:i w:val="0"/>
        </w:rPr>
        <w:t xml:space="preserve">eview the </w:t>
      </w:r>
      <w:r>
        <w:rPr>
          <w:i w:val="0"/>
        </w:rPr>
        <w:t xml:space="preserve">Full Scheme Transition </w:t>
      </w:r>
      <w:r w:rsidRPr="00984808">
        <w:rPr>
          <w:i w:val="0"/>
        </w:rPr>
        <w:t>resourcing model</w:t>
      </w:r>
      <w:r>
        <w:rPr>
          <w:i w:val="0"/>
        </w:rPr>
        <w:t>,</w:t>
      </w:r>
      <w:r w:rsidRPr="00984808">
        <w:rPr>
          <w:i w:val="0"/>
        </w:rPr>
        <w:t xml:space="preserve"> including key roles and responsibilities, to ensure the NDI</w:t>
      </w:r>
      <w:r>
        <w:rPr>
          <w:i w:val="0"/>
        </w:rPr>
        <w:t>A</w:t>
      </w:r>
      <w:r w:rsidRPr="00984808">
        <w:rPr>
          <w:i w:val="0"/>
        </w:rPr>
        <w:t xml:space="preserve"> has the right people in the right place with clarity of </w:t>
      </w:r>
      <w:r>
        <w:rPr>
          <w:i w:val="0"/>
        </w:rPr>
        <w:t xml:space="preserve">the </w:t>
      </w:r>
      <w:r w:rsidRPr="00984808">
        <w:rPr>
          <w:i w:val="0"/>
        </w:rPr>
        <w:t xml:space="preserve">accountabilities required to achieve successful outcomes. </w:t>
      </w:r>
    </w:p>
    <w:p w14:paraId="2539C3C5" w14:textId="77777777" w:rsidR="002069B4" w:rsidRPr="001725C2" w:rsidRDefault="002069B4" w:rsidP="002069B4">
      <w:pPr>
        <w:pStyle w:val="BlockText2"/>
        <w:rPr>
          <w:i w:val="0"/>
        </w:rPr>
      </w:pPr>
      <w:r w:rsidRPr="00984808">
        <w:rPr>
          <w:i w:val="0"/>
        </w:rPr>
        <w:t>For example, assessment</w:t>
      </w:r>
      <w:r>
        <w:rPr>
          <w:i w:val="0"/>
        </w:rPr>
        <w:t>s to date indicate</w:t>
      </w:r>
      <w:r w:rsidRPr="00984808">
        <w:rPr>
          <w:i w:val="0"/>
        </w:rPr>
        <w:t xml:space="preserve"> the need for a stronger emphasis on tailored and effective </w:t>
      </w:r>
      <w:r>
        <w:rPr>
          <w:i w:val="0"/>
        </w:rPr>
        <w:t>t</w:t>
      </w:r>
      <w:r w:rsidRPr="00984808">
        <w:rPr>
          <w:i w:val="0"/>
        </w:rPr>
        <w:t xml:space="preserve">ransition, </w:t>
      </w:r>
      <w:r>
        <w:rPr>
          <w:i w:val="0"/>
        </w:rPr>
        <w:t>c</w:t>
      </w:r>
      <w:r w:rsidRPr="00984808">
        <w:rPr>
          <w:i w:val="0"/>
        </w:rPr>
        <w:t xml:space="preserve">hange and </w:t>
      </w:r>
      <w:r>
        <w:rPr>
          <w:i w:val="0"/>
        </w:rPr>
        <w:t>s</w:t>
      </w:r>
      <w:r w:rsidRPr="00984808">
        <w:rPr>
          <w:i w:val="0"/>
        </w:rPr>
        <w:t xml:space="preserve">takeholder </w:t>
      </w:r>
      <w:r>
        <w:rPr>
          <w:i w:val="0"/>
        </w:rPr>
        <w:t>m</w:t>
      </w:r>
      <w:r w:rsidRPr="00984808">
        <w:rPr>
          <w:i w:val="0"/>
        </w:rPr>
        <w:t>anagement</w:t>
      </w:r>
      <w:r>
        <w:rPr>
          <w:i w:val="0"/>
        </w:rPr>
        <w:t>.</w:t>
      </w:r>
      <w:r w:rsidRPr="00984808">
        <w:rPr>
          <w:i w:val="0"/>
        </w:rPr>
        <w:t xml:space="preserve"> </w:t>
      </w:r>
      <w:r>
        <w:rPr>
          <w:i w:val="0"/>
        </w:rPr>
        <w:t>A</w:t>
      </w:r>
      <w:r w:rsidRPr="00984808">
        <w:rPr>
          <w:i w:val="0"/>
        </w:rPr>
        <w:t>n appropriate resource assessment may uncover the need for dedicated</w:t>
      </w:r>
      <w:r>
        <w:rPr>
          <w:i w:val="0"/>
        </w:rPr>
        <w:t xml:space="preserve"> </w:t>
      </w:r>
      <w:r w:rsidRPr="00984808">
        <w:rPr>
          <w:i w:val="0"/>
        </w:rPr>
        <w:t>and more broadly accountable</w:t>
      </w:r>
      <w:r>
        <w:rPr>
          <w:i w:val="0"/>
        </w:rPr>
        <w:t xml:space="preserve"> senior </w:t>
      </w:r>
      <w:r w:rsidRPr="00984808">
        <w:rPr>
          <w:i w:val="0"/>
        </w:rPr>
        <w:t>Transition Management, Data Integrity Management, Change Management and Stakeholder Management roles.</w:t>
      </w:r>
    </w:p>
    <w:p w14:paraId="34181091" w14:textId="77777777" w:rsidR="002069B4" w:rsidRPr="006F5B0D" w:rsidRDefault="002069B4" w:rsidP="002069B4">
      <w:pPr>
        <w:spacing w:after="120"/>
        <w:rPr>
          <w:rFonts w:eastAsia="Times New Roman" w:cs="Times New Roman"/>
          <w:shd w:val="clear" w:color="auto" w:fill="FFFFFF"/>
          <w:lang w:val="en-GB" w:eastAsia="en-GB"/>
        </w:rPr>
      </w:pPr>
      <w:r>
        <w:rPr>
          <w:rFonts w:eastAsia="Times New Roman" w:cs="Times New Roman"/>
          <w:b/>
          <w:shd w:val="clear" w:color="auto" w:fill="FFFFFF"/>
          <w:lang w:val="en-GB" w:eastAsia="en-GB"/>
        </w:rPr>
        <w:t xml:space="preserve">Timing: </w:t>
      </w:r>
      <w:r>
        <w:rPr>
          <w:rFonts w:eastAsia="Times New Roman" w:cs="Times New Roman"/>
          <w:shd w:val="clear" w:color="auto" w:fill="FFFFFF"/>
          <w:lang w:val="en-GB" w:eastAsia="en-GB"/>
        </w:rPr>
        <w:t>Immediate and at regular intervals during ramp-up</w:t>
      </w:r>
    </w:p>
    <w:p w14:paraId="1A4066C4" w14:textId="77777777" w:rsidR="002069B4" w:rsidRDefault="002069B4" w:rsidP="002069B4">
      <w:pPr>
        <w:spacing w:after="120"/>
        <w:rPr>
          <w:rFonts w:eastAsia="Times New Roman" w:cs="Times New Roman"/>
          <w:shd w:val="clear" w:color="auto" w:fill="FFFFFF"/>
          <w:lang w:val="en-GB" w:eastAsia="en-GB"/>
        </w:rPr>
      </w:pPr>
      <w:r>
        <w:rPr>
          <w:rFonts w:eastAsia="Times New Roman" w:cs="Times New Roman"/>
          <w:b/>
          <w:shd w:val="clear" w:color="auto" w:fill="FFFFFF"/>
          <w:lang w:val="en-GB" w:eastAsia="en-GB"/>
        </w:rPr>
        <w:t>Dependencies:</w:t>
      </w:r>
      <w:r>
        <w:rPr>
          <w:rFonts w:eastAsia="Times New Roman" w:cs="Times New Roman"/>
          <w:shd w:val="clear" w:color="auto" w:fill="FFFFFF"/>
          <w:lang w:val="en-GB" w:eastAsia="en-GB"/>
        </w:rPr>
        <w:t xml:space="preserve"> Commencement of </w:t>
      </w:r>
      <w:r w:rsidRPr="00A317C6">
        <w:rPr>
          <w:rFonts w:eastAsia="Times New Roman" w:cs="Times New Roman"/>
          <w:i/>
          <w:shd w:val="clear" w:color="auto" w:fill="FFFFFF"/>
          <w:lang w:val="en-GB" w:eastAsia="en-GB"/>
        </w:rPr>
        <w:t>R1. Implement and embed the Service Delivery Operating Model</w:t>
      </w:r>
      <w:r w:rsidRPr="00321EED">
        <w:rPr>
          <w:rFonts w:eastAsia="Times New Roman" w:cs="Times New Roman"/>
          <w:shd w:val="clear" w:color="auto" w:fill="FFFFFF"/>
          <w:lang w:val="en-GB" w:eastAsia="en-GB"/>
        </w:rPr>
        <w:t xml:space="preserve"> </w:t>
      </w:r>
      <w:r>
        <w:rPr>
          <w:rFonts w:eastAsia="Times New Roman" w:cs="Times New Roman"/>
          <w:shd w:val="clear" w:color="auto" w:fill="FFFFFF"/>
          <w:lang w:val="en-GB" w:eastAsia="en-GB"/>
        </w:rPr>
        <w:t>is a pre-requisite.</w:t>
      </w:r>
    </w:p>
    <w:p w14:paraId="33B329BF" w14:textId="5B16A9E1" w:rsidR="000250B9" w:rsidRDefault="000250B9">
      <w:pPr>
        <w:spacing w:line="259" w:lineRule="auto"/>
        <w:rPr>
          <w:rFonts w:eastAsia="Times New Roman" w:cs="Times New Roman"/>
          <w:shd w:val="clear" w:color="auto" w:fill="FFFFFF"/>
          <w:lang w:val="en-GB" w:eastAsia="en-GB"/>
        </w:rPr>
      </w:pPr>
      <w:r>
        <w:rPr>
          <w:rFonts w:eastAsia="Times New Roman" w:cs="Times New Roman"/>
          <w:shd w:val="clear" w:color="auto" w:fill="FFFFFF"/>
          <w:lang w:val="en-GB" w:eastAsia="en-GB"/>
        </w:rPr>
        <w:br w:type="page"/>
      </w:r>
    </w:p>
    <w:p w14:paraId="7B55553B" w14:textId="77777777" w:rsidR="002069B4" w:rsidRPr="00842088" w:rsidRDefault="002069B4" w:rsidP="00842088">
      <w:pPr>
        <w:pStyle w:val="Non-numberedHeading2"/>
        <w:rPr>
          <w:sz w:val="24"/>
        </w:rPr>
      </w:pPr>
      <w:bookmarkStart w:id="28" w:name="_Toc460422974"/>
      <w:r w:rsidRPr="00842088">
        <w:rPr>
          <w:sz w:val="24"/>
        </w:rPr>
        <w:lastRenderedPageBreak/>
        <w:t>R5. Undertake a comprehensive Stakeholder and Change Impact Assessment</w:t>
      </w:r>
      <w:bookmarkEnd w:id="28"/>
    </w:p>
    <w:p w14:paraId="13B3B844" w14:textId="4E0C8AD6" w:rsidR="002069B4" w:rsidRDefault="002069B4" w:rsidP="002069B4">
      <w:pPr>
        <w:spacing w:after="120"/>
        <w:rPr>
          <w:rFonts w:eastAsia="Times New Roman" w:cs="Times New Roman"/>
          <w:shd w:val="clear" w:color="auto" w:fill="FFFFFF"/>
          <w:lang w:val="en-GB" w:eastAsia="en-GB"/>
        </w:rPr>
      </w:pPr>
      <w:r w:rsidRPr="00D67DE7">
        <w:rPr>
          <w:rFonts w:eastAsia="Times New Roman" w:cs="Times New Roman"/>
          <w:shd w:val="clear" w:color="auto" w:fill="FFFFFF"/>
          <w:lang w:val="en-GB" w:eastAsia="en-GB"/>
        </w:rPr>
        <w:t xml:space="preserve">The Stakeholder and Change Impact Assessments did not </w:t>
      </w:r>
      <w:r>
        <w:rPr>
          <w:rFonts w:eastAsia="Times New Roman" w:cs="Times New Roman"/>
          <w:shd w:val="clear" w:color="auto" w:fill="FFFFFF"/>
          <w:lang w:val="en-GB" w:eastAsia="en-GB"/>
        </w:rPr>
        <w:t>examine in</w:t>
      </w:r>
      <w:r w:rsidRPr="00D67DE7">
        <w:rPr>
          <w:rFonts w:eastAsia="Times New Roman" w:cs="Times New Roman"/>
          <w:shd w:val="clear" w:color="auto" w:fill="FFFFFF"/>
          <w:lang w:val="en-GB" w:eastAsia="en-GB"/>
        </w:rPr>
        <w:t xml:space="preserve"> sufficient detail th</w:t>
      </w:r>
      <w:r w:rsidR="00151061">
        <w:rPr>
          <w:rFonts w:eastAsia="Times New Roman" w:cs="Times New Roman"/>
          <w:shd w:val="clear" w:color="auto" w:fill="FFFFFF"/>
          <w:lang w:val="en-GB" w:eastAsia="en-GB"/>
        </w:rPr>
        <w:t xml:space="preserve">e different types of providers and </w:t>
      </w:r>
      <w:r w:rsidRPr="00D67DE7">
        <w:rPr>
          <w:rFonts w:eastAsia="Times New Roman" w:cs="Times New Roman"/>
          <w:shd w:val="clear" w:color="auto" w:fill="FFFFFF"/>
          <w:lang w:val="en-GB" w:eastAsia="en-GB"/>
        </w:rPr>
        <w:t xml:space="preserve">participants, nor </w:t>
      </w:r>
      <w:r>
        <w:rPr>
          <w:rFonts w:eastAsia="Times New Roman" w:cs="Times New Roman"/>
          <w:shd w:val="clear" w:color="auto" w:fill="FFFFFF"/>
          <w:lang w:val="en-GB" w:eastAsia="en-GB"/>
        </w:rPr>
        <w:t xml:space="preserve">connect strongly enough to </w:t>
      </w:r>
      <w:r w:rsidRPr="00D67DE7">
        <w:rPr>
          <w:rFonts w:eastAsia="Times New Roman" w:cs="Times New Roman"/>
          <w:shd w:val="clear" w:color="auto" w:fill="FFFFFF"/>
          <w:lang w:val="en-GB" w:eastAsia="en-GB"/>
        </w:rPr>
        <w:t>the broader changes felt by these different groups (e</w:t>
      </w:r>
      <w:r>
        <w:rPr>
          <w:rFonts w:eastAsia="Times New Roman" w:cs="Times New Roman"/>
          <w:shd w:val="clear" w:color="auto" w:fill="FFFFFF"/>
          <w:lang w:val="en-GB" w:eastAsia="en-GB"/>
        </w:rPr>
        <w:t>.</w:t>
      </w:r>
      <w:r w:rsidRPr="00D67DE7">
        <w:rPr>
          <w:rFonts w:eastAsia="Times New Roman" w:cs="Times New Roman"/>
          <w:shd w:val="clear" w:color="auto" w:fill="FFFFFF"/>
          <w:lang w:val="en-GB" w:eastAsia="en-GB"/>
        </w:rPr>
        <w:t xml:space="preserve">g. mind-set, behaviour and business model changes, not just ICT process changes). Given this, the needs of certain groups were not factored into the system design or </w:t>
      </w:r>
      <w:r>
        <w:rPr>
          <w:rFonts w:eastAsia="Times New Roman" w:cs="Times New Roman"/>
          <w:shd w:val="clear" w:color="auto" w:fill="FFFFFF"/>
          <w:lang w:val="en-GB" w:eastAsia="en-GB"/>
        </w:rPr>
        <w:t>c</w:t>
      </w:r>
      <w:r w:rsidRPr="00D67DE7">
        <w:rPr>
          <w:rFonts w:eastAsia="Times New Roman" w:cs="Times New Roman"/>
          <w:shd w:val="clear" w:color="auto" w:fill="FFFFFF"/>
          <w:lang w:val="en-GB" w:eastAsia="en-GB"/>
        </w:rPr>
        <w:t xml:space="preserve">hange </w:t>
      </w:r>
      <w:r>
        <w:rPr>
          <w:rFonts w:eastAsia="Times New Roman" w:cs="Times New Roman"/>
          <w:shd w:val="clear" w:color="auto" w:fill="FFFFFF"/>
          <w:lang w:val="en-GB" w:eastAsia="en-GB"/>
        </w:rPr>
        <w:t>m</w:t>
      </w:r>
      <w:r w:rsidRPr="00D67DE7">
        <w:rPr>
          <w:rFonts w:eastAsia="Times New Roman" w:cs="Times New Roman"/>
          <w:shd w:val="clear" w:color="auto" w:fill="FFFFFF"/>
          <w:lang w:val="en-GB" w:eastAsia="en-GB"/>
        </w:rPr>
        <w:t>anagement approach</w:t>
      </w:r>
      <w:r>
        <w:rPr>
          <w:rFonts w:eastAsia="Times New Roman" w:cs="Times New Roman"/>
          <w:shd w:val="clear" w:color="auto" w:fill="FFFFFF"/>
          <w:lang w:val="en-GB" w:eastAsia="en-GB"/>
        </w:rPr>
        <w:t>.</w:t>
      </w:r>
      <w:r w:rsidRPr="00D67DE7">
        <w:rPr>
          <w:rFonts w:eastAsia="Times New Roman" w:cs="Times New Roman"/>
          <w:shd w:val="clear" w:color="auto" w:fill="FFFFFF"/>
          <w:lang w:val="en-GB" w:eastAsia="en-GB"/>
        </w:rPr>
        <w:t xml:space="preserve"> </w:t>
      </w:r>
      <w:r>
        <w:rPr>
          <w:rFonts w:eastAsia="Times New Roman" w:cs="Times New Roman"/>
          <w:shd w:val="clear" w:color="auto" w:fill="FFFFFF"/>
          <w:lang w:val="en-GB" w:eastAsia="en-GB"/>
        </w:rPr>
        <w:t>T</w:t>
      </w:r>
      <w:r w:rsidRPr="00D67DE7">
        <w:rPr>
          <w:rFonts w:eastAsia="Times New Roman" w:cs="Times New Roman"/>
          <w:shd w:val="clear" w:color="auto" w:fill="FFFFFF"/>
          <w:lang w:val="en-GB" w:eastAsia="en-GB"/>
        </w:rPr>
        <w:t xml:space="preserve">his will continue to </w:t>
      </w:r>
      <w:r>
        <w:rPr>
          <w:rFonts w:eastAsia="Times New Roman" w:cs="Times New Roman"/>
          <w:shd w:val="clear" w:color="auto" w:fill="FFFFFF"/>
          <w:lang w:val="en-GB" w:eastAsia="en-GB"/>
        </w:rPr>
        <w:t>affect</w:t>
      </w:r>
      <w:r w:rsidRPr="00D67DE7">
        <w:rPr>
          <w:rFonts w:eastAsia="Times New Roman" w:cs="Times New Roman"/>
          <w:shd w:val="clear" w:color="auto" w:fill="FFFFFF"/>
          <w:lang w:val="en-GB" w:eastAsia="en-GB"/>
        </w:rPr>
        <w:t xml:space="preserve"> the </w:t>
      </w:r>
      <w:r>
        <w:rPr>
          <w:rFonts w:eastAsia="Times New Roman" w:cs="Times New Roman"/>
          <w:shd w:val="clear" w:color="auto" w:fill="FFFFFF"/>
          <w:lang w:val="en-GB" w:eastAsia="en-GB"/>
        </w:rPr>
        <w:t>adoption</w:t>
      </w:r>
      <w:r w:rsidRPr="00D67DE7">
        <w:rPr>
          <w:rFonts w:eastAsia="Times New Roman" w:cs="Times New Roman"/>
          <w:shd w:val="clear" w:color="auto" w:fill="FFFFFF"/>
          <w:lang w:val="en-GB" w:eastAsia="en-GB"/>
        </w:rPr>
        <w:t xml:space="preserve"> of the </w:t>
      </w:r>
      <w:r>
        <w:rPr>
          <w:rFonts w:eastAsia="Times New Roman" w:cs="Times New Roman"/>
          <w:shd w:val="clear" w:color="auto" w:fill="FFFFFF"/>
          <w:lang w:val="en-GB" w:eastAsia="en-GB"/>
        </w:rPr>
        <w:t>ICT solution</w:t>
      </w:r>
      <w:r w:rsidRPr="00D67DE7">
        <w:rPr>
          <w:rFonts w:eastAsia="Times New Roman" w:cs="Times New Roman"/>
          <w:shd w:val="clear" w:color="auto" w:fill="FFFFFF"/>
          <w:lang w:val="en-GB" w:eastAsia="en-GB"/>
        </w:rPr>
        <w:t>.</w:t>
      </w:r>
    </w:p>
    <w:p w14:paraId="70B0B7AE" w14:textId="77777777" w:rsidR="002069B4" w:rsidRPr="001725C2" w:rsidRDefault="002069B4" w:rsidP="002069B4">
      <w:pPr>
        <w:pStyle w:val="BlockText2"/>
        <w:rPr>
          <w:b/>
        </w:rPr>
      </w:pPr>
      <w:r>
        <w:rPr>
          <w:b/>
        </w:rPr>
        <w:t>Recommendation</w:t>
      </w:r>
      <w:r w:rsidRPr="001725C2">
        <w:rPr>
          <w:b/>
        </w:rPr>
        <w:t>:</w:t>
      </w:r>
    </w:p>
    <w:p w14:paraId="46838A24" w14:textId="27ABC0CD" w:rsidR="002069B4" w:rsidRPr="001725C2" w:rsidRDefault="002069B4" w:rsidP="002069B4">
      <w:pPr>
        <w:pStyle w:val="BlockText2"/>
        <w:rPr>
          <w:i w:val="0"/>
        </w:rPr>
      </w:pPr>
      <w:r w:rsidRPr="00D67DE7">
        <w:rPr>
          <w:i w:val="0"/>
        </w:rPr>
        <w:t>Conduct a thorough Stakeholder Assessment/ Change Impact Assessm</w:t>
      </w:r>
      <w:r w:rsidR="00151061">
        <w:rPr>
          <w:i w:val="0"/>
        </w:rPr>
        <w:t>ent for the system and broader S</w:t>
      </w:r>
      <w:r w:rsidRPr="00D67DE7">
        <w:rPr>
          <w:i w:val="0"/>
        </w:rPr>
        <w:t xml:space="preserve">cheme in order to fully </w:t>
      </w:r>
      <w:r>
        <w:rPr>
          <w:i w:val="0"/>
        </w:rPr>
        <w:t>understand</w:t>
      </w:r>
      <w:r w:rsidRPr="00D67DE7">
        <w:rPr>
          <w:i w:val="0"/>
        </w:rPr>
        <w:t xml:space="preserve"> needs. This assessment should include consideration of factors such as level of dependency, geographical location </w:t>
      </w:r>
      <w:r>
        <w:rPr>
          <w:i w:val="0"/>
        </w:rPr>
        <w:t xml:space="preserve">and </w:t>
      </w:r>
      <w:r w:rsidRPr="00D67DE7">
        <w:rPr>
          <w:i w:val="0"/>
        </w:rPr>
        <w:t>service type</w:t>
      </w:r>
      <w:r>
        <w:rPr>
          <w:i w:val="0"/>
        </w:rPr>
        <w:t>,</w:t>
      </w:r>
      <w:r w:rsidRPr="00D67DE7">
        <w:rPr>
          <w:i w:val="0"/>
        </w:rPr>
        <w:t xml:space="preserve"> and all risks, issues, actions and dependencies should be tracked over time.</w:t>
      </w:r>
    </w:p>
    <w:p w14:paraId="3F5771B4" w14:textId="77777777" w:rsidR="002069B4" w:rsidRDefault="002069B4" w:rsidP="002069B4">
      <w:pPr>
        <w:spacing w:after="120"/>
        <w:rPr>
          <w:rFonts w:eastAsia="Times New Roman" w:cs="Times New Roman"/>
          <w:shd w:val="clear" w:color="auto" w:fill="FFFFFF"/>
          <w:lang w:val="en-GB" w:eastAsia="en-GB"/>
        </w:rPr>
      </w:pPr>
      <w:r>
        <w:rPr>
          <w:rFonts w:eastAsia="Times New Roman" w:cs="Times New Roman"/>
          <w:b/>
          <w:shd w:val="clear" w:color="auto" w:fill="FFFFFF"/>
          <w:lang w:val="en-GB" w:eastAsia="en-GB"/>
        </w:rPr>
        <w:t xml:space="preserve">Timing: </w:t>
      </w:r>
      <w:r>
        <w:rPr>
          <w:rFonts w:eastAsia="Times New Roman" w:cs="Times New Roman"/>
          <w:shd w:val="clear" w:color="auto" w:fill="FFFFFF"/>
          <w:lang w:val="en-GB" w:eastAsia="en-GB"/>
        </w:rPr>
        <w:t>As soon as any new change resources are in place</w:t>
      </w:r>
    </w:p>
    <w:p w14:paraId="18B1CC14" w14:textId="77777777" w:rsidR="002069B4" w:rsidRPr="00892C6E" w:rsidRDefault="002069B4" w:rsidP="002069B4">
      <w:pPr>
        <w:spacing w:after="120"/>
        <w:rPr>
          <w:rFonts w:eastAsia="Times New Roman" w:cs="Times New Roman"/>
          <w:b/>
          <w:color w:val="821A1A" w:themeColor="accent1"/>
          <w:sz w:val="24"/>
          <w:shd w:val="clear" w:color="auto" w:fill="FFFFFF"/>
          <w:lang w:val="en-GB" w:eastAsia="en-GB"/>
        </w:rPr>
      </w:pPr>
      <w:r>
        <w:rPr>
          <w:rFonts w:eastAsia="Times New Roman" w:cs="Times New Roman"/>
          <w:b/>
          <w:shd w:val="clear" w:color="auto" w:fill="FFFFFF"/>
          <w:lang w:val="en-GB" w:eastAsia="en-GB"/>
        </w:rPr>
        <w:t>Dependencies:</w:t>
      </w:r>
      <w:r>
        <w:rPr>
          <w:rFonts w:eastAsia="Times New Roman" w:cs="Times New Roman"/>
          <w:shd w:val="clear" w:color="auto" w:fill="FFFFFF"/>
          <w:lang w:val="en-GB" w:eastAsia="en-GB"/>
        </w:rPr>
        <w:t xml:space="preserve"> A prerequisite for </w:t>
      </w:r>
      <w:r w:rsidRPr="00892C6E">
        <w:rPr>
          <w:rFonts w:eastAsia="Times New Roman" w:cs="Times New Roman"/>
          <w:i/>
          <w:shd w:val="clear" w:color="auto" w:fill="FFFFFF"/>
          <w:lang w:val="en-GB" w:eastAsia="en-GB"/>
        </w:rPr>
        <w:t>R6. Tailor and measure the Change Management approach</w:t>
      </w:r>
      <w:r>
        <w:rPr>
          <w:rFonts w:eastAsia="Times New Roman" w:cs="Times New Roman"/>
          <w:shd w:val="clear" w:color="auto" w:fill="FFFFFF"/>
          <w:lang w:val="en-GB" w:eastAsia="en-GB"/>
        </w:rPr>
        <w:t xml:space="preserve">. </w:t>
      </w:r>
      <w:proofErr w:type="gramStart"/>
      <w:r>
        <w:rPr>
          <w:rFonts w:eastAsia="Times New Roman" w:cs="Times New Roman"/>
          <w:shd w:val="clear" w:color="auto" w:fill="FFFFFF"/>
          <w:lang w:val="en-GB" w:eastAsia="en-GB"/>
        </w:rPr>
        <w:t xml:space="preserve">Commencement of </w:t>
      </w:r>
      <w:r w:rsidRPr="00A317C6">
        <w:rPr>
          <w:rFonts w:eastAsia="Times New Roman" w:cs="Times New Roman"/>
          <w:i/>
          <w:shd w:val="clear" w:color="auto" w:fill="FFFFFF"/>
          <w:lang w:val="en-GB" w:eastAsia="en-GB"/>
        </w:rPr>
        <w:t>R1.</w:t>
      </w:r>
      <w:proofErr w:type="gramEnd"/>
      <w:r w:rsidRPr="00A317C6">
        <w:rPr>
          <w:rFonts w:eastAsia="Times New Roman" w:cs="Times New Roman"/>
          <w:i/>
          <w:shd w:val="clear" w:color="auto" w:fill="FFFFFF"/>
          <w:lang w:val="en-GB" w:eastAsia="en-GB"/>
        </w:rPr>
        <w:t xml:space="preserve"> Implement and embed the Service Delivery Operating Model</w:t>
      </w:r>
      <w:r>
        <w:rPr>
          <w:rFonts w:eastAsia="Times New Roman" w:cs="Times New Roman"/>
          <w:i/>
          <w:shd w:val="clear" w:color="auto" w:fill="FFFFFF"/>
          <w:lang w:val="en-GB" w:eastAsia="en-GB"/>
        </w:rPr>
        <w:t xml:space="preserve"> </w:t>
      </w:r>
      <w:r>
        <w:rPr>
          <w:rFonts w:eastAsia="Times New Roman" w:cs="Times New Roman"/>
          <w:shd w:val="clear" w:color="auto" w:fill="FFFFFF"/>
          <w:lang w:val="en-GB" w:eastAsia="en-GB"/>
        </w:rPr>
        <w:t>is a pre-requisite</w:t>
      </w:r>
      <w:r>
        <w:rPr>
          <w:rFonts w:eastAsia="Times New Roman" w:cs="Times New Roman"/>
          <w:i/>
          <w:shd w:val="clear" w:color="auto" w:fill="FFFFFF"/>
          <w:lang w:val="en-GB" w:eastAsia="en-GB"/>
        </w:rPr>
        <w:t>.</w:t>
      </w:r>
    </w:p>
    <w:p w14:paraId="1F10E59D" w14:textId="3C654EF4" w:rsidR="002069B4" w:rsidRPr="000250B9" w:rsidRDefault="002069B4" w:rsidP="002069B4">
      <w:pPr>
        <w:spacing w:line="259" w:lineRule="auto"/>
        <w:rPr>
          <w:rFonts w:eastAsia="Times New Roman" w:cs="Times New Roman"/>
          <w:shd w:val="clear" w:color="auto" w:fill="FFFFFF"/>
          <w:lang w:val="en-GB" w:eastAsia="en-GB"/>
        </w:rPr>
      </w:pPr>
    </w:p>
    <w:p w14:paraId="66456E35" w14:textId="77777777" w:rsidR="002069B4" w:rsidRPr="00842088" w:rsidRDefault="002069B4" w:rsidP="00842088">
      <w:pPr>
        <w:pStyle w:val="Non-numberedHeading2"/>
        <w:rPr>
          <w:sz w:val="24"/>
        </w:rPr>
      </w:pPr>
      <w:bookmarkStart w:id="29" w:name="_Toc460422975"/>
      <w:r w:rsidRPr="00842088">
        <w:rPr>
          <w:sz w:val="24"/>
        </w:rPr>
        <w:t>R6. Tailor and measure the Change Management approach</w:t>
      </w:r>
      <w:bookmarkEnd w:id="29"/>
    </w:p>
    <w:p w14:paraId="10A1CD9C" w14:textId="77777777" w:rsidR="002069B4" w:rsidRDefault="002069B4" w:rsidP="002069B4">
      <w:pPr>
        <w:spacing w:after="120"/>
        <w:rPr>
          <w:rFonts w:eastAsia="Times New Roman" w:cs="Times New Roman"/>
          <w:shd w:val="clear" w:color="auto" w:fill="FFFFFF"/>
          <w:lang w:val="en-GB" w:eastAsia="en-GB"/>
        </w:rPr>
      </w:pPr>
      <w:r w:rsidRPr="00D67DE7">
        <w:rPr>
          <w:rFonts w:eastAsia="Times New Roman" w:cs="Times New Roman"/>
          <w:shd w:val="clear" w:color="auto" w:fill="FFFFFF"/>
          <w:lang w:val="en-GB" w:eastAsia="en-GB"/>
        </w:rPr>
        <w:t>Some stakeholders are struggling with the ICT and broader NDIS changes</w:t>
      </w:r>
      <w:r>
        <w:rPr>
          <w:rFonts w:eastAsia="Times New Roman" w:cs="Times New Roman"/>
          <w:shd w:val="clear" w:color="auto" w:fill="FFFFFF"/>
          <w:lang w:val="en-GB" w:eastAsia="en-GB"/>
        </w:rPr>
        <w:t>. One of the key drivers of this is that</w:t>
      </w:r>
      <w:r w:rsidRPr="00D67DE7">
        <w:rPr>
          <w:rFonts w:eastAsia="Times New Roman" w:cs="Times New Roman"/>
          <w:shd w:val="clear" w:color="auto" w:fill="FFFFFF"/>
          <w:lang w:val="en-GB" w:eastAsia="en-GB"/>
        </w:rPr>
        <w:t xml:space="preserve"> the approach to </w:t>
      </w:r>
      <w:r>
        <w:rPr>
          <w:rFonts w:eastAsia="Times New Roman" w:cs="Times New Roman"/>
          <w:shd w:val="clear" w:color="auto" w:fill="FFFFFF"/>
          <w:lang w:val="en-GB" w:eastAsia="en-GB"/>
        </w:rPr>
        <w:t>c</w:t>
      </w:r>
      <w:r w:rsidRPr="00D67DE7">
        <w:rPr>
          <w:rFonts w:eastAsia="Times New Roman" w:cs="Times New Roman"/>
          <w:shd w:val="clear" w:color="auto" w:fill="FFFFFF"/>
          <w:lang w:val="en-GB" w:eastAsia="en-GB"/>
        </w:rPr>
        <w:t xml:space="preserve">hange </w:t>
      </w:r>
      <w:r>
        <w:rPr>
          <w:rFonts w:eastAsia="Times New Roman" w:cs="Times New Roman"/>
          <w:shd w:val="clear" w:color="auto" w:fill="FFFFFF"/>
          <w:lang w:val="en-GB" w:eastAsia="en-GB"/>
        </w:rPr>
        <w:t>m</w:t>
      </w:r>
      <w:r w:rsidRPr="00D67DE7">
        <w:rPr>
          <w:rFonts w:eastAsia="Times New Roman" w:cs="Times New Roman"/>
          <w:shd w:val="clear" w:color="auto" w:fill="FFFFFF"/>
          <w:lang w:val="en-GB" w:eastAsia="en-GB"/>
        </w:rPr>
        <w:t xml:space="preserve">anagement has not been tailored to meet the diverse needs of participants, providers and staff. Sub-optimal engagement, training and communication have been reported, </w:t>
      </w:r>
      <w:r>
        <w:rPr>
          <w:rFonts w:eastAsia="Times New Roman" w:cs="Times New Roman"/>
          <w:shd w:val="clear" w:color="auto" w:fill="FFFFFF"/>
          <w:lang w:val="en-GB" w:eastAsia="en-GB"/>
        </w:rPr>
        <w:t>affecting the</w:t>
      </w:r>
      <w:r w:rsidRPr="00D67DE7">
        <w:rPr>
          <w:rFonts w:eastAsia="Times New Roman" w:cs="Times New Roman"/>
          <w:shd w:val="clear" w:color="auto" w:fill="FFFFFF"/>
          <w:lang w:val="en-GB" w:eastAsia="en-GB"/>
        </w:rPr>
        <w:t xml:space="preserve"> quality of necessary support for providers and participants and the reputation of the NDIS.</w:t>
      </w:r>
    </w:p>
    <w:p w14:paraId="2A5991CB" w14:textId="77777777" w:rsidR="002069B4" w:rsidRPr="001725C2" w:rsidRDefault="002069B4" w:rsidP="002069B4">
      <w:pPr>
        <w:pStyle w:val="BlockText2"/>
        <w:rPr>
          <w:b/>
        </w:rPr>
      </w:pPr>
      <w:r>
        <w:rPr>
          <w:b/>
        </w:rPr>
        <w:t>Recommendation</w:t>
      </w:r>
      <w:r w:rsidRPr="001725C2">
        <w:rPr>
          <w:b/>
        </w:rPr>
        <w:t>:</w:t>
      </w:r>
    </w:p>
    <w:p w14:paraId="493AF475" w14:textId="2D423E8B" w:rsidR="002069B4" w:rsidRDefault="002069B4" w:rsidP="002069B4">
      <w:pPr>
        <w:pStyle w:val="BlockText2"/>
        <w:rPr>
          <w:i w:val="0"/>
        </w:rPr>
      </w:pPr>
      <w:r w:rsidRPr="00D67DE7">
        <w:rPr>
          <w:i w:val="0"/>
        </w:rPr>
        <w:t xml:space="preserve">Shift to a customer-centric </w:t>
      </w:r>
      <w:r>
        <w:rPr>
          <w:i w:val="0"/>
        </w:rPr>
        <w:t>c</w:t>
      </w:r>
      <w:r w:rsidRPr="00D67DE7">
        <w:rPr>
          <w:i w:val="0"/>
        </w:rPr>
        <w:t xml:space="preserve">hange </w:t>
      </w:r>
      <w:r>
        <w:rPr>
          <w:i w:val="0"/>
        </w:rPr>
        <w:t>a</w:t>
      </w:r>
      <w:r w:rsidRPr="00D67DE7">
        <w:rPr>
          <w:i w:val="0"/>
        </w:rPr>
        <w:t>pproach that is tailored to the stakeholders</w:t>
      </w:r>
      <w:r>
        <w:rPr>
          <w:i w:val="0"/>
        </w:rPr>
        <w:t>’ needs,</w:t>
      </w:r>
      <w:r w:rsidRPr="00D67DE7">
        <w:rPr>
          <w:i w:val="0"/>
        </w:rPr>
        <w:t xml:space="preserve"> </w:t>
      </w:r>
      <w:r>
        <w:rPr>
          <w:i w:val="0"/>
        </w:rPr>
        <w:t>and that has</w:t>
      </w:r>
      <w:r w:rsidRPr="00D67DE7">
        <w:rPr>
          <w:i w:val="0"/>
        </w:rPr>
        <w:t xml:space="preserve"> an emphasis on transparency to ensure deep</w:t>
      </w:r>
      <w:r w:rsidR="00151061">
        <w:rPr>
          <w:i w:val="0"/>
        </w:rPr>
        <w:t>er</w:t>
      </w:r>
      <w:r w:rsidRPr="00D67DE7">
        <w:rPr>
          <w:i w:val="0"/>
        </w:rPr>
        <w:t xml:space="preserve"> understanding of NDIS and </w:t>
      </w:r>
      <w:r w:rsidR="00151061">
        <w:rPr>
          <w:i w:val="0"/>
        </w:rPr>
        <w:t xml:space="preserve">the </w:t>
      </w:r>
      <w:proofErr w:type="spellStart"/>
      <w:r w:rsidRPr="00D67DE7">
        <w:rPr>
          <w:i w:val="0"/>
        </w:rPr>
        <w:t>MyPlace</w:t>
      </w:r>
      <w:proofErr w:type="spellEnd"/>
      <w:r w:rsidR="00151061">
        <w:rPr>
          <w:i w:val="0"/>
        </w:rPr>
        <w:t xml:space="preserve"> Portal</w:t>
      </w:r>
      <w:r w:rsidRPr="00D67DE7">
        <w:rPr>
          <w:i w:val="0"/>
        </w:rPr>
        <w:t>.</w:t>
      </w:r>
      <w:r>
        <w:rPr>
          <w:i w:val="0"/>
        </w:rPr>
        <w:t xml:space="preserve"> </w:t>
      </w:r>
      <w:r w:rsidR="00AC532A">
        <w:rPr>
          <w:i w:val="0"/>
        </w:rPr>
        <w:t xml:space="preserve">Consideration should be given to different levels of online access and technological capability. </w:t>
      </w:r>
      <w:r>
        <w:rPr>
          <w:i w:val="0"/>
        </w:rPr>
        <w:t>Connecting in with the Community Readiness work that is u</w:t>
      </w:r>
      <w:r w:rsidR="006C34FF">
        <w:rPr>
          <w:i w:val="0"/>
        </w:rPr>
        <w:t>nderway will be a key enabler for</w:t>
      </w:r>
      <w:r>
        <w:rPr>
          <w:i w:val="0"/>
        </w:rPr>
        <w:t xml:space="preserve"> this.</w:t>
      </w:r>
    </w:p>
    <w:p w14:paraId="0B0019EB" w14:textId="77777777" w:rsidR="002069B4" w:rsidRDefault="002069B4" w:rsidP="002069B4">
      <w:pPr>
        <w:pStyle w:val="BlockText2"/>
        <w:rPr>
          <w:i w:val="0"/>
        </w:rPr>
      </w:pPr>
      <w:r>
        <w:rPr>
          <w:i w:val="0"/>
        </w:rPr>
        <w:t xml:space="preserve">NDIA, DSS and DHS to develop the plan and approach to implement changes required to address the issues experienced by participants and providers post deployment of the Full Scheme ICT Solution. </w:t>
      </w:r>
    </w:p>
    <w:p w14:paraId="1DEEFDC0" w14:textId="7EE289F3" w:rsidR="002069B4" w:rsidRDefault="00EC0096" w:rsidP="002069B4">
      <w:pPr>
        <w:pStyle w:val="BlockText2"/>
        <w:rPr>
          <w:i w:val="0"/>
        </w:rPr>
      </w:pPr>
      <w:proofErr w:type="gramStart"/>
      <w:r>
        <w:rPr>
          <w:i w:val="0"/>
        </w:rPr>
        <w:t xml:space="preserve">NDIA </w:t>
      </w:r>
      <w:r w:rsidR="002069B4">
        <w:rPr>
          <w:i w:val="0"/>
        </w:rPr>
        <w:t xml:space="preserve">to </w:t>
      </w:r>
      <w:proofErr w:type="spellStart"/>
      <w:r w:rsidR="002069B4">
        <w:rPr>
          <w:i w:val="0"/>
        </w:rPr>
        <w:t>prioritise</w:t>
      </w:r>
      <w:proofErr w:type="spellEnd"/>
      <w:r w:rsidR="002069B4">
        <w:rPr>
          <w:i w:val="0"/>
        </w:rPr>
        <w:t xml:space="preserve"> these changes and work with DHS, as the ICT provider, on the implementation schedule.</w:t>
      </w:r>
      <w:proofErr w:type="gramEnd"/>
      <w:r w:rsidR="002069B4">
        <w:rPr>
          <w:i w:val="0"/>
        </w:rPr>
        <w:t xml:space="preserve"> </w:t>
      </w:r>
    </w:p>
    <w:p w14:paraId="74897D1F" w14:textId="77777777" w:rsidR="002069B4" w:rsidRPr="001725C2" w:rsidRDefault="002069B4" w:rsidP="002069B4">
      <w:pPr>
        <w:pStyle w:val="BlockText2"/>
        <w:rPr>
          <w:i w:val="0"/>
        </w:rPr>
      </w:pPr>
      <w:r>
        <w:rPr>
          <w:i w:val="0"/>
        </w:rPr>
        <w:t xml:space="preserve">Establish </w:t>
      </w:r>
      <w:r w:rsidRPr="00B3521A">
        <w:rPr>
          <w:i w:val="0"/>
        </w:rPr>
        <w:t>a ‘control group’</w:t>
      </w:r>
      <w:r>
        <w:rPr>
          <w:i w:val="0"/>
        </w:rPr>
        <w:t xml:space="preserve"> of a representative sample of participants and providers</w:t>
      </w:r>
      <w:r w:rsidRPr="00B3521A">
        <w:rPr>
          <w:i w:val="0"/>
        </w:rPr>
        <w:t xml:space="preserve"> to test </w:t>
      </w:r>
      <w:r>
        <w:rPr>
          <w:i w:val="0"/>
        </w:rPr>
        <w:t>upcoming</w:t>
      </w:r>
      <w:r w:rsidRPr="00B3521A">
        <w:rPr>
          <w:i w:val="0"/>
        </w:rPr>
        <w:t xml:space="preserve"> changes </w:t>
      </w:r>
      <w:r>
        <w:rPr>
          <w:i w:val="0"/>
        </w:rPr>
        <w:t>in order to</w:t>
      </w:r>
      <w:r w:rsidRPr="00D67DE7">
        <w:rPr>
          <w:i w:val="0"/>
        </w:rPr>
        <w:t xml:space="preserve"> </w:t>
      </w:r>
      <w:r>
        <w:rPr>
          <w:i w:val="0"/>
        </w:rPr>
        <w:t xml:space="preserve">measure and track </w:t>
      </w:r>
      <w:r w:rsidRPr="00D67DE7">
        <w:rPr>
          <w:i w:val="0"/>
        </w:rPr>
        <w:t>customer satisfaction for continuous improvement</w:t>
      </w:r>
      <w:r>
        <w:rPr>
          <w:i w:val="0"/>
        </w:rPr>
        <w:t xml:space="preserve"> purposes</w:t>
      </w:r>
      <w:r w:rsidRPr="00D67DE7">
        <w:rPr>
          <w:i w:val="0"/>
        </w:rPr>
        <w:t>.</w:t>
      </w:r>
      <w:r>
        <w:rPr>
          <w:i w:val="0"/>
        </w:rPr>
        <w:t xml:space="preserve"> </w:t>
      </w:r>
    </w:p>
    <w:p w14:paraId="59920E50" w14:textId="77777777" w:rsidR="002069B4" w:rsidRDefault="002069B4" w:rsidP="002069B4">
      <w:pPr>
        <w:spacing w:after="120"/>
        <w:rPr>
          <w:rFonts w:eastAsia="Times New Roman" w:cs="Times New Roman"/>
          <w:shd w:val="clear" w:color="auto" w:fill="FFFFFF"/>
          <w:lang w:val="en-GB" w:eastAsia="en-GB"/>
        </w:rPr>
      </w:pPr>
      <w:r>
        <w:rPr>
          <w:rFonts w:eastAsia="Times New Roman" w:cs="Times New Roman"/>
          <w:b/>
          <w:shd w:val="clear" w:color="auto" w:fill="FFFFFF"/>
          <w:lang w:val="en-GB" w:eastAsia="en-GB"/>
        </w:rPr>
        <w:t xml:space="preserve">Timing: </w:t>
      </w:r>
      <w:r w:rsidRPr="00D67DE7">
        <w:rPr>
          <w:rFonts w:eastAsia="Times New Roman" w:cs="Times New Roman"/>
          <w:shd w:val="clear" w:color="auto" w:fill="FFFFFF"/>
          <w:lang w:val="en-GB" w:eastAsia="en-GB"/>
        </w:rPr>
        <w:t>As soon as outputs are available from Stakeholder</w:t>
      </w:r>
      <w:r>
        <w:rPr>
          <w:rFonts w:eastAsia="Times New Roman" w:cs="Times New Roman"/>
          <w:shd w:val="clear" w:color="auto" w:fill="FFFFFF"/>
          <w:lang w:val="en-GB" w:eastAsia="en-GB"/>
        </w:rPr>
        <w:t xml:space="preserve"> and Change Impact assessments. R</w:t>
      </w:r>
      <w:r w:rsidRPr="00D67DE7">
        <w:rPr>
          <w:rFonts w:eastAsia="Times New Roman" w:cs="Times New Roman"/>
          <w:shd w:val="clear" w:color="auto" w:fill="FFFFFF"/>
          <w:lang w:val="en-GB" w:eastAsia="en-GB"/>
        </w:rPr>
        <w:t xml:space="preserve">efine and update </w:t>
      </w:r>
      <w:r>
        <w:rPr>
          <w:rFonts w:eastAsia="Times New Roman" w:cs="Times New Roman"/>
          <w:shd w:val="clear" w:color="auto" w:fill="FFFFFF"/>
          <w:lang w:val="en-GB" w:eastAsia="en-GB"/>
        </w:rPr>
        <w:t xml:space="preserve">the approach </w:t>
      </w:r>
      <w:r w:rsidRPr="00D67DE7">
        <w:rPr>
          <w:rFonts w:eastAsia="Times New Roman" w:cs="Times New Roman"/>
          <w:shd w:val="clear" w:color="auto" w:fill="FFFFFF"/>
          <w:lang w:val="en-GB" w:eastAsia="en-GB"/>
        </w:rPr>
        <w:t>over time as more information becomes available</w:t>
      </w:r>
      <w:r>
        <w:rPr>
          <w:rFonts w:eastAsia="Times New Roman" w:cs="Times New Roman"/>
          <w:shd w:val="clear" w:color="auto" w:fill="FFFFFF"/>
          <w:lang w:val="en-GB" w:eastAsia="en-GB"/>
        </w:rPr>
        <w:t>.</w:t>
      </w:r>
    </w:p>
    <w:p w14:paraId="772D5C4E" w14:textId="1FFFE427" w:rsidR="00860467" w:rsidRDefault="002069B4" w:rsidP="003F5752">
      <w:pPr>
        <w:spacing w:after="120"/>
      </w:pPr>
      <w:r>
        <w:rPr>
          <w:rFonts w:eastAsia="Times New Roman" w:cs="Times New Roman"/>
          <w:b/>
          <w:shd w:val="clear" w:color="auto" w:fill="FFFFFF"/>
          <w:lang w:val="en-GB" w:eastAsia="en-GB"/>
        </w:rPr>
        <w:t>Dependencies:</w:t>
      </w:r>
      <w:r>
        <w:rPr>
          <w:rFonts w:eastAsia="Times New Roman" w:cs="Times New Roman"/>
          <w:shd w:val="clear" w:color="auto" w:fill="FFFFFF"/>
          <w:lang w:val="en-GB" w:eastAsia="en-GB"/>
        </w:rPr>
        <w:t xml:space="preserve"> </w:t>
      </w:r>
      <w:r w:rsidRPr="006C2F2D">
        <w:rPr>
          <w:rFonts w:eastAsia="Times New Roman" w:cs="Times New Roman"/>
          <w:shd w:val="clear" w:color="auto" w:fill="FFFFFF"/>
          <w:lang w:val="en-GB" w:eastAsia="en-GB"/>
        </w:rPr>
        <w:t>Depende</w:t>
      </w:r>
      <w:r>
        <w:rPr>
          <w:rFonts w:eastAsia="Times New Roman" w:cs="Times New Roman"/>
          <w:shd w:val="clear" w:color="auto" w:fill="FFFFFF"/>
          <w:lang w:val="en-GB" w:eastAsia="en-GB"/>
        </w:rPr>
        <w:t>nt on the output from</w:t>
      </w:r>
      <w:r w:rsidR="00E0169C">
        <w:rPr>
          <w:rFonts w:eastAsia="Times New Roman" w:cs="Times New Roman"/>
          <w:shd w:val="clear" w:color="auto" w:fill="FFFFFF"/>
          <w:lang w:val="en-GB" w:eastAsia="en-GB"/>
        </w:rPr>
        <w:t xml:space="preserve"> </w:t>
      </w:r>
      <w:r w:rsidR="00E0169C">
        <w:rPr>
          <w:rFonts w:eastAsia="Times New Roman" w:cs="Times New Roman"/>
          <w:i/>
          <w:shd w:val="clear" w:color="auto" w:fill="FFFFFF"/>
          <w:lang w:val="en-GB" w:eastAsia="en-GB"/>
        </w:rPr>
        <w:t>R2. Enhance program management fundamentals including inter and intra-agency governance and integrated program plan</w:t>
      </w:r>
      <w:r w:rsidR="00E0169C">
        <w:rPr>
          <w:rFonts w:eastAsia="Times New Roman" w:cs="Times New Roman"/>
          <w:shd w:val="clear" w:color="auto" w:fill="FFFFFF"/>
          <w:lang w:val="en-GB" w:eastAsia="en-GB"/>
        </w:rPr>
        <w:t xml:space="preserve"> and</w:t>
      </w:r>
      <w:r>
        <w:rPr>
          <w:rFonts w:eastAsia="Times New Roman" w:cs="Times New Roman"/>
          <w:shd w:val="clear" w:color="auto" w:fill="FFFFFF"/>
          <w:lang w:val="en-GB" w:eastAsia="en-GB"/>
        </w:rPr>
        <w:t xml:space="preserve"> </w:t>
      </w:r>
      <w:r w:rsidRPr="00892C6E">
        <w:rPr>
          <w:rFonts w:eastAsia="Times New Roman" w:cs="Times New Roman"/>
          <w:i/>
          <w:shd w:val="clear" w:color="auto" w:fill="FFFFFF"/>
          <w:lang w:val="en-GB" w:eastAsia="en-GB"/>
        </w:rPr>
        <w:t>R5. Undertake a comprehensive Stakeholder and Change Impact Assessment</w:t>
      </w:r>
      <w:r>
        <w:rPr>
          <w:rFonts w:eastAsia="Times New Roman" w:cs="Times New Roman"/>
          <w:shd w:val="clear" w:color="auto" w:fill="FFFFFF"/>
          <w:lang w:val="en-GB" w:eastAsia="en-GB"/>
        </w:rPr>
        <w:t xml:space="preserve">. </w:t>
      </w:r>
      <w:proofErr w:type="gramStart"/>
      <w:r>
        <w:rPr>
          <w:rFonts w:eastAsia="Times New Roman" w:cs="Times New Roman"/>
          <w:shd w:val="clear" w:color="auto" w:fill="FFFFFF"/>
          <w:lang w:val="en-GB" w:eastAsia="en-GB"/>
        </w:rPr>
        <w:t xml:space="preserve">Commencement of </w:t>
      </w:r>
      <w:r w:rsidRPr="00A317C6">
        <w:rPr>
          <w:rFonts w:eastAsia="Times New Roman" w:cs="Times New Roman"/>
          <w:i/>
          <w:shd w:val="clear" w:color="auto" w:fill="FFFFFF"/>
          <w:lang w:val="en-GB" w:eastAsia="en-GB"/>
        </w:rPr>
        <w:t>R1.</w:t>
      </w:r>
      <w:proofErr w:type="gramEnd"/>
      <w:r w:rsidRPr="00A317C6">
        <w:rPr>
          <w:rFonts w:eastAsia="Times New Roman" w:cs="Times New Roman"/>
          <w:i/>
          <w:shd w:val="clear" w:color="auto" w:fill="FFFFFF"/>
          <w:lang w:val="en-GB" w:eastAsia="en-GB"/>
        </w:rPr>
        <w:t xml:space="preserve"> Implement and embed the Service Delivery Operating Model</w:t>
      </w:r>
      <w:r>
        <w:rPr>
          <w:rFonts w:eastAsia="Times New Roman" w:cs="Times New Roman"/>
          <w:shd w:val="clear" w:color="auto" w:fill="FFFFFF"/>
          <w:lang w:val="en-GB" w:eastAsia="en-GB"/>
        </w:rPr>
        <w:t xml:space="preserve"> is a pre-requisite.</w:t>
      </w:r>
      <w:r w:rsidR="00860467">
        <w:br w:type="page"/>
      </w:r>
    </w:p>
    <w:p w14:paraId="223B1ECA" w14:textId="5447B8F0" w:rsidR="00BA7499" w:rsidRPr="006D369B" w:rsidRDefault="00A10EAA" w:rsidP="006364BB">
      <w:pPr>
        <w:pStyle w:val="AppendixHeading1"/>
        <w:rPr>
          <w:sz w:val="40"/>
        </w:rPr>
      </w:pPr>
      <w:bookmarkStart w:id="30" w:name="_Toc460422976"/>
      <w:r>
        <w:rPr>
          <w:sz w:val="40"/>
        </w:rPr>
        <w:lastRenderedPageBreak/>
        <w:t>Glossary</w:t>
      </w:r>
      <w:bookmarkEnd w:id="30"/>
    </w:p>
    <w:p w14:paraId="5118E800" w14:textId="172A93D6" w:rsidR="00BA7499" w:rsidRDefault="00EB4ED9" w:rsidP="00D24B42">
      <w:pPr>
        <w:pStyle w:val="AppendixHeading2"/>
      </w:pPr>
      <w:bookmarkStart w:id="31" w:name="_Toc460341106"/>
      <w:bookmarkStart w:id="32" w:name="_Toc460422977"/>
      <w:r>
        <w:t>Glossary</w:t>
      </w:r>
      <w:bookmarkEnd w:id="31"/>
      <w:bookmarkEnd w:id="32"/>
    </w:p>
    <w:tbl>
      <w:tblPr>
        <w:tblStyle w:val="GridTable4-Accent13"/>
        <w:tblW w:w="9889" w:type="dxa"/>
        <w:tblLook w:val="04A0" w:firstRow="1" w:lastRow="0" w:firstColumn="1" w:lastColumn="0" w:noHBand="0" w:noVBand="1"/>
        <w:tblDescription w:val="A.1. Glossary"/>
      </w:tblPr>
      <w:tblGrid>
        <w:gridCol w:w="1809"/>
        <w:gridCol w:w="8080"/>
      </w:tblGrid>
      <w:tr w:rsidR="00583DEA" w:rsidRPr="001873D9" w14:paraId="60E2A6FA" w14:textId="77777777" w:rsidTr="000865A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809" w:type="dxa"/>
            <w:hideMark/>
          </w:tcPr>
          <w:p w14:paraId="0CEB8018" w14:textId="77777777" w:rsidR="00583DEA" w:rsidRPr="001873D9" w:rsidRDefault="00583DEA" w:rsidP="00BD03EA">
            <w:pPr>
              <w:spacing w:before="80" w:line="360" w:lineRule="auto"/>
              <w:jc w:val="center"/>
              <w:rPr>
                <w:rFonts w:ascii="Georgia" w:eastAsia="Times New Roman" w:hAnsi="Georgia" w:cs="Arial"/>
                <w:sz w:val="16"/>
                <w:szCs w:val="16"/>
                <w:lang w:val="en-AU" w:eastAsia="en-AU"/>
              </w:rPr>
            </w:pPr>
            <w:r w:rsidRPr="001873D9">
              <w:rPr>
                <w:rFonts w:ascii="Georgia" w:eastAsia="Times New Roman" w:hAnsi="Georgia" w:cs="Arial"/>
                <w:bCs w:val="0"/>
                <w:sz w:val="16"/>
                <w:szCs w:val="16"/>
                <w:lang w:val="en-AU" w:eastAsia="en-AU"/>
              </w:rPr>
              <w:t>Term</w:t>
            </w:r>
          </w:p>
        </w:tc>
        <w:tc>
          <w:tcPr>
            <w:tcW w:w="8080" w:type="dxa"/>
            <w:hideMark/>
          </w:tcPr>
          <w:p w14:paraId="419DE18D" w14:textId="77777777" w:rsidR="00583DEA" w:rsidRPr="001873D9" w:rsidRDefault="00583DEA" w:rsidP="00BD03EA">
            <w:pPr>
              <w:spacing w:before="80" w:line="360" w:lineRule="auto"/>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16"/>
                <w:szCs w:val="16"/>
                <w:lang w:val="en-AU" w:eastAsia="en-AU"/>
              </w:rPr>
            </w:pPr>
            <w:r w:rsidRPr="001873D9">
              <w:rPr>
                <w:rFonts w:ascii="Georgia" w:eastAsia="Times New Roman" w:hAnsi="Georgia" w:cs="Arial"/>
                <w:sz w:val="16"/>
                <w:szCs w:val="16"/>
                <w:lang w:val="en-AU" w:eastAsia="en-AU"/>
              </w:rPr>
              <w:t>Description</w:t>
            </w:r>
          </w:p>
        </w:tc>
      </w:tr>
      <w:tr w:rsidR="00583DEA" w:rsidRPr="001873D9" w14:paraId="5F9FE5C1" w14:textId="77777777" w:rsidTr="000865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22CACF8" w14:textId="77777777" w:rsidR="00583DEA" w:rsidRPr="001873D9" w:rsidRDefault="00583DEA" w:rsidP="00BD03EA">
            <w:pPr>
              <w:spacing w:before="80" w:line="360" w:lineRule="auto"/>
              <w:jc w:val="center"/>
              <w:rPr>
                <w:rFonts w:ascii="Georgia" w:eastAsia="Times New Roman" w:hAnsi="Georgia" w:cs="Arial"/>
                <w:b w:val="0"/>
                <w:bCs w:val="0"/>
                <w:color w:val="000000"/>
                <w:sz w:val="16"/>
                <w:szCs w:val="16"/>
                <w:lang w:val="en-AU" w:eastAsia="en-AU"/>
              </w:rPr>
            </w:pPr>
            <w:r w:rsidRPr="001873D9">
              <w:rPr>
                <w:rFonts w:ascii="Georgia" w:eastAsia="Times New Roman" w:hAnsi="Georgia" w:cs="Arial"/>
                <w:color w:val="000000"/>
                <w:sz w:val="16"/>
                <w:szCs w:val="16"/>
                <w:lang w:val="en-AU" w:eastAsia="en-AU"/>
              </w:rPr>
              <w:t>ADA</w:t>
            </w:r>
          </w:p>
        </w:tc>
        <w:tc>
          <w:tcPr>
            <w:tcW w:w="8080" w:type="dxa"/>
            <w:shd w:val="clear" w:color="auto" w:fill="auto"/>
          </w:tcPr>
          <w:p w14:paraId="36F4925E" w14:textId="77777777" w:rsidR="00583DEA" w:rsidRPr="001873D9" w:rsidRDefault="00583DEA" w:rsidP="00BD03EA">
            <w:pPr>
              <w:spacing w:before="80" w:line="360"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Accelerated Delivery Approach</w:t>
            </w:r>
          </w:p>
        </w:tc>
      </w:tr>
      <w:tr w:rsidR="00583DEA" w:rsidRPr="001873D9" w14:paraId="2A1E5840" w14:textId="77777777" w:rsidTr="000865AE">
        <w:trPr>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hideMark/>
          </w:tcPr>
          <w:p w14:paraId="08010BA0"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BAU</w:t>
            </w:r>
          </w:p>
        </w:tc>
        <w:tc>
          <w:tcPr>
            <w:tcW w:w="8080" w:type="dxa"/>
            <w:shd w:val="clear" w:color="auto" w:fill="auto"/>
            <w:noWrap/>
            <w:hideMark/>
          </w:tcPr>
          <w:p w14:paraId="2B279F7D" w14:textId="77777777" w:rsidR="00583DEA" w:rsidRPr="001873D9" w:rsidRDefault="00583DEA" w:rsidP="00BD03EA">
            <w:pPr>
              <w:spacing w:before="80" w:line="360"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Business As Usual</w:t>
            </w:r>
          </w:p>
        </w:tc>
      </w:tr>
      <w:tr w:rsidR="001C1E50" w:rsidRPr="001873D9" w14:paraId="1CA35EB4" w14:textId="77777777" w:rsidTr="000865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E9CE36F" w14:textId="653522A3" w:rsidR="001C1E50" w:rsidRPr="001873D9" w:rsidRDefault="001C1E50" w:rsidP="00BD03EA">
            <w:pPr>
              <w:spacing w:before="80" w:line="360" w:lineRule="auto"/>
              <w:jc w:val="center"/>
              <w:rPr>
                <w:rFonts w:ascii="Georgia" w:eastAsia="Times New Roman" w:hAnsi="Georgia" w:cs="Arial"/>
                <w:color w:val="000000"/>
                <w:sz w:val="16"/>
                <w:szCs w:val="16"/>
                <w:lang w:val="en-AU" w:eastAsia="en-AU"/>
              </w:rPr>
            </w:pPr>
            <w:r>
              <w:rPr>
                <w:rFonts w:ascii="Georgia" w:eastAsia="Times New Roman" w:hAnsi="Georgia" w:cs="Arial"/>
                <w:color w:val="000000"/>
                <w:sz w:val="16"/>
                <w:szCs w:val="16"/>
                <w:lang w:val="en-AU" w:eastAsia="en-AU"/>
              </w:rPr>
              <w:t>CEO</w:t>
            </w:r>
          </w:p>
        </w:tc>
        <w:tc>
          <w:tcPr>
            <w:tcW w:w="8080" w:type="dxa"/>
            <w:shd w:val="clear" w:color="auto" w:fill="auto"/>
          </w:tcPr>
          <w:p w14:paraId="53CDE3A7" w14:textId="427EBBBA" w:rsidR="001C1E50" w:rsidRPr="001873D9" w:rsidRDefault="001C1E50" w:rsidP="00BD03EA">
            <w:pPr>
              <w:spacing w:before="80" w:line="360"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000000"/>
                <w:sz w:val="16"/>
                <w:szCs w:val="16"/>
                <w:lang w:val="en-AU" w:eastAsia="en-AU"/>
              </w:rPr>
            </w:pPr>
            <w:r>
              <w:rPr>
                <w:rFonts w:ascii="Georgia" w:eastAsia="Times New Roman" w:hAnsi="Georgia" w:cs="Arial"/>
                <w:color w:val="000000"/>
                <w:sz w:val="16"/>
                <w:szCs w:val="16"/>
                <w:lang w:val="en-AU" w:eastAsia="en-AU"/>
              </w:rPr>
              <w:t>Chief Executive Officer</w:t>
            </w:r>
          </w:p>
        </w:tc>
      </w:tr>
      <w:tr w:rsidR="00583DEA" w:rsidRPr="001873D9" w14:paraId="1A76F4DA" w14:textId="77777777" w:rsidTr="000865AE">
        <w:trPr>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hideMark/>
          </w:tcPr>
          <w:p w14:paraId="692C60EB"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COAG</w:t>
            </w:r>
          </w:p>
        </w:tc>
        <w:tc>
          <w:tcPr>
            <w:tcW w:w="8080" w:type="dxa"/>
            <w:shd w:val="clear" w:color="auto" w:fill="auto"/>
            <w:hideMark/>
          </w:tcPr>
          <w:p w14:paraId="668F171F" w14:textId="77777777" w:rsidR="00583DEA" w:rsidRPr="001873D9" w:rsidRDefault="00583DEA" w:rsidP="00BD03EA">
            <w:pPr>
              <w:spacing w:before="80" w:line="360"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Council of Australian Governments</w:t>
            </w:r>
          </w:p>
        </w:tc>
      </w:tr>
      <w:tr w:rsidR="001C1E50" w:rsidRPr="001873D9" w14:paraId="778C8772" w14:textId="77777777" w:rsidTr="000865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67F949A" w14:textId="518597F1" w:rsidR="001C1E50" w:rsidRPr="001873D9" w:rsidRDefault="001C1E50" w:rsidP="00BD03EA">
            <w:pPr>
              <w:spacing w:before="80" w:line="360" w:lineRule="auto"/>
              <w:jc w:val="center"/>
              <w:rPr>
                <w:rFonts w:ascii="Georgia" w:eastAsia="Times New Roman" w:hAnsi="Georgia" w:cs="Arial"/>
                <w:color w:val="000000"/>
                <w:sz w:val="16"/>
                <w:szCs w:val="16"/>
                <w:lang w:val="en-AU" w:eastAsia="en-AU"/>
              </w:rPr>
            </w:pPr>
            <w:r>
              <w:rPr>
                <w:rFonts w:ascii="Georgia" w:eastAsia="Times New Roman" w:hAnsi="Georgia" w:cs="Arial"/>
                <w:color w:val="000000"/>
                <w:sz w:val="16"/>
                <w:szCs w:val="16"/>
                <w:lang w:val="en-AU" w:eastAsia="en-AU"/>
              </w:rPr>
              <w:t>COO</w:t>
            </w:r>
          </w:p>
        </w:tc>
        <w:tc>
          <w:tcPr>
            <w:tcW w:w="8080" w:type="dxa"/>
            <w:shd w:val="clear" w:color="auto" w:fill="auto"/>
          </w:tcPr>
          <w:p w14:paraId="1774D142" w14:textId="12F4B9B9" w:rsidR="001C1E50" w:rsidRPr="001873D9" w:rsidRDefault="001C1E50" w:rsidP="00BD03EA">
            <w:pPr>
              <w:spacing w:before="80" w:line="360"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000000"/>
                <w:sz w:val="16"/>
                <w:szCs w:val="16"/>
                <w:lang w:val="en-AU" w:eastAsia="en-AU"/>
              </w:rPr>
            </w:pPr>
            <w:r>
              <w:rPr>
                <w:rFonts w:ascii="Georgia" w:eastAsia="Times New Roman" w:hAnsi="Georgia" w:cs="Arial"/>
                <w:color w:val="000000"/>
                <w:sz w:val="16"/>
                <w:szCs w:val="16"/>
                <w:lang w:val="en-AU" w:eastAsia="en-AU"/>
              </w:rPr>
              <w:t>Chief Operating Officer</w:t>
            </w:r>
          </w:p>
        </w:tc>
      </w:tr>
      <w:tr w:rsidR="00583DEA" w:rsidRPr="001873D9" w14:paraId="49BDA67F" w14:textId="77777777" w:rsidTr="000865AE">
        <w:trPr>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hideMark/>
          </w:tcPr>
          <w:p w14:paraId="609C1AF2"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CRM</w:t>
            </w:r>
          </w:p>
        </w:tc>
        <w:tc>
          <w:tcPr>
            <w:tcW w:w="8080" w:type="dxa"/>
            <w:shd w:val="clear" w:color="auto" w:fill="auto"/>
            <w:noWrap/>
            <w:hideMark/>
          </w:tcPr>
          <w:p w14:paraId="5FC2A841" w14:textId="77777777" w:rsidR="00583DEA" w:rsidRPr="001873D9" w:rsidRDefault="00583DEA" w:rsidP="00BD03EA">
            <w:pPr>
              <w:spacing w:before="80" w:line="360"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Customer Relationship Management</w:t>
            </w:r>
          </w:p>
        </w:tc>
      </w:tr>
      <w:tr w:rsidR="00583DEA" w:rsidRPr="001873D9" w14:paraId="7E156BEC" w14:textId="77777777" w:rsidTr="000865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0BA92AA9"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DHS</w:t>
            </w:r>
          </w:p>
        </w:tc>
        <w:tc>
          <w:tcPr>
            <w:tcW w:w="8080" w:type="dxa"/>
            <w:shd w:val="clear" w:color="auto" w:fill="auto"/>
            <w:noWrap/>
            <w:hideMark/>
          </w:tcPr>
          <w:p w14:paraId="73D644AC" w14:textId="77777777" w:rsidR="00583DEA" w:rsidRPr="001873D9" w:rsidRDefault="00583DEA" w:rsidP="00BD03EA">
            <w:pPr>
              <w:spacing w:before="80" w:line="360"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Department of Human Services</w:t>
            </w:r>
          </w:p>
        </w:tc>
      </w:tr>
      <w:tr w:rsidR="00583DEA" w:rsidRPr="001873D9" w14:paraId="46581CBF" w14:textId="77777777" w:rsidTr="000865AE">
        <w:trPr>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16DA3D3D"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DSS</w:t>
            </w:r>
          </w:p>
        </w:tc>
        <w:tc>
          <w:tcPr>
            <w:tcW w:w="8080" w:type="dxa"/>
            <w:shd w:val="clear" w:color="auto" w:fill="auto"/>
            <w:noWrap/>
            <w:hideMark/>
          </w:tcPr>
          <w:p w14:paraId="4D6C146B" w14:textId="77777777" w:rsidR="00583DEA" w:rsidRPr="001873D9" w:rsidRDefault="00583DEA" w:rsidP="00BD03EA">
            <w:pPr>
              <w:spacing w:before="80" w:line="360"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Department of Social Services</w:t>
            </w:r>
          </w:p>
        </w:tc>
      </w:tr>
      <w:tr w:rsidR="00583DEA" w:rsidRPr="001873D9" w14:paraId="4D808230" w14:textId="77777777" w:rsidTr="000865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3D5396FD"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EMG</w:t>
            </w:r>
          </w:p>
        </w:tc>
        <w:tc>
          <w:tcPr>
            <w:tcW w:w="8080" w:type="dxa"/>
            <w:shd w:val="clear" w:color="auto" w:fill="auto"/>
            <w:noWrap/>
            <w:hideMark/>
          </w:tcPr>
          <w:p w14:paraId="4AD44C50" w14:textId="77777777" w:rsidR="00583DEA" w:rsidRPr="001873D9" w:rsidRDefault="00583DEA" w:rsidP="00BD03EA">
            <w:pPr>
              <w:spacing w:before="80" w:line="360"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Executive Management Group</w:t>
            </w:r>
          </w:p>
        </w:tc>
      </w:tr>
      <w:tr w:rsidR="00583DEA" w:rsidRPr="001873D9" w14:paraId="7546104F" w14:textId="77777777" w:rsidTr="000865AE">
        <w:trPr>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hideMark/>
          </w:tcPr>
          <w:p w14:paraId="54F8AD90"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ERP</w:t>
            </w:r>
          </w:p>
        </w:tc>
        <w:tc>
          <w:tcPr>
            <w:tcW w:w="8080" w:type="dxa"/>
            <w:shd w:val="clear" w:color="auto" w:fill="auto"/>
            <w:noWrap/>
            <w:hideMark/>
          </w:tcPr>
          <w:p w14:paraId="632749C6" w14:textId="77777777" w:rsidR="00583DEA" w:rsidRPr="001873D9" w:rsidRDefault="00583DEA" w:rsidP="00BD03EA">
            <w:pPr>
              <w:spacing w:before="80" w:line="360"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Enterprise Resource Planning</w:t>
            </w:r>
          </w:p>
        </w:tc>
      </w:tr>
      <w:tr w:rsidR="00583DEA" w:rsidRPr="001873D9" w14:paraId="69638873" w14:textId="77777777" w:rsidTr="000865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hideMark/>
          </w:tcPr>
          <w:p w14:paraId="1BECAFAC"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FSL</w:t>
            </w:r>
          </w:p>
        </w:tc>
        <w:tc>
          <w:tcPr>
            <w:tcW w:w="8080" w:type="dxa"/>
            <w:shd w:val="clear" w:color="auto" w:fill="auto"/>
            <w:noWrap/>
            <w:hideMark/>
          </w:tcPr>
          <w:p w14:paraId="621C0E75" w14:textId="77777777" w:rsidR="00583DEA" w:rsidRPr="001873D9" w:rsidRDefault="00583DEA" w:rsidP="00BD03EA">
            <w:pPr>
              <w:spacing w:before="80" w:line="360"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Full Scheme Launch</w:t>
            </w:r>
          </w:p>
        </w:tc>
      </w:tr>
      <w:tr w:rsidR="00583DEA" w:rsidRPr="001873D9" w14:paraId="30C2B0EA" w14:textId="77777777" w:rsidTr="000865AE">
        <w:trPr>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2A769DD6"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ICT</w:t>
            </w:r>
          </w:p>
        </w:tc>
        <w:tc>
          <w:tcPr>
            <w:tcW w:w="8080" w:type="dxa"/>
            <w:shd w:val="clear" w:color="auto" w:fill="auto"/>
            <w:noWrap/>
            <w:hideMark/>
          </w:tcPr>
          <w:p w14:paraId="2391F076" w14:textId="77777777" w:rsidR="00583DEA" w:rsidRPr="001873D9" w:rsidRDefault="00583DEA" w:rsidP="00BD03EA">
            <w:pPr>
              <w:spacing w:before="80" w:line="360"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Information and Communications Technology</w:t>
            </w:r>
          </w:p>
        </w:tc>
      </w:tr>
      <w:tr w:rsidR="00583DEA" w:rsidRPr="001873D9" w14:paraId="4C76AA0C" w14:textId="77777777" w:rsidTr="000865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3809D6E0"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MVP</w:t>
            </w:r>
          </w:p>
        </w:tc>
        <w:tc>
          <w:tcPr>
            <w:tcW w:w="8080" w:type="dxa"/>
            <w:shd w:val="clear" w:color="auto" w:fill="auto"/>
            <w:noWrap/>
            <w:hideMark/>
          </w:tcPr>
          <w:p w14:paraId="6C852F5B" w14:textId="77777777" w:rsidR="00583DEA" w:rsidRPr="001873D9" w:rsidRDefault="00583DEA" w:rsidP="00BD03EA">
            <w:pPr>
              <w:spacing w:before="80" w:line="360"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Minimum Viable Product</w:t>
            </w:r>
          </w:p>
        </w:tc>
      </w:tr>
      <w:tr w:rsidR="00583DEA" w:rsidRPr="001873D9" w14:paraId="56851202" w14:textId="77777777" w:rsidTr="000865AE">
        <w:trPr>
          <w:trHeight w:val="288"/>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7F666F17"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NDIA</w:t>
            </w:r>
          </w:p>
        </w:tc>
        <w:tc>
          <w:tcPr>
            <w:tcW w:w="8080" w:type="dxa"/>
            <w:shd w:val="clear" w:color="auto" w:fill="auto"/>
            <w:noWrap/>
            <w:hideMark/>
          </w:tcPr>
          <w:p w14:paraId="17C0B24E" w14:textId="77777777" w:rsidR="00583DEA" w:rsidRPr="001873D9" w:rsidRDefault="00583DEA" w:rsidP="00BD03EA">
            <w:pPr>
              <w:spacing w:before="80" w:line="360"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National Disability Insurance Agency</w:t>
            </w:r>
          </w:p>
        </w:tc>
      </w:tr>
      <w:tr w:rsidR="00583DEA" w:rsidRPr="001873D9" w14:paraId="54B28C04" w14:textId="77777777" w:rsidTr="000865A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4A10AEFE"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NDIS</w:t>
            </w:r>
          </w:p>
        </w:tc>
        <w:tc>
          <w:tcPr>
            <w:tcW w:w="8080" w:type="dxa"/>
            <w:shd w:val="clear" w:color="auto" w:fill="auto"/>
            <w:noWrap/>
            <w:hideMark/>
          </w:tcPr>
          <w:p w14:paraId="7D161F0F" w14:textId="77777777" w:rsidR="00583DEA" w:rsidRPr="001873D9" w:rsidRDefault="00583DEA" w:rsidP="00BD03EA">
            <w:pPr>
              <w:spacing w:before="80" w:line="360"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National Disability Insurance Scheme</w:t>
            </w:r>
          </w:p>
        </w:tc>
      </w:tr>
      <w:tr w:rsidR="00583DEA" w:rsidRPr="001873D9" w14:paraId="13A46A36" w14:textId="77777777" w:rsidTr="000865AE">
        <w:trPr>
          <w:trHeight w:val="27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hideMark/>
          </w:tcPr>
          <w:p w14:paraId="60B2622C"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RACI</w:t>
            </w:r>
          </w:p>
        </w:tc>
        <w:tc>
          <w:tcPr>
            <w:tcW w:w="8080" w:type="dxa"/>
            <w:shd w:val="clear" w:color="auto" w:fill="auto"/>
            <w:noWrap/>
            <w:hideMark/>
          </w:tcPr>
          <w:p w14:paraId="366D2154" w14:textId="77777777" w:rsidR="00583DEA" w:rsidRPr="001873D9" w:rsidRDefault="00583DEA" w:rsidP="00BD03EA">
            <w:pPr>
              <w:spacing w:before="80" w:line="360"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Responsible, Accountable, Consulted, Informed</w:t>
            </w:r>
          </w:p>
        </w:tc>
      </w:tr>
      <w:tr w:rsidR="00583DEA" w:rsidRPr="001873D9" w14:paraId="094E4DDD" w14:textId="77777777" w:rsidTr="000865A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hideMark/>
          </w:tcPr>
          <w:p w14:paraId="258B532A"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SAP</w:t>
            </w:r>
          </w:p>
        </w:tc>
        <w:tc>
          <w:tcPr>
            <w:tcW w:w="8080" w:type="dxa"/>
            <w:shd w:val="clear" w:color="auto" w:fill="auto"/>
            <w:noWrap/>
            <w:hideMark/>
          </w:tcPr>
          <w:p w14:paraId="6D0238EA" w14:textId="77777777" w:rsidR="00583DEA" w:rsidRPr="001873D9" w:rsidRDefault="00583DEA" w:rsidP="00BD03EA">
            <w:pPr>
              <w:spacing w:before="80" w:line="360"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Enterprise software to manage business operations and customer relations</w:t>
            </w:r>
          </w:p>
        </w:tc>
      </w:tr>
      <w:tr w:rsidR="00583DEA" w:rsidRPr="001873D9" w14:paraId="2F27F36E" w14:textId="77777777" w:rsidTr="000865AE">
        <w:trPr>
          <w:trHeight w:val="27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hideMark/>
          </w:tcPr>
          <w:p w14:paraId="1C0DDDA5"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SDOM</w:t>
            </w:r>
          </w:p>
        </w:tc>
        <w:tc>
          <w:tcPr>
            <w:tcW w:w="8080" w:type="dxa"/>
            <w:shd w:val="clear" w:color="auto" w:fill="auto"/>
            <w:noWrap/>
            <w:hideMark/>
          </w:tcPr>
          <w:p w14:paraId="5AFCCBEC" w14:textId="77777777" w:rsidR="00583DEA" w:rsidRPr="001873D9" w:rsidRDefault="00583DEA" w:rsidP="00BD03EA">
            <w:pPr>
              <w:spacing w:before="80" w:line="360"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Service Delivery Operating Model</w:t>
            </w:r>
          </w:p>
        </w:tc>
      </w:tr>
      <w:tr w:rsidR="00583DEA" w:rsidRPr="001873D9" w14:paraId="0F3BBBF5" w14:textId="77777777" w:rsidTr="000865A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2AB27C82"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proofErr w:type="spellStart"/>
            <w:r w:rsidRPr="001873D9">
              <w:rPr>
                <w:rFonts w:ascii="Georgia" w:eastAsia="Times New Roman" w:hAnsi="Georgia" w:cs="Arial"/>
                <w:color w:val="000000"/>
                <w:sz w:val="16"/>
                <w:szCs w:val="16"/>
                <w:lang w:val="en-AU" w:eastAsia="en-AU"/>
              </w:rPr>
              <w:t>ToR</w:t>
            </w:r>
            <w:proofErr w:type="spellEnd"/>
          </w:p>
        </w:tc>
        <w:tc>
          <w:tcPr>
            <w:tcW w:w="8080" w:type="dxa"/>
            <w:shd w:val="clear" w:color="auto" w:fill="auto"/>
            <w:noWrap/>
            <w:hideMark/>
          </w:tcPr>
          <w:p w14:paraId="1C5F4DE3" w14:textId="77777777" w:rsidR="00583DEA" w:rsidRPr="001873D9" w:rsidRDefault="00583DEA" w:rsidP="00BD03EA">
            <w:pPr>
              <w:spacing w:before="80" w:line="360"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Terms of Reference</w:t>
            </w:r>
          </w:p>
        </w:tc>
      </w:tr>
      <w:tr w:rsidR="00583DEA" w:rsidRPr="001873D9" w14:paraId="4C09061D" w14:textId="77777777" w:rsidTr="000865AE">
        <w:trPr>
          <w:trHeight w:val="27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hideMark/>
          </w:tcPr>
          <w:p w14:paraId="01A66C37" w14:textId="77777777" w:rsidR="00583DEA" w:rsidRPr="001873D9" w:rsidRDefault="00583DEA" w:rsidP="00BD03EA">
            <w:pPr>
              <w:spacing w:before="80" w:line="360" w:lineRule="auto"/>
              <w:jc w:val="center"/>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UAT</w:t>
            </w:r>
          </w:p>
        </w:tc>
        <w:tc>
          <w:tcPr>
            <w:tcW w:w="8080" w:type="dxa"/>
            <w:shd w:val="clear" w:color="auto" w:fill="auto"/>
            <w:noWrap/>
            <w:hideMark/>
          </w:tcPr>
          <w:p w14:paraId="68923506" w14:textId="77777777" w:rsidR="00583DEA" w:rsidRPr="001873D9" w:rsidRDefault="00583DEA" w:rsidP="00BD03EA">
            <w:pPr>
              <w:spacing w:before="80" w:line="360"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color w:val="000000"/>
                <w:sz w:val="16"/>
                <w:szCs w:val="16"/>
                <w:lang w:val="en-AU" w:eastAsia="en-AU"/>
              </w:rPr>
            </w:pPr>
            <w:r w:rsidRPr="001873D9">
              <w:rPr>
                <w:rFonts w:ascii="Georgia" w:eastAsia="Times New Roman" w:hAnsi="Georgia" w:cs="Arial"/>
                <w:color w:val="000000"/>
                <w:sz w:val="16"/>
                <w:szCs w:val="16"/>
                <w:lang w:val="en-AU" w:eastAsia="en-AU"/>
              </w:rPr>
              <w:t>User Acceptance Testing</w:t>
            </w:r>
          </w:p>
        </w:tc>
      </w:tr>
    </w:tbl>
    <w:p w14:paraId="451C2CC3" w14:textId="77777777" w:rsidR="00BA7499" w:rsidRDefault="00BA7499" w:rsidP="00BA7499">
      <w:pPr>
        <w:pStyle w:val="BodyText"/>
      </w:pPr>
    </w:p>
    <w:p w14:paraId="64EE18A4" w14:textId="7EF8C42F" w:rsidR="002D4A3B" w:rsidRDefault="002D4A3B">
      <w:pPr>
        <w:spacing w:line="259" w:lineRule="auto"/>
      </w:pPr>
      <w:r>
        <w:br w:type="page"/>
      </w:r>
    </w:p>
    <w:p w14:paraId="13218350" w14:textId="582CBD6C" w:rsidR="002D4A3B" w:rsidRPr="006D369B" w:rsidRDefault="002D4A3B" w:rsidP="002D4A3B">
      <w:pPr>
        <w:pStyle w:val="AppendixHeading1"/>
        <w:rPr>
          <w:sz w:val="40"/>
        </w:rPr>
      </w:pPr>
      <w:bookmarkStart w:id="33" w:name="_Toc460422978"/>
      <w:r>
        <w:rPr>
          <w:sz w:val="40"/>
        </w:rPr>
        <w:lastRenderedPageBreak/>
        <w:t>Governance</w:t>
      </w:r>
      <w:bookmarkEnd w:id="33"/>
    </w:p>
    <w:p w14:paraId="07B74033" w14:textId="1887E86D" w:rsidR="002D4A3B" w:rsidRDefault="00143FEF" w:rsidP="002D4A3B">
      <w:pPr>
        <w:pStyle w:val="AppendixHeading2"/>
      </w:pPr>
      <w:bookmarkStart w:id="34" w:name="_Toc460422979"/>
      <w:r>
        <w:t>NDIA Governance Structure</w:t>
      </w:r>
      <w:bookmarkEnd w:id="34"/>
    </w:p>
    <w:p w14:paraId="288B3D7B" w14:textId="77777777" w:rsidR="00BA7499" w:rsidRDefault="00BA7499" w:rsidP="00BA7499">
      <w:pPr>
        <w:pStyle w:val="BodyText"/>
      </w:pPr>
    </w:p>
    <w:p w14:paraId="1D3449AF" w14:textId="4A3FC389" w:rsidR="00BA7499" w:rsidRDefault="00F66CAA" w:rsidP="00BA7499">
      <w:pPr>
        <w:pStyle w:val="BodyText"/>
      </w:pPr>
      <w:r w:rsidRPr="00F66CAA">
        <w:rPr>
          <w:noProof/>
          <w:lang w:val="en-AU" w:eastAsia="en-AU"/>
        </w:rPr>
        <w:drawing>
          <wp:inline distT="0" distB="0" distL="0" distR="0" wp14:anchorId="7730EBE9" wp14:editId="1F71C93B">
            <wp:extent cx="6264275" cy="4267483"/>
            <wp:effectExtent l="0" t="0" r="3175" b="0"/>
            <wp:docPr id="6" name="Picture 6" descr="The Council of Australian Governments Disability Reform Council (DRC) provides a forum for member Governments to discuss matters of mutual interest and progress key national reform in disability policy including the National Disability Insurance Scheme (NDIS).&#10;&#10;The Disability Reform Council oversees the trial and implementation of the NDIS and will make recommendations to COAG on the transition to NDIS full scheme.&#10;&#10;The Disability Reform Council is chaired by the Commonwealth Minister responsible for disability and consists of Commonwealth, State and Territory Ministers within disability and treasury portfolios, as well as a representative from the Australian Local Government Association.&#10;&#10;Supporting the DRC are officials working groups consisting of representatives of Commonwealth, state and territory government departments. &#10;&#10;The National Disability Insurance Agency (NDIA) Board is the governing body of the NDIA and reports to the DRC.  The NDIA Board sets the strategic direction of the NDIA, and develops and maintains relationships with stakeholders including the Commonwealth Minister, the DRC and the Independent Advisory Council.&#10;&#10;The Independent Advisory Council, consisting of members who reflect the diversity of people with disability, provide independent advice to the NDIA Board on the implementation of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4275" cy="4267483"/>
                    </a:xfrm>
                    <a:prstGeom prst="rect">
                      <a:avLst/>
                    </a:prstGeom>
                    <a:noFill/>
                    <a:ln>
                      <a:noFill/>
                    </a:ln>
                  </pic:spPr>
                </pic:pic>
              </a:graphicData>
            </a:graphic>
          </wp:inline>
        </w:drawing>
      </w:r>
      <w:bookmarkStart w:id="35" w:name="_GoBack"/>
      <w:bookmarkEnd w:id="35"/>
    </w:p>
    <w:sectPr w:rsidR="00BA7499" w:rsidSect="006F2DEA">
      <w:headerReference w:type="default" r:id="rId21"/>
      <w:footerReference w:type="default" r:id="rId22"/>
      <w:pgSz w:w="11909" w:h="16834" w:code="9"/>
      <w:pgMar w:top="1354" w:right="1022" w:bottom="562" w:left="792" w:header="562" w:footer="562" w:gutter="23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30A08" w14:textId="77777777" w:rsidR="006033A8" w:rsidRDefault="006033A8" w:rsidP="00D52C78">
      <w:pPr>
        <w:spacing w:after="0"/>
      </w:pPr>
      <w:r>
        <w:separator/>
      </w:r>
    </w:p>
  </w:endnote>
  <w:endnote w:type="continuationSeparator" w:id="0">
    <w:p w14:paraId="7A912DD6" w14:textId="77777777" w:rsidR="006033A8" w:rsidRDefault="006033A8" w:rsidP="00D52C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CA706" w14:textId="24837E18" w:rsidR="006033A8" w:rsidRDefault="006033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CC168" w14:textId="77777777" w:rsidR="006033A8" w:rsidRDefault="006033A8">
    <w:pPr>
      <w:pStyle w:val="Footer"/>
    </w:pPr>
    <w:r>
      <w:rPr>
        <w:noProof/>
        <w:lang w:val="en-AU" w:eastAsia="en-AU"/>
      </w:rPr>
      <w:drawing>
        <wp:anchor distT="0" distB="0" distL="114300" distR="114300" simplePos="0" relativeHeight="251658240" behindDoc="1" locked="1" layoutInCell="1" allowOverlap="1" wp14:anchorId="21586EFD" wp14:editId="0A182135">
          <wp:simplePos x="0" y="0"/>
          <wp:positionH relativeFrom="column">
            <wp:posOffset>555625</wp:posOffset>
          </wp:positionH>
          <wp:positionV relativeFrom="page">
            <wp:posOffset>9345295</wp:posOffset>
          </wp:positionV>
          <wp:extent cx="1289050" cy="977900"/>
          <wp:effectExtent l="0" t="0" r="6350"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1289050" cy="9779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2DE05" w14:textId="0C6BABB4" w:rsidR="006033A8" w:rsidRDefault="00435FC3" w:rsidP="00406A0E">
    <w:pPr>
      <w:pStyle w:val="Footer"/>
      <w:tabs>
        <w:tab w:val="clear" w:pos="4680"/>
        <w:tab w:val="clear" w:pos="9360"/>
      </w:tabs>
      <w:spacing w:before="480" w:after="60"/>
    </w:pPr>
    <w:sdt>
      <w:sdtPr>
        <w:rPr>
          <w:rFonts w:cs="Arial"/>
          <w:szCs w:val="16"/>
        </w:rPr>
        <w:alias w:val="Title"/>
        <w:tag w:val=""/>
        <w:id w:val="-1791733299"/>
        <w:dataBinding w:prefixMappings="xmlns:ns0='http://purl.org/dc/elements/1.1/' xmlns:ns1='http://schemas.openxmlformats.org/package/2006/metadata/core-properties' " w:xpath="/ns1:coreProperties[1]/ns0:title[1]" w:storeItemID="{6C3C8BC8-F283-45AE-878A-BAB7291924A1}"/>
        <w:text/>
      </w:sdtPr>
      <w:sdtEndPr/>
      <w:sdtContent>
        <w:r w:rsidR="006033A8">
          <w:rPr>
            <w:rFonts w:cs="Arial"/>
            <w:szCs w:val="16"/>
            <w:lang w:val="en-AU"/>
          </w:rPr>
          <w:t>National Disability Insurance Scheme</w:t>
        </w:r>
      </w:sdtContent>
    </w:sdt>
    <w:r w:rsidR="006033A8" w:rsidRPr="00675D04">
      <w:ptab w:relativeTo="margin" w:alignment="center" w:leader="none"/>
    </w:r>
    <w:r w:rsidR="006033A8" w:rsidRPr="00675D04">
      <w:ptab w:relativeTo="margin" w:alignment="right" w:leader="none"/>
    </w:r>
    <w:sdt>
      <w:sdtPr>
        <w:alias w:val="Date Completed"/>
        <w:tag w:val="{DocProperty:Date completed}"/>
        <w:id w:val="1923215318"/>
        <w:text/>
      </w:sdtPr>
      <w:sdtEndPr/>
      <w:sdtContent>
        <w:r w:rsidR="00446ED1">
          <w:t>31</w:t>
        </w:r>
        <w:r w:rsidR="006033A8">
          <w:t xml:space="preserve"> August 2016</w:t>
        </w:r>
      </w:sdtContent>
    </w:sdt>
  </w:p>
  <w:p w14:paraId="53EC2A3A" w14:textId="44ECC586" w:rsidR="006033A8" w:rsidRDefault="006033A8" w:rsidP="00406A0E">
    <w:pPr>
      <w:pStyle w:val="Footer"/>
      <w:tabs>
        <w:tab w:val="clear" w:pos="4680"/>
        <w:tab w:val="clear" w:pos="9360"/>
      </w:tabs>
    </w:pPr>
    <w:r>
      <w:rPr>
        <w:rFonts w:cs="Arial"/>
        <w:szCs w:val="16"/>
      </w:rPr>
      <w:t>PwC</w:t>
    </w:r>
    <w:r w:rsidRPr="00675D04">
      <w:ptab w:relativeTo="margin" w:alignment="center" w:leader="none"/>
    </w:r>
    <w:r w:rsidRPr="00675D04">
      <w:ptab w:relativeTo="margin" w:alignment="right" w:leader="none"/>
    </w:r>
    <w:r>
      <w:fldChar w:fldCharType="begin"/>
    </w:r>
    <w:r>
      <w:instrText xml:space="preserve"> PAGE   \* MERGEFORMAT </w:instrText>
    </w:r>
    <w:r>
      <w:fldChar w:fldCharType="separate"/>
    </w:r>
    <w:r w:rsidR="00435FC3">
      <w:rPr>
        <w:noProof/>
      </w:rPr>
      <w:t>1</w:t>
    </w:r>
    <w:r>
      <w:fldChar w:fldCharType="end"/>
    </w:r>
  </w:p>
  <w:p w14:paraId="261CC6B1" w14:textId="77777777" w:rsidR="006033A8" w:rsidRPr="00E973CD" w:rsidRDefault="006033A8" w:rsidP="00E973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5D4597" w14:textId="77777777" w:rsidR="006033A8" w:rsidRDefault="006033A8" w:rsidP="00D52C78">
      <w:pPr>
        <w:spacing w:after="0"/>
      </w:pPr>
      <w:r>
        <w:separator/>
      </w:r>
    </w:p>
  </w:footnote>
  <w:footnote w:type="continuationSeparator" w:id="0">
    <w:p w14:paraId="19156F8F" w14:textId="77777777" w:rsidR="006033A8" w:rsidRDefault="006033A8" w:rsidP="00D52C78">
      <w:pPr>
        <w:spacing w:after="0"/>
      </w:pPr>
      <w:r>
        <w:continuationSeparator/>
      </w:r>
    </w:p>
  </w:footnote>
  <w:footnote w:id="1">
    <w:p w14:paraId="502C5A0B" w14:textId="77777777" w:rsidR="006033A8" w:rsidRPr="00393E6B" w:rsidRDefault="006033A8" w:rsidP="00206B51">
      <w:pPr>
        <w:pStyle w:val="FootnoteText"/>
        <w:rPr>
          <w:lang w:val="en-AU"/>
        </w:rPr>
      </w:pPr>
      <w:r>
        <w:rPr>
          <w:rStyle w:val="FootnoteReference"/>
        </w:rPr>
        <w:footnoteRef/>
      </w:r>
      <w:r>
        <w:t xml:space="preserve"> </w:t>
      </w:r>
      <w:r w:rsidRPr="003426D9">
        <w:rPr>
          <w:lang w:val="en-AU"/>
        </w:rPr>
        <w:t>A Review of the Capabilities of the National Disability Insurance Agency, January 2014</w:t>
      </w:r>
    </w:p>
  </w:footnote>
  <w:footnote w:id="2">
    <w:p w14:paraId="5087313C" w14:textId="77777777" w:rsidR="006033A8" w:rsidRPr="00AE2F1F" w:rsidRDefault="006033A8" w:rsidP="00206B51">
      <w:pPr>
        <w:pStyle w:val="FootnoteText"/>
        <w:rPr>
          <w:lang w:val="en-AU"/>
        </w:rPr>
      </w:pPr>
      <w:r>
        <w:rPr>
          <w:rStyle w:val="FootnoteReference"/>
        </w:rPr>
        <w:footnoteRef/>
      </w:r>
      <w:r>
        <w:t xml:space="preserve"> </w:t>
      </w:r>
      <w:r>
        <w:rPr>
          <w:lang w:val="en-AU"/>
        </w:rPr>
        <w:t>NDIA Second Pass Business Case, January 2015 Addendum</w:t>
      </w:r>
    </w:p>
  </w:footnote>
  <w:footnote w:id="3">
    <w:p w14:paraId="6D78B172" w14:textId="77777777" w:rsidR="006033A8" w:rsidRPr="00636BA2" w:rsidRDefault="006033A8" w:rsidP="00206B51">
      <w:pPr>
        <w:pStyle w:val="FootnoteText"/>
        <w:rPr>
          <w:lang w:val="en-AU"/>
        </w:rPr>
      </w:pPr>
      <w:r>
        <w:rPr>
          <w:rStyle w:val="FootnoteReference"/>
        </w:rPr>
        <w:footnoteRef/>
      </w:r>
      <w:r>
        <w:t xml:space="preserve"> </w:t>
      </w:r>
      <w:r w:rsidRPr="00636BA2">
        <w:t>NDIA Second Pass Business Case</w:t>
      </w:r>
      <w:r>
        <w:t xml:space="preserve"> (September 2014)</w:t>
      </w:r>
    </w:p>
  </w:footnote>
  <w:footnote w:id="4">
    <w:p w14:paraId="4A3C5CC6" w14:textId="77777777" w:rsidR="006033A8" w:rsidRPr="0004252F" w:rsidRDefault="006033A8" w:rsidP="00206B51">
      <w:pPr>
        <w:pStyle w:val="FootnoteText"/>
        <w:rPr>
          <w:lang w:val="en-AU"/>
        </w:rPr>
      </w:pPr>
      <w:r>
        <w:rPr>
          <w:rStyle w:val="FootnoteReference"/>
        </w:rPr>
        <w:footnoteRef/>
      </w:r>
      <w:r>
        <w:t xml:space="preserve"> </w:t>
      </w:r>
      <w:r>
        <w:rPr>
          <w:lang w:val="en-AU"/>
        </w:rPr>
        <w:t>NDIA Second Pass Business Case, January 2015 Addendum</w:t>
      </w:r>
    </w:p>
  </w:footnote>
  <w:footnote w:id="5">
    <w:p w14:paraId="08BFE33C" w14:textId="77777777" w:rsidR="006033A8" w:rsidRPr="00F03D35" w:rsidRDefault="006033A8" w:rsidP="00206B51">
      <w:pPr>
        <w:pStyle w:val="FootnoteText"/>
        <w:rPr>
          <w:lang w:val="en-AU"/>
        </w:rPr>
      </w:pPr>
      <w:r>
        <w:rPr>
          <w:rStyle w:val="FootnoteReference"/>
        </w:rPr>
        <w:footnoteRef/>
      </w:r>
      <w:r>
        <w:t xml:space="preserve"> </w:t>
      </w:r>
      <w:r w:rsidRPr="00F03D35">
        <w:rPr>
          <w:color w:val="auto"/>
          <w:lang w:val="en-AU"/>
        </w:rPr>
        <w:t>2015-16 Federal Budget, Budget Paper No. 2</w:t>
      </w:r>
    </w:p>
  </w:footnote>
  <w:footnote w:id="6">
    <w:p w14:paraId="3A473362" w14:textId="77777777" w:rsidR="006033A8" w:rsidRDefault="006033A8" w:rsidP="00C523D9">
      <w:pPr>
        <w:pStyle w:val="FootnoteText"/>
        <w:rPr>
          <w:lang w:val="en-AU"/>
        </w:rPr>
      </w:pPr>
      <w:r>
        <w:rPr>
          <w:rStyle w:val="FootnoteReference"/>
        </w:rPr>
        <w:footnoteRef/>
      </w:r>
      <w:r>
        <w:t xml:space="preserve"> </w:t>
      </w:r>
      <w:r>
        <w:rPr>
          <w:lang w:val="en-AU"/>
        </w:rPr>
        <w:t>NDIA Second Pass Business Case, January 2015 Addendum</w:t>
      </w:r>
    </w:p>
  </w:footnote>
  <w:footnote w:id="7">
    <w:p w14:paraId="457036E2" w14:textId="77777777" w:rsidR="006033A8" w:rsidRDefault="006033A8" w:rsidP="00663669">
      <w:pPr>
        <w:pStyle w:val="FootnoteText"/>
        <w:rPr>
          <w:lang w:val="en-AU"/>
        </w:rPr>
      </w:pPr>
      <w:r>
        <w:rPr>
          <w:rStyle w:val="FootnoteReference"/>
        </w:rPr>
        <w:footnoteRef/>
      </w:r>
      <w:r>
        <w:t xml:space="preserve"> NDIA EMG Paper – Full Scheme MVP Paper and Attachments, 8 March 2016</w:t>
      </w:r>
    </w:p>
  </w:footnote>
  <w:footnote w:id="8">
    <w:p w14:paraId="7CF64FDE" w14:textId="77777777" w:rsidR="006033A8" w:rsidRDefault="006033A8" w:rsidP="00663669">
      <w:pPr>
        <w:pStyle w:val="FootnoteText"/>
        <w:rPr>
          <w:lang w:val="en-AU"/>
        </w:rPr>
      </w:pPr>
      <w:r>
        <w:rPr>
          <w:rStyle w:val="FootnoteReference"/>
        </w:rPr>
        <w:footnoteRef/>
      </w:r>
      <w:r>
        <w:t xml:space="preserve"> </w:t>
      </w:r>
      <w:r>
        <w:rPr>
          <w:lang w:val="en-AU"/>
        </w:rPr>
        <w:t>NDIA EMG Paper – FSL Business Requirements Finalisation Paper and Attachments, May 2016</w:t>
      </w:r>
    </w:p>
  </w:footnote>
  <w:footnote w:id="9">
    <w:p w14:paraId="1062FAB4" w14:textId="77777777" w:rsidR="006033A8" w:rsidRDefault="006033A8" w:rsidP="00663669">
      <w:pPr>
        <w:pStyle w:val="FootnoteText"/>
        <w:rPr>
          <w:lang w:val="en-AU"/>
        </w:rPr>
      </w:pPr>
      <w:r>
        <w:rPr>
          <w:rStyle w:val="FootnoteReference"/>
        </w:rPr>
        <w:footnoteRef/>
      </w:r>
      <w:r>
        <w:t xml:space="preserve"> NDIA Full Scheme ICT – EMG Presentation, 14 July 2016</w:t>
      </w:r>
    </w:p>
  </w:footnote>
  <w:footnote w:id="10">
    <w:p w14:paraId="40387307" w14:textId="77777777" w:rsidR="006033A8" w:rsidRPr="00B30231" w:rsidRDefault="006033A8" w:rsidP="00663669">
      <w:pPr>
        <w:pStyle w:val="FootnoteText"/>
        <w:rPr>
          <w:lang w:val="en-AU"/>
        </w:rPr>
      </w:pPr>
      <w:r>
        <w:rPr>
          <w:rStyle w:val="FootnoteReference"/>
        </w:rPr>
        <w:footnoteRef/>
      </w:r>
      <w:r>
        <w:t xml:space="preserve"> NDIA ICT Committee - Stage Gate 5 and Gateway Review and Paper, 30 June 2016</w:t>
      </w:r>
    </w:p>
  </w:footnote>
  <w:footnote w:id="11">
    <w:p w14:paraId="421A9435" w14:textId="77777777" w:rsidR="006033A8" w:rsidRPr="00CF079B" w:rsidRDefault="006033A8" w:rsidP="00663669">
      <w:pPr>
        <w:pStyle w:val="FootnoteText"/>
        <w:rPr>
          <w:lang w:val="en-AU"/>
        </w:rPr>
      </w:pPr>
      <w:r>
        <w:rPr>
          <w:rStyle w:val="FootnoteReference"/>
        </w:rPr>
        <w:footnoteRef/>
      </w:r>
      <w:r>
        <w:t xml:space="preserve"> </w:t>
      </w:r>
      <w:r w:rsidRPr="00F228A0">
        <w:t>15 - EMG Presentation - Full Scheme ICT Go-live decision</w:t>
      </w:r>
    </w:p>
  </w:footnote>
  <w:footnote w:id="12">
    <w:p w14:paraId="10B48EB9" w14:textId="77777777" w:rsidR="006033A8" w:rsidRPr="00CF079B" w:rsidRDefault="006033A8" w:rsidP="00663669">
      <w:pPr>
        <w:pStyle w:val="FootnoteText"/>
        <w:rPr>
          <w:lang w:val="en-AU"/>
        </w:rPr>
      </w:pPr>
      <w:r>
        <w:rPr>
          <w:rStyle w:val="FootnoteReference"/>
        </w:rPr>
        <w:footnoteRef/>
      </w:r>
      <w:r>
        <w:t xml:space="preserve"> </w:t>
      </w:r>
      <w:r w:rsidRPr="00F228A0">
        <w:t>KPMG Independent Assurance Review (Stage Gate 5)</w:t>
      </w:r>
    </w:p>
  </w:footnote>
  <w:footnote w:id="13">
    <w:p w14:paraId="79D3FE09" w14:textId="77777777" w:rsidR="006033A8" w:rsidRPr="00AE14CB" w:rsidRDefault="006033A8" w:rsidP="00663669">
      <w:pPr>
        <w:pStyle w:val="FootnoteText"/>
        <w:rPr>
          <w:lang w:val="en-AU"/>
        </w:rPr>
      </w:pPr>
      <w:r>
        <w:rPr>
          <w:rStyle w:val="FootnoteReference"/>
        </w:rPr>
        <w:footnoteRef/>
      </w:r>
      <w:r>
        <w:t xml:space="preserve"> Consolidated NDIA TDI Risk document</w:t>
      </w:r>
    </w:p>
  </w:footnote>
  <w:footnote w:id="14">
    <w:p w14:paraId="54C58D43" w14:textId="77777777" w:rsidR="006033A8" w:rsidRPr="00AE14CB" w:rsidRDefault="006033A8" w:rsidP="00663669">
      <w:pPr>
        <w:pStyle w:val="FootnoteText"/>
        <w:rPr>
          <w:lang w:val="en-AU"/>
        </w:rPr>
      </w:pPr>
      <w:r>
        <w:rPr>
          <w:rStyle w:val="FootnoteReference"/>
        </w:rPr>
        <w:footnoteRef/>
      </w:r>
      <w:r>
        <w:t xml:space="preserve"> KPMG Independent Assurance Review (Stage Gate 5)</w:t>
      </w:r>
    </w:p>
  </w:footnote>
  <w:footnote w:id="15">
    <w:p w14:paraId="39C9360E" w14:textId="77777777" w:rsidR="006033A8" w:rsidRPr="0063416B" w:rsidRDefault="006033A8" w:rsidP="00663669">
      <w:pPr>
        <w:pStyle w:val="FootnoteText"/>
        <w:rPr>
          <w:lang w:val="en-AU"/>
        </w:rPr>
      </w:pPr>
      <w:r>
        <w:rPr>
          <w:rStyle w:val="FootnoteReference"/>
        </w:rPr>
        <w:footnoteRef/>
      </w:r>
      <w:r>
        <w:t xml:space="preserve"> Gateway Review Report Gate 4 – Readiness for Service Review for National Disability Insurance Agency (NDIA) Full Scheme ICT solution</w:t>
      </w:r>
    </w:p>
  </w:footnote>
  <w:footnote w:id="16">
    <w:p w14:paraId="772B9472" w14:textId="77777777" w:rsidR="006033A8" w:rsidRPr="0063416B" w:rsidRDefault="006033A8" w:rsidP="00663669">
      <w:pPr>
        <w:pStyle w:val="FootnoteText"/>
        <w:rPr>
          <w:lang w:val="en-AU"/>
        </w:rPr>
      </w:pPr>
      <w:r>
        <w:rPr>
          <w:rStyle w:val="FootnoteReference"/>
        </w:rPr>
        <w:footnoteRef/>
      </w:r>
      <w:r>
        <w:t xml:space="preserve"> Consolidated NDIA TDI Risk document</w:t>
      </w:r>
    </w:p>
  </w:footnote>
  <w:footnote w:id="17">
    <w:p w14:paraId="001274F5" w14:textId="77777777" w:rsidR="006033A8" w:rsidRPr="008712BD" w:rsidRDefault="006033A8" w:rsidP="00663669">
      <w:pPr>
        <w:pStyle w:val="FootnoteText"/>
        <w:rPr>
          <w:lang w:val="en-AU"/>
        </w:rPr>
      </w:pPr>
      <w:r>
        <w:rPr>
          <w:rStyle w:val="FootnoteReference"/>
        </w:rPr>
        <w:footnoteRef/>
      </w:r>
      <w:r>
        <w:t xml:space="preserve"> ITEM 2.1 FSL Contingency Plan (7 June 2016).docx</w:t>
      </w:r>
    </w:p>
  </w:footnote>
  <w:footnote w:id="18">
    <w:p w14:paraId="7F36F0C1" w14:textId="77777777" w:rsidR="002634EC" w:rsidRPr="00191AEB" w:rsidRDefault="002634EC" w:rsidP="002634EC">
      <w:pPr>
        <w:pStyle w:val="FootnoteText"/>
        <w:rPr>
          <w:lang w:val="en-AU"/>
        </w:rPr>
      </w:pPr>
      <w:r>
        <w:rPr>
          <w:rStyle w:val="FootnoteReference"/>
        </w:rPr>
        <w:footnoteRef/>
      </w:r>
      <w:r>
        <w:t xml:space="preserve"> </w:t>
      </w:r>
      <w:r w:rsidRPr="00EE0186">
        <w:t>Provider and participants payments summary.pdf</w:t>
      </w:r>
    </w:p>
  </w:footnote>
  <w:footnote w:id="19">
    <w:p w14:paraId="26ED9CE2" w14:textId="77777777" w:rsidR="002634EC" w:rsidRPr="00191AEB" w:rsidRDefault="002634EC" w:rsidP="002634EC">
      <w:pPr>
        <w:pStyle w:val="FootnoteText"/>
        <w:rPr>
          <w:lang w:val="en-AU"/>
        </w:rPr>
      </w:pPr>
      <w:r>
        <w:rPr>
          <w:rStyle w:val="FootnoteReference"/>
        </w:rPr>
        <w:footnoteRef/>
      </w:r>
      <w:r>
        <w:t xml:space="preserve"> </w:t>
      </w:r>
      <w:r w:rsidRPr="00EE0186">
        <w:t xml:space="preserve">Provider and participants payments </w:t>
      </w:r>
      <w:proofErr w:type="spellStart"/>
      <w:r w:rsidRPr="00EE0186">
        <w:t>summary_additional</w:t>
      </w:r>
      <w:proofErr w:type="spellEnd"/>
      <w:r w:rsidRPr="00EE0186">
        <w:t xml:space="preserve"> table.pdf</w:t>
      </w:r>
      <w:r>
        <w:t xml:space="preserve"> and </w:t>
      </w:r>
      <w:r w:rsidRPr="00EE0186">
        <w:t xml:space="preserve">Provider and participants payments </w:t>
      </w:r>
      <w:proofErr w:type="spellStart"/>
      <w:r w:rsidRPr="00EE0186">
        <w:t>summary_Tables</w:t>
      </w:r>
      <w:proofErr w:type="spellEnd"/>
      <w:r w:rsidRPr="00EE0186">
        <w:t xml:space="preserve"> 8 and 9.pdf</w:t>
      </w:r>
    </w:p>
  </w:footnote>
  <w:footnote w:id="20">
    <w:p w14:paraId="0A0632EF" w14:textId="77777777" w:rsidR="006033A8" w:rsidRPr="00311714" w:rsidRDefault="006033A8" w:rsidP="00663669">
      <w:pPr>
        <w:pStyle w:val="FootnoteText"/>
        <w:rPr>
          <w:color w:val="auto"/>
          <w:lang w:val="en-AU"/>
        </w:rPr>
      </w:pPr>
      <w:r w:rsidRPr="00311714">
        <w:rPr>
          <w:rStyle w:val="FootnoteReference"/>
          <w:color w:val="auto"/>
        </w:rPr>
        <w:footnoteRef/>
      </w:r>
      <w:r w:rsidRPr="00311714">
        <w:rPr>
          <w:color w:val="auto"/>
        </w:rPr>
        <w:t xml:space="preserve"> Regional CMF Check Reports, 27 May 2016</w:t>
      </w:r>
    </w:p>
  </w:footnote>
  <w:footnote w:id="21">
    <w:p w14:paraId="18637D8A" w14:textId="77777777" w:rsidR="006033A8" w:rsidRPr="00015509" w:rsidRDefault="006033A8" w:rsidP="00663669">
      <w:pPr>
        <w:pStyle w:val="FootnoteText"/>
        <w:rPr>
          <w:lang w:val="en-AU"/>
        </w:rPr>
      </w:pPr>
      <w:r>
        <w:rPr>
          <w:rStyle w:val="FootnoteReference"/>
        </w:rPr>
        <w:footnoteRef/>
      </w:r>
      <w:r>
        <w:t xml:space="preserve"> </w:t>
      </w:r>
      <w:r w:rsidRPr="008D3499">
        <w:t>NDIS Website updates</w:t>
      </w:r>
      <w:r>
        <w:t xml:space="preserve">, </w:t>
      </w:r>
      <w:r w:rsidRPr="00E95601">
        <w:t>Introduction and overview of the Provider Toolkit</w:t>
      </w:r>
      <w:r>
        <w:t xml:space="preserve">, </w:t>
      </w:r>
      <w:r w:rsidRPr="00E95601">
        <w:t>EMG MCE paper - Final - 14 April</w:t>
      </w:r>
    </w:p>
  </w:footnote>
  <w:footnote w:id="22">
    <w:p w14:paraId="3BD3E788" w14:textId="77777777" w:rsidR="006033A8" w:rsidRPr="00E6748D" w:rsidRDefault="006033A8" w:rsidP="00663669">
      <w:pPr>
        <w:pStyle w:val="FootnoteText"/>
        <w:rPr>
          <w:lang w:val="en-AU"/>
        </w:rPr>
      </w:pPr>
      <w:r>
        <w:rPr>
          <w:rStyle w:val="FootnoteReference"/>
        </w:rPr>
        <w:footnoteRef/>
      </w:r>
      <w:r>
        <w:t xml:space="preserve"> </w:t>
      </w:r>
      <w:r w:rsidRPr="00E6748D">
        <w:t>Community Readiness Framework v1.1</w:t>
      </w:r>
    </w:p>
  </w:footnote>
  <w:footnote w:id="23">
    <w:p w14:paraId="1BF3325C" w14:textId="77777777" w:rsidR="006033A8" w:rsidRPr="00CF079B" w:rsidRDefault="006033A8" w:rsidP="00663669">
      <w:pPr>
        <w:pStyle w:val="FootnoteText"/>
        <w:rPr>
          <w:lang w:val="en-AU"/>
        </w:rPr>
      </w:pPr>
      <w:r>
        <w:rPr>
          <w:rStyle w:val="FootnoteReference"/>
        </w:rPr>
        <w:footnoteRef/>
      </w:r>
      <w:r>
        <w:t xml:space="preserve"> </w:t>
      </w:r>
      <w:r w:rsidRPr="00912F08">
        <w:t>15 - EMG Presentation - Full Scheme ICT Go-live decision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7F4DF" w14:textId="7D5D242E" w:rsidR="006033A8" w:rsidRPr="00E74FC7" w:rsidRDefault="00435FC3" w:rsidP="00E74FC7">
    <w:pPr>
      <w:spacing w:after="0"/>
      <w:ind w:left="2546"/>
      <w:rPr>
        <w:rFonts w:ascii="Arial" w:hAnsi="Arial" w:cs="Arial"/>
        <w:color w:val="000000" w:themeColor="text1"/>
        <w:sz w:val="22"/>
      </w:rPr>
    </w:pPr>
    <w:sdt>
      <w:sdtPr>
        <w:rPr>
          <w:rFonts w:ascii="Arial" w:hAnsi="Arial" w:cs="Arial"/>
          <w:color w:val="000000" w:themeColor="text1"/>
          <w:sz w:val="22"/>
        </w:rPr>
        <w:alias w:val="Category"/>
        <w:tag w:val=""/>
        <w:id w:val="-2066935819"/>
        <w:showingPlcHdr/>
        <w:dataBinding w:prefixMappings="xmlns:ns0='http://purl.org/dc/elements/1.1/' xmlns:ns1='http://schemas.openxmlformats.org/package/2006/metadata/core-properties' " w:xpath="/ns1:coreProperties[1]/ns1:category[1]" w:storeItemID="{6C3C8BC8-F283-45AE-878A-BAB7291924A1}"/>
        <w:text/>
      </w:sdtPr>
      <w:sdtEndPr/>
      <w:sdtContent>
        <w:r w:rsidR="000865AE">
          <w:rPr>
            <w:rFonts w:ascii="Arial" w:hAnsi="Arial" w:cs="Arial"/>
            <w:color w:val="000000" w:themeColor="text1"/>
            <w:sz w:val="22"/>
          </w:rPr>
          <w:t xml:space="preserve">     </w:t>
        </w:r>
      </w:sdtContent>
    </w:sdt>
    <w:r w:rsidR="006033A8" w:rsidRPr="00E74FC7">
      <w:rPr>
        <w:rFonts w:ascii="Arial" w:hAnsi="Arial" w:cs="Arial"/>
        <w:color w:val="000000" w:themeColor="text1"/>
        <w:sz w:val="22"/>
      </w:rPr>
      <w:ptab w:relativeTo="margin" w:alignment="right" w:leader="none"/>
    </w:r>
  </w:p>
  <w:p w14:paraId="02C9DE97" w14:textId="4F5F8AB8" w:rsidR="006033A8" w:rsidRPr="00E74FC7" w:rsidRDefault="006033A8" w:rsidP="00AF0F0A">
    <w:pPr>
      <w:pStyle w:val="Header"/>
      <w:ind w:left="2549"/>
      <w:rPr>
        <w:sz w:val="20"/>
      </w:rPr>
    </w:pPr>
    <w:r w:rsidRPr="00E74FC7">
      <w:rPr>
        <w:rFonts w:eastAsiaTheme="minorEastAsia" w:cs="Arial"/>
        <w:sz w:val="20"/>
      </w:rPr>
      <w:ptab w:relativeTo="margin" w:alignment="right" w:leader="none"/>
    </w:r>
    <w:sdt>
      <w:sdtPr>
        <w:rPr>
          <w:rFonts w:eastAsiaTheme="minorEastAsia" w:cs="Arial"/>
          <w:sz w:val="20"/>
        </w:rPr>
        <w:alias w:val="Status"/>
        <w:tag w:val=""/>
        <w:id w:val="1924059416"/>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0865AE">
          <w:rPr>
            <w:rFonts w:eastAsiaTheme="minorEastAsia" w:cs="Arial"/>
            <w:sz w:val="20"/>
          </w:rPr>
          <w:t xml:space="preserve">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BCD14" w14:textId="62357556" w:rsidR="006033A8" w:rsidRPr="00E74FC7" w:rsidRDefault="006033A8" w:rsidP="00B4101A">
    <w:pPr>
      <w:pStyle w:val="Header"/>
      <w:ind w:left="2376"/>
      <w:rPr>
        <w:sz w:val="20"/>
      </w:rPr>
    </w:pPr>
    <w:r>
      <w:rPr>
        <w:noProof/>
        <w:lang w:val="en-AU" w:eastAsia="en-AU"/>
      </w:rPr>
      <mc:AlternateContent>
        <mc:Choice Requires="wps">
          <w:drawing>
            <wp:anchor distT="0" distB="0" distL="114300" distR="114300" simplePos="0" relativeHeight="251661312" behindDoc="0" locked="1" layoutInCell="1" allowOverlap="1" wp14:anchorId="4CF3D2E7" wp14:editId="726162AC">
              <wp:simplePos x="0" y="0"/>
              <wp:positionH relativeFrom="column">
                <wp:posOffset>1368425</wp:posOffset>
              </wp:positionH>
              <wp:positionV relativeFrom="page">
                <wp:posOffset>2490815</wp:posOffset>
              </wp:positionV>
              <wp:extent cx="4892040" cy="146304"/>
              <wp:effectExtent l="19050" t="19050" r="41910" b="25400"/>
              <wp:wrapNone/>
              <wp:docPr id="5" name="Elbow Connector 5" descr="Decorative"/>
              <wp:cNvGraphicFramePr/>
              <a:graphic xmlns:a="http://schemas.openxmlformats.org/drawingml/2006/main">
                <a:graphicData uri="http://schemas.microsoft.com/office/word/2010/wordprocessingShape">
                  <wps:wsp>
                    <wps:cNvCnPr/>
                    <wps:spPr>
                      <a:xfrm flipV="1">
                        <a:off x="0" y="0"/>
                        <a:ext cx="4892040" cy="146304"/>
                      </a:xfrm>
                      <a:prstGeom prst="bentConnector3">
                        <a:avLst>
                          <a:gd name="adj1" fmla="val 0"/>
                        </a:avLst>
                      </a:prstGeom>
                      <a:ln w="9525"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26" type="#_x0000_t34" alt="Decorative" style="position:absolute;margin-left:107.75pt;margin-top:196.15pt;width:385.2pt;height:1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MI9QEAAC4EAAAOAAAAZHJzL2Uyb0RvYy54bWysU01vGyEQvVfqf0Dc6911nCixvM7Bbnup&#10;WqsfuWN2sKmAoUC99r/vwG62UVNVatULAmbeY96bYXV/toadIESNruXNrOYMnMROu0PLv3x+8+qW&#10;s5iE64RBBy2/QOT365cvVr1fwhyPaDoIjEhcXPa+5ceU/LKqojyCFXGGHhwFFQYrEh3DoeqC6Ind&#10;mmpe1zdVj6HzASXESLfbIcjXhV8pkOmDUhESMy2n2lJZQ1n3ea3WK7E8BOGPWo5liH+owgrt6NGJ&#10;aiuSYN+DfkZltQwYUaWZRFuhUlpC0UBqmvoXNZ+OwkPRQuZEP9kU/x+tfH/aBaa7ll9z5oSlFr02&#10;e+zZBp0j9zAwCnQQJZm2BYlBJH2C7Fvv45LgG7cL4yn6XcgmnFWwTBntH2gkii0klJ2L65fJdTgn&#10;JulycXs3rxfUHEmxZnFzVS8yfTXwZD4fYnoLaFnetHwPLk3lXRV+cXoXU/G/G1WI7mvDmbKG2nkS&#10;hpVWE+eYSbtH1gwzjvUtv7uek1gpaA7jt1JD1jioKrt0MTCkfwRFrlH1g74yr7AxgdFbLRdSUo3N&#10;KMM4ys4wpY2ZgHUp/I/AMT9Doczy34AnRHkZXZrAVjsMv3s9nR9LVkM+deGJ7rzdY3cp/S4BGsrS&#10;qPED5al/ei7wn998/QMAAP//AwBQSwMEFAAGAAgAAAAhAHMouELiAAAACwEAAA8AAABkcnMvZG93&#10;bnJldi54bWxMj8tOwzAQRfdI/IM1SGwQdR4EJSFOhaoWiVXVUnXtxtMkwh5HsdMGvh6zguXoHt17&#10;plrORrMLjq63JCBeRMCQGqt6agUcPjaPOTDnJSmpLaGAL3SwrG9vKlkqe6UdXva+ZaGEXCkFdN4P&#10;Jeeu6dBIt7ADUsjOdjTSh3NsuRrlNZQbzZMoeuZG9hQWOjngqsPmcz8ZAe/52/yw/U7XetPvpnWs&#10;8HBcTULc382vL8A8zv4Phl/9oA51cDrZiZRjWkASZ1lABaRFkgILRJFnBbCTgKc4S4HXFf//Q/0D&#10;AAD//wMAUEsBAi0AFAAGAAgAAAAhALaDOJL+AAAA4QEAABMAAAAAAAAAAAAAAAAAAAAAAFtDb250&#10;ZW50X1R5cGVzXS54bWxQSwECLQAUAAYACAAAACEAOP0h/9YAAACUAQAACwAAAAAAAAAAAAAAAAAv&#10;AQAAX3JlbHMvLnJlbHNQSwECLQAUAAYACAAAACEAVNwzCPUBAAAuBAAADgAAAAAAAAAAAAAAAAAu&#10;AgAAZHJzL2Uyb0RvYy54bWxQSwECLQAUAAYACAAAACEAcyi4QuIAAAALAQAADwAAAAAAAAAAAAAA&#10;AABPBAAAZHJzL2Rvd25yZXYueG1sUEsFBgAAAAAEAAQA8wAAAF4FAAAAAA==&#10;" adj="0" strokecolor="#821a1a [3204]">
              <v:stroke endcap="square"/>
              <w10:wrap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E1E42" w14:textId="7BF04E1F" w:rsidR="006033A8" w:rsidRDefault="006033A8" w:rsidP="00466FD5">
    <w:pPr>
      <w:pStyle w:val="Header"/>
      <w:tabs>
        <w:tab w:val="clear" w:pos="4680"/>
        <w:tab w:val="clear" w:pos="9360"/>
      </w:tabs>
      <w:jc w:val="right"/>
    </w:pPr>
  </w:p>
  <w:p w14:paraId="7AFB8325" w14:textId="406E3EBC" w:rsidR="006033A8" w:rsidRDefault="006033A8" w:rsidP="00186623">
    <w:pPr>
      <w:pStyle w:val="Header"/>
      <w:tabs>
        <w:tab w:val="clear" w:pos="4680"/>
        <w:tab w:val="clear" w:pos="9360"/>
      </w:tabs>
      <w:spacing w:after="240"/>
      <w:jc w:val="right"/>
    </w:pPr>
  </w:p>
  <w:p w14:paraId="1DE312FC" w14:textId="77777777" w:rsidR="006033A8" w:rsidRPr="00A87658" w:rsidRDefault="006033A8" w:rsidP="00A87658">
    <w:pPr>
      <w:pStyle w:val="Header"/>
    </w:pPr>
    <w:r>
      <w:rPr>
        <w:noProof/>
        <w:lang w:val="en-AU" w:eastAsia="en-AU"/>
      </w:rPr>
      <mc:AlternateContent>
        <mc:Choice Requires="wps">
          <w:drawing>
            <wp:anchor distT="0" distB="0" distL="114300" distR="114300" simplePos="0" relativeHeight="251660800" behindDoc="0" locked="1" layoutInCell="1" allowOverlap="1" wp14:anchorId="032821E9" wp14:editId="1D1357B3">
              <wp:simplePos x="0" y="0"/>
              <wp:positionH relativeFrom="column">
                <wp:posOffset>-146843</wp:posOffset>
              </wp:positionH>
              <wp:positionV relativeFrom="page">
                <wp:posOffset>724120</wp:posOffset>
              </wp:positionV>
              <wp:extent cx="6409944" cy="146304"/>
              <wp:effectExtent l="19050" t="19050" r="29210" b="25400"/>
              <wp:wrapNone/>
              <wp:docPr id="2" name="Elbow Connector 2" descr="Decorative"/>
              <wp:cNvGraphicFramePr/>
              <a:graphic xmlns:a="http://schemas.openxmlformats.org/drawingml/2006/main">
                <a:graphicData uri="http://schemas.microsoft.com/office/word/2010/wordprocessingShape">
                  <wps:wsp>
                    <wps:cNvCnPr/>
                    <wps:spPr>
                      <a:xfrm flipV="1">
                        <a:off x="0" y="0"/>
                        <a:ext cx="6409944" cy="146304"/>
                      </a:xfrm>
                      <a:prstGeom prst="bentConnector3">
                        <a:avLst>
                          <a:gd name="adj1" fmla="val 0"/>
                        </a:avLst>
                      </a:prstGeom>
                      <a:ln w="9525"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26" type="#_x0000_t34" alt="Decorative" style="position:absolute;margin-left:-11.55pt;margin-top:57pt;width:504.7pt;height:11.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3v9QEAAC4EAAAOAAAAZHJzL2Uyb0RvYy54bWysU8GO0zAQvSPxD5bvNGm3W9Gq6R5a4IKg&#10;YmHvrjNujWyPsU3T/j1jJxtWgFYCcbHsjN/ze28m67uLNewMIWp0DZ9Oas7ASWy1Ozb8y+e3r15z&#10;FpNwrTDooOFXiPxu8/LFuvMrmOEJTQuBEYmLq843/JSSX1VVlCewIk7Qg6OiwmBFomM4Vm0QHbFb&#10;U83qelF1GFofUEKM9HXXF/mm8CsFMn1UKkJipuGkLZU1lPWQ12qzFqtjEP6k5SBD/IMKK7SjR0eq&#10;nUiCfQ/6NyqrZcCIKk0k2gqV0hKKB3IzrX9xc38SHooXCif6Mab4/2jlh/M+MN02fMaZE5Za9MYc&#10;sGNbdI7Sw8Co0EKUFNoOJAaR9Blybp2PK4Jv3T4Mp+j3IYdwUcEyZbR/oJEosZBRdimpX8fU4ZKY&#10;pI+Leb1czuecSapN54ubep7pq54n8/kQ0ztAy/Km4QdwaZR3U/jF+X1MJf92cCHar1POlDXUzrMw&#10;rLSaOIebtHtkzTDjWNfw5e3slmQImsP4rWjIHntXZZeuBvrrn0BRaqS+91fmFbYmMHqr4UJK0jgd&#10;bBhHtzNMaWNGYF2EPwsc7mcolFn+G/CIKC+jSyPYaofhT6+ny6Nk1d+nLjzxnbcHbK+l36VAQ1ka&#10;NfxAeeqfngv852+++QEAAP//AwBQSwMEFAAGAAgAAAAhAFEN45/hAAAACwEAAA8AAABkcnMvZG93&#10;bnJldi54bWxMj8FOwzAQRO9I/IO1SFxQ66RBJYQ4FapaJE5VS8XZjZckwl5HsdMGvp7lBMedeZqd&#10;KVeTs+KMQ+g8KUjnCQik2puOGgXHt+0sBxGiJqOtJ1TwhQFW1fVVqQvjL7TH8yE2gkMoFFpBG2Nf&#10;SBnqFp0Oc98jsffhB6cjn0MjzaAvHO6sXCTJUjrdEX9odY/rFuvPw+gUvOYv093uO9vYbbcfN6nB&#10;4/t6VOr2Znp+AhFxin8w/Nbn6lBxp5MfyQRhFcwWWcooG+k9j2LiMV9mIE6sZA8JyKqU/zdUPwAA&#10;AP//AwBQSwECLQAUAAYACAAAACEAtoM4kv4AAADhAQAAEwAAAAAAAAAAAAAAAAAAAAAAW0NvbnRl&#10;bnRfVHlwZXNdLnhtbFBLAQItABQABgAIAAAAIQA4/SH/1gAAAJQBAAALAAAAAAAAAAAAAAAAAC8B&#10;AABfcmVscy8ucmVsc1BLAQItABQABgAIAAAAIQA0sf3v9QEAAC4EAAAOAAAAAAAAAAAAAAAAAC4C&#10;AABkcnMvZTJvRG9jLnhtbFBLAQItABQABgAIAAAAIQBRDeOf4QAAAAsBAAAPAAAAAAAAAAAAAAAA&#10;AE8EAABkcnMvZG93bnJldi54bWxQSwUGAAAAAAQABADzAAAAXQUAAAAA&#10;" adj="0" strokecolor="#821a1a [3204]">
              <v:stroke endcap="square"/>
              <w10:wrap anchory="page"/>
              <w10:anchorlock/>
            </v:shape>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0797"/>
    <w:multiLevelType w:val="hybridMultilevel"/>
    <w:tmpl w:val="BF3263D0"/>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nsid w:val="1F2868CB"/>
    <w:multiLevelType w:val="multilevel"/>
    <w:tmpl w:val="56C2A8E6"/>
    <w:lvl w:ilvl="0">
      <w:start w:val="1"/>
      <w:numFmt w:val="upperLetter"/>
      <w:pStyle w:val="AppendixHeading1"/>
      <w:suff w:val="space"/>
      <w:lvlText w:val="Appendix %1. -"/>
      <w:lvlJc w:val="left"/>
      <w:pPr>
        <w:ind w:left="6487" w:hanging="533"/>
      </w:pPr>
      <w:rPr>
        <w:rFonts w:asciiTheme="minorHAnsi" w:hAnsiTheme="minorHAnsi" w:cs="Times New Roman" w:hint="default"/>
        <w:b/>
        <w:bCs w:val="0"/>
        <w:i/>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suff w:val="space"/>
      <w:lvlText w:val="%1.%2."/>
      <w:lvlJc w:val="left"/>
      <w:pPr>
        <w:ind w:left="6566" w:hanging="612"/>
      </w:pPr>
      <w:rPr>
        <w:rFonts w:hint="default"/>
      </w:rPr>
    </w:lvl>
    <w:lvl w:ilvl="2">
      <w:start w:val="1"/>
      <w:numFmt w:val="decimal"/>
      <w:pStyle w:val="AppendixHeading3"/>
      <w:suff w:val="space"/>
      <w:lvlText w:val="%1.%2.%3."/>
      <w:lvlJc w:val="left"/>
      <w:pPr>
        <w:ind w:left="6731" w:hanging="777"/>
      </w:pPr>
      <w:rPr>
        <w:rFonts w:hint="default"/>
      </w:rPr>
    </w:lvl>
    <w:lvl w:ilvl="3">
      <w:start w:val="1"/>
      <w:numFmt w:val="decimal"/>
      <w:pStyle w:val="AppendixHeading4"/>
      <w:suff w:val="space"/>
      <w:lvlText w:val="%1.%2.%3.%4."/>
      <w:lvlJc w:val="left"/>
      <w:pPr>
        <w:ind w:left="6816" w:hanging="862"/>
      </w:pPr>
      <w:rPr>
        <w:rFonts w:hint="default"/>
      </w:rPr>
    </w:lvl>
    <w:lvl w:ilvl="4">
      <w:start w:val="1"/>
      <w:numFmt w:val="decimal"/>
      <w:pStyle w:val="AppendixHeading5"/>
      <w:suff w:val="space"/>
      <w:lvlText w:val="%1.%2.%3.%4.%5."/>
      <w:lvlJc w:val="left"/>
      <w:pPr>
        <w:ind w:left="6873" w:hanging="919"/>
      </w:pPr>
      <w:rPr>
        <w:rFonts w:hint="default"/>
      </w:rPr>
    </w:lvl>
    <w:lvl w:ilvl="5">
      <w:start w:val="1"/>
      <w:numFmt w:val="decimal"/>
      <w:suff w:val="space"/>
      <w:lvlText w:val="%1.%2.%3.%4.%5.%6."/>
      <w:lvlJc w:val="left"/>
      <w:pPr>
        <w:ind w:left="8690" w:hanging="2736"/>
      </w:pPr>
      <w:rPr>
        <w:rFonts w:hint="default"/>
      </w:rPr>
    </w:lvl>
    <w:lvl w:ilvl="6">
      <w:start w:val="1"/>
      <w:numFmt w:val="decimal"/>
      <w:suff w:val="space"/>
      <w:lvlText w:val="%1.%2.%3.%4.%5.%6.%7."/>
      <w:lvlJc w:val="left"/>
      <w:pPr>
        <w:ind w:left="9194" w:hanging="3240"/>
      </w:pPr>
      <w:rPr>
        <w:rFonts w:hint="default"/>
      </w:rPr>
    </w:lvl>
    <w:lvl w:ilvl="7">
      <w:start w:val="1"/>
      <w:numFmt w:val="decimal"/>
      <w:suff w:val="space"/>
      <w:lvlText w:val="%1.%2.%3.%4.%5.%6.%7.%8."/>
      <w:lvlJc w:val="left"/>
      <w:pPr>
        <w:ind w:left="9698" w:hanging="3744"/>
      </w:pPr>
      <w:rPr>
        <w:rFonts w:hint="default"/>
      </w:rPr>
    </w:lvl>
    <w:lvl w:ilvl="8">
      <w:start w:val="1"/>
      <w:numFmt w:val="decimal"/>
      <w:suff w:val="space"/>
      <w:lvlText w:val="%1.%2.%3.%4.%5.%6.%7.%8.%9."/>
      <w:lvlJc w:val="left"/>
      <w:pPr>
        <w:ind w:left="10274" w:hanging="4320"/>
      </w:pPr>
      <w:rPr>
        <w:rFonts w:hint="default"/>
      </w:rPr>
    </w:lvl>
  </w:abstractNum>
  <w:abstractNum w:abstractNumId="2">
    <w:nsid w:val="1F6D52DA"/>
    <w:multiLevelType w:val="hybridMultilevel"/>
    <w:tmpl w:val="6CD8F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4F742E"/>
    <w:multiLevelType w:val="multilevel"/>
    <w:tmpl w:val="8760DC24"/>
    <w:lvl w:ilvl="0">
      <w:start w:val="1"/>
      <w:numFmt w:val="decimal"/>
      <w:pStyle w:val="Heading1"/>
      <w:suff w:val="space"/>
      <w:lvlText w:val="%1."/>
      <w:lvlJc w:val="left"/>
      <w:pPr>
        <w:ind w:left="3226" w:hanging="533"/>
      </w:pPr>
      <w:rPr>
        <w:rFonts w:hint="default"/>
      </w:rPr>
    </w:lvl>
    <w:lvl w:ilvl="1">
      <w:start w:val="1"/>
      <w:numFmt w:val="decimal"/>
      <w:pStyle w:val="Heading2"/>
      <w:suff w:val="space"/>
      <w:lvlText w:val="%1.%2."/>
      <w:lvlJc w:val="left"/>
      <w:pPr>
        <w:ind w:left="619" w:hanging="619"/>
      </w:pPr>
      <w:rPr>
        <w:rFonts w:hint="default"/>
      </w:rPr>
    </w:lvl>
    <w:lvl w:ilvl="2">
      <w:start w:val="1"/>
      <w:numFmt w:val="decimal"/>
      <w:pStyle w:val="Heading3"/>
      <w:suff w:val="space"/>
      <w:lvlText w:val="%1.%2.%3."/>
      <w:lvlJc w:val="left"/>
      <w:pPr>
        <w:ind w:left="619" w:hanging="619"/>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922" w:hanging="922"/>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4">
    <w:nsid w:val="358B467E"/>
    <w:multiLevelType w:val="hybridMultilevel"/>
    <w:tmpl w:val="3E44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BD360CA"/>
    <w:multiLevelType w:val="hybridMultilevel"/>
    <w:tmpl w:val="DECAA0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FE61E27"/>
    <w:multiLevelType w:val="hybridMultilevel"/>
    <w:tmpl w:val="0D68B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23B1593"/>
    <w:multiLevelType w:val="hybridMultilevel"/>
    <w:tmpl w:val="DBA4B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7717BFB"/>
    <w:multiLevelType w:val="hybridMultilevel"/>
    <w:tmpl w:val="4F26E8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95875E5"/>
    <w:multiLevelType w:val="multilevel"/>
    <w:tmpl w:val="45368B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4"/>
      <w:lvlText w:val="%4."/>
      <w:lvlJc w:val="left"/>
      <w:pPr>
        <w:tabs>
          <w:tab w:val="num" w:pos="1382"/>
        </w:tabs>
        <w:ind w:left="1382" w:hanging="345"/>
      </w:pPr>
      <w:rPr>
        <w:rFonts w:hint="default"/>
      </w:rPr>
    </w:lvl>
    <w:lvl w:ilvl="4">
      <w:start w:val="1"/>
      <w:numFmt w:val="lowerRoman"/>
      <w:pStyle w:val="ListRoman5"/>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11">
    <w:nsid w:val="54E356BA"/>
    <w:multiLevelType w:val="multilevel"/>
    <w:tmpl w:val="DABC014A"/>
    <w:lvl w:ilvl="0">
      <w:start w:val="1"/>
      <w:numFmt w:val="decimal"/>
      <w:pStyle w:val="ListNumber"/>
      <w:lvlText w:val="%1."/>
      <w:lvlJc w:val="left"/>
      <w:pPr>
        <w:tabs>
          <w:tab w:val="num" w:pos="346"/>
        </w:tabs>
        <w:ind w:left="346" w:hanging="346"/>
      </w:pPr>
      <w:rPr>
        <w:rFonts w:hint="default"/>
      </w:rPr>
    </w:lvl>
    <w:lvl w:ilvl="1">
      <w:start w:val="1"/>
      <w:numFmt w:val="decimal"/>
      <w:pStyle w:val="ListNumber2"/>
      <w:lvlText w:val="%2."/>
      <w:lvlJc w:val="left"/>
      <w:pPr>
        <w:tabs>
          <w:tab w:val="num" w:pos="691"/>
        </w:tabs>
        <w:ind w:left="691" w:hanging="345"/>
      </w:pPr>
      <w:rPr>
        <w:rFonts w:hint="default"/>
      </w:rPr>
    </w:lvl>
    <w:lvl w:ilvl="2">
      <w:start w:val="1"/>
      <w:numFmt w:val="decimal"/>
      <w:pStyle w:val="ListNumber3"/>
      <w:lvlText w:val="%3."/>
      <w:lvlJc w:val="left"/>
      <w:pPr>
        <w:tabs>
          <w:tab w:val="num" w:pos="1037"/>
        </w:tabs>
        <w:ind w:left="1037" w:hanging="346"/>
      </w:pPr>
      <w:rPr>
        <w:rFonts w:hint="default"/>
      </w:rPr>
    </w:lvl>
    <w:lvl w:ilvl="3">
      <w:start w:val="1"/>
      <w:numFmt w:val="decimal"/>
      <w:pStyle w:val="ListNumber4"/>
      <w:lvlText w:val="%4."/>
      <w:lvlJc w:val="left"/>
      <w:pPr>
        <w:tabs>
          <w:tab w:val="num" w:pos="1382"/>
        </w:tabs>
        <w:ind w:left="1382" w:hanging="345"/>
      </w:pPr>
      <w:rPr>
        <w:rFonts w:hint="default"/>
      </w:rPr>
    </w:lvl>
    <w:lvl w:ilvl="4">
      <w:start w:val="1"/>
      <w:numFmt w:val="decimal"/>
      <w:pStyle w:val="ListNumber5"/>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12">
    <w:nsid w:val="59BF361C"/>
    <w:multiLevelType w:val="hybridMultilevel"/>
    <w:tmpl w:val="313E5E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9DC119E"/>
    <w:multiLevelType w:val="multilevel"/>
    <w:tmpl w:val="FA6A4740"/>
    <w:lvl w:ilvl="0">
      <w:start w:val="1"/>
      <w:numFmt w:val="lowerLetter"/>
      <w:pStyle w:val="ListAlpha"/>
      <w:lvlText w:val="%1."/>
      <w:lvlJc w:val="left"/>
      <w:pPr>
        <w:tabs>
          <w:tab w:val="num" w:pos="346"/>
        </w:tabs>
        <w:ind w:left="346" w:hanging="346"/>
      </w:pPr>
      <w:rPr>
        <w:rFonts w:hint="default"/>
      </w:rPr>
    </w:lvl>
    <w:lvl w:ilvl="1">
      <w:start w:val="1"/>
      <w:numFmt w:val="lowerLetter"/>
      <w:pStyle w:val="ListAlpha2"/>
      <w:lvlText w:val="%2."/>
      <w:lvlJc w:val="left"/>
      <w:pPr>
        <w:tabs>
          <w:tab w:val="num" w:pos="691"/>
        </w:tabs>
        <w:ind w:left="691" w:hanging="345"/>
      </w:pPr>
      <w:rPr>
        <w:rFonts w:hint="default"/>
      </w:rPr>
    </w:lvl>
    <w:lvl w:ilvl="2">
      <w:start w:val="1"/>
      <w:numFmt w:val="lowerLetter"/>
      <w:pStyle w:val="ListAlpha3"/>
      <w:lvlText w:val="%3."/>
      <w:lvlJc w:val="left"/>
      <w:pPr>
        <w:tabs>
          <w:tab w:val="num" w:pos="1037"/>
        </w:tabs>
        <w:ind w:left="1037" w:hanging="346"/>
      </w:pPr>
      <w:rPr>
        <w:rFonts w:hint="default"/>
      </w:rPr>
    </w:lvl>
    <w:lvl w:ilvl="3">
      <w:start w:val="1"/>
      <w:numFmt w:val="lowerLetter"/>
      <w:pStyle w:val="ListAlpha4"/>
      <w:lvlText w:val="%4."/>
      <w:lvlJc w:val="left"/>
      <w:pPr>
        <w:tabs>
          <w:tab w:val="num" w:pos="1382"/>
        </w:tabs>
        <w:ind w:left="1382" w:hanging="345"/>
      </w:pPr>
      <w:rPr>
        <w:rFonts w:hint="default"/>
      </w:rPr>
    </w:lvl>
    <w:lvl w:ilvl="4">
      <w:start w:val="1"/>
      <w:numFmt w:val="lowerLetter"/>
      <w:pStyle w:val="ListAlpha5"/>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14">
    <w:nsid w:val="717B43F2"/>
    <w:multiLevelType w:val="multilevel"/>
    <w:tmpl w:val="20A6E5BC"/>
    <w:lvl w:ilvl="0">
      <w:start w:val="1"/>
      <w:numFmt w:val="bullet"/>
      <w:pStyle w:val="ListBullet"/>
      <w:lvlText w:val="•"/>
      <w:lvlJc w:val="left"/>
      <w:pPr>
        <w:tabs>
          <w:tab w:val="num" w:pos="346"/>
        </w:tabs>
        <w:ind w:left="346" w:hanging="346"/>
      </w:pPr>
      <w:rPr>
        <w:rFonts w:ascii="Georgia" w:hAnsi="Georgia" w:hint="default"/>
        <w:color w:val="auto"/>
      </w:rPr>
    </w:lvl>
    <w:lvl w:ilvl="1">
      <w:start w:val="1"/>
      <w:numFmt w:val="bullet"/>
      <w:pStyle w:val="ListBullet2"/>
      <w:lvlText w:val="-"/>
      <w:lvlJc w:val="left"/>
      <w:pPr>
        <w:tabs>
          <w:tab w:val="num" w:pos="691"/>
        </w:tabs>
        <w:ind w:left="691" w:hanging="345"/>
      </w:pPr>
      <w:rPr>
        <w:rFonts w:ascii="Arial" w:hAnsi="Arial" w:hint="default"/>
        <w:color w:val="auto"/>
      </w:rPr>
    </w:lvl>
    <w:lvl w:ilvl="2">
      <w:start w:val="1"/>
      <w:numFmt w:val="bullet"/>
      <w:pStyle w:val="ListBullet3"/>
      <w:lvlText w:val="◦"/>
      <w:lvlJc w:val="left"/>
      <w:pPr>
        <w:tabs>
          <w:tab w:val="num" w:pos="1037"/>
        </w:tabs>
        <w:ind w:left="1037" w:hanging="346"/>
      </w:pPr>
      <w:rPr>
        <w:rFonts w:ascii="Georgia" w:hAnsi="Georgia" w:hint="default"/>
        <w:color w:val="auto"/>
      </w:rPr>
    </w:lvl>
    <w:lvl w:ilvl="3">
      <w:start w:val="1"/>
      <w:numFmt w:val="bullet"/>
      <w:pStyle w:val="ListBullet4"/>
      <w:lvlText w:val="›"/>
      <w:lvlJc w:val="left"/>
      <w:pPr>
        <w:tabs>
          <w:tab w:val="num" w:pos="1382"/>
        </w:tabs>
        <w:ind w:left="1382" w:hanging="345"/>
      </w:pPr>
      <w:rPr>
        <w:rFonts w:ascii="Georgia" w:hAnsi="Georgia" w:hint="default"/>
        <w:color w:val="auto"/>
      </w:rPr>
    </w:lvl>
    <w:lvl w:ilvl="4">
      <w:start w:val="1"/>
      <w:numFmt w:val="bullet"/>
      <w:pStyle w:val="ListBullet5"/>
      <w:lvlText w:val="~"/>
      <w:lvlJc w:val="left"/>
      <w:pPr>
        <w:tabs>
          <w:tab w:val="num" w:pos="1728"/>
        </w:tabs>
        <w:ind w:left="1728" w:hanging="346"/>
      </w:pPr>
      <w:rPr>
        <w:rFonts w:ascii="Georgia" w:hAnsi="Georgia" w:hint="default"/>
        <w:color w:val="auto"/>
      </w:rPr>
    </w:lvl>
    <w:lvl w:ilvl="5">
      <w:start w:val="1"/>
      <w:numFmt w:val="bullet"/>
      <w:pStyle w:val="ListBullet6"/>
      <w:lvlText w:val="•"/>
      <w:lvlJc w:val="left"/>
      <w:pPr>
        <w:tabs>
          <w:tab w:val="num" w:pos="2074"/>
        </w:tabs>
        <w:ind w:left="2074" w:hanging="346"/>
      </w:pPr>
      <w:rPr>
        <w:rFonts w:ascii="Georgia" w:hAnsi="Georgia" w:hint="default"/>
        <w:color w:val="auto"/>
      </w:rPr>
    </w:lvl>
    <w:lvl w:ilvl="6">
      <w:start w:val="1"/>
      <w:numFmt w:val="bullet"/>
      <w:pStyle w:val="ListBullet7"/>
      <w:lvlText w:val="-"/>
      <w:lvlJc w:val="left"/>
      <w:pPr>
        <w:tabs>
          <w:tab w:val="num" w:pos="2419"/>
        </w:tabs>
        <w:ind w:left="2419" w:hanging="345"/>
      </w:pPr>
      <w:rPr>
        <w:rFonts w:ascii="Arial" w:hAnsi="Arial" w:hint="default"/>
        <w:color w:val="auto"/>
      </w:rPr>
    </w:lvl>
    <w:lvl w:ilvl="7">
      <w:start w:val="1"/>
      <w:numFmt w:val="bullet"/>
      <w:pStyle w:val="ListBullet8"/>
      <w:lvlText w:val="◦"/>
      <w:lvlJc w:val="left"/>
      <w:pPr>
        <w:tabs>
          <w:tab w:val="num" w:pos="2765"/>
        </w:tabs>
        <w:ind w:left="2765" w:hanging="346"/>
      </w:pPr>
      <w:rPr>
        <w:rFonts w:ascii="Georgia" w:hAnsi="Georgia" w:hint="default"/>
        <w:color w:val="auto"/>
      </w:rPr>
    </w:lvl>
    <w:lvl w:ilvl="8">
      <w:start w:val="1"/>
      <w:numFmt w:val="bullet"/>
      <w:pStyle w:val="ListBullet9"/>
      <w:lvlText w:val="›"/>
      <w:lvlJc w:val="left"/>
      <w:pPr>
        <w:tabs>
          <w:tab w:val="num" w:pos="3110"/>
        </w:tabs>
        <w:ind w:left="3110" w:hanging="345"/>
      </w:pPr>
      <w:rPr>
        <w:rFonts w:ascii="Georgia" w:hAnsi="Georgia" w:hint="default"/>
        <w:color w:val="auto"/>
      </w:rPr>
    </w:lvl>
  </w:abstractNum>
  <w:abstractNum w:abstractNumId="15">
    <w:nsid w:val="792F63C6"/>
    <w:multiLevelType w:val="multilevel"/>
    <w:tmpl w:val="3F3EBD72"/>
    <w:lvl w:ilvl="0">
      <w:start w:val="1"/>
      <w:numFmt w:val="decimal"/>
      <w:pStyle w:val="ExhibitHeading1"/>
      <w:suff w:val="space"/>
      <w:lvlText w:val="Exhibit %1. -"/>
      <w:lvlJc w:val="left"/>
      <w:pPr>
        <w:ind w:left="432" w:hanging="432"/>
      </w:pPr>
      <w:rPr>
        <w:rFonts w:hint="default"/>
      </w:rPr>
    </w:lvl>
    <w:lvl w:ilvl="1">
      <w:start w:val="1"/>
      <w:numFmt w:val="decimal"/>
      <w:pStyle w:val="ExhibitHeading2"/>
      <w:suff w:val="space"/>
      <w:lvlText w:val="%1.%2"/>
      <w:lvlJc w:val="left"/>
      <w:pPr>
        <w:ind w:left="576" w:hanging="576"/>
      </w:pPr>
      <w:rPr>
        <w:rFonts w:hint="default"/>
      </w:rPr>
    </w:lvl>
    <w:lvl w:ilvl="2">
      <w:start w:val="1"/>
      <w:numFmt w:val="decimal"/>
      <w:pStyle w:val="ExhibitHeading3"/>
      <w:suff w:val="space"/>
      <w:lvlText w:val="%1.%2.%3"/>
      <w:lvlJc w:val="left"/>
      <w:pPr>
        <w:ind w:left="720" w:hanging="720"/>
      </w:pPr>
      <w:rPr>
        <w:rFonts w:hint="default"/>
      </w:rPr>
    </w:lvl>
    <w:lvl w:ilvl="3">
      <w:start w:val="1"/>
      <w:numFmt w:val="decimal"/>
      <w:pStyle w:val="ExhibitHeading4"/>
      <w:suff w:val="space"/>
      <w:lvlText w:val="%1.%2.%3.%4"/>
      <w:lvlJc w:val="left"/>
      <w:pPr>
        <w:ind w:left="864" w:hanging="864"/>
      </w:pPr>
      <w:rPr>
        <w:rFonts w:hint="default"/>
      </w:rPr>
    </w:lvl>
    <w:lvl w:ilvl="4">
      <w:start w:val="1"/>
      <w:numFmt w:val="decimal"/>
      <w:pStyle w:val="ExhibitHeading5"/>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num w:numId="1">
    <w:abstractNumId w:val="14"/>
  </w:num>
  <w:num w:numId="2">
    <w:abstractNumId w:val="11"/>
  </w:num>
  <w:num w:numId="3">
    <w:abstractNumId w:val="13"/>
  </w:num>
  <w:num w:numId="4">
    <w:abstractNumId w:val="10"/>
  </w:num>
  <w:num w:numId="5">
    <w:abstractNumId w:val="3"/>
  </w:num>
  <w:num w:numId="6">
    <w:abstractNumId w:val="1"/>
  </w:num>
  <w:num w:numId="7">
    <w:abstractNumId w:val="15"/>
  </w:num>
  <w:num w:numId="8">
    <w:abstractNumId w:val="5"/>
  </w:num>
  <w:num w:numId="9">
    <w:abstractNumId w:val="8"/>
  </w:num>
  <w:num w:numId="10">
    <w:abstractNumId w:val="6"/>
  </w:num>
  <w:num w:numId="11">
    <w:abstractNumId w:val="2"/>
  </w:num>
  <w:num w:numId="12">
    <w:abstractNumId w:val="7"/>
  </w:num>
  <w:num w:numId="13">
    <w:abstractNumId w:val="0"/>
  </w:num>
  <w:num w:numId="14">
    <w:abstractNumId w:val="4"/>
  </w:num>
  <w:num w:numId="15">
    <w:abstractNumId w:val="12"/>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864"/>
  <w:drawingGridVerticalSpacing w:val="83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ur Palette" w:val="Smart Report"/>
    <w:docVar w:name="Disclaimer" w:val="Default Disclaimer"/>
    <w:docVar w:name="Privilege Stamp" w:val="Privileged and confidential"/>
    <w:docVar w:name="Smrt Headings Level" w:val="1"/>
  </w:docVars>
  <w:rsids>
    <w:rsidRoot w:val="007829EF"/>
    <w:rsid w:val="00000C39"/>
    <w:rsid w:val="0000175B"/>
    <w:rsid w:val="00001ADC"/>
    <w:rsid w:val="000039AA"/>
    <w:rsid w:val="00004DEC"/>
    <w:rsid w:val="00010F55"/>
    <w:rsid w:val="0001152F"/>
    <w:rsid w:val="00012647"/>
    <w:rsid w:val="0001446B"/>
    <w:rsid w:val="00014E5B"/>
    <w:rsid w:val="0001556F"/>
    <w:rsid w:val="00015E68"/>
    <w:rsid w:val="00016C62"/>
    <w:rsid w:val="00017EC5"/>
    <w:rsid w:val="0002314F"/>
    <w:rsid w:val="000231DD"/>
    <w:rsid w:val="000239EC"/>
    <w:rsid w:val="00024781"/>
    <w:rsid w:val="000250B9"/>
    <w:rsid w:val="000265E1"/>
    <w:rsid w:val="000269BC"/>
    <w:rsid w:val="00030436"/>
    <w:rsid w:val="000313A0"/>
    <w:rsid w:val="0003214B"/>
    <w:rsid w:val="00032959"/>
    <w:rsid w:val="00032FC5"/>
    <w:rsid w:val="000331B2"/>
    <w:rsid w:val="00035D9C"/>
    <w:rsid w:val="0003600F"/>
    <w:rsid w:val="0003604C"/>
    <w:rsid w:val="0003685A"/>
    <w:rsid w:val="0003770A"/>
    <w:rsid w:val="000379F4"/>
    <w:rsid w:val="0004091D"/>
    <w:rsid w:val="0004252F"/>
    <w:rsid w:val="00044A53"/>
    <w:rsid w:val="00045C1E"/>
    <w:rsid w:val="000469D3"/>
    <w:rsid w:val="00051411"/>
    <w:rsid w:val="00052F4A"/>
    <w:rsid w:val="00054941"/>
    <w:rsid w:val="00055F09"/>
    <w:rsid w:val="0005751B"/>
    <w:rsid w:val="00057E57"/>
    <w:rsid w:val="00062D28"/>
    <w:rsid w:val="0006305D"/>
    <w:rsid w:val="00063DF4"/>
    <w:rsid w:val="00064ACE"/>
    <w:rsid w:val="00064ECA"/>
    <w:rsid w:val="00065EE8"/>
    <w:rsid w:val="00065FCE"/>
    <w:rsid w:val="00067354"/>
    <w:rsid w:val="00070210"/>
    <w:rsid w:val="00071CB1"/>
    <w:rsid w:val="00077AC2"/>
    <w:rsid w:val="00077FCC"/>
    <w:rsid w:val="00081486"/>
    <w:rsid w:val="00081E70"/>
    <w:rsid w:val="00083FB3"/>
    <w:rsid w:val="00084DBF"/>
    <w:rsid w:val="00084F1D"/>
    <w:rsid w:val="000851F6"/>
    <w:rsid w:val="00085646"/>
    <w:rsid w:val="00086140"/>
    <w:rsid w:val="000865AE"/>
    <w:rsid w:val="00086AA2"/>
    <w:rsid w:val="00087149"/>
    <w:rsid w:val="00087334"/>
    <w:rsid w:val="000877DA"/>
    <w:rsid w:val="00087D25"/>
    <w:rsid w:val="00090042"/>
    <w:rsid w:val="00090B52"/>
    <w:rsid w:val="00092631"/>
    <w:rsid w:val="000969F3"/>
    <w:rsid w:val="00096C8E"/>
    <w:rsid w:val="0009734B"/>
    <w:rsid w:val="0009786B"/>
    <w:rsid w:val="00097CF0"/>
    <w:rsid w:val="000A06D6"/>
    <w:rsid w:val="000A0884"/>
    <w:rsid w:val="000A17A6"/>
    <w:rsid w:val="000A32C8"/>
    <w:rsid w:val="000B02B0"/>
    <w:rsid w:val="000B0D8F"/>
    <w:rsid w:val="000B2FF9"/>
    <w:rsid w:val="000B411E"/>
    <w:rsid w:val="000B4615"/>
    <w:rsid w:val="000B5B0F"/>
    <w:rsid w:val="000B7011"/>
    <w:rsid w:val="000C105C"/>
    <w:rsid w:val="000C1DE6"/>
    <w:rsid w:val="000C1EAD"/>
    <w:rsid w:val="000C574E"/>
    <w:rsid w:val="000C5BA7"/>
    <w:rsid w:val="000C64C3"/>
    <w:rsid w:val="000C7155"/>
    <w:rsid w:val="000C78B4"/>
    <w:rsid w:val="000D154F"/>
    <w:rsid w:val="000D1860"/>
    <w:rsid w:val="000D1928"/>
    <w:rsid w:val="000D3242"/>
    <w:rsid w:val="000D4CB3"/>
    <w:rsid w:val="000D511A"/>
    <w:rsid w:val="000E1905"/>
    <w:rsid w:val="000E22EC"/>
    <w:rsid w:val="000E2337"/>
    <w:rsid w:val="000E24B9"/>
    <w:rsid w:val="000E2E4C"/>
    <w:rsid w:val="000E3AAB"/>
    <w:rsid w:val="000E3AC0"/>
    <w:rsid w:val="000E4260"/>
    <w:rsid w:val="000E62C7"/>
    <w:rsid w:val="000E6809"/>
    <w:rsid w:val="000F04EA"/>
    <w:rsid w:val="000F05E2"/>
    <w:rsid w:val="000F3143"/>
    <w:rsid w:val="000F3753"/>
    <w:rsid w:val="000F3B1C"/>
    <w:rsid w:val="000F3FAD"/>
    <w:rsid w:val="000F4037"/>
    <w:rsid w:val="000F4D1E"/>
    <w:rsid w:val="000F6C56"/>
    <w:rsid w:val="000F7B74"/>
    <w:rsid w:val="001009C3"/>
    <w:rsid w:val="00100BEC"/>
    <w:rsid w:val="0010165E"/>
    <w:rsid w:val="00101A91"/>
    <w:rsid w:val="00102957"/>
    <w:rsid w:val="0010315E"/>
    <w:rsid w:val="001040EE"/>
    <w:rsid w:val="00104A41"/>
    <w:rsid w:val="0010599B"/>
    <w:rsid w:val="00106618"/>
    <w:rsid w:val="001066DC"/>
    <w:rsid w:val="00107F7F"/>
    <w:rsid w:val="001106C8"/>
    <w:rsid w:val="001125F2"/>
    <w:rsid w:val="001132BC"/>
    <w:rsid w:val="00113605"/>
    <w:rsid w:val="001153D7"/>
    <w:rsid w:val="0011650B"/>
    <w:rsid w:val="001169BC"/>
    <w:rsid w:val="00117161"/>
    <w:rsid w:val="001200FE"/>
    <w:rsid w:val="0012051A"/>
    <w:rsid w:val="00120601"/>
    <w:rsid w:val="00120FC2"/>
    <w:rsid w:val="0012265E"/>
    <w:rsid w:val="00122DDE"/>
    <w:rsid w:val="00124E80"/>
    <w:rsid w:val="001251E5"/>
    <w:rsid w:val="001254CE"/>
    <w:rsid w:val="00126715"/>
    <w:rsid w:val="00126C71"/>
    <w:rsid w:val="00127206"/>
    <w:rsid w:val="001275BB"/>
    <w:rsid w:val="00127AC3"/>
    <w:rsid w:val="00127B96"/>
    <w:rsid w:val="0013132C"/>
    <w:rsid w:val="00132108"/>
    <w:rsid w:val="00133706"/>
    <w:rsid w:val="00135F4D"/>
    <w:rsid w:val="00136FFA"/>
    <w:rsid w:val="00137736"/>
    <w:rsid w:val="00140284"/>
    <w:rsid w:val="001405B7"/>
    <w:rsid w:val="0014078F"/>
    <w:rsid w:val="00141B68"/>
    <w:rsid w:val="00142119"/>
    <w:rsid w:val="0014301E"/>
    <w:rsid w:val="00143A4A"/>
    <w:rsid w:val="00143FEF"/>
    <w:rsid w:val="00145071"/>
    <w:rsid w:val="001469C9"/>
    <w:rsid w:val="0014711A"/>
    <w:rsid w:val="0014748F"/>
    <w:rsid w:val="001479AC"/>
    <w:rsid w:val="001479F2"/>
    <w:rsid w:val="001500E3"/>
    <w:rsid w:val="0015088D"/>
    <w:rsid w:val="00151061"/>
    <w:rsid w:val="0015255D"/>
    <w:rsid w:val="00153078"/>
    <w:rsid w:val="001535A3"/>
    <w:rsid w:val="00155668"/>
    <w:rsid w:val="001576E7"/>
    <w:rsid w:val="00162064"/>
    <w:rsid w:val="001620E0"/>
    <w:rsid w:val="00162740"/>
    <w:rsid w:val="00165BE1"/>
    <w:rsid w:val="00170A38"/>
    <w:rsid w:val="00171141"/>
    <w:rsid w:val="00175B73"/>
    <w:rsid w:val="00177E9F"/>
    <w:rsid w:val="00177EB8"/>
    <w:rsid w:val="001815B8"/>
    <w:rsid w:val="00184220"/>
    <w:rsid w:val="00185A0D"/>
    <w:rsid w:val="00185E36"/>
    <w:rsid w:val="00186623"/>
    <w:rsid w:val="001879BB"/>
    <w:rsid w:val="00191CB1"/>
    <w:rsid w:val="0019285A"/>
    <w:rsid w:val="001937B1"/>
    <w:rsid w:val="0019468B"/>
    <w:rsid w:val="001949E1"/>
    <w:rsid w:val="00194D23"/>
    <w:rsid w:val="00195975"/>
    <w:rsid w:val="00196015"/>
    <w:rsid w:val="001968EA"/>
    <w:rsid w:val="001975CC"/>
    <w:rsid w:val="001A11C8"/>
    <w:rsid w:val="001A2149"/>
    <w:rsid w:val="001A2443"/>
    <w:rsid w:val="001A363E"/>
    <w:rsid w:val="001A4CC1"/>
    <w:rsid w:val="001A53A3"/>
    <w:rsid w:val="001A7C25"/>
    <w:rsid w:val="001B074F"/>
    <w:rsid w:val="001B1D51"/>
    <w:rsid w:val="001B2012"/>
    <w:rsid w:val="001B284D"/>
    <w:rsid w:val="001B2DF4"/>
    <w:rsid w:val="001B3E53"/>
    <w:rsid w:val="001B50FB"/>
    <w:rsid w:val="001B541B"/>
    <w:rsid w:val="001B756F"/>
    <w:rsid w:val="001C0780"/>
    <w:rsid w:val="001C1137"/>
    <w:rsid w:val="001C1CC3"/>
    <w:rsid w:val="001C1E50"/>
    <w:rsid w:val="001C2C65"/>
    <w:rsid w:val="001C2DFD"/>
    <w:rsid w:val="001C545D"/>
    <w:rsid w:val="001C683C"/>
    <w:rsid w:val="001C68BC"/>
    <w:rsid w:val="001D19F2"/>
    <w:rsid w:val="001D3893"/>
    <w:rsid w:val="001D3A4B"/>
    <w:rsid w:val="001D3E7A"/>
    <w:rsid w:val="001D3FB7"/>
    <w:rsid w:val="001D4074"/>
    <w:rsid w:val="001D42A5"/>
    <w:rsid w:val="001D43FA"/>
    <w:rsid w:val="001D4C46"/>
    <w:rsid w:val="001D501B"/>
    <w:rsid w:val="001D6857"/>
    <w:rsid w:val="001D7866"/>
    <w:rsid w:val="001E1FBA"/>
    <w:rsid w:val="001E2119"/>
    <w:rsid w:val="001E31C6"/>
    <w:rsid w:val="001E327D"/>
    <w:rsid w:val="001E3555"/>
    <w:rsid w:val="001E4818"/>
    <w:rsid w:val="001E4E37"/>
    <w:rsid w:val="001E675C"/>
    <w:rsid w:val="001E68D6"/>
    <w:rsid w:val="001E6D56"/>
    <w:rsid w:val="001F110B"/>
    <w:rsid w:val="001F1F66"/>
    <w:rsid w:val="001F25A2"/>
    <w:rsid w:val="001F29E2"/>
    <w:rsid w:val="001F3399"/>
    <w:rsid w:val="001F49CD"/>
    <w:rsid w:val="001F556F"/>
    <w:rsid w:val="001F56A4"/>
    <w:rsid w:val="001F773E"/>
    <w:rsid w:val="00200574"/>
    <w:rsid w:val="002008ED"/>
    <w:rsid w:val="00202422"/>
    <w:rsid w:val="00203B51"/>
    <w:rsid w:val="00204320"/>
    <w:rsid w:val="0020535F"/>
    <w:rsid w:val="002061A4"/>
    <w:rsid w:val="002069B4"/>
    <w:rsid w:val="00206B51"/>
    <w:rsid w:val="00207C71"/>
    <w:rsid w:val="00207DD3"/>
    <w:rsid w:val="0021032B"/>
    <w:rsid w:val="0021145A"/>
    <w:rsid w:val="00211A5E"/>
    <w:rsid w:val="002133A7"/>
    <w:rsid w:val="0021418E"/>
    <w:rsid w:val="0022014C"/>
    <w:rsid w:val="00220248"/>
    <w:rsid w:val="00220283"/>
    <w:rsid w:val="002211B3"/>
    <w:rsid w:val="00221895"/>
    <w:rsid w:val="00222461"/>
    <w:rsid w:val="00222C4D"/>
    <w:rsid w:val="00225B45"/>
    <w:rsid w:val="00230629"/>
    <w:rsid w:val="00230FA3"/>
    <w:rsid w:val="00231328"/>
    <w:rsid w:val="00232269"/>
    <w:rsid w:val="00232A91"/>
    <w:rsid w:val="002344DB"/>
    <w:rsid w:val="00234AEC"/>
    <w:rsid w:val="00234DB8"/>
    <w:rsid w:val="0023577B"/>
    <w:rsid w:val="00236A98"/>
    <w:rsid w:val="00237519"/>
    <w:rsid w:val="00237A30"/>
    <w:rsid w:val="00241E4D"/>
    <w:rsid w:val="0024275E"/>
    <w:rsid w:val="00244748"/>
    <w:rsid w:val="002500B2"/>
    <w:rsid w:val="00251161"/>
    <w:rsid w:val="00252015"/>
    <w:rsid w:val="00253AF6"/>
    <w:rsid w:val="00254D8E"/>
    <w:rsid w:val="00256CAB"/>
    <w:rsid w:val="00257D94"/>
    <w:rsid w:val="00261B7C"/>
    <w:rsid w:val="00262678"/>
    <w:rsid w:val="0026271F"/>
    <w:rsid w:val="00262C3C"/>
    <w:rsid w:val="00263301"/>
    <w:rsid w:val="002634EC"/>
    <w:rsid w:val="00264998"/>
    <w:rsid w:val="00264F7F"/>
    <w:rsid w:val="0026524D"/>
    <w:rsid w:val="00266424"/>
    <w:rsid w:val="0026644C"/>
    <w:rsid w:val="002734A2"/>
    <w:rsid w:val="00274E3C"/>
    <w:rsid w:val="002823CA"/>
    <w:rsid w:val="00282966"/>
    <w:rsid w:val="00283931"/>
    <w:rsid w:val="00284C0D"/>
    <w:rsid w:val="00287890"/>
    <w:rsid w:val="00291876"/>
    <w:rsid w:val="00292AB3"/>
    <w:rsid w:val="00295889"/>
    <w:rsid w:val="002A13DC"/>
    <w:rsid w:val="002A160A"/>
    <w:rsid w:val="002A16A0"/>
    <w:rsid w:val="002A19A1"/>
    <w:rsid w:val="002A2B7A"/>
    <w:rsid w:val="002A3A5A"/>
    <w:rsid w:val="002A7404"/>
    <w:rsid w:val="002B0AD4"/>
    <w:rsid w:val="002B167B"/>
    <w:rsid w:val="002B1942"/>
    <w:rsid w:val="002B3D6C"/>
    <w:rsid w:val="002B51F9"/>
    <w:rsid w:val="002B5EF1"/>
    <w:rsid w:val="002B6D1C"/>
    <w:rsid w:val="002B751B"/>
    <w:rsid w:val="002C0126"/>
    <w:rsid w:val="002C095D"/>
    <w:rsid w:val="002C2F01"/>
    <w:rsid w:val="002C2FAB"/>
    <w:rsid w:val="002C3270"/>
    <w:rsid w:val="002C35C7"/>
    <w:rsid w:val="002C3F77"/>
    <w:rsid w:val="002C4620"/>
    <w:rsid w:val="002C4A65"/>
    <w:rsid w:val="002C5441"/>
    <w:rsid w:val="002D0003"/>
    <w:rsid w:val="002D1B55"/>
    <w:rsid w:val="002D36AA"/>
    <w:rsid w:val="002D3A5F"/>
    <w:rsid w:val="002D3BDC"/>
    <w:rsid w:val="002D4951"/>
    <w:rsid w:val="002D4A3B"/>
    <w:rsid w:val="002D4E2B"/>
    <w:rsid w:val="002D4EF1"/>
    <w:rsid w:val="002D61D6"/>
    <w:rsid w:val="002D7759"/>
    <w:rsid w:val="002D7E92"/>
    <w:rsid w:val="002E3664"/>
    <w:rsid w:val="002E51D9"/>
    <w:rsid w:val="002E5227"/>
    <w:rsid w:val="002F0086"/>
    <w:rsid w:val="002F0D2E"/>
    <w:rsid w:val="002F3B52"/>
    <w:rsid w:val="002F3FD8"/>
    <w:rsid w:val="002F51E5"/>
    <w:rsid w:val="002F58E2"/>
    <w:rsid w:val="002F5E2F"/>
    <w:rsid w:val="002F7124"/>
    <w:rsid w:val="002F716B"/>
    <w:rsid w:val="002F78F7"/>
    <w:rsid w:val="002F7C63"/>
    <w:rsid w:val="00301740"/>
    <w:rsid w:val="003020F2"/>
    <w:rsid w:val="00303D74"/>
    <w:rsid w:val="00304BC0"/>
    <w:rsid w:val="0030606D"/>
    <w:rsid w:val="00306E1F"/>
    <w:rsid w:val="00306FB6"/>
    <w:rsid w:val="00307C65"/>
    <w:rsid w:val="0031034E"/>
    <w:rsid w:val="00310F00"/>
    <w:rsid w:val="0031191A"/>
    <w:rsid w:val="003123FF"/>
    <w:rsid w:val="00313AB9"/>
    <w:rsid w:val="00313CA8"/>
    <w:rsid w:val="003149AB"/>
    <w:rsid w:val="003162EA"/>
    <w:rsid w:val="003227DD"/>
    <w:rsid w:val="00322B50"/>
    <w:rsid w:val="003234D6"/>
    <w:rsid w:val="0032408F"/>
    <w:rsid w:val="00325F32"/>
    <w:rsid w:val="00326DA8"/>
    <w:rsid w:val="00327E3C"/>
    <w:rsid w:val="00330CEF"/>
    <w:rsid w:val="00331409"/>
    <w:rsid w:val="003319ED"/>
    <w:rsid w:val="003346B7"/>
    <w:rsid w:val="00334B4D"/>
    <w:rsid w:val="003356EF"/>
    <w:rsid w:val="00337EAF"/>
    <w:rsid w:val="00337FCC"/>
    <w:rsid w:val="00340670"/>
    <w:rsid w:val="00340F06"/>
    <w:rsid w:val="00341463"/>
    <w:rsid w:val="00341502"/>
    <w:rsid w:val="00341FF4"/>
    <w:rsid w:val="00342421"/>
    <w:rsid w:val="003426D9"/>
    <w:rsid w:val="0034596B"/>
    <w:rsid w:val="00347236"/>
    <w:rsid w:val="00347FB3"/>
    <w:rsid w:val="00350C79"/>
    <w:rsid w:val="00352512"/>
    <w:rsid w:val="003525A4"/>
    <w:rsid w:val="00352F4D"/>
    <w:rsid w:val="00353826"/>
    <w:rsid w:val="00354488"/>
    <w:rsid w:val="003556FB"/>
    <w:rsid w:val="003574AD"/>
    <w:rsid w:val="0036240E"/>
    <w:rsid w:val="00362918"/>
    <w:rsid w:val="00366B41"/>
    <w:rsid w:val="003702BF"/>
    <w:rsid w:val="00372DF8"/>
    <w:rsid w:val="003744E4"/>
    <w:rsid w:val="00374E3A"/>
    <w:rsid w:val="00375340"/>
    <w:rsid w:val="003755A4"/>
    <w:rsid w:val="00375B90"/>
    <w:rsid w:val="003775AC"/>
    <w:rsid w:val="00377BCD"/>
    <w:rsid w:val="00377EE7"/>
    <w:rsid w:val="00380844"/>
    <w:rsid w:val="00381551"/>
    <w:rsid w:val="00382031"/>
    <w:rsid w:val="003822BC"/>
    <w:rsid w:val="00384DDC"/>
    <w:rsid w:val="003852D3"/>
    <w:rsid w:val="003873AC"/>
    <w:rsid w:val="0039054A"/>
    <w:rsid w:val="003917B1"/>
    <w:rsid w:val="00393E6B"/>
    <w:rsid w:val="00395536"/>
    <w:rsid w:val="003A010F"/>
    <w:rsid w:val="003A02B7"/>
    <w:rsid w:val="003A2CB3"/>
    <w:rsid w:val="003A2F26"/>
    <w:rsid w:val="003A360B"/>
    <w:rsid w:val="003A37DA"/>
    <w:rsid w:val="003B002A"/>
    <w:rsid w:val="003B11D1"/>
    <w:rsid w:val="003B1480"/>
    <w:rsid w:val="003B1935"/>
    <w:rsid w:val="003B354E"/>
    <w:rsid w:val="003B4295"/>
    <w:rsid w:val="003B49EA"/>
    <w:rsid w:val="003B4D81"/>
    <w:rsid w:val="003B667B"/>
    <w:rsid w:val="003B6D4E"/>
    <w:rsid w:val="003B7BAA"/>
    <w:rsid w:val="003C0034"/>
    <w:rsid w:val="003C040D"/>
    <w:rsid w:val="003C16DB"/>
    <w:rsid w:val="003C1B04"/>
    <w:rsid w:val="003C2E84"/>
    <w:rsid w:val="003C36B1"/>
    <w:rsid w:val="003C392E"/>
    <w:rsid w:val="003C3ADF"/>
    <w:rsid w:val="003C4163"/>
    <w:rsid w:val="003C4247"/>
    <w:rsid w:val="003C4F70"/>
    <w:rsid w:val="003C7F92"/>
    <w:rsid w:val="003D2CDE"/>
    <w:rsid w:val="003D340C"/>
    <w:rsid w:val="003D432D"/>
    <w:rsid w:val="003D5A30"/>
    <w:rsid w:val="003E2054"/>
    <w:rsid w:val="003E2B5D"/>
    <w:rsid w:val="003E4919"/>
    <w:rsid w:val="003E59F5"/>
    <w:rsid w:val="003E5ADC"/>
    <w:rsid w:val="003E7297"/>
    <w:rsid w:val="003E73EE"/>
    <w:rsid w:val="003F4041"/>
    <w:rsid w:val="003F4899"/>
    <w:rsid w:val="003F5752"/>
    <w:rsid w:val="003F59FD"/>
    <w:rsid w:val="003F67FA"/>
    <w:rsid w:val="0040010F"/>
    <w:rsid w:val="00402475"/>
    <w:rsid w:val="00402D77"/>
    <w:rsid w:val="00404BBE"/>
    <w:rsid w:val="0040510D"/>
    <w:rsid w:val="004060A4"/>
    <w:rsid w:val="00406A0E"/>
    <w:rsid w:val="00406FD9"/>
    <w:rsid w:val="0040743A"/>
    <w:rsid w:val="00407F9B"/>
    <w:rsid w:val="0041184B"/>
    <w:rsid w:val="00411871"/>
    <w:rsid w:val="004118D6"/>
    <w:rsid w:val="0041297C"/>
    <w:rsid w:val="00412FCB"/>
    <w:rsid w:val="00413623"/>
    <w:rsid w:val="004137BF"/>
    <w:rsid w:val="0041496D"/>
    <w:rsid w:val="00416461"/>
    <w:rsid w:val="00417FBA"/>
    <w:rsid w:val="004222BB"/>
    <w:rsid w:val="004223F1"/>
    <w:rsid w:val="00423D9F"/>
    <w:rsid w:val="004242F3"/>
    <w:rsid w:val="00427C21"/>
    <w:rsid w:val="00432CAA"/>
    <w:rsid w:val="00433709"/>
    <w:rsid w:val="0043509E"/>
    <w:rsid w:val="00435FC3"/>
    <w:rsid w:val="00437F85"/>
    <w:rsid w:val="004425DE"/>
    <w:rsid w:val="00443304"/>
    <w:rsid w:val="00445E4A"/>
    <w:rsid w:val="00446ED1"/>
    <w:rsid w:val="004504F7"/>
    <w:rsid w:val="004507AC"/>
    <w:rsid w:val="00450DEA"/>
    <w:rsid w:val="004521C5"/>
    <w:rsid w:val="0045398C"/>
    <w:rsid w:val="00454182"/>
    <w:rsid w:val="00454459"/>
    <w:rsid w:val="004563D2"/>
    <w:rsid w:val="00456E0B"/>
    <w:rsid w:val="00457B33"/>
    <w:rsid w:val="00460178"/>
    <w:rsid w:val="00461539"/>
    <w:rsid w:val="00461708"/>
    <w:rsid w:val="00463620"/>
    <w:rsid w:val="00463F89"/>
    <w:rsid w:val="004647BF"/>
    <w:rsid w:val="0046692B"/>
    <w:rsid w:val="00466FD5"/>
    <w:rsid w:val="00470769"/>
    <w:rsid w:val="00470A56"/>
    <w:rsid w:val="00473070"/>
    <w:rsid w:val="00474180"/>
    <w:rsid w:val="00476CAC"/>
    <w:rsid w:val="00477002"/>
    <w:rsid w:val="00477C36"/>
    <w:rsid w:val="00483857"/>
    <w:rsid w:val="00484227"/>
    <w:rsid w:val="00484745"/>
    <w:rsid w:val="00484E0D"/>
    <w:rsid w:val="004854FB"/>
    <w:rsid w:val="004864EB"/>
    <w:rsid w:val="0048659D"/>
    <w:rsid w:val="004869A6"/>
    <w:rsid w:val="00490C7E"/>
    <w:rsid w:val="00491A20"/>
    <w:rsid w:val="00491F23"/>
    <w:rsid w:val="00491F54"/>
    <w:rsid w:val="0049284F"/>
    <w:rsid w:val="0049293F"/>
    <w:rsid w:val="00493D6A"/>
    <w:rsid w:val="0049467F"/>
    <w:rsid w:val="00494947"/>
    <w:rsid w:val="004954A1"/>
    <w:rsid w:val="004956C4"/>
    <w:rsid w:val="0049628E"/>
    <w:rsid w:val="00496301"/>
    <w:rsid w:val="004963F8"/>
    <w:rsid w:val="004A0882"/>
    <w:rsid w:val="004A1E24"/>
    <w:rsid w:val="004A357D"/>
    <w:rsid w:val="004A3669"/>
    <w:rsid w:val="004A49B0"/>
    <w:rsid w:val="004A4AA0"/>
    <w:rsid w:val="004A4AC0"/>
    <w:rsid w:val="004A531D"/>
    <w:rsid w:val="004A5822"/>
    <w:rsid w:val="004A6DB1"/>
    <w:rsid w:val="004A7ED9"/>
    <w:rsid w:val="004B177B"/>
    <w:rsid w:val="004B18A8"/>
    <w:rsid w:val="004B1B71"/>
    <w:rsid w:val="004B2A08"/>
    <w:rsid w:val="004B313D"/>
    <w:rsid w:val="004B39FB"/>
    <w:rsid w:val="004B49F5"/>
    <w:rsid w:val="004B5075"/>
    <w:rsid w:val="004C1801"/>
    <w:rsid w:val="004C35CC"/>
    <w:rsid w:val="004C6CCA"/>
    <w:rsid w:val="004C74B7"/>
    <w:rsid w:val="004D0901"/>
    <w:rsid w:val="004D1A34"/>
    <w:rsid w:val="004D21DD"/>
    <w:rsid w:val="004D48BD"/>
    <w:rsid w:val="004D5009"/>
    <w:rsid w:val="004D5701"/>
    <w:rsid w:val="004D789E"/>
    <w:rsid w:val="004E1467"/>
    <w:rsid w:val="004E1FBD"/>
    <w:rsid w:val="004E5C0E"/>
    <w:rsid w:val="004F13EB"/>
    <w:rsid w:val="004F3932"/>
    <w:rsid w:val="004F45D1"/>
    <w:rsid w:val="004F7CBE"/>
    <w:rsid w:val="004F7F07"/>
    <w:rsid w:val="00502377"/>
    <w:rsid w:val="00502BA8"/>
    <w:rsid w:val="005036B0"/>
    <w:rsid w:val="005068AD"/>
    <w:rsid w:val="00507472"/>
    <w:rsid w:val="00507869"/>
    <w:rsid w:val="00513618"/>
    <w:rsid w:val="00514860"/>
    <w:rsid w:val="00514B7C"/>
    <w:rsid w:val="00514D5E"/>
    <w:rsid w:val="005166CB"/>
    <w:rsid w:val="00517DC7"/>
    <w:rsid w:val="005219EE"/>
    <w:rsid w:val="0052450E"/>
    <w:rsid w:val="00525745"/>
    <w:rsid w:val="00525FBA"/>
    <w:rsid w:val="005264FB"/>
    <w:rsid w:val="0052731A"/>
    <w:rsid w:val="00530ABB"/>
    <w:rsid w:val="005322C7"/>
    <w:rsid w:val="00533CB7"/>
    <w:rsid w:val="00533E54"/>
    <w:rsid w:val="00533F58"/>
    <w:rsid w:val="00536981"/>
    <w:rsid w:val="00537545"/>
    <w:rsid w:val="005405DB"/>
    <w:rsid w:val="00540CC7"/>
    <w:rsid w:val="0054521B"/>
    <w:rsid w:val="005455F8"/>
    <w:rsid w:val="00545C78"/>
    <w:rsid w:val="005460E9"/>
    <w:rsid w:val="0055018C"/>
    <w:rsid w:val="00551532"/>
    <w:rsid w:val="00552DF9"/>
    <w:rsid w:val="00554118"/>
    <w:rsid w:val="00554993"/>
    <w:rsid w:val="00554FB1"/>
    <w:rsid w:val="00555F8D"/>
    <w:rsid w:val="00555FB6"/>
    <w:rsid w:val="00556D43"/>
    <w:rsid w:val="005578B0"/>
    <w:rsid w:val="00557C31"/>
    <w:rsid w:val="00560F7C"/>
    <w:rsid w:val="0056222F"/>
    <w:rsid w:val="00563717"/>
    <w:rsid w:val="00563ACA"/>
    <w:rsid w:val="00563EA1"/>
    <w:rsid w:val="00564F72"/>
    <w:rsid w:val="00565969"/>
    <w:rsid w:val="00565C6B"/>
    <w:rsid w:val="00566F42"/>
    <w:rsid w:val="0056743F"/>
    <w:rsid w:val="005678E2"/>
    <w:rsid w:val="0056793D"/>
    <w:rsid w:val="00573F90"/>
    <w:rsid w:val="005755DB"/>
    <w:rsid w:val="00575B6E"/>
    <w:rsid w:val="005764EB"/>
    <w:rsid w:val="00576F37"/>
    <w:rsid w:val="00577B1F"/>
    <w:rsid w:val="00577EFD"/>
    <w:rsid w:val="005814D6"/>
    <w:rsid w:val="0058176B"/>
    <w:rsid w:val="00582118"/>
    <w:rsid w:val="00582896"/>
    <w:rsid w:val="00582C0B"/>
    <w:rsid w:val="00582D9F"/>
    <w:rsid w:val="00583DEA"/>
    <w:rsid w:val="00585909"/>
    <w:rsid w:val="00590397"/>
    <w:rsid w:val="005905C4"/>
    <w:rsid w:val="005913A5"/>
    <w:rsid w:val="005914B8"/>
    <w:rsid w:val="005923B8"/>
    <w:rsid w:val="00593F0B"/>
    <w:rsid w:val="005955DD"/>
    <w:rsid w:val="005960EC"/>
    <w:rsid w:val="005A00F9"/>
    <w:rsid w:val="005A07F5"/>
    <w:rsid w:val="005A0F17"/>
    <w:rsid w:val="005A186D"/>
    <w:rsid w:val="005A1889"/>
    <w:rsid w:val="005A1E7F"/>
    <w:rsid w:val="005A2DD6"/>
    <w:rsid w:val="005A3AF5"/>
    <w:rsid w:val="005A48E5"/>
    <w:rsid w:val="005A4BC0"/>
    <w:rsid w:val="005A56A6"/>
    <w:rsid w:val="005A613E"/>
    <w:rsid w:val="005A63F2"/>
    <w:rsid w:val="005A65B9"/>
    <w:rsid w:val="005B0362"/>
    <w:rsid w:val="005B127B"/>
    <w:rsid w:val="005B16AD"/>
    <w:rsid w:val="005B191B"/>
    <w:rsid w:val="005B1A7B"/>
    <w:rsid w:val="005B1E49"/>
    <w:rsid w:val="005B3451"/>
    <w:rsid w:val="005B3F9E"/>
    <w:rsid w:val="005B431F"/>
    <w:rsid w:val="005B68D3"/>
    <w:rsid w:val="005C0022"/>
    <w:rsid w:val="005C08A1"/>
    <w:rsid w:val="005C2F94"/>
    <w:rsid w:val="005C3E4F"/>
    <w:rsid w:val="005C4577"/>
    <w:rsid w:val="005C5533"/>
    <w:rsid w:val="005C5F22"/>
    <w:rsid w:val="005C62BB"/>
    <w:rsid w:val="005C72AD"/>
    <w:rsid w:val="005C74C3"/>
    <w:rsid w:val="005C7896"/>
    <w:rsid w:val="005D19F4"/>
    <w:rsid w:val="005D21D6"/>
    <w:rsid w:val="005D2E80"/>
    <w:rsid w:val="005D6B57"/>
    <w:rsid w:val="005D6D5C"/>
    <w:rsid w:val="005D78B9"/>
    <w:rsid w:val="005E0F43"/>
    <w:rsid w:val="005E1AB2"/>
    <w:rsid w:val="005E254F"/>
    <w:rsid w:val="005E2614"/>
    <w:rsid w:val="005E44C6"/>
    <w:rsid w:val="005E5115"/>
    <w:rsid w:val="005E5E91"/>
    <w:rsid w:val="005E78F1"/>
    <w:rsid w:val="005E7CE3"/>
    <w:rsid w:val="005F1D2C"/>
    <w:rsid w:val="005F2020"/>
    <w:rsid w:val="005F2770"/>
    <w:rsid w:val="005F29F3"/>
    <w:rsid w:val="005F2FBE"/>
    <w:rsid w:val="005F4A7F"/>
    <w:rsid w:val="005F5D3E"/>
    <w:rsid w:val="005F6078"/>
    <w:rsid w:val="005F626E"/>
    <w:rsid w:val="005F7E86"/>
    <w:rsid w:val="0060047A"/>
    <w:rsid w:val="00602EAD"/>
    <w:rsid w:val="006033A8"/>
    <w:rsid w:val="00603486"/>
    <w:rsid w:val="0060458F"/>
    <w:rsid w:val="006049D5"/>
    <w:rsid w:val="00605381"/>
    <w:rsid w:val="006053D5"/>
    <w:rsid w:val="00607DBE"/>
    <w:rsid w:val="006115AB"/>
    <w:rsid w:val="0061174C"/>
    <w:rsid w:val="006126F7"/>
    <w:rsid w:val="0061320C"/>
    <w:rsid w:val="006139D9"/>
    <w:rsid w:val="0061489B"/>
    <w:rsid w:val="006159A1"/>
    <w:rsid w:val="00616024"/>
    <w:rsid w:val="006179A9"/>
    <w:rsid w:val="006203B3"/>
    <w:rsid w:val="00620662"/>
    <w:rsid w:val="006225E0"/>
    <w:rsid w:val="00622CBA"/>
    <w:rsid w:val="0062307F"/>
    <w:rsid w:val="006238F7"/>
    <w:rsid w:val="00624870"/>
    <w:rsid w:val="00624BC2"/>
    <w:rsid w:val="00625F14"/>
    <w:rsid w:val="006260E7"/>
    <w:rsid w:val="00627357"/>
    <w:rsid w:val="00631261"/>
    <w:rsid w:val="00631BBC"/>
    <w:rsid w:val="00631FBB"/>
    <w:rsid w:val="0063334A"/>
    <w:rsid w:val="00633402"/>
    <w:rsid w:val="00635233"/>
    <w:rsid w:val="00635F61"/>
    <w:rsid w:val="006364BB"/>
    <w:rsid w:val="00636BA2"/>
    <w:rsid w:val="006415A2"/>
    <w:rsid w:val="0064565A"/>
    <w:rsid w:val="00646830"/>
    <w:rsid w:val="00646F79"/>
    <w:rsid w:val="0064704D"/>
    <w:rsid w:val="00647817"/>
    <w:rsid w:val="00647E81"/>
    <w:rsid w:val="0065086C"/>
    <w:rsid w:val="00651171"/>
    <w:rsid w:val="00651883"/>
    <w:rsid w:val="00651B5E"/>
    <w:rsid w:val="00652079"/>
    <w:rsid w:val="00652211"/>
    <w:rsid w:val="00654BB9"/>
    <w:rsid w:val="00655B45"/>
    <w:rsid w:val="00657C10"/>
    <w:rsid w:val="0066052E"/>
    <w:rsid w:val="006626F9"/>
    <w:rsid w:val="00663669"/>
    <w:rsid w:val="006639E0"/>
    <w:rsid w:val="00663EC2"/>
    <w:rsid w:val="0066587A"/>
    <w:rsid w:val="00667574"/>
    <w:rsid w:val="0067025B"/>
    <w:rsid w:val="006709FB"/>
    <w:rsid w:val="006713ED"/>
    <w:rsid w:val="00671805"/>
    <w:rsid w:val="00671934"/>
    <w:rsid w:val="0067329C"/>
    <w:rsid w:val="00674A82"/>
    <w:rsid w:val="006751F5"/>
    <w:rsid w:val="00675D91"/>
    <w:rsid w:val="00676BAB"/>
    <w:rsid w:val="00677CA7"/>
    <w:rsid w:val="006809B0"/>
    <w:rsid w:val="006821DC"/>
    <w:rsid w:val="006824BC"/>
    <w:rsid w:val="006829CB"/>
    <w:rsid w:val="00682B2C"/>
    <w:rsid w:val="00683F13"/>
    <w:rsid w:val="00684224"/>
    <w:rsid w:val="006859F3"/>
    <w:rsid w:val="00685B14"/>
    <w:rsid w:val="00685F44"/>
    <w:rsid w:val="00686353"/>
    <w:rsid w:val="00687F2D"/>
    <w:rsid w:val="0069177B"/>
    <w:rsid w:val="00691D4A"/>
    <w:rsid w:val="0069226D"/>
    <w:rsid w:val="00692599"/>
    <w:rsid w:val="0069264D"/>
    <w:rsid w:val="00693B52"/>
    <w:rsid w:val="00695A13"/>
    <w:rsid w:val="00697AFD"/>
    <w:rsid w:val="00697DD5"/>
    <w:rsid w:val="006A1FC5"/>
    <w:rsid w:val="006A260D"/>
    <w:rsid w:val="006A28C7"/>
    <w:rsid w:val="006A3D55"/>
    <w:rsid w:val="006A6C75"/>
    <w:rsid w:val="006A7015"/>
    <w:rsid w:val="006B2DF8"/>
    <w:rsid w:val="006B35C6"/>
    <w:rsid w:val="006B4A8A"/>
    <w:rsid w:val="006B6583"/>
    <w:rsid w:val="006B6755"/>
    <w:rsid w:val="006B79D1"/>
    <w:rsid w:val="006B7EF6"/>
    <w:rsid w:val="006C0132"/>
    <w:rsid w:val="006C0244"/>
    <w:rsid w:val="006C0ABC"/>
    <w:rsid w:val="006C27E3"/>
    <w:rsid w:val="006C322D"/>
    <w:rsid w:val="006C34FF"/>
    <w:rsid w:val="006C5A60"/>
    <w:rsid w:val="006C6342"/>
    <w:rsid w:val="006C6E92"/>
    <w:rsid w:val="006D0820"/>
    <w:rsid w:val="006D0944"/>
    <w:rsid w:val="006D1D20"/>
    <w:rsid w:val="006D1E27"/>
    <w:rsid w:val="006D2F5C"/>
    <w:rsid w:val="006D369B"/>
    <w:rsid w:val="006D3E89"/>
    <w:rsid w:val="006D4048"/>
    <w:rsid w:val="006D4A9E"/>
    <w:rsid w:val="006D555E"/>
    <w:rsid w:val="006D58C1"/>
    <w:rsid w:val="006D5F54"/>
    <w:rsid w:val="006D6992"/>
    <w:rsid w:val="006D793D"/>
    <w:rsid w:val="006E1955"/>
    <w:rsid w:val="006E2286"/>
    <w:rsid w:val="006E4CDE"/>
    <w:rsid w:val="006E4ED4"/>
    <w:rsid w:val="006F0C9E"/>
    <w:rsid w:val="006F14DB"/>
    <w:rsid w:val="006F2DEA"/>
    <w:rsid w:val="006F31A4"/>
    <w:rsid w:val="006F3559"/>
    <w:rsid w:val="006F3BD3"/>
    <w:rsid w:val="006F4138"/>
    <w:rsid w:val="006F4BA6"/>
    <w:rsid w:val="006F4DD9"/>
    <w:rsid w:val="006F54A9"/>
    <w:rsid w:val="006F5CA5"/>
    <w:rsid w:val="00701540"/>
    <w:rsid w:val="00703EB4"/>
    <w:rsid w:val="00704952"/>
    <w:rsid w:val="00704B96"/>
    <w:rsid w:val="00705341"/>
    <w:rsid w:val="00705550"/>
    <w:rsid w:val="007062C8"/>
    <w:rsid w:val="007077AD"/>
    <w:rsid w:val="00711430"/>
    <w:rsid w:val="00711489"/>
    <w:rsid w:val="007119A9"/>
    <w:rsid w:val="00712154"/>
    <w:rsid w:val="0071297E"/>
    <w:rsid w:val="00713587"/>
    <w:rsid w:val="0072018E"/>
    <w:rsid w:val="00721887"/>
    <w:rsid w:val="007218D2"/>
    <w:rsid w:val="00721BF7"/>
    <w:rsid w:val="0072215B"/>
    <w:rsid w:val="00722D74"/>
    <w:rsid w:val="0072471D"/>
    <w:rsid w:val="007252DF"/>
    <w:rsid w:val="00725A72"/>
    <w:rsid w:val="00725ECD"/>
    <w:rsid w:val="00725F9C"/>
    <w:rsid w:val="0072697F"/>
    <w:rsid w:val="007273FB"/>
    <w:rsid w:val="0073006F"/>
    <w:rsid w:val="007327DF"/>
    <w:rsid w:val="00735A12"/>
    <w:rsid w:val="007361C9"/>
    <w:rsid w:val="007375B2"/>
    <w:rsid w:val="007401A4"/>
    <w:rsid w:val="00740FE6"/>
    <w:rsid w:val="00741C67"/>
    <w:rsid w:val="00742086"/>
    <w:rsid w:val="00744780"/>
    <w:rsid w:val="00745C9B"/>
    <w:rsid w:val="00745F00"/>
    <w:rsid w:val="007478F5"/>
    <w:rsid w:val="00747D3B"/>
    <w:rsid w:val="00752DF9"/>
    <w:rsid w:val="00754A3F"/>
    <w:rsid w:val="00756D94"/>
    <w:rsid w:val="00757A95"/>
    <w:rsid w:val="00757B06"/>
    <w:rsid w:val="00762024"/>
    <w:rsid w:val="00762038"/>
    <w:rsid w:val="0076267A"/>
    <w:rsid w:val="007652C6"/>
    <w:rsid w:val="007703CF"/>
    <w:rsid w:val="00770480"/>
    <w:rsid w:val="00771109"/>
    <w:rsid w:val="0077232D"/>
    <w:rsid w:val="00772991"/>
    <w:rsid w:val="00772CAE"/>
    <w:rsid w:val="00776798"/>
    <w:rsid w:val="00777F9D"/>
    <w:rsid w:val="007816AB"/>
    <w:rsid w:val="00782849"/>
    <w:rsid w:val="007829EF"/>
    <w:rsid w:val="00782E0E"/>
    <w:rsid w:val="00782E74"/>
    <w:rsid w:val="00784A7D"/>
    <w:rsid w:val="00786FC2"/>
    <w:rsid w:val="00790D7C"/>
    <w:rsid w:val="0079101F"/>
    <w:rsid w:val="00791261"/>
    <w:rsid w:val="007921A1"/>
    <w:rsid w:val="00793E5E"/>
    <w:rsid w:val="00794570"/>
    <w:rsid w:val="0079488E"/>
    <w:rsid w:val="00796D43"/>
    <w:rsid w:val="00797B21"/>
    <w:rsid w:val="007A033C"/>
    <w:rsid w:val="007A07AA"/>
    <w:rsid w:val="007A120C"/>
    <w:rsid w:val="007A2EF7"/>
    <w:rsid w:val="007A3119"/>
    <w:rsid w:val="007A3346"/>
    <w:rsid w:val="007A3998"/>
    <w:rsid w:val="007B0556"/>
    <w:rsid w:val="007B05AE"/>
    <w:rsid w:val="007B069D"/>
    <w:rsid w:val="007B234F"/>
    <w:rsid w:val="007B2423"/>
    <w:rsid w:val="007B32BE"/>
    <w:rsid w:val="007B44E1"/>
    <w:rsid w:val="007B4C91"/>
    <w:rsid w:val="007B5797"/>
    <w:rsid w:val="007B644C"/>
    <w:rsid w:val="007C0442"/>
    <w:rsid w:val="007C160B"/>
    <w:rsid w:val="007C1D38"/>
    <w:rsid w:val="007C1DC3"/>
    <w:rsid w:val="007C3918"/>
    <w:rsid w:val="007C4335"/>
    <w:rsid w:val="007C4B92"/>
    <w:rsid w:val="007C547A"/>
    <w:rsid w:val="007C5C8E"/>
    <w:rsid w:val="007C6805"/>
    <w:rsid w:val="007D01A8"/>
    <w:rsid w:val="007D2B22"/>
    <w:rsid w:val="007D2D87"/>
    <w:rsid w:val="007D2F4D"/>
    <w:rsid w:val="007D2F63"/>
    <w:rsid w:val="007D3840"/>
    <w:rsid w:val="007D4E29"/>
    <w:rsid w:val="007D51F5"/>
    <w:rsid w:val="007D63B0"/>
    <w:rsid w:val="007D67F7"/>
    <w:rsid w:val="007D6836"/>
    <w:rsid w:val="007D7FF5"/>
    <w:rsid w:val="007E2AAE"/>
    <w:rsid w:val="007E536A"/>
    <w:rsid w:val="007F02F6"/>
    <w:rsid w:val="007F0DA7"/>
    <w:rsid w:val="007F3499"/>
    <w:rsid w:val="007F42C5"/>
    <w:rsid w:val="007F47E2"/>
    <w:rsid w:val="007F686F"/>
    <w:rsid w:val="007F6B7B"/>
    <w:rsid w:val="007F7521"/>
    <w:rsid w:val="007F7FBA"/>
    <w:rsid w:val="00800797"/>
    <w:rsid w:val="00801C5F"/>
    <w:rsid w:val="00802028"/>
    <w:rsid w:val="008023F0"/>
    <w:rsid w:val="008039B5"/>
    <w:rsid w:val="00804F00"/>
    <w:rsid w:val="008055DB"/>
    <w:rsid w:val="00806611"/>
    <w:rsid w:val="0081046E"/>
    <w:rsid w:val="00812ADB"/>
    <w:rsid w:val="00813816"/>
    <w:rsid w:val="00813A10"/>
    <w:rsid w:val="00813D39"/>
    <w:rsid w:val="00814541"/>
    <w:rsid w:val="00814ADC"/>
    <w:rsid w:val="00815E26"/>
    <w:rsid w:val="00816BFE"/>
    <w:rsid w:val="0082119B"/>
    <w:rsid w:val="008228AC"/>
    <w:rsid w:val="00823835"/>
    <w:rsid w:val="00826B28"/>
    <w:rsid w:val="008271A0"/>
    <w:rsid w:val="00827779"/>
    <w:rsid w:val="00827840"/>
    <w:rsid w:val="00830523"/>
    <w:rsid w:val="008311C8"/>
    <w:rsid w:val="00831354"/>
    <w:rsid w:val="00831FFF"/>
    <w:rsid w:val="00833806"/>
    <w:rsid w:val="00837509"/>
    <w:rsid w:val="008376D6"/>
    <w:rsid w:val="008418E3"/>
    <w:rsid w:val="00841AA8"/>
    <w:rsid w:val="00841C5D"/>
    <w:rsid w:val="00842088"/>
    <w:rsid w:val="008468E7"/>
    <w:rsid w:val="00853D00"/>
    <w:rsid w:val="0085483F"/>
    <w:rsid w:val="008550D2"/>
    <w:rsid w:val="0085620E"/>
    <w:rsid w:val="00860467"/>
    <w:rsid w:val="00860E90"/>
    <w:rsid w:val="00861DB0"/>
    <w:rsid w:val="00864C97"/>
    <w:rsid w:val="00864D64"/>
    <w:rsid w:val="00864EDB"/>
    <w:rsid w:val="00870687"/>
    <w:rsid w:val="008712BD"/>
    <w:rsid w:val="00871D26"/>
    <w:rsid w:val="00872641"/>
    <w:rsid w:val="008746DD"/>
    <w:rsid w:val="00875804"/>
    <w:rsid w:val="00876A00"/>
    <w:rsid w:val="00876CFB"/>
    <w:rsid w:val="00876F05"/>
    <w:rsid w:val="00880DF0"/>
    <w:rsid w:val="008820CB"/>
    <w:rsid w:val="008831F7"/>
    <w:rsid w:val="008832F2"/>
    <w:rsid w:val="0088394E"/>
    <w:rsid w:val="00884517"/>
    <w:rsid w:val="008867B3"/>
    <w:rsid w:val="0088715A"/>
    <w:rsid w:val="008874BC"/>
    <w:rsid w:val="00887A24"/>
    <w:rsid w:val="00892785"/>
    <w:rsid w:val="00893072"/>
    <w:rsid w:val="008952B7"/>
    <w:rsid w:val="008960E1"/>
    <w:rsid w:val="00896CA7"/>
    <w:rsid w:val="00897614"/>
    <w:rsid w:val="00897918"/>
    <w:rsid w:val="008A0C8F"/>
    <w:rsid w:val="008A16BA"/>
    <w:rsid w:val="008A3789"/>
    <w:rsid w:val="008A4028"/>
    <w:rsid w:val="008A51C1"/>
    <w:rsid w:val="008A62EA"/>
    <w:rsid w:val="008A7CFF"/>
    <w:rsid w:val="008A7EA5"/>
    <w:rsid w:val="008B056C"/>
    <w:rsid w:val="008B05BF"/>
    <w:rsid w:val="008B0AD7"/>
    <w:rsid w:val="008B22DF"/>
    <w:rsid w:val="008B2A85"/>
    <w:rsid w:val="008B4ADF"/>
    <w:rsid w:val="008B54C2"/>
    <w:rsid w:val="008B7EAF"/>
    <w:rsid w:val="008C2079"/>
    <w:rsid w:val="008C239A"/>
    <w:rsid w:val="008C2DFD"/>
    <w:rsid w:val="008C3655"/>
    <w:rsid w:val="008C47AF"/>
    <w:rsid w:val="008C797A"/>
    <w:rsid w:val="008C7ABF"/>
    <w:rsid w:val="008C7B8A"/>
    <w:rsid w:val="008D177D"/>
    <w:rsid w:val="008D2925"/>
    <w:rsid w:val="008D488C"/>
    <w:rsid w:val="008D5C43"/>
    <w:rsid w:val="008D6F3D"/>
    <w:rsid w:val="008E116B"/>
    <w:rsid w:val="008E1A3E"/>
    <w:rsid w:val="008E38A2"/>
    <w:rsid w:val="008E45F6"/>
    <w:rsid w:val="008E478F"/>
    <w:rsid w:val="008E4F5F"/>
    <w:rsid w:val="008E6F7C"/>
    <w:rsid w:val="008F0168"/>
    <w:rsid w:val="008F0B58"/>
    <w:rsid w:val="008F0D18"/>
    <w:rsid w:val="008F0EE6"/>
    <w:rsid w:val="008F47BE"/>
    <w:rsid w:val="008F59D0"/>
    <w:rsid w:val="008F5AF9"/>
    <w:rsid w:val="008F6583"/>
    <w:rsid w:val="008F6864"/>
    <w:rsid w:val="00900902"/>
    <w:rsid w:val="009016A7"/>
    <w:rsid w:val="00901BBD"/>
    <w:rsid w:val="0090276F"/>
    <w:rsid w:val="0090294C"/>
    <w:rsid w:val="0090466E"/>
    <w:rsid w:val="00906289"/>
    <w:rsid w:val="009066B4"/>
    <w:rsid w:val="00907A53"/>
    <w:rsid w:val="009105D5"/>
    <w:rsid w:val="00910B73"/>
    <w:rsid w:val="009120DE"/>
    <w:rsid w:val="00912975"/>
    <w:rsid w:val="00912F08"/>
    <w:rsid w:val="009136FF"/>
    <w:rsid w:val="009138BC"/>
    <w:rsid w:val="00913F59"/>
    <w:rsid w:val="009144D1"/>
    <w:rsid w:val="00914D28"/>
    <w:rsid w:val="009165A3"/>
    <w:rsid w:val="00916BFE"/>
    <w:rsid w:val="00916D38"/>
    <w:rsid w:val="00917DA5"/>
    <w:rsid w:val="0092006D"/>
    <w:rsid w:val="0092111F"/>
    <w:rsid w:val="0092288F"/>
    <w:rsid w:val="00922FB7"/>
    <w:rsid w:val="00923713"/>
    <w:rsid w:val="00923ECF"/>
    <w:rsid w:val="00927C1A"/>
    <w:rsid w:val="00931AAD"/>
    <w:rsid w:val="00931B7A"/>
    <w:rsid w:val="00932577"/>
    <w:rsid w:val="00932798"/>
    <w:rsid w:val="00934573"/>
    <w:rsid w:val="00936501"/>
    <w:rsid w:val="00936598"/>
    <w:rsid w:val="00941A2E"/>
    <w:rsid w:val="00942674"/>
    <w:rsid w:val="00942F6D"/>
    <w:rsid w:val="0094376E"/>
    <w:rsid w:val="009445D3"/>
    <w:rsid w:val="00944EEF"/>
    <w:rsid w:val="00946160"/>
    <w:rsid w:val="009466DB"/>
    <w:rsid w:val="00947FFD"/>
    <w:rsid w:val="0095022A"/>
    <w:rsid w:val="0095300E"/>
    <w:rsid w:val="009541A2"/>
    <w:rsid w:val="009544A4"/>
    <w:rsid w:val="00955399"/>
    <w:rsid w:val="00955A29"/>
    <w:rsid w:val="00960729"/>
    <w:rsid w:val="00960816"/>
    <w:rsid w:val="009609DB"/>
    <w:rsid w:val="009614F8"/>
    <w:rsid w:val="00961A31"/>
    <w:rsid w:val="00961D85"/>
    <w:rsid w:val="009625F3"/>
    <w:rsid w:val="00964045"/>
    <w:rsid w:val="0096415A"/>
    <w:rsid w:val="00965E99"/>
    <w:rsid w:val="00965F22"/>
    <w:rsid w:val="00966306"/>
    <w:rsid w:val="009664C8"/>
    <w:rsid w:val="00970FC5"/>
    <w:rsid w:val="00972CCA"/>
    <w:rsid w:val="009736F7"/>
    <w:rsid w:val="00973AA3"/>
    <w:rsid w:val="00973CD5"/>
    <w:rsid w:val="0097441D"/>
    <w:rsid w:val="00974A95"/>
    <w:rsid w:val="00977648"/>
    <w:rsid w:val="009778C8"/>
    <w:rsid w:val="00981407"/>
    <w:rsid w:val="00983A25"/>
    <w:rsid w:val="00984FCE"/>
    <w:rsid w:val="0098671C"/>
    <w:rsid w:val="009915EC"/>
    <w:rsid w:val="00992122"/>
    <w:rsid w:val="00994141"/>
    <w:rsid w:val="00995738"/>
    <w:rsid w:val="00995D9E"/>
    <w:rsid w:val="009A2C31"/>
    <w:rsid w:val="009A3A66"/>
    <w:rsid w:val="009A4457"/>
    <w:rsid w:val="009A49AA"/>
    <w:rsid w:val="009A4CF9"/>
    <w:rsid w:val="009A6F18"/>
    <w:rsid w:val="009A7B66"/>
    <w:rsid w:val="009A7E20"/>
    <w:rsid w:val="009B1373"/>
    <w:rsid w:val="009B218C"/>
    <w:rsid w:val="009B34BF"/>
    <w:rsid w:val="009B3E33"/>
    <w:rsid w:val="009B4F29"/>
    <w:rsid w:val="009B6242"/>
    <w:rsid w:val="009B65C8"/>
    <w:rsid w:val="009C0324"/>
    <w:rsid w:val="009C11FA"/>
    <w:rsid w:val="009C15A5"/>
    <w:rsid w:val="009C1F43"/>
    <w:rsid w:val="009C3818"/>
    <w:rsid w:val="009C48C1"/>
    <w:rsid w:val="009C4F16"/>
    <w:rsid w:val="009C736E"/>
    <w:rsid w:val="009D28DF"/>
    <w:rsid w:val="009D29D5"/>
    <w:rsid w:val="009D2A85"/>
    <w:rsid w:val="009D332F"/>
    <w:rsid w:val="009D348F"/>
    <w:rsid w:val="009D3CED"/>
    <w:rsid w:val="009D3D28"/>
    <w:rsid w:val="009D4224"/>
    <w:rsid w:val="009D6EE8"/>
    <w:rsid w:val="009D7035"/>
    <w:rsid w:val="009D78D3"/>
    <w:rsid w:val="009E12BD"/>
    <w:rsid w:val="009E154C"/>
    <w:rsid w:val="009E168D"/>
    <w:rsid w:val="009E3AA0"/>
    <w:rsid w:val="009E41F8"/>
    <w:rsid w:val="009E4BD6"/>
    <w:rsid w:val="009E4BE0"/>
    <w:rsid w:val="009E6C68"/>
    <w:rsid w:val="009F0394"/>
    <w:rsid w:val="009F0D5B"/>
    <w:rsid w:val="009F6850"/>
    <w:rsid w:val="009F6F57"/>
    <w:rsid w:val="00A032F9"/>
    <w:rsid w:val="00A033A5"/>
    <w:rsid w:val="00A03444"/>
    <w:rsid w:val="00A05A73"/>
    <w:rsid w:val="00A05D14"/>
    <w:rsid w:val="00A06CC0"/>
    <w:rsid w:val="00A10EAA"/>
    <w:rsid w:val="00A11E95"/>
    <w:rsid w:val="00A1251A"/>
    <w:rsid w:val="00A12528"/>
    <w:rsid w:val="00A14B7D"/>
    <w:rsid w:val="00A15047"/>
    <w:rsid w:val="00A17649"/>
    <w:rsid w:val="00A17836"/>
    <w:rsid w:val="00A2034C"/>
    <w:rsid w:val="00A229BB"/>
    <w:rsid w:val="00A234A4"/>
    <w:rsid w:val="00A23DA5"/>
    <w:rsid w:val="00A26560"/>
    <w:rsid w:val="00A27F17"/>
    <w:rsid w:val="00A330EC"/>
    <w:rsid w:val="00A33D52"/>
    <w:rsid w:val="00A342C6"/>
    <w:rsid w:val="00A34434"/>
    <w:rsid w:val="00A36DB8"/>
    <w:rsid w:val="00A3778D"/>
    <w:rsid w:val="00A37D36"/>
    <w:rsid w:val="00A4089F"/>
    <w:rsid w:val="00A41EDA"/>
    <w:rsid w:val="00A43D32"/>
    <w:rsid w:val="00A468EF"/>
    <w:rsid w:val="00A51D68"/>
    <w:rsid w:val="00A52052"/>
    <w:rsid w:val="00A52157"/>
    <w:rsid w:val="00A567BF"/>
    <w:rsid w:val="00A5697E"/>
    <w:rsid w:val="00A5786E"/>
    <w:rsid w:val="00A61E2D"/>
    <w:rsid w:val="00A62FD0"/>
    <w:rsid w:val="00A643E9"/>
    <w:rsid w:val="00A65064"/>
    <w:rsid w:val="00A651C7"/>
    <w:rsid w:val="00A65895"/>
    <w:rsid w:val="00A67857"/>
    <w:rsid w:val="00A67B8A"/>
    <w:rsid w:val="00A67F75"/>
    <w:rsid w:val="00A70A76"/>
    <w:rsid w:val="00A717B0"/>
    <w:rsid w:val="00A717DA"/>
    <w:rsid w:val="00A71801"/>
    <w:rsid w:val="00A737E9"/>
    <w:rsid w:val="00A73AE3"/>
    <w:rsid w:val="00A74AFD"/>
    <w:rsid w:val="00A75F0D"/>
    <w:rsid w:val="00A76585"/>
    <w:rsid w:val="00A769D0"/>
    <w:rsid w:val="00A77D0F"/>
    <w:rsid w:val="00A80076"/>
    <w:rsid w:val="00A81944"/>
    <w:rsid w:val="00A82344"/>
    <w:rsid w:val="00A8442B"/>
    <w:rsid w:val="00A85D01"/>
    <w:rsid w:val="00A86831"/>
    <w:rsid w:val="00A87658"/>
    <w:rsid w:val="00A87A71"/>
    <w:rsid w:val="00A91C8D"/>
    <w:rsid w:val="00A91E00"/>
    <w:rsid w:val="00A91EB3"/>
    <w:rsid w:val="00A93604"/>
    <w:rsid w:val="00A94CA4"/>
    <w:rsid w:val="00A94DEE"/>
    <w:rsid w:val="00A95B20"/>
    <w:rsid w:val="00AA0307"/>
    <w:rsid w:val="00AA1016"/>
    <w:rsid w:val="00AA57F7"/>
    <w:rsid w:val="00AA5837"/>
    <w:rsid w:val="00AA60E7"/>
    <w:rsid w:val="00AA6508"/>
    <w:rsid w:val="00AA7400"/>
    <w:rsid w:val="00AB194D"/>
    <w:rsid w:val="00AB2B45"/>
    <w:rsid w:val="00AB3C2F"/>
    <w:rsid w:val="00AB7F8B"/>
    <w:rsid w:val="00AC0E55"/>
    <w:rsid w:val="00AC1635"/>
    <w:rsid w:val="00AC1C58"/>
    <w:rsid w:val="00AC2D56"/>
    <w:rsid w:val="00AC32F4"/>
    <w:rsid w:val="00AC3374"/>
    <w:rsid w:val="00AC3551"/>
    <w:rsid w:val="00AC3D5A"/>
    <w:rsid w:val="00AC43A5"/>
    <w:rsid w:val="00AC440F"/>
    <w:rsid w:val="00AC532A"/>
    <w:rsid w:val="00AC5A5A"/>
    <w:rsid w:val="00AD1FED"/>
    <w:rsid w:val="00AD2293"/>
    <w:rsid w:val="00AD24C0"/>
    <w:rsid w:val="00AD3F06"/>
    <w:rsid w:val="00AD5047"/>
    <w:rsid w:val="00AD59AF"/>
    <w:rsid w:val="00AD5EE1"/>
    <w:rsid w:val="00AD60DF"/>
    <w:rsid w:val="00AD77D6"/>
    <w:rsid w:val="00AE0ECB"/>
    <w:rsid w:val="00AE1E28"/>
    <w:rsid w:val="00AE2F1F"/>
    <w:rsid w:val="00AE345C"/>
    <w:rsid w:val="00AE3548"/>
    <w:rsid w:val="00AE47C1"/>
    <w:rsid w:val="00AE4A9E"/>
    <w:rsid w:val="00AE50D2"/>
    <w:rsid w:val="00AE56AB"/>
    <w:rsid w:val="00AE700A"/>
    <w:rsid w:val="00AE701E"/>
    <w:rsid w:val="00AF01D9"/>
    <w:rsid w:val="00AF0F0A"/>
    <w:rsid w:val="00AF52BA"/>
    <w:rsid w:val="00AF6C65"/>
    <w:rsid w:val="00B0044B"/>
    <w:rsid w:val="00B01089"/>
    <w:rsid w:val="00B011F9"/>
    <w:rsid w:val="00B013FF"/>
    <w:rsid w:val="00B01630"/>
    <w:rsid w:val="00B038F2"/>
    <w:rsid w:val="00B048E6"/>
    <w:rsid w:val="00B04A98"/>
    <w:rsid w:val="00B04CC9"/>
    <w:rsid w:val="00B0646A"/>
    <w:rsid w:val="00B06D6E"/>
    <w:rsid w:val="00B07192"/>
    <w:rsid w:val="00B10182"/>
    <w:rsid w:val="00B104A1"/>
    <w:rsid w:val="00B11529"/>
    <w:rsid w:val="00B1159F"/>
    <w:rsid w:val="00B11D4F"/>
    <w:rsid w:val="00B13F56"/>
    <w:rsid w:val="00B1461D"/>
    <w:rsid w:val="00B15253"/>
    <w:rsid w:val="00B15498"/>
    <w:rsid w:val="00B15864"/>
    <w:rsid w:val="00B174DF"/>
    <w:rsid w:val="00B2128D"/>
    <w:rsid w:val="00B21B09"/>
    <w:rsid w:val="00B2241E"/>
    <w:rsid w:val="00B23852"/>
    <w:rsid w:val="00B254C7"/>
    <w:rsid w:val="00B258FE"/>
    <w:rsid w:val="00B2737A"/>
    <w:rsid w:val="00B2760B"/>
    <w:rsid w:val="00B27FAF"/>
    <w:rsid w:val="00B27FFE"/>
    <w:rsid w:val="00B30231"/>
    <w:rsid w:val="00B3074A"/>
    <w:rsid w:val="00B30911"/>
    <w:rsid w:val="00B33770"/>
    <w:rsid w:val="00B3472F"/>
    <w:rsid w:val="00B3584C"/>
    <w:rsid w:val="00B35B42"/>
    <w:rsid w:val="00B36DC1"/>
    <w:rsid w:val="00B4101A"/>
    <w:rsid w:val="00B412C3"/>
    <w:rsid w:val="00B4382C"/>
    <w:rsid w:val="00B43B02"/>
    <w:rsid w:val="00B46408"/>
    <w:rsid w:val="00B4721C"/>
    <w:rsid w:val="00B50E34"/>
    <w:rsid w:val="00B50EBA"/>
    <w:rsid w:val="00B50FEB"/>
    <w:rsid w:val="00B51111"/>
    <w:rsid w:val="00B52623"/>
    <w:rsid w:val="00B557D5"/>
    <w:rsid w:val="00B64311"/>
    <w:rsid w:val="00B66B15"/>
    <w:rsid w:val="00B70BB7"/>
    <w:rsid w:val="00B719D4"/>
    <w:rsid w:val="00B72810"/>
    <w:rsid w:val="00B72B37"/>
    <w:rsid w:val="00B73999"/>
    <w:rsid w:val="00B74913"/>
    <w:rsid w:val="00B74A2C"/>
    <w:rsid w:val="00B762E3"/>
    <w:rsid w:val="00B76D2E"/>
    <w:rsid w:val="00B82B5A"/>
    <w:rsid w:val="00B83298"/>
    <w:rsid w:val="00B84C96"/>
    <w:rsid w:val="00B863DD"/>
    <w:rsid w:val="00B87D95"/>
    <w:rsid w:val="00B906A1"/>
    <w:rsid w:val="00B96ECB"/>
    <w:rsid w:val="00BA1B84"/>
    <w:rsid w:val="00BA1C87"/>
    <w:rsid w:val="00BA1EC3"/>
    <w:rsid w:val="00BA43F0"/>
    <w:rsid w:val="00BA4D70"/>
    <w:rsid w:val="00BA5898"/>
    <w:rsid w:val="00BA7499"/>
    <w:rsid w:val="00BA74D3"/>
    <w:rsid w:val="00BB0113"/>
    <w:rsid w:val="00BB0862"/>
    <w:rsid w:val="00BB097C"/>
    <w:rsid w:val="00BB1494"/>
    <w:rsid w:val="00BB2F5F"/>
    <w:rsid w:val="00BB33BE"/>
    <w:rsid w:val="00BB3F57"/>
    <w:rsid w:val="00BB5090"/>
    <w:rsid w:val="00BB5764"/>
    <w:rsid w:val="00BC0A1D"/>
    <w:rsid w:val="00BC1B7E"/>
    <w:rsid w:val="00BC4235"/>
    <w:rsid w:val="00BC4B6A"/>
    <w:rsid w:val="00BC5880"/>
    <w:rsid w:val="00BC5970"/>
    <w:rsid w:val="00BC68EA"/>
    <w:rsid w:val="00BC78B7"/>
    <w:rsid w:val="00BD03EA"/>
    <w:rsid w:val="00BD056B"/>
    <w:rsid w:val="00BD476B"/>
    <w:rsid w:val="00BD7B8F"/>
    <w:rsid w:val="00BE2698"/>
    <w:rsid w:val="00BE3DE7"/>
    <w:rsid w:val="00BE7E6A"/>
    <w:rsid w:val="00BF149B"/>
    <w:rsid w:val="00BF171A"/>
    <w:rsid w:val="00BF21F1"/>
    <w:rsid w:val="00BF31F6"/>
    <w:rsid w:val="00BF520F"/>
    <w:rsid w:val="00BF5320"/>
    <w:rsid w:val="00BF5EBD"/>
    <w:rsid w:val="00BF64FF"/>
    <w:rsid w:val="00BF6D16"/>
    <w:rsid w:val="00C00BE7"/>
    <w:rsid w:val="00C015B0"/>
    <w:rsid w:val="00C022B8"/>
    <w:rsid w:val="00C035D7"/>
    <w:rsid w:val="00C04419"/>
    <w:rsid w:val="00C04B02"/>
    <w:rsid w:val="00C05C99"/>
    <w:rsid w:val="00C0624B"/>
    <w:rsid w:val="00C06844"/>
    <w:rsid w:val="00C0740E"/>
    <w:rsid w:val="00C07751"/>
    <w:rsid w:val="00C07A43"/>
    <w:rsid w:val="00C07B77"/>
    <w:rsid w:val="00C114DA"/>
    <w:rsid w:val="00C1151F"/>
    <w:rsid w:val="00C116AE"/>
    <w:rsid w:val="00C12DDA"/>
    <w:rsid w:val="00C1310D"/>
    <w:rsid w:val="00C1379D"/>
    <w:rsid w:val="00C1564B"/>
    <w:rsid w:val="00C1632F"/>
    <w:rsid w:val="00C167CB"/>
    <w:rsid w:val="00C1760C"/>
    <w:rsid w:val="00C17DA8"/>
    <w:rsid w:val="00C20FA1"/>
    <w:rsid w:val="00C21624"/>
    <w:rsid w:val="00C21C6C"/>
    <w:rsid w:val="00C22056"/>
    <w:rsid w:val="00C327A1"/>
    <w:rsid w:val="00C33CB9"/>
    <w:rsid w:val="00C34011"/>
    <w:rsid w:val="00C3563E"/>
    <w:rsid w:val="00C373A3"/>
    <w:rsid w:val="00C40553"/>
    <w:rsid w:val="00C41183"/>
    <w:rsid w:val="00C41A4C"/>
    <w:rsid w:val="00C41F4B"/>
    <w:rsid w:val="00C42BCC"/>
    <w:rsid w:val="00C43331"/>
    <w:rsid w:val="00C43582"/>
    <w:rsid w:val="00C43C53"/>
    <w:rsid w:val="00C45001"/>
    <w:rsid w:val="00C45576"/>
    <w:rsid w:val="00C4631B"/>
    <w:rsid w:val="00C47664"/>
    <w:rsid w:val="00C4784E"/>
    <w:rsid w:val="00C5013A"/>
    <w:rsid w:val="00C509E2"/>
    <w:rsid w:val="00C51011"/>
    <w:rsid w:val="00C51D4E"/>
    <w:rsid w:val="00C523D9"/>
    <w:rsid w:val="00C554FE"/>
    <w:rsid w:val="00C56908"/>
    <w:rsid w:val="00C56B2C"/>
    <w:rsid w:val="00C62066"/>
    <w:rsid w:val="00C6484F"/>
    <w:rsid w:val="00C66760"/>
    <w:rsid w:val="00C6786A"/>
    <w:rsid w:val="00C70094"/>
    <w:rsid w:val="00C70C51"/>
    <w:rsid w:val="00C747C6"/>
    <w:rsid w:val="00C74CD7"/>
    <w:rsid w:val="00C77A69"/>
    <w:rsid w:val="00C80512"/>
    <w:rsid w:val="00C815BA"/>
    <w:rsid w:val="00C81E0C"/>
    <w:rsid w:val="00C83966"/>
    <w:rsid w:val="00C841B6"/>
    <w:rsid w:val="00C8506B"/>
    <w:rsid w:val="00C86ECE"/>
    <w:rsid w:val="00C90E4C"/>
    <w:rsid w:val="00C91EDF"/>
    <w:rsid w:val="00C92EE7"/>
    <w:rsid w:val="00C93D28"/>
    <w:rsid w:val="00C95483"/>
    <w:rsid w:val="00C9568D"/>
    <w:rsid w:val="00C95EF7"/>
    <w:rsid w:val="00C965F8"/>
    <w:rsid w:val="00C9799A"/>
    <w:rsid w:val="00C97AD9"/>
    <w:rsid w:val="00CA1E2C"/>
    <w:rsid w:val="00CA23DA"/>
    <w:rsid w:val="00CA2DBE"/>
    <w:rsid w:val="00CA37F9"/>
    <w:rsid w:val="00CA4801"/>
    <w:rsid w:val="00CA50E9"/>
    <w:rsid w:val="00CB0A6C"/>
    <w:rsid w:val="00CB0E38"/>
    <w:rsid w:val="00CB1864"/>
    <w:rsid w:val="00CB21B7"/>
    <w:rsid w:val="00CB39D8"/>
    <w:rsid w:val="00CB427F"/>
    <w:rsid w:val="00CB5450"/>
    <w:rsid w:val="00CB6CC4"/>
    <w:rsid w:val="00CB7CF9"/>
    <w:rsid w:val="00CC1312"/>
    <w:rsid w:val="00CC2F5C"/>
    <w:rsid w:val="00CC3017"/>
    <w:rsid w:val="00CC44A8"/>
    <w:rsid w:val="00CC6D57"/>
    <w:rsid w:val="00CC788A"/>
    <w:rsid w:val="00CD012F"/>
    <w:rsid w:val="00CD019A"/>
    <w:rsid w:val="00CD0A5A"/>
    <w:rsid w:val="00CD2728"/>
    <w:rsid w:val="00CD27AC"/>
    <w:rsid w:val="00CD3B2F"/>
    <w:rsid w:val="00CD4C59"/>
    <w:rsid w:val="00CD591D"/>
    <w:rsid w:val="00CD60E9"/>
    <w:rsid w:val="00CD69A4"/>
    <w:rsid w:val="00CD6B18"/>
    <w:rsid w:val="00CD71BA"/>
    <w:rsid w:val="00CD73FB"/>
    <w:rsid w:val="00CE02F2"/>
    <w:rsid w:val="00CE4195"/>
    <w:rsid w:val="00CE6475"/>
    <w:rsid w:val="00CE6901"/>
    <w:rsid w:val="00CE69FD"/>
    <w:rsid w:val="00CE6D72"/>
    <w:rsid w:val="00CE6E6F"/>
    <w:rsid w:val="00CE6EC7"/>
    <w:rsid w:val="00CF018E"/>
    <w:rsid w:val="00CF32FB"/>
    <w:rsid w:val="00CF4EC1"/>
    <w:rsid w:val="00CF5858"/>
    <w:rsid w:val="00CF60D5"/>
    <w:rsid w:val="00D03EA5"/>
    <w:rsid w:val="00D040B6"/>
    <w:rsid w:val="00D056CD"/>
    <w:rsid w:val="00D0691F"/>
    <w:rsid w:val="00D132A4"/>
    <w:rsid w:val="00D13A56"/>
    <w:rsid w:val="00D1592D"/>
    <w:rsid w:val="00D16435"/>
    <w:rsid w:val="00D1704E"/>
    <w:rsid w:val="00D17C96"/>
    <w:rsid w:val="00D17F80"/>
    <w:rsid w:val="00D20CDA"/>
    <w:rsid w:val="00D20FE8"/>
    <w:rsid w:val="00D219AE"/>
    <w:rsid w:val="00D223A4"/>
    <w:rsid w:val="00D225E1"/>
    <w:rsid w:val="00D24B42"/>
    <w:rsid w:val="00D27049"/>
    <w:rsid w:val="00D3076C"/>
    <w:rsid w:val="00D3091F"/>
    <w:rsid w:val="00D32EF0"/>
    <w:rsid w:val="00D33215"/>
    <w:rsid w:val="00D36E75"/>
    <w:rsid w:val="00D41008"/>
    <w:rsid w:val="00D412E7"/>
    <w:rsid w:val="00D41EEA"/>
    <w:rsid w:val="00D41F8A"/>
    <w:rsid w:val="00D42663"/>
    <w:rsid w:val="00D43775"/>
    <w:rsid w:val="00D43F96"/>
    <w:rsid w:val="00D447AF"/>
    <w:rsid w:val="00D448D5"/>
    <w:rsid w:val="00D44CE5"/>
    <w:rsid w:val="00D455C5"/>
    <w:rsid w:val="00D50126"/>
    <w:rsid w:val="00D5012C"/>
    <w:rsid w:val="00D50B9A"/>
    <w:rsid w:val="00D5194D"/>
    <w:rsid w:val="00D52032"/>
    <w:rsid w:val="00D522B8"/>
    <w:rsid w:val="00D52C78"/>
    <w:rsid w:val="00D5347F"/>
    <w:rsid w:val="00D55718"/>
    <w:rsid w:val="00D5642B"/>
    <w:rsid w:val="00D60FEF"/>
    <w:rsid w:val="00D6118C"/>
    <w:rsid w:val="00D62152"/>
    <w:rsid w:val="00D63534"/>
    <w:rsid w:val="00D63DFA"/>
    <w:rsid w:val="00D65817"/>
    <w:rsid w:val="00D660CF"/>
    <w:rsid w:val="00D67F87"/>
    <w:rsid w:val="00D70A5D"/>
    <w:rsid w:val="00D7142B"/>
    <w:rsid w:val="00D7211B"/>
    <w:rsid w:val="00D726C8"/>
    <w:rsid w:val="00D72F0A"/>
    <w:rsid w:val="00D7350C"/>
    <w:rsid w:val="00D7410E"/>
    <w:rsid w:val="00D74DFC"/>
    <w:rsid w:val="00D75085"/>
    <w:rsid w:val="00D7625A"/>
    <w:rsid w:val="00D76DEC"/>
    <w:rsid w:val="00D76EEC"/>
    <w:rsid w:val="00D7744C"/>
    <w:rsid w:val="00D77F94"/>
    <w:rsid w:val="00D80146"/>
    <w:rsid w:val="00D80995"/>
    <w:rsid w:val="00D82051"/>
    <w:rsid w:val="00D82F9A"/>
    <w:rsid w:val="00D833E7"/>
    <w:rsid w:val="00D85DD1"/>
    <w:rsid w:val="00D86510"/>
    <w:rsid w:val="00D8696E"/>
    <w:rsid w:val="00D86E8C"/>
    <w:rsid w:val="00D903FB"/>
    <w:rsid w:val="00D914E8"/>
    <w:rsid w:val="00D91954"/>
    <w:rsid w:val="00D91A47"/>
    <w:rsid w:val="00D91BC6"/>
    <w:rsid w:val="00D9433E"/>
    <w:rsid w:val="00D94FA9"/>
    <w:rsid w:val="00D96D53"/>
    <w:rsid w:val="00DA24E7"/>
    <w:rsid w:val="00DA366F"/>
    <w:rsid w:val="00DA471F"/>
    <w:rsid w:val="00DA6DF8"/>
    <w:rsid w:val="00DA71F6"/>
    <w:rsid w:val="00DA793B"/>
    <w:rsid w:val="00DA7E34"/>
    <w:rsid w:val="00DB0233"/>
    <w:rsid w:val="00DB07DA"/>
    <w:rsid w:val="00DB1FD8"/>
    <w:rsid w:val="00DB31C0"/>
    <w:rsid w:val="00DB3823"/>
    <w:rsid w:val="00DB42AA"/>
    <w:rsid w:val="00DB497B"/>
    <w:rsid w:val="00DB5131"/>
    <w:rsid w:val="00DB53EC"/>
    <w:rsid w:val="00DB5C27"/>
    <w:rsid w:val="00DB5FF6"/>
    <w:rsid w:val="00DB662F"/>
    <w:rsid w:val="00DB6C96"/>
    <w:rsid w:val="00DB6DAE"/>
    <w:rsid w:val="00DB6E4F"/>
    <w:rsid w:val="00DC0043"/>
    <w:rsid w:val="00DC176A"/>
    <w:rsid w:val="00DC1B27"/>
    <w:rsid w:val="00DC3972"/>
    <w:rsid w:val="00DC5474"/>
    <w:rsid w:val="00DC787F"/>
    <w:rsid w:val="00DC7F1F"/>
    <w:rsid w:val="00DD009A"/>
    <w:rsid w:val="00DD0675"/>
    <w:rsid w:val="00DD2373"/>
    <w:rsid w:val="00DD29E9"/>
    <w:rsid w:val="00DD31E4"/>
    <w:rsid w:val="00DD3498"/>
    <w:rsid w:val="00DD3561"/>
    <w:rsid w:val="00DD5A70"/>
    <w:rsid w:val="00DD7785"/>
    <w:rsid w:val="00DE0688"/>
    <w:rsid w:val="00DE0F09"/>
    <w:rsid w:val="00DE1DD4"/>
    <w:rsid w:val="00DE1E93"/>
    <w:rsid w:val="00DE3A10"/>
    <w:rsid w:val="00DE4CBB"/>
    <w:rsid w:val="00DE4EEE"/>
    <w:rsid w:val="00DE5DB1"/>
    <w:rsid w:val="00DE6090"/>
    <w:rsid w:val="00DE66C2"/>
    <w:rsid w:val="00DF01A4"/>
    <w:rsid w:val="00DF1D82"/>
    <w:rsid w:val="00DF371E"/>
    <w:rsid w:val="00DF4B79"/>
    <w:rsid w:val="00DF73FC"/>
    <w:rsid w:val="00E00442"/>
    <w:rsid w:val="00E00F0A"/>
    <w:rsid w:val="00E0169C"/>
    <w:rsid w:val="00E016ED"/>
    <w:rsid w:val="00E019F6"/>
    <w:rsid w:val="00E02519"/>
    <w:rsid w:val="00E02C6A"/>
    <w:rsid w:val="00E047E3"/>
    <w:rsid w:val="00E0522B"/>
    <w:rsid w:val="00E05321"/>
    <w:rsid w:val="00E05438"/>
    <w:rsid w:val="00E059F0"/>
    <w:rsid w:val="00E07A1E"/>
    <w:rsid w:val="00E10E55"/>
    <w:rsid w:val="00E1139C"/>
    <w:rsid w:val="00E11484"/>
    <w:rsid w:val="00E1201C"/>
    <w:rsid w:val="00E129CC"/>
    <w:rsid w:val="00E13FD2"/>
    <w:rsid w:val="00E15E78"/>
    <w:rsid w:val="00E16852"/>
    <w:rsid w:val="00E20289"/>
    <w:rsid w:val="00E202DE"/>
    <w:rsid w:val="00E220BA"/>
    <w:rsid w:val="00E22E70"/>
    <w:rsid w:val="00E23183"/>
    <w:rsid w:val="00E23FFC"/>
    <w:rsid w:val="00E249D3"/>
    <w:rsid w:val="00E25DF2"/>
    <w:rsid w:val="00E30BEE"/>
    <w:rsid w:val="00E32A13"/>
    <w:rsid w:val="00E3457D"/>
    <w:rsid w:val="00E34F54"/>
    <w:rsid w:val="00E35240"/>
    <w:rsid w:val="00E3617F"/>
    <w:rsid w:val="00E4172A"/>
    <w:rsid w:val="00E41E4D"/>
    <w:rsid w:val="00E42E9E"/>
    <w:rsid w:val="00E44410"/>
    <w:rsid w:val="00E4464B"/>
    <w:rsid w:val="00E44A0B"/>
    <w:rsid w:val="00E44FFB"/>
    <w:rsid w:val="00E47AA7"/>
    <w:rsid w:val="00E50964"/>
    <w:rsid w:val="00E51EB4"/>
    <w:rsid w:val="00E5363E"/>
    <w:rsid w:val="00E53C83"/>
    <w:rsid w:val="00E53DAC"/>
    <w:rsid w:val="00E554A3"/>
    <w:rsid w:val="00E57321"/>
    <w:rsid w:val="00E5746C"/>
    <w:rsid w:val="00E57EC2"/>
    <w:rsid w:val="00E611E8"/>
    <w:rsid w:val="00E61F23"/>
    <w:rsid w:val="00E62A67"/>
    <w:rsid w:val="00E633F8"/>
    <w:rsid w:val="00E6374D"/>
    <w:rsid w:val="00E64E4E"/>
    <w:rsid w:val="00E65130"/>
    <w:rsid w:val="00E66FA7"/>
    <w:rsid w:val="00E6748D"/>
    <w:rsid w:val="00E67735"/>
    <w:rsid w:val="00E706DC"/>
    <w:rsid w:val="00E72361"/>
    <w:rsid w:val="00E73C60"/>
    <w:rsid w:val="00E74FC7"/>
    <w:rsid w:val="00E7540C"/>
    <w:rsid w:val="00E75C88"/>
    <w:rsid w:val="00E76236"/>
    <w:rsid w:val="00E76DAE"/>
    <w:rsid w:val="00E77393"/>
    <w:rsid w:val="00E80C33"/>
    <w:rsid w:val="00E80CB8"/>
    <w:rsid w:val="00E836B8"/>
    <w:rsid w:val="00E865DA"/>
    <w:rsid w:val="00E905DF"/>
    <w:rsid w:val="00E91B89"/>
    <w:rsid w:val="00E9243E"/>
    <w:rsid w:val="00E93362"/>
    <w:rsid w:val="00E97288"/>
    <w:rsid w:val="00E973CD"/>
    <w:rsid w:val="00E97EB2"/>
    <w:rsid w:val="00EA03F3"/>
    <w:rsid w:val="00EA34B5"/>
    <w:rsid w:val="00EA3BD1"/>
    <w:rsid w:val="00EA42E3"/>
    <w:rsid w:val="00EA46D6"/>
    <w:rsid w:val="00EA5E04"/>
    <w:rsid w:val="00EA5FD9"/>
    <w:rsid w:val="00EA6A72"/>
    <w:rsid w:val="00EA7605"/>
    <w:rsid w:val="00EB0FA8"/>
    <w:rsid w:val="00EB176D"/>
    <w:rsid w:val="00EB1A1A"/>
    <w:rsid w:val="00EB2409"/>
    <w:rsid w:val="00EB2CF7"/>
    <w:rsid w:val="00EB2E8E"/>
    <w:rsid w:val="00EB4D81"/>
    <w:rsid w:val="00EB4ED9"/>
    <w:rsid w:val="00EB5918"/>
    <w:rsid w:val="00EB5BD0"/>
    <w:rsid w:val="00EB6300"/>
    <w:rsid w:val="00EB67B2"/>
    <w:rsid w:val="00EB77BB"/>
    <w:rsid w:val="00EC0096"/>
    <w:rsid w:val="00EC185E"/>
    <w:rsid w:val="00EC1E10"/>
    <w:rsid w:val="00EC29B5"/>
    <w:rsid w:val="00ED00BB"/>
    <w:rsid w:val="00ED22A2"/>
    <w:rsid w:val="00ED312E"/>
    <w:rsid w:val="00ED3FEC"/>
    <w:rsid w:val="00ED4948"/>
    <w:rsid w:val="00ED4F67"/>
    <w:rsid w:val="00ED5B02"/>
    <w:rsid w:val="00ED62F2"/>
    <w:rsid w:val="00ED7CC9"/>
    <w:rsid w:val="00EE0B56"/>
    <w:rsid w:val="00EE35E4"/>
    <w:rsid w:val="00EE4181"/>
    <w:rsid w:val="00EE528C"/>
    <w:rsid w:val="00EE57A8"/>
    <w:rsid w:val="00EE79F2"/>
    <w:rsid w:val="00EF1ED2"/>
    <w:rsid w:val="00EF24CD"/>
    <w:rsid w:val="00EF29A3"/>
    <w:rsid w:val="00EF2AB1"/>
    <w:rsid w:val="00EF2CA6"/>
    <w:rsid w:val="00EF41BF"/>
    <w:rsid w:val="00EF4231"/>
    <w:rsid w:val="00EF4ED3"/>
    <w:rsid w:val="00EF5BCC"/>
    <w:rsid w:val="00EF60EE"/>
    <w:rsid w:val="00EF63AD"/>
    <w:rsid w:val="00EF6DA4"/>
    <w:rsid w:val="00EF6ED0"/>
    <w:rsid w:val="00EF732A"/>
    <w:rsid w:val="00EF7FD6"/>
    <w:rsid w:val="00F00464"/>
    <w:rsid w:val="00F0063B"/>
    <w:rsid w:val="00F0251D"/>
    <w:rsid w:val="00F02F96"/>
    <w:rsid w:val="00F03D35"/>
    <w:rsid w:val="00F04701"/>
    <w:rsid w:val="00F06936"/>
    <w:rsid w:val="00F07759"/>
    <w:rsid w:val="00F105FA"/>
    <w:rsid w:val="00F117D4"/>
    <w:rsid w:val="00F123CA"/>
    <w:rsid w:val="00F125CE"/>
    <w:rsid w:val="00F14CAF"/>
    <w:rsid w:val="00F1717D"/>
    <w:rsid w:val="00F17E06"/>
    <w:rsid w:val="00F207C6"/>
    <w:rsid w:val="00F228A0"/>
    <w:rsid w:val="00F22CD7"/>
    <w:rsid w:val="00F24251"/>
    <w:rsid w:val="00F24D7E"/>
    <w:rsid w:val="00F253F8"/>
    <w:rsid w:val="00F257FC"/>
    <w:rsid w:val="00F26CD6"/>
    <w:rsid w:val="00F26F39"/>
    <w:rsid w:val="00F2779A"/>
    <w:rsid w:val="00F3044B"/>
    <w:rsid w:val="00F3045B"/>
    <w:rsid w:val="00F3188D"/>
    <w:rsid w:val="00F31993"/>
    <w:rsid w:val="00F32DAE"/>
    <w:rsid w:val="00F33740"/>
    <w:rsid w:val="00F349B3"/>
    <w:rsid w:val="00F355E8"/>
    <w:rsid w:val="00F37356"/>
    <w:rsid w:val="00F40325"/>
    <w:rsid w:val="00F406AB"/>
    <w:rsid w:val="00F406B3"/>
    <w:rsid w:val="00F40845"/>
    <w:rsid w:val="00F41956"/>
    <w:rsid w:val="00F41A52"/>
    <w:rsid w:val="00F420E0"/>
    <w:rsid w:val="00F42710"/>
    <w:rsid w:val="00F456CF"/>
    <w:rsid w:val="00F473D1"/>
    <w:rsid w:val="00F50C52"/>
    <w:rsid w:val="00F521B0"/>
    <w:rsid w:val="00F5520A"/>
    <w:rsid w:val="00F600B6"/>
    <w:rsid w:val="00F604EF"/>
    <w:rsid w:val="00F61750"/>
    <w:rsid w:val="00F62A3F"/>
    <w:rsid w:val="00F64D05"/>
    <w:rsid w:val="00F6643D"/>
    <w:rsid w:val="00F66CAA"/>
    <w:rsid w:val="00F67287"/>
    <w:rsid w:val="00F6761A"/>
    <w:rsid w:val="00F705CF"/>
    <w:rsid w:val="00F7143A"/>
    <w:rsid w:val="00F7146C"/>
    <w:rsid w:val="00F72347"/>
    <w:rsid w:val="00F72C21"/>
    <w:rsid w:val="00F73045"/>
    <w:rsid w:val="00F744B2"/>
    <w:rsid w:val="00F75A2A"/>
    <w:rsid w:val="00F75ED1"/>
    <w:rsid w:val="00F7610F"/>
    <w:rsid w:val="00F7639D"/>
    <w:rsid w:val="00F8042B"/>
    <w:rsid w:val="00F80FDA"/>
    <w:rsid w:val="00F82187"/>
    <w:rsid w:val="00F840E8"/>
    <w:rsid w:val="00F84AF8"/>
    <w:rsid w:val="00F85082"/>
    <w:rsid w:val="00F861B1"/>
    <w:rsid w:val="00F87761"/>
    <w:rsid w:val="00F91563"/>
    <w:rsid w:val="00F91FFB"/>
    <w:rsid w:val="00F92457"/>
    <w:rsid w:val="00F92C4D"/>
    <w:rsid w:val="00F9538B"/>
    <w:rsid w:val="00F976C0"/>
    <w:rsid w:val="00F97F1C"/>
    <w:rsid w:val="00FA135E"/>
    <w:rsid w:val="00FA16FB"/>
    <w:rsid w:val="00FA2776"/>
    <w:rsid w:val="00FA2BAD"/>
    <w:rsid w:val="00FA3036"/>
    <w:rsid w:val="00FA402A"/>
    <w:rsid w:val="00FA431B"/>
    <w:rsid w:val="00FA51B2"/>
    <w:rsid w:val="00FA6000"/>
    <w:rsid w:val="00FA6AF0"/>
    <w:rsid w:val="00FA7334"/>
    <w:rsid w:val="00FA7DA6"/>
    <w:rsid w:val="00FA7FD2"/>
    <w:rsid w:val="00FB157E"/>
    <w:rsid w:val="00FB4624"/>
    <w:rsid w:val="00FB4756"/>
    <w:rsid w:val="00FB5612"/>
    <w:rsid w:val="00FB5F78"/>
    <w:rsid w:val="00FB6350"/>
    <w:rsid w:val="00FB7DD0"/>
    <w:rsid w:val="00FC0A6F"/>
    <w:rsid w:val="00FC125E"/>
    <w:rsid w:val="00FC140D"/>
    <w:rsid w:val="00FC2D00"/>
    <w:rsid w:val="00FC3B15"/>
    <w:rsid w:val="00FC5FF9"/>
    <w:rsid w:val="00FC6C58"/>
    <w:rsid w:val="00FD0D9B"/>
    <w:rsid w:val="00FD7286"/>
    <w:rsid w:val="00FD7DAD"/>
    <w:rsid w:val="00FE006E"/>
    <w:rsid w:val="00FE23F0"/>
    <w:rsid w:val="00FE2588"/>
    <w:rsid w:val="00FE3731"/>
    <w:rsid w:val="00FE5CA0"/>
    <w:rsid w:val="00FE6B10"/>
    <w:rsid w:val="00FE7BF6"/>
    <w:rsid w:val="00FF28EA"/>
    <w:rsid w:val="00FF3753"/>
    <w:rsid w:val="00FF3AC5"/>
    <w:rsid w:val="00FF3DDC"/>
    <w:rsid w:val="00FF4BB8"/>
    <w:rsid w:val="00FF720A"/>
    <w:rsid w:val="00FF7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733DE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qFormat="1"/>
    <w:lsdException w:name="List Number" w:qFormat="1"/>
    <w:lsdException w:name="List Bullet 2" w:qFormat="1"/>
    <w:lsdException w:name="List Bullet 3" w:qFormat="1"/>
    <w:lsdException w:name="List Bullet 4" w:qFormat="1"/>
    <w:lsdException w:name="List Number 2" w:qFormat="1"/>
    <w:lsdException w:name="List Number 3" w:qFormat="1"/>
    <w:lsdException w:name="List Number 4" w:qFormat="1"/>
    <w:lsdException w:name="Title" w:semiHidden="0" w:uiPriority="10" w:unhideWhenUsed="0"/>
    <w:lsdException w:name="Default Paragraph Font" w:uiPriority="1"/>
    <w:lsdException w:name="Body Text" w:qFormat="1"/>
    <w:lsdException w:name="List Continue" w:qFormat="1"/>
    <w:lsdException w:name="List Continue 2" w:qFormat="1"/>
    <w:lsdException w:name="List Continue 3" w:qFormat="1"/>
    <w:lsdException w:name="List Continue 4" w:qFormat="1"/>
    <w:lsdException w:name="Subtitle" w:semiHidden="0" w:uiPriority="11" w:unhideWhenUsed="0"/>
    <w:lsdException w:name="Strong" w:semiHidden="0" w:uiPriority="22" w:unhideWhenUsed="0"/>
    <w:lsdException w:name="Emphasis" w:semiHidden="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56D94"/>
    <w:pPr>
      <w:spacing w:line="240" w:lineRule="auto"/>
    </w:pPr>
  </w:style>
  <w:style w:type="paragraph" w:styleId="Heading1">
    <w:name w:val="heading 1"/>
    <w:basedOn w:val="Normal"/>
    <w:next w:val="Heading2"/>
    <w:link w:val="Heading1Char"/>
    <w:uiPriority w:val="9"/>
    <w:qFormat/>
    <w:rsid w:val="00E249D3"/>
    <w:pPr>
      <w:keepNext/>
      <w:pageBreakBefore/>
      <w:numPr>
        <w:numId w:val="5"/>
      </w:numPr>
      <w:spacing w:after="480" w:line="0" w:lineRule="atLeast"/>
      <w:ind w:left="0" w:firstLine="0"/>
      <w:outlineLvl w:val="0"/>
    </w:pPr>
    <w:rPr>
      <w:rFonts w:asciiTheme="majorHAnsi" w:eastAsiaTheme="majorEastAsia" w:hAnsiTheme="majorHAnsi" w:cstheme="majorBidi"/>
      <w:b/>
      <w:i/>
      <w:color w:val="000000" w:themeColor="text1"/>
      <w:sz w:val="48"/>
      <w:szCs w:val="32"/>
    </w:rPr>
  </w:style>
  <w:style w:type="paragraph" w:styleId="Heading2">
    <w:name w:val="heading 2"/>
    <w:basedOn w:val="Normal"/>
    <w:next w:val="BodyText"/>
    <w:link w:val="Heading2Char"/>
    <w:uiPriority w:val="9"/>
    <w:unhideWhenUsed/>
    <w:qFormat/>
    <w:rsid w:val="001949E1"/>
    <w:pPr>
      <w:keepNext/>
      <w:numPr>
        <w:ilvl w:val="1"/>
        <w:numId w:val="5"/>
      </w:numPr>
      <w:spacing w:line="0" w:lineRule="atLeast"/>
      <w:ind w:left="0" w:firstLine="0"/>
      <w:outlineLvl w:val="1"/>
    </w:pPr>
    <w:rPr>
      <w:rFonts w:asciiTheme="majorHAnsi" w:eastAsiaTheme="majorEastAsia" w:hAnsiTheme="majorHAnsi" w:cstheme="majorBidi"/>
      <w:b/>
      <w:i/>
      <w:color w:val="821A1A" w:themeColor="text2"/>
      <w:sz w:val="32"/>
      <w:szCs w:val="26"/>
    </w:rPr>
  </w:style>
  <w:style w:type="paragraph" w:styleId="Heading3">
    <w:name w:val="heading 3"/>
    <w:basedOn w:val="Normal"/>
    <w:next w:val="BodyText"/>
    <w:link w:val="Heading3Char"/>
    <w:uiPriority w:val="9"/>
    <w:unhideWhenUsed/>
    <w:rsid w:val="001949E1"/>
    <w:pPr>
      <w:keepNext/>
      <w:numPr>
        <w:ilvl w:val="2"/>
        <w:numId w:val="5"/>
      </w:numPr>
      <w:spacing w:line="0" w:lineRule="atLeast"/>
      <w:ind w:left="0" w:firstLine="0"/>
      <w:outlineLvl w:val="2"/>
    </w:pPr>
    <w:rPr>
      <w:rFonts w:asciiTheme="majorHAnsi" w:eastAsiaTheme="majorEastAsia" w:hAnsiTheme="majorHAnsi" w:cstheme="majorBidi"/>
      <w:b/>
      <w:i/>
      <w:color w:val="821A1A" w:themeColor="text2"/>
      <w:sz w:val="28"/>
      <w:szCs w:val="24"/>
    </w:rPr>
  </w:style>
  <w:style w:type="paragraph" w:styleId="Heading4">
    <w:name w:val="heading 4"/>
    <w:basedOn w:val="Normal"/>
    <w:next w:val="BodyText"/>
    <w:link w:val="Heading4Char"/>
    <w:uiPriority w:val="9"/>
    <w:unhideWhenUsed/>
    <w:qFormat/>
    <w:rsid w:val="001949E1"/>
    <w:pPr>
      <w:keepNext/>
      <w:numPr>
        <w:ilvl w:val="3"/>
        <w:numId w:val="5"/>
      </w:numPr>
      <w:spacing w:line="0" w:lineRule="atLeast"/>
      <w:ind w:left="0" w:firstLine="0"/>
      <w:outlineLvl w:val="3"/>
    </w:pPr>
    <w:rPr>
      <w:rFonts w:asciiTheme="majorHAnsi" w:eastAsiaTheme="majorEastAsia" w:hAnsiTheme="majorHAnsi" w:cstheme="majorBidi"/>
      <w:i/>
      <w:iCs/>
      <w:color w:val="821A1A" w:themeColor="text2"/>
      <w:sz w:val="28"/>
    </w:rPr>
  </w:style>
  <w:style w:type="paragraph" w:styleId="Heading5">
    <w:name w:val="heading 5"/>
    <w:basedOn w:val="Normal"/>
    <w:next w:val="BodyText"/>
    <w:link w:val="Heading5Char"/>
    <w:uiPriority w:val="9"/>
    <w:unhideWhenUsed/>
    <w:rsid w:val="001949E1"/>
    <w:pPr>
      <w:keepNext/>
      <w:numPr>
        <w:ilvl w:val="4"/>
        <w:numId w:val="5"/>
      </w:numPr>
      <w:spacing w:line="0" w:lineRule="atLeast"/>
      <w:ind w:left="0" w:firstLine="0"/>
      <w:outlineLvl w:val="4"/>
    </w:pPr>
    <w:rPr>
      <w:rFonts w:asciiTheme="majorHAnsi" w:eastAsiaTheme="majorEastAsia" w:hAnsiTheme="majorHAnsi" w:cstheme="majorBidi"/>
      <w:i/>
      <w:color w:val="821A1A" w:themeColor="text2"/>
      <w:sz w:val="24"/>
    </w:rPr>
  </w:style>
  <w:style w:type="paragraph" w:styleId="Heading6">
    <w:name w:val="heading 6"/>
    <w:basedOn w:val="Normal"/>
    <w:next w:val="Normal"/>
    <w:link w:val="Heading6Char"/>
    <w:uiPriority w:val="9"/>
    <w:semiHidden/>
    <w:unhideWhenUsed/>
    <w:rsid w:val="00701540"/>
    <w:pPr>
      <w:keepNext/>
      <w:spacing w:line="0" w:lineRule="atLeast"/>
      <w:outlineLvl w:val="5"/>
    </w:pPr>
    <w:rPr>
      <w:rFonts w:asciiTheme="majorHAnsi" w:eastAsiaTheme="majorEastAsia" w:hAnsiTheme="majorHAnsi" w:cstheme="majorBidi"/>
      <w:color w:val="821A1A" w:themeColor="text2"/>
      <w:sz w:val="24"/>
    </w:rPr>
  </w:style>
  <w:style w:type="paragraph" w:styleId="Heading7">
    <w:name w:val="heading 7"/>
    <w:basedOn w:val="Normal"/>
    <w:next w:val="Normal"/>
    <w:link w:val="Heading7Char"/>
    <w:uiPriority w:val="9"/>
    <w:semiHidden/>
    <w:unhideWhenUsed/>
    <w:rsid w:val="00204320"/>
    <w:pPr>
      <w:keepNext/>
      <w:spacing w:before="40" w:after="0"/>
      <w:outlineLvl w:val="6"/>
    </w:pPr>
    <w:rPr>
      <w:rFonts w:asciiTheme="majorHAnsi" w:eastAsiaTheme="majorEastAsia" w:hAnsiTheme="majorHAnsi" w:cstheme="majorBidi"/>
      <w:i/>
      <w:iCs/>
      <w:color w:val="400D0D" w:themeColor="accent1" w:themeShade="7F"/>
    </w:rPr>
  </w:style>
  <w:style w:type="paragraph" w:styleId="Heading8">
    <w:name w:val="heading 8"/>
    <w:basedOn w:val="Normal"/>
    <w:next w:val="BodyText"/>
    <w:link w:val="Heading8Char"/>
    <w:uiPriority w:val="9"/>
    <w:semiHidden/>
    <w:unhideWhenUsed/>
    <w:rsid w:val="00204320"/>
    <w:pPr>
      <w:keepNext/>
      <w:spacing w:after="2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rsid w:val="00204320"/>
    <w:pPr>
      <w:keepNext/>
      <w:spacing w:after="2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E6A"/>
    <w:pPr>
      <w:tabs>
        <w:tab w:val="center" w:pos="4680"/>
        <w:tab w:val="right" w:pos="9360"/>
      </w:tabs>
      <w:spacing w:after="0"/>
    </w:pPr>
    <w:rPr>
      <w:rFonts w:ascii="Arial" w:hAnsi="Arial"/>
      <w:color w:val="000000" w:themeColor="text1"/>
      <w:sz w:val="16"/>
    </w:rPr>
  </w:style>
  <w:style w:type="character" w:customStyle="1" w:styleId="HeaderChar">
    <w:name w:val="Header Char"/>
    <w:basedOn w:val="DefaultParagraphFont"/>
    <w:link w:val="Header"/>
    <w:uiPriority w:val="99"/>
    <w:rsid w:val="00BE7E6A"/>
    <w:rPr>
      <w:rFonts w:ascii="Arial" w:hAnsi="Arial"/>
      <w:color w:val="000000" w:themeColor="text1"/>
      <w:sz w:val="16"/>
    </w:rPr>
  </w:style>
  <w:style w:type="paragraph" w:styleId="Footer">
    <w:name w:val="footer"/>
    <w:aliases w:val="|| Footer"/>
    <w:basedOn w:val="Normal"/>
    <w:link w:val="FooterChar"/>
    <w:uiPriority w:val="99"/>
    <w:unhideWhenUsed/>
    <w:rsid w:val="00EF7FD6"/>
    <w:pPr>
      <w:tabs>
        <w:tab w:val="center" w:pos="4680"/>
        <w:tab w:val="right" w:pos="9360"/>
      </w:tabs>
      <w:spacing w:after="0"/>
    </w:pPr>
    <w:rPr>
      <w:rFonts w:ascii="Arial" w:hAnsi="Arial"/>
      <w:color w:val="000000" w:themeColor="text1"/>
      <w:sz w:val="16"/>
    </w:rPr>
  </w:style>
  <w:style w:type="character" w:customStyle="1" w:styleId="FooterChar">
    <w:name w:val="Footer Char"/>
    <w:aliases w:val="|| Footer Char"/>
    <w:basedOn w:val="DefaultParagraphFont"/>
    <w:link w:val="Footer"/>
    <w:uiPriority w:val="99"/>
    <w:rsid w:val="00EF7FD6"/>
    <w:rPr>
      <w:rFonts w:ascii="Arial" w:hAnsi="Arial"/>
      <w:color w:val="000000" w:themeColor="text1"/>
      <w:sz w:val="16"/>
    </w:rPr>
  </w:style>
  <w:style w:type="paragraph" w:customStyle="1" w:styleId="Address">
    <w:name w:val="Address"/>
    <w:basedOn w:val="Normal"/>
    <w:link w:val="AddressChar"/>
    <w:qFormat/>
    <w:rsid w:val="00C965F8"/>
    <w:pPr>
      <w:spacing w:after="0" w:line="200" w:lineRule="atLeast"/>
    </w:pPr>
    <w:rPr>
      <w:i/>
      <w:sz w:val="18"/>
    </w:rPr>
  </w:style>
  <w:style w:type="character" w:customStyle="1" w:styleId="Heading1Char">
    <w:name w:val="Heading 1 Char"/>
    <w:basedOn w:val="DefaultParagraphFont"/>
    <w:link w:val="Heading1"/>
    <w:uiPriority w:val="9"/>
    <w:rsid w:val="00E249D3"/>
    <w:rPr>
      <w:rFonts w:asciiTheme="majorHAnsi" w:eastAsiaTheme="majorEastAsia" w:hAnsiTheme="majorHAnsi" w:cstheme="majorBidi"/>
      <w:b/>
      <w:i/>
      <w:color w:val="000000" w:themeColor="text1"/>
      <w:sz w:val="48"/>
      <w:szCs w:val="32"/>
    </w:rPr>
  </w:style>
  <w:style w:type="paragraph" w:styleId="BodyText">
    <w:name w:val="Body Text"/>
    <w:basedOn w:val="Normal"/>
    <w:link w:val="BodyTextChar"/>
    <w:uiPriority w:val="99"/>
    <w:unhideWhenUsed/>
    <w:qFormat/>
    <w:rsid w:val="008550D2"/>
  </w:style>
  <w:style w:type="character" w:customStyle="1" w:styleId="BodyTextChar">
    <w:name w:val="Body Text Char"/>
    <w:basedOn w:val="DefaultParagraphFont"/>
    <w:link w:val="BodyText"/>
    <w:uiPriority w:val="99"/>
    <w:rsid w:val="008550D2"/>
    <w:rPr>
      <w:sz w:val="20"/>
    </w:rPr>
  </w:style>
  <w:style w:type="character" w:customStyle="1" w:styleId="Heading2Char">
    <w:name w:val="Heading 2 Char"/>
    <w:basedOn w:val="DefaultParagraphFont"/>
    <w:link w:val="Heading2"/>
    <w:uiPriority w:val="9"/>
    <w:rsid w:val="001949E1"/>
    <w:rPr>
      <w:rFonts w:asciiTheme="majorHAnsi" w:eastAsiaTheme="majorEastAsia" w:hAnsiTheme="majorHAnsi" w:cstheme="majorBidi"/>
      <w:b/>
      <w:i/>
      <w:color w:val="821A1A" w:themeColor="text2"/>
      <w:sz w:val="32"/>
      <w:szCs w:val="26"/>
    </w:rPr>
  </w:style>
  <w:style w:type="character" w:customStyle="1" w:styleId="Heading3Char">
    <w:name w:val="Heading 3 Char"/>
    <w:basedOn w:val="DefaultParagraphFont"/>
    <w:link w:val="Heading3"/>
    <w:uiPriority w:val="9"/>
    <w:rsid w:val="001949E1"/>
    <w:rPr>
      <w:rFonts w:asciiTheme="majorHAnsi" w:eastAsiaTheme="majorEastAsia" w:hAnsiTheme="majorHAnsi" w:cstheme="majorBidi"/>
      <w:b/>
      <w:i/>
      <w:color w:val="821A1A" w:themeColor="text2"/>
      <w:sz w:val="28"/>
      <w:szCs w:val="24"/>
    </w:rPr>
  </w:style>
  <w:style w:type="character" w:customStyle="1" w:styleId="Heading4Char">
    <w:name w:val="Heading 4 Char"/>
    <w:basedOn w:val="DefaultParagraphFont"/>
    <w:link w:val="Heading4"/>
    <w:uiPriority w:val="9"/>
    <w:rsid w:val="001949E1"/>
    <w:rPr>
      <w:rFonts w:asciiTheme="majorHAnsi" w:eastAsiaTheme="majorEastAsia" w:hAnsiTheme="majorHAnsi" w:cstheme="majorBidi"/>
      <w:i/>
      <w:iCs/>
      <w:color w:val="821A1A" w:themeColor="text2"/>
      <w:sz w:val="28"/>
    </w:rPr>
  </w:style>
  <w:style w:type="character" w:customStyle="1" w:styleId="Heading5Char">
    <w:name w:val="Heading 5 Char"/>
    <w:basedOn w:val="DefaultParagraphFont"/>
    <w:link w:val="Heading5"/>
    <w:uiPriority w:val="9"/>
    <w:rsid w:val="001949E1"/>
    <w:rPr>
      <w:rFonts w:asciiTheme="majorHAnsi" w:eastAsiaTheme="majorEastAsia" w:hAnsiTheme="majorHAnsi" w:cstheme="majorBidi"/>
      <w:i/>
      <w:color w:val="821A1A" w:themeColor="text2"/>
      <w:sz w:val="24"/>
    </w:rPr>
  </w:style>
  <w:style w:type="character" w:customStyle="1" w:styleId="Heading6Char">
    <w:name w:val="Heading 6 Char"/>
    <w:basedOn w:val="DefaultParagraphFont"/>
    <w:link w:val="Heading6"/>
    <w:uiPriority w:val="9"/>
    <w:semiHidden/>
    <w:rsid w:val="00701540"/>
    <w:rPr>
      <w:rFonts w:asciiTheme="majorHAnsi" w:eastAsiaTheme="majorEastAsia" w:hAnsiTheme="majorHAnsi" w:cstheme="majorBidi"/>
      <w:color w:val="821A1A" w:themeColor="text2"/>
      <w:sz w:val="24"/>
    </w:rPr>
  </w:style>
  <w:style w:type="character" w:customStyle="1" w:styleId="Heading7Char">
    <w:name w:val="Heading 7 Char"/>
    <w:basedOn w:val="DefaultParagraphFont"/>
    <w:link w:val="Heading7"/>
    <w:uiPriority w:val="9"/>
    <w:semiHidden/>
    <w:rsid w:val="00204320"/>
    <w:rPr>
      <w:rFonts w:asciiTheme="majorHAnsi" w:eastAsiaTheme="majorEastAsia" w:hAnsiTheme="majorHAnsi" w:cstheme="majorBidi"/>
      <w:i/>
      <w:iCs/>
      <w:color w:val="400D0D" w:themeColor="accent1" w:themeShade="7F"/>
      <w:sz w:val="20"/>
    </w:rPr>
  </w:style>
  <w:style w:type="character" w:customStyle="1" w:styleId="Heading8Char">
    <w:name w:val="Heading 8 Char"/>
    <w:basedOn w:val="DefaultParagraphFont"/>
    <w:link w:val="Heading8"/>
    <w:uiPriority w:val="9"/>
    <w:semiHidden/>
    <w:rsid w:val="002043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4320"/>
    <w:rPr>
      <w:rFonts w:asciiTheme="majorHAnsi" w:eastAsiaTheme="majorEastAsia" w:hAnsiTheme="majorHAnsi" w:cstheme="majorBidi"/>
      <w:i/>
      <w:iCs/>
      <w:color w:val="272727" w:themeColor="text1" w:themeTint="D8"/>
      <w:sz w:val="20"/>
      <w:szCs w:val="21"/>
    </w:rPr>
  </w:style>
  <w:style w:type="paragraph" w:styleId="BlockText">
    <w:name w:val="Block Text"/>
    <w:basedOn w:val="BodyText"/>
    <w:uiPriority w:val="99"/>
    <w:unhideWhenUsed/>
    <w:rsid w:val="00B4382C"/>
    <w:pPr>
      <w:pBdr>
        <w:top w:val="single" w:sz="2" w:space="10" w:color="821A1A" w:themeColor="accent1" w:shadow="1"/>
        <w:left w:val="single" w:sz="2" w:space="10" w:color="821A1A" w:themeColor="accent1" w:shadow="1"/>
        <w:bottom w:val="single" w:sz="2" w:space="10" w:color="821A1A" w:themeColor="accent1" w:shadow="1"/>
        <w:right w:val="single" w:sz="2" w:space="10" w:color="821A1A" w:themeColor="accent1" w:shadow="1"/>
      </w:pBdr>
      <w:ind w:left="230" w:right="230"/>
    </w:pPr>
    <w:rPr>
      <w:rFonts w:eastAsiaTheme="minorEastAsia"/>
      <w:i/>
      <w:iCs/>
      <w:color w:val="821A1A" w:themeColor="accent1"/>
      <w:sz w:val="22"/>
    </w:rPr>
  </w:style>
  <w:style w:type="paragraph" w:customStyle="1" w:styleId="BlockText3">
    <w:name w:val="Block Text 3"/>
    <w:basedOn w:val="BodyText"/>
    <w:rsid w:val="008B54C2"/>
    <w:pPr>
      <w:pBdr>
        <w:top w:val="single" w:sz="8" w:space="10" w:color="821A1A" w:themeColor="accent1"/>
        <w:left w:val="single" w:sz="8" w:space="10" w:color="821A1A" w:themeColor="accent1"/>
        <w:bottom w:val="single" w:sz="8" w:space="10" w:color="821A1A" w:themeColor="accent1"/>
        <w:right w:val="single" w:sz="8" w:space="10" w:color="821A1A" w:themeColor="accent1"/>
      </w:pBdr>
      <w:shd w:val="clear" w:color="auto" w:fill="821A1A" w:themeFill="accent1"/>
      <w:ind w:left="230" w:right="230"/>
    </w:pPr>
    <w:rPr>
      <w:b/>
      <w:i/>
      <w:color w:val="FFFFFF" w:themeColor="background2"/>
      <w:sz w:val="22"/>
    </w:rPr>
  </w:style>
  <w:style w:type="paragraph" w:customStyle="1" w:styleId="Callout">
    <w:name w:val="Callout"/>
    <w:basedOn w:val="BodyText"/>
    <w:next w:val="BodyText"/>
    <w:rsid w:val="00CA23DA"/>
    <w:pPr>
      <w:framePr w:w="2102" w:hSpace="230" w:wrap="around" w:vAnchor="text" w:hAnchor="page" w:x="1023" w:y="203"/>
    </w:pPr>
    <w:rPr>
      <w:i/>
      <w:color w:val="821A1A" w:themeColor="text2"/>
      <w:sz w:val="16"/>
    </w:rPr>
  </w:style>
  <w:style w:type="paragraph" w:styleId="CommentText">
    <w:name w:val="annotation text"/>
    <w:basedOn w:val="Normal"/>
    <w:link w:val="CommentTextChar"/>
    <w:uiPriority w:val="99"/>
    <w:semiHidden/>
    <w:unhideWhenUsed/>
    <w:rsid w:val="00F92C4D"/>
  </w:style>
  <w:style w:type="character" w:customStyle="1" w:styleId="CommentTextChar">
    <w:name w:val="Comment Text Char"/>
    <w:basedOn w:val="DefaultParagraphFont"/>
    <w:link w:val="CommentText"/>
    <w:uiPriority w:val="99"/>
    <w:semiHidden/>
    <w:rsid w:val="00F92C4D"/>
    <w:rPr>
      <w:sz w:val="20"/>
      <w:szCs w:val="20"/>
    </w:rPr>
  </w:style>
  <w:style w:type="paragraph" w:styleId="Date">
    <w:name w:val="Date"/>
    <w:basedOn w:val="Normal"/>
    <w:next w:val="BodyText"/>
    <w:link w:val="DateChar"/>
    <w:uiPriority w:val="99"/>
    <w:unhideWhenUsed/>
    <w:rsid w:val="003A010F"/>
    <w:pPr>
      <w:spacing w:line="276" w:lineRule="auto"/>
      <w:ind w:left="2376"/>
    </w:pPr>
    <w:rPr>
      <w:sz w:val="28"/>
    </w:rPr>
  </w:style>
  <w:style w:type="character" w:customStyle="1" w:styleId="DateChar">
    <w:name w:val="Date Char"/>
    <w:basedOn w:val="DefaultParagraphFont"/>
    <w:link w:val="Date"/>
    <w:uiPriority w:val="99"/>
    <w:rsid w:val="003A010F"/>
    <w:rPr>
      <w:sz w:val="28"/>
    </w:rPr>
  </w:style>
  <w:style w:type="paragraph" w:customStyle="1" w:styleId="Disclaimer">
    <w:name w:val="Disclaimer"/>
    <w:basedOn w:val="BodyText"/>
    <w:link w:val="DisclaimerChar"/>
    <w:qFormat/>
    <w:rsid w:val="008C239A"/>
    <w:pPr>
      <w:spacing w:after="0" w:line="140" w:lineRule="atLeast"/>
    </w:pPr>
    <w:rPr>
      <w:sz w:val="16"/>
    </w:rPr>
  </w:style>
  <w:style w:type="paragraph" w:styleId="Caption">
    <w:name w:val="caption"/>
    <w:basedOn w:val="Normal"/>
    <w:next w:val="BodyText"/>
    <w:uiPriority w:val="35"/>
    <w:unhideWhenUsed/>
    <w:rsid w:val="00972CCA"/>
    <w:rPr>
      <w:i/>
      <w:iCs/>
      <w:color w:val="821A1A" w:themeColor="text2"/>
      <w:szCs w:val="18"/>
    </w:rPr>
  </w:style>
  <w:style w:type="paragraph" w:customStyle="1" w:styleId="DividerHeader">
    <w:name w:val="Divider Header"/>
    <w:rsid w:val="00502377"/>
    <w:pPr>
      <w:spacing w:after="240" w:line="240" w:lineRule="atLeast"/>
    </w:pPr>
    <w:rPr>
      <w:rFonts w:asciiTheme="majorHAnsi" w:hAnsiTheme="majorHAnsi"/>
      <w:b/>
      <w:i/>
      <w:color w:val="000000" w:themeColor="text1"/>
      <w:sz w:val="64"/>
    </w:rPr>
  </w:style>
  <w:style w:type="paragraph" w:customStyle="1" w:styleId="ExhibitHeading1">
    <w:name w:val="Exhibit Heading 1"/>
    <w:basedOn w:val="BodyText"/>
    <w:next w:val="BodyText"/>
    <w:rsid w:val="00F406B3"/>
    <w:pPr>
      <w:keepNext/>
      <w:pageBreakBefore/>
      <w:numPr>
        <w:numId w:val="7"/>
      </w:numPr>
      <w:spacing w:after="480" w:line="0" w:lineRule="atLeast"/>
      <w:outlineLvl w:val="0"/>
    </w:pPr>
    <w:rPr>
      <w:rFonts w:asciiTheme="majorHAnsi" w:hAnsiTheme="majorHAnsi"/>
      <w:b/>
      <w:i/>
      <w:sz w:val="48"/>
    </w:rPr>
  </w:style>
  <w:style w:type="paragraph" w:customStyle="1" w:styleId="ExhibitHeading2">
    <w:name w:val="Exhibit Heading 2"/>
    <w:basedOn w:val="ExhibitHeading1"/>
    <w:next w:val="BodyText"/>
    <w:rsid w:val="00DB5131"/>
    <w:pPr>
      <w:pageBreakBefore w:val="0"/>
      <w:numPr>
        <w:ilvl w:val="1"/>
      </w:numPr>
      <w:spacing w:after="160"/>
      <w:ind w:left="504" w:hanging="504"/>
      <w:outlineLvl w:val="1"/>
    </w:pPr>
    <w:rPr>
      <w:color w:val="821A1A" w:themeColor="text2"/>
      <w:sz w:val="32"/>
    </w:rPr>
  </w:style>
  <w:style w:type="paragraph" w:customStyle="1" w:styleId="ExhibitHeading3">
    <w:name w:val="Exhibit Heading 3"/>
    <w:basedOn w:val="ExhibitHeading2"/>
    <w:next w:val="BodyText"/>
    <w:rsid w:val="00DB5131"/>
    <w:pPr>
      <w:numPr>
        <w:ilvl w:val="2"/>
      </w:numPr>
      <w:ind w:left="648" w:hanging="648"/>
      <w:outlineLvl w:val="2"/>
    </w:pPr>
    <w:rPr>
      <w:sz w:val="28"/>
    </w:rPr>
  </w:style>
  <w:style w:type="paragraph" w:customStyle="1" w:styleId="ExhibitHeading4">
    <w:name w:val="Exhibit Heading 4"/>
    <w:basedOn w:val="ExhibitHeading3"/>
    <w:next w:val="BodyText"/>
    <w:rsid w:val="00DB5131"/>
    <w:pPr>
      <w:numPr>
        <w:ilvl w:val="3"/>
      </w:numPr>
      <w:ind w:left="792" w:hanging="792"/>
      <w:outlineLvl w:val="3"/>
    </w:pPr>
    <w:rPr>
      <w:b w:val="0"/>
    </w:rPr>
  </w:style>
  <w:style w:type="paragraph" w:customStyle="1" w:styleId="ExhibitHeading5">
    <w:name w:val="Exhibit Heading 5"/>
    <w:basedOn w:val="ExhibitHeading4"/>
    <w:next w:val="BodyText"/>
    <w:rsid w:val="00DB5131"/>
    <w:pPr>
      <w:numPr>
        <w:ilvl w:val="4"/>
      </w:numPr>
      <w:ind w:left="864" w:hanging="864"/>
      <w:outlineLvl w:val="4"/>
    </w:pPr>
    <w:rPr>
      <w:sz w:val="24"/>
    </w:rPr>
  </w:style>
  <w:style w:type="character" w:styleId="FollowedHyperlink">
    <w:name w:val="FollowedHyperlink"/>
    <w:basedOn w:val="DefaultParagraphFont"/>
    <w:uiPriority w:val="99"/>
    <w:semiHidden/>
    <w:unhideWhenUsed/>
    <w:rsid w:val="00BC4B6A"/>
    <w:rPr>
      <w:color w:val="B9B29E" w:themeColor="accent6" w:themeTint="99"/>
      <w:u w:val="single"/>
    </w:rPr>
  </w:style>
  <w:style w:type="character" w:styleId="FootnoteReference">
    <w:name w:val="footnote reference"/>
    <w:basedOn w:val="DefaultParagraphFont"/>
    <w:uiPriority w:val="99"/>
    <w:semiHidden/>
    <w:unhideWhenUsed/>
    <w:rsid w:val="00DC787F"/>
    <w:rPr>
      <w:color w:val="000000" w:themeColor="text1"/>
      <w:vertAlign w:val="superscript"/>
    </w:rPr>
  </w:style>
  <w:style w:type="paragraph" w:styleId="FootnoteText">
    <w:name w:val="footnote text"/>
    <w:basedOn w:val="Normal"/>
    <w:link w:val="FootnoteTextChar"/>
    <w:uiPriority w:val="99"/>
    <w:semiHidden/>
    <w:unhideWhenUsed/>
    <w:rsid w:val="00B906A1"/>
    <w:pPr>
      <w:spacing w:after="0"/>
    </w:pPr>
    <w:rPr>
      <w:color w:val="000000" w:themeColor="text1"/>
      <w:sz w:val="18"/>
    </w:rPr>
  </w:style>
  <w:style w:type="character" w:customStyle="1" w:styleId="FootnoteTextChar">
    <w:name w:val="Footnote Text Char"/>
    <w:basedOn w:val="DefaultParagraphFont"/>
    <w:link w:val="FootnoteText"/>
    <w:uiPriority w:val="99"/>
    <w:semiHidden/>
    <w:rsid w:val="00B906A1"/>
    <w:rPr>
      <w:color w:val="000000" w:themeColor="text1"/>
      <w:sz w:val="18"/>
      <w:szCs w:val="20"/>
    </w:rPr>
  </w:style>
  <w:style w:type="paragraph" w:customStyle="1" w:styleId="Guidance">
    <w:name w:val="Guidance"/>
    <w:basedOn w:val="Normal"/>
    <w:link w:val="GuidanceChar"/>
    <w:uiPriority w:val="99"/>
    <w:qFormat/>
    <w:rsid w:val="00FD7DAD"/>
    <w:pPr>
      <w:spacing w:after="100" w:afterAutospacing="1" w:line="276" w:lineRule="auto"/>
    </w:pPr>
    <w:rPr>
      <w:rFonts w:ascii="Arial" w:hAnsi="Arial"/>
      <w:color w:val="00A5FF"/>
      <w:sz w:val="16"/>
    </w:rPr>
  </w:style>
  <w:style w:type="character" w:styleId="HTMLAcronym">
    <w:name w:val="HTML Acronym"/>
    <w:basedOn w:val="DefaultParagraphFont"/>
    <w:uiPriority w:val="99"/>
    <w:semiHidden/>
    <w:unhideWhenUsed/>
    <w:rsid w:val="00B07192"/>
    <w:rPr>
      <w:color w:val="000000" w:themeColor="text1"/>
    </w:rPr>
  </w:style>
  <w:style w:type="character" w:styleId="Hyperlink">
    <w:name w:val="Hyperlink"/>
    <w:basedOn w:val="DefaultParagraphFont"/>
    <w:uiPriority w:val="99"/>
    <w:unhideWhenUsed/>
    <w:rsid w:val="002D4EF1"/>
    <w:rPr>
      <w:color w:val="0070C0"/>
      <w:u w:val="single"/>
    </w:rPr>
  </w:style>
  <w:style w:type="paragraph" w:styleId="Index1">
    <w:name w:val="index 1"/>
    <w:basedOn w:val="Normal"/>
    <w:next w:val="Normal"/>
    <w:autoRedefine/>
    <w:uiPriority w:val="99"/>
    <w:unhideWhenUsed/>
    <w:rsid w:val="007C1DC3"/>
    <w:pPr>
      <w:spacing w:after="120"/>
      <w:ind w:left="202" w:hanging="202"/>
    </w:pPr>
  </w:style>
  <w:style w:type="paragraph" w:styleId="Index2">
    <w:name w:val="index 2"/>
    <w:basedOn w:val="Normal"/>
    <w:next w:val="Normal"/>
    <w:autoRedefine/>
    <w:uiPriority w:val="99"/>
    <w:unhideWhenUsed/>
    <w:rsid w:val="007C1DC3"/>
    <w:pPr>
      <w:spacing w:after="120"/>
      <w:ind w:left="404" w:hanging="202"/>
    </w:pPr>
  </w:style>
  <w:style w:type="paragraph" w:styleId="Index3">
    <w:name w:val="index 3"/>
    <w:basedOn w:val="Normal"/>
    <w:next w:val="Normal"/>
    <w:autoRedefine/>
    <w:uiPriority w:val="99"/>
    <w:unhideWhenUsed/>
    <w:rsid w:val="007C1DC3"/>
    <w:pPr>
      <w:spacing w:after="120"/>
      <w:ind w:left="605" w:hanging="202"/>
    </w:pPr>
  </w:style>
  <w:style w:type="paragraph" w:styleId="Index4">
    <w:name w:val="index 4"/>
    <w:basedOn w:val="Normal"/>
    <w:next w:val="Normal"/>
    <w:autoRedefine/>
    <w:uiPriority w:val="99"/>
    <w:unhideWhenUsed/>
    <w:rsid w:val="0052450E"/>
    <w:pPr>
      <w:spacing w:after="0"/>
      <w:ind w:left="800" w:hanging="200"/>
    </w:pPr>
  </w:style>
  <w:style w:type="paragraph" w:styleId="Index5">
    <w:name w:val="index 5"/>
    <w:basedOn w:val="Normal"/>
    <w:next w:val="Normal"/>
    <w:autoRedefine/>
    <w:uiPriority w:val="99"/>
    <w:unhideWhenUsed/>
    <w:rsid w:val="007C1DC3"/>
    <w:pPr>
      <w:spacing w:after="120"/>
      <w:ind w:left="1008" w:hanging="202"/>
    </w:pPr>
  </w:style>
  <w:style w:type="paragraph" w:styleId="Index6">
    <w:name w:val="index 6"/>
    <w:basedOn w:val="Normal"/>
    <w:next w:val="Normal"/>
    <w:autoRedefine/>
    <w:uiPriority w:val="99"/>
    <w:unhideWhenUsed/>
    <w:rsid w:val="007C1DC3"/>
    <w:pPr>
      <w:spacing w:after="120"/>
      <w:ind w:left="1196" w:hanging="202"/>
    </w:pPr>
  </w:style>
  <w:style w:type="paragraph" w:styleId="Index7">
    <w:name w:val="index 7"/>
    <w:basedOn w:val="Normal"/>
    <w:next w:val="Normal"/>
    <w:autoRedefine/>
    <w:uiPriority w:val="99"/>
    <w:unhideWhenUsed/>
    <w:rsid w:val="007C1DC3"/>
    <w:pPr>
      <w:spacing w:after="120"/>
      <w:ind w:left="1397" w:hanging="202"/>
    </w:pPr>
  </w:style>
  <w:style w:type="paragraph" w:styleId="Index8">
    <w:name w:val="index 8"/>
    <w:basedOn w:val="Normal"/>
    <w:next w:val="Normal"/>
    <w:autoRedefine/>
    <w:uiPriority w:val="99"/>
    <w:unhideWhenUsed/>
    <w:rsid w:val="007C1DC3"/>
    <w:pPr>
      <w:spacing w:after="120"/>
      <w:ind w:left="1599" w:hanging="202"/>
    </w:pPr>
  </w:style>
  <w:style w:type="paragraph" w:styleId="Index9">
    <w:name w:val="index 9"/>
    <w:basedOn w:val="Normal"/>
    <w:next w:val="Normal"/>
    <w:autoRedefine/>
    <w:uiPriority w:val="99"/>
    <w:unhideWhenUsed/>
    <w:rsid w:val="007C1DC3"/>
    <w:pPr>
      <w:spacing w:after="120"/>
      <w:ind w:left="1800" w:hanging="202"/>
    </w:pPr>
  </w:style>
  <w:style w:type="paragraph" w:styleId="IndexHeading">
    <w:name w:val="index heading"/>
    <w:basedOn w:val="Normal"/>
    <w:next w:val="Index1"/>
    <w:uiPriority w:val="99"/>
    <w:unhideWhenUsed/>
    <w:rsid w:val="006D4048"/>
    <w:rPr>
      <w:rFonts w:asciiTheme="majorHAnsi" w:eastAsiaTheme="majorEastAsia" w:hAnsiTheme="majorHAnsi" w:cstheme="majorBidi"/>
      <w:b/>
      <w:bCs/>
    </w:rPr>
  </w:style>
  <w:style w:type="character" w:styleId="IntenseEmphasis">
    <w:name w:val="Intense Emphasis"/>
    <w:basedOn w:val="DefaultParagraphFont"/>
    <w:uiPriority w:val="21"/>
    <w:rsid w:val="006D4048"/>
    <w:rPr>
      <w:i/>
      <w:iCs/>
      <w:color w:val="821A1A" w:themeColor="accent1"/>
    </w:rPr>
  </w:style>
  <w:style w:type="paragraph" w:customStyle="1" w:styleId="HeadingText">
    <w:name w:val="Heading Text"/>
    <w:basedOn w:val="BodyText"/>
    <w:next w:val="BodyText"/>
    <w:qFormat/>
    <w:rsid w:val="0058176B"/>
    <w:pPr>
      <w:spacing w:after="80"/>
    </w:pPr>
    <w:rPr>
      <w:b/>
      <w:color w:val="821A1A" w:themeColor="text2"/>
    </w:rPr>
  </w:style>
  <w:style w:type="character" w:styleId="IntenseReference">
    <w:name w:val="Intense Reference"/>
    <w:basedOn w:val="DefaultParagraphFont"/>
    <w:uiPriority w:val="32"/>
    <w:rsid w:val="00B15864"/>
    <w:rPr>
      <w:b/>
      <w:bCs/>
      <w:smallCaps/>
      <w:color w:val="821A1A" w:themeColor="accent1"/>
      <w:spacing w:val="5"/>
    </w:rPr>
  </w:style>
  <w:style w:type="character" w:styleId="Emphasis">
    <w:name w:val="Emphasis"/>
    <w:basedOn w:val="DefaultParagraphFont"/>
    <w:uiPriority w:val="99"/>
    <w:qFormat/>
    <w:rsid w:val="00052F4A"/>
    <w:rPr>
      <w:i/>
      <w:iCs/>
    </w:rPr>
  </w:style>
  <w:style w:type="paragraph" w:styleId="IntenseQuote">
    <w:name w:val="Intense Quote"/>
    <w:basedOn w:val="Normal"/>
    <w:next w:val="Normal"/>
    <w:link w:val="IntenseQuoteChar"/>
    <w:uiPriority w:val="30"/>
    <w:rsid w:val="00DB3823"/>
    <w:pPr>
      <w:pBdr>
        <w:bottom w:val="single" w:sz="4" w:space="10" w:color="821A1A" w:themeColor="accent1"/>
      </w:pBdr>
      <w:spacing w:before="200" w:after="280" w:line="276" w:lineRule="auto"/>
      <w:ind w:left="936" w:right="936"/>
    </w:pPr>
    <w:rPr>
      <w:b/>
      <w:i/>
      <w:iCs/>
      <w:color w:val="821A1A" w:themeColor="accent1"/>
    </w:rPr>
  </w:style>
  <w:style w:type="character" w:customStyle="1" w:styleId="IntenseQuoteChar">
    <w:name w:val="Intense Quote Char"/>
    <w:basedOn w:val="DefaultParagraphFont"/>
    <w:link w:val="IntenseQuote"/>
    <w:uiPriority w:val="30"/>
    <w:rsid w:val="00DB3823"/>
    <w:rPr>
      <w:b/>
      <w:i/>
      <w:iCs/>
      <w:color w:val="821A1A" w:themeColor="accent1"/>
      <w:sz w:val="20"/>
    </w:rPr>
  </w:style>
  <w:style w:type="character" w:styleId="LineNumber">
    <w:name w:val="line number"/>
    <w:basedOn w:val="DefaultParagraphFont"/>
    <w:uiPriority w:val="99"/>
    <w:unhideWhenUsed/>
    <w:rsid w:val="00DB3823"/>
  </w:style>
  <w:style w:type="paragraph" w:styleId="List">
    <w:name w:val="List"/>
    <w:basedOn w:val="Normal"/>
    <w:uiPriority w:val="99"/>
    <w:unhideWhenUsed/>
    <w:rsid w:val="007C1DC3"/>
    <w:pPr>
      <w:spacing w:after="120"/>
      <w:ind w:left="346"/>
    </w:pPr>
  </w:style>
  <w:style w:type="paragraph" w:styleId="List2">
    <w:name w:val="List 2"/>
    <w:basedOn w:val="List"/>
    <w:uiPriority w:val="99"/>
    <w:unhideWhenUsed/>
    <w:rsid w:val="007C1DC3"/>
    <w:pPr>
      <w:ind w:left="691"/>
    </w:pPr>
  </w:style>
  <w:style w:type="paragraph" w:styleId="List4">
    <w:name w:val="List 4"/>
    <w:basedOn w:val="List3"/>
    <w:uiPriority w:val="99"/>
    <w:unhideWhenUsed/>
    <w:rsid w:val="005A613E"/>
    <w:pPr>
      <w:ind w:left="1382" w:firstLine="0"/>
    </w:pPr>
  </w:style>
  <w:style w:type="paragraph" w:styleId="List3">
    <w:name w:val="List 3"/>
    <w:basedOn w:val="List2"/>
    <w:uiPriority w:val="99"/>
    <w:unhideWhenUsed/>
    <w:rsid w:val="007C1DC3"/>
    <w:pPr>
      <w:ind w:left="2232" w:hanging="1195"/>
    </w:pPr>
  </w:style>
  <w:style w:type="paragraph" w:styleId="List5">
    <w:name w:val="List 5"/>
    <w:basedOn w:val="Normal"/>
    <w:uiPriority w:val="99"/>
    <w:unhideWhenUsed/>
    <w:rsid w:val="007C1DC3"/>
    <w:pPr>
      <w:spacing w:after="120"/>
      <w:ind w:left="1728"/>
    </w:pPr>
  </w:style>
  <w:style w:type="paragraph" w:customStyle="1" w:styleId="ListAlpha">
    <w:name w:val="List Alpha"/>
    <w:basedOn w:val="Normal"/>
    <w:qFormat/>
    <w:rsid w:val="007C1DC3"/>
    <w:pPr>
      <w:numPr>
        <w:numId w:val="3"/>
      </w:numPr>
      <w:spacing w:after="120"/>
    </w:pPr>
  </w:style>
  <w:style w:type="paragraph" w:customStyle="1" w:styleId="ListAlpha2">
    <w:name w:val="List Alpha 2"/>
    <w:basedOn w:val="ListAlpha"/>
    <w:qFormat/>
    <w:rsid w:val="007C1DC3"/>
    <w:pPr>
      <w:numPr>
        <w:ilvl w:val="1"/>
      </w:numPr>
      <w:ind w:left="692" w:hanging="346"/>
    </w:pPr>
  </w:style>
  <w:style w:type="paragraph" w:customStyle="1" w:styleId="ListAlpha3">
    <w:name w:val="List Alpha 3"/>
    <w:basedOn w:val="ListAlpha"/>
    <w:qFormat/>
    <w:rsid w:val="003B1935"/>
    <w:pPr>
      <w:numPr>
        <w:ilvl w:val="2"/>
      </w:numPr>
    </w:pPr>
  </w:style>
  <w:style w:type="paragraph" w:customStyle="1" w:styleId="ListAlpha4">
    <w:name w:val="List Alpha 4"/>
    <w:basedOn w:val="ListAlpha3"/>
    <w:qFormat/>
    <w:rsid w:val="003B1935"/>
    <w:pPr>
      <w:numPr>
        <w:ilvl w:val="3"/>
      </w:numPr>
    </w:pPr>
  </w:style>
  <w:style w:type="paragraph" w:customStyle="1" w:styleId="ListAlpha5">
    <w:name w:val="List Alpha 5"/>
    <w:basedOn w:val="ListAlpha4"/>
    <w:rsid w:val="003B1935"/>
    <w:pPr>
      <w:numPr>
        <w:ilvl w:val="4"/>
      </w:numPr>
    </w:pPr>
  </w:style>
  <w:style w:type="paragraph" w:styleId="ListParagraph">
    <w:name w:val="List Paragraph"/>
    <w:basedOn w:val="Normal"/>
    <w:uiPriority w:val="34"/>
    <w:qFormat/>
    <w:rsid w:val="007C1DC3"/>
    <w:pPr>
      <w:spacing w:after="120"/>
      <w:ind w:left="720"/>
      <w:contextualSpacing/>
    </w:pPr>
  </w:style>
  <w:style w:type="paragraph" w:styleId="ListBullet">
    <w:name w:val="List Bullet"/>
    <w:basedOn w:val="Normal"/>
    <w:uiPriority w:val="99"/>
    <w:unhideWhenUsed/>
    <w:qFormat/>
    <w:rsid w:val="00BE2698"/>
    <w:pPr>
      <w:numPr>
        <w:numId w:val="1"/>
      </w:numPr>
      <w:spacing w:after="120"/>
    </w:pPr>
  </w:style>
  <w:style w:type="paragraph" w:styleId="ListBullet2">
    <w:name w:val="List Bullet 2"/>
    <w:basedOn w:val="Normal"/>
    <w:uiPriority w:val="99"/>
    <w:unhideWhenUsed/>
    <w:qFormat/>
    <w:rsid w:val="00232269"/>
    <w:pPr>
      <w:numPr>
        <w:ilvl w:val="1"/>
        <w:numId w:val="1"/>
      </w:numPr>
      <w:spacing w:after="120"/>
      <w:ind w:left="692" w:hanging="346"/>
    </w:pPr>
  </w:style>
  <w:style w:type="paragraph" w:styleId="ListBullet3">
    <w:name w:val="List Bullet 3"/>
    <w:basedOn w:val="Normal"/>
    <w:uiPriority w:val="99"/>
    <w:unhideWhenUsed/>
    <w:qFormat/>
    <w:rsid w:val="00232269"/>
    <w:pPr>
      <w:numPr>
        <w:ilvl w:val="2"/>
        <w:numId w:val="1"/>
      </w:numPr>
      <w:spacing w:after="120"/>
    </w:pPr>
  </w:style>
  <w:style w:type="paragraph" w:styleId="ListBullet4">
    <w:name w:val="List Bullet 4"/>
    <w:basedOn w:val="Normal"/>
    <w:uiPriority w:val="99"/>
    <w:unhideWhenUsed/>
    <w:qFormat/>
    <w:rsid w:val="00232269"/>
    <w:pPr>
      <w:numPr>
        <w:ilvl w:val="3"/>
        <w:numId w:val="1"/>
      </w:numPr>
      <w:spacing w:after="120"/>
      <w:ind w:left="1383" w:hanging="346"/>
    </w:pPr>
  </w:style>
  <w:style w:type="paragraph" w:styleId="ListBullet5">
    <w:name w:val="List Bullet 5"/>
    <w:basedOn w:val="Normal"/>
    <w:uiPriority w:val="99"/>
    <w:unhideWhenUsed/>
    <w:rsid w:val="00232269"/>
    <w:pPr>
      <w:numPr>
        <w:ilvl w:val="4"/>
        <w:numId w:val="1"/>
      </w:numPr>
      <w:spacing w:after="120"/>
    </w:pPr>
  </w:style>
  <w:style w:type="paragraph" w:customStyle="1" w:styleId="ListBullet6">
    <w:name w:val="List Bullet 6"/>
    <w:basedOn w:val="ListBullet5"/>
    <w:rsid w:val="00BE2698"/>
    <w:pPr>
      <w:numPr>
        <w:ilvl w:val="5"/>
      </w:numPr>
    </w:pPr>
  </w:style>
  <w:style w:type="paragraph" w:customStyle="1" w:styleId="ListBullet7">
    <w:name w:val="List Bullet 7"/>
    <w:basedOn w:val="ListBullet6"/>
    <w:rsid w:val="00DB07DA"/>
    <w:pPr>
      <w:numPr>
        <w:ilvl w:val="6"/>
      </w:numPr>
    </w:pPr>
  </w:style>
  <w:style w:type="paragraph" w:customStyle="1" w:styleId="ListBullet8">
    <w:name w:val="List Bullet 8"/>
    <w:basedOn w:val="ListBullet7"/>
    <w:rsid w:val="00BE2698"/>
    <w:pPr>
      <w:numPr>
        <w:ilvl w:val="7"/>
      </w:numPr>
    </w:pPr>
  </w:style>
  <w:style w:type="paragraph" w:customStyle="1" w:styleId="ListBullet9">
    <w:name w:val="List Bullet 9"/>
    <w:basedOn w:val="ListBullet8"/>
    <w:rsid w:val="00DB07DA"/>
    <w:pPr>
      <w:numPr>
        <w:ilvl w:val="8"/>
      </w:numPr>
    </w:pPr>
  </w:style>
  <w:style w:type="paragraph" w:styleId="ListNumber">
    <w:name w:val="List Number"/>
    <w:basedOn w:val="Normal"/>
    <w:uiPriority w:val="99"/>
    <w:unhideWhenUsed/>
    <w:qFormat/>
    <w:rsid w:val="007C1DC3"/>
    <w:pPr>
      <w:numPr>
        <w:numId w:val="2"/>
      </w:numPr>
      <w:spacing w:after="120"/>
    </w:pPr>
  </w:style>
  <w:style w:type="paragraph" w:styleId="ListNumber2">
    <w:name w:val="List Number 2"/>
    <w:basedOn w:val="ListNumber"/>
    <w:uiPriority w:val="99"/>
    <w:unhideWhenUsed/>
    <w:qFormat/>
    <w:rsid w:val="009E168D"/>
    <w:pPr>
      <w:numPr>
        <w:ilvl w:val="1"/>
      </w:numPr>
      <w:tabs>
        <w:tab w:val="left" w:pos="792"/>
      </w:tabs>
    </w:pPr>
  </w:style>
  <w:style w:type="paragraph" w:styleId="ListNumber3">
    <w:name w:val="List Number 3"/>
    <w:basedOn w:val="ListNumber2"/>
    <w:uiPriority w:val="99"/>
    <w:unhideWhenUsed/>
    <w:qFormat/>
    <w:rsid w:val="009E168D"/>
    <w:pPr>
      <w:numPr>
        <w:ilvl w:val="2"/>
      </w:numPr>
      <w:tabs>
        <w:tab w:val="clear" w:pos="792"/>
        <w:tab w:val="left" w:pos="1195"/>
      </w:tabs>
    </w:pPr>
  </w:style>
  <w:style w:type="paragraph" w:styleId="ListNumber4">
    <w:name w:val="List Number 4"/>
    <w:basedOn w:val="ListNumber3"/>
    <w:uiPriority w:val="99"/>
    <w:unhideWhenUsed/>
    <w:qFormat/>
    <w:rsid w:val="00BA4D70"/>
    <w:pPr>
      <w:numPr>
        <w:ilvl w:val="3"/>
      </w:numPr>
      <w:tabs>
        <w:tab w:val="clear" w:pos="1195"/>
        <w:tab w:val="left" w:pos="1642"/>
      </w:tabs>
    </w:pPr>
  </w:style>
  <w:style w:type="paragraph" w:styleId="ListNumber5">
    <w:name w:val="List Number 5"/>
    <w:basedOn w:val="ListNumber4"/>
    <w:uiPriority w:val="99"/>
    <w:unhideWhenUsed/>
    <w:rsid w:val="00BA4D70"/>
    <w:pPr>
      <w:numPr>
        <w:ilvl w:val="4"/>
      </w:numPr>
      <w:tabs>
        <w:tab w:val="clear" w:pos="1642"/>
        <w:tab w:val="left" w:pos="1987"/>
      </w:tabs>
    </w:pPr>
  </w:style>
  <w:style w:type="paragraph" w:styleId="ListContinue">
    <w:name w:val="List Continue"/>
    <w:basedOn w:val="Normal"/>
    <w:uiPriority w:val="99"/>
    <w:unhideWhenUsed/>
    <w:qFormat/>
    <w:rsid w:val="007C1DC3"/>
    <w:pPr>
      <w:spacing w:after="120"/>
      <w:ind w:left="346"/>
    </w:pPr>
  </w:style>
  <w:style w:type="paragraph" w:styleId="ListContinue2">
    <w:name w:val="List Continue 2"/>
    <w:basedOn w:val="ListContinue"/>
    <w:uiPriority w:val="99"/>
    <w:unhideWhenUsed/>
    <w:qFormat/>
    <w:rsid w:val="0010165E"/>
    <w:pPr>
      <w:ind w:left="691"/>
    </w:pPr>
  </w:style>
  <w:style w:type="paragraph" w:styleId="ListContinue3">
    <w:name w:val="List Continue 3"/>
    <w:basedOn w:val="ListNumber2"/>
    <w:uiPriority w:val="99"/>
    <w:unhideWhenUsed/>
    <w:qFormat/>
    <w:rsid w:val="007C1DC3"/>
    <w:pPr>
      <w:numPr>
        <w:ilvl w:val="0"/>
        <w:numId w:val="0"/>
      </w:numPr>
      <w:ind w:left="1037"/>
    </w:pPr>
  </w:style>
  <w:style w:type="paragraph" w:styleId="ListContinue4">
    <w:name w:val="List Continue 4"/>
    <w:basedOn w:val="ListContinue3"/>
    <w:uiPriority w:val="99"/>
    <w:unhideWhenUsed/>
    <w:qFormat/>
    <w:rsid w:val="0010165E"/>
    <w:pPr>
      <w:ind w:left="1382"/>
    </w:pPr>
  </w:style>
  <w:style w:type="paragraph" w:styleId="ListContinue5">
    <w:name w:val="List Continue 5"/>
    <w:basedOn w:val="ListContinue4"/>
    <w:uiPriority w:val="99"/>
    <w:unhideWhenUsed/>
    <w:rsid w:val="0010165E"/>
    <w:pPr>
      <w:ind w:left="1728"/>
    </w:pPr>
  </w:style>
  <w:style w:type="paragraph" w:styleId="MacroText">
    <w:name w:val="macro"/>
    <w:link w:val="MacroTextChar"/>
    <w:uiPriority w:val="99"/>
    <w:unhideWhenUsed/>
    <w:rsid w:val="00983A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rsid w:val="00983A25"/>
    <w:rPr>
      <w:rFonts w:ascii="Consolas" w:hAnsi="Consolas"/>
      <w:sz w:val="20"/>
      <w:szCs w:val="20"/>
    </w:rPr>
  </w:style>
  <w:style w:type="paragraph" w:styleId="MessageHeader">
    <w:name w:val="Message Header"/>
    <w:basedOn w:val="Normal"/>
    <w:link w:val="MessageHeaderChar"/>
    <w:uiPriority w:val="99"/>
    <w:semiHidden/>
    <w:unhideWhenUsed/>
    <w:rsid w:val="00983A2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983A25"/>
    <w:rPr>
      <w:rFonts w:eastAsiaTheme="majorEastAsia" w:cstheme="majorBidi"/>
      <w:sz w:val="24"/>
      <w:szCs w:val="24"/>
      <w:shd w:val="pct20" w:color="auto" w:fill="auto"/>
    </w:rPr>
  </w:style>
  <w:style w:type="paragraph" w:customStyle="1" w:styleId="Non-numberedHeading1">
    <w:name w:val="Non-numbered Heading 1"/>
    <w:basedOn w:val="Normal"/>
    <w:next w:val="BodyText"/>
    <w:qFormat/>
    <w:rsid w:val="00EA5E04"/>
    <w:pPr>
      <w:keepNext/>
      <w:pageBreakBefore/>
      <w:spacing w:after="480"/>
      <w:outlineLvl w:val="0"/>
    </w:pPr>
    <w:rPr>
      <w:rFonts w:asciiTheme="majorHAnsi" w:eastAsiaTheme="majorEastAsia" w:hAnsiTheme="majorHAnsi" w:cstheme="majorBidi"/>
      <w:b/>
      <w:i/>
      <w:color w:val="000000" w:themeColor="text1"/>
      <w:sz w:val="48"/>
      <w:szCs w:val="32"/>
    </w:rPr>
  </w:style>
  <w:style w:type="paragraph" w:customStyle="1" w:styleId="Non-numberedHeading2">
    <w:name w:val="Non-numbered Heading 2"/>
    <w:basedOn w:val="Non-numberedHeading1"/>
    <w:next w:val="BodyText"/>
    <w:qFormat/>
    <w:rsid w:val="00D75085"/>
    <w:pPr>
      <w:pageBreakBefore w:val="0"/>
      <w:spacing w:after="160"/>
      <w:outlineLvl w:val="1"/>
    </w:pPr>
    <w:rPr>
      <w:color w:val="821A1A" w:themeColor="text2"/>
      <w:sz w:val="32"/>
    </w:rPr>
  </w:style>
  <w:style w:type="paragraph" w:customStyle="1" w:styleId="Non-numberedHeading3">
    <w:name w:val="Non-numbered Heading 3"/>
    <w:basedOn w:val="Non-numberedHeading2"/>
    <w:next w:val="BodyText"/>
    <w:qFormat/>
    <w:rsid w:val="00B83298"/>
    <w:pPr>
      <w:outlineLvl w:val="2"/>
    </w:pPr>
    <w:rPr>
      <w:sz w:val="28"/>
    </w:rPr>
  </w:style>
  <w:style w:type="paragraph" w:customStyle="1" w:styleId="Non-numberedHeading4">
    <w:name w:val="Non-numbered Heading 4"/>
    <w:basedOn w:val="Non-numberedHeading3"/>
    <w:next w:val="BodyText"/>
    <w:qFormat/>
    <w:rsid w:val="00B83298"/>
    <w:pPr>
      <w:outlineLvl w:val="3"/>
    </w:pPr>
    <w:rPr>
      <w:b w:val="0"/>
    </w:rPr>
  </w:style>
  <w:style w:type="paragraph" w:customStyle="1" w:styleId="Non-numberedHeading5">
    <w:name w:val="Non-numbered Heading 5"/>
    <w:basedOn w:val="Non-numberedHeading4"/>
    <w:next w:val="BodyText"/>
    <w:rsid w:val="00B83298"/>
    <w:pPr>
      <w:outlineLvl w:val="4"/>
    </w:pPr>
    <w:rPr>
      <w:sz w:val="24"/>
    </w:rPr>
  </w:style>
  <w:style w:type="paragraph" w:customStyle="1" w:styleId="PwCAddress">
    <w:name w:val="PwC Address"/>
    <w:basedOn w:val="BodyText"/>
    <w:link w:val="PwCAddressChar"/>
    <w:qFormat/>
    <w:rsid w:val="000E3AAB"/>
    <w:pPr>
      <w:spacing w:after="0" w:line="200" w:lineRule="atLeast"/>
    </w:pPr>
    <w:rPr>
      <w:i/>
      <w:sz w:val="18"/>
    </w:rPr>
  </w:style>
  <w:style w:type="paragraph" w:styleId="Quote">
    <w:name w:val="Quote"/>
    <w:basedOn w:val="Normal"/>
    <w:next w:val="Normal"/>
    <w:link w:val="QuoteChar"/>
    <w:uiPriority w:val="29"/>
    <w:rsid w:val="0015255D"/>
    <w:pPr>
      <w:spacing w:line="276" w:lineRule="auto"/>
      <w:jc w:val="center"/>
    </w:pPr>
    <w:rPr>
      <w:i/>
      <w:iCs/>
      <w:color w:val="404040" w:themeColor="text1" w:themeTint="BF"/>
    </w:rPr>
  </w:style>
  <w:style w:type="character" w:customStyle="1" w:styleId="QuoteChar">
    <w:name w:val="Quote Char"/>
    <w:basedOn w:val="DefaultParagraphFont"/>
    <w:link w:val="Quote"/>
    <w:uiPriority w:val="29"/>
    <w:rsid w:val="0015255D"/>
    <w:rPr>
      <w:i/>
      <w:iCs/>
      <w:color w:val="404040" w:themeColor="text1" w:themeTint="BF"/>
      <w:sz w:val="20"/>
    </w:rPr>
  </w:style>
  <w:style w:type="paragraph" w:customStyle="1" w:styleId="Source">
    <w:name w:val="Source"/>
    <w:basedOn w:val="BodyText"/>
    <w:qFormat/>
    <w:rsid w:val="00EA6A72"/>
    <w:pPr>
      <w:spacing w:line="240" w:lineRule="atLeast"/>
    </w:pPr>
    <w:rPr>
      <w:i/>
      <w:sz w:val="16"/>
    </w:rPr>
  </w:style>
  <w:style w:type="paragraph" w:styleId="Subtitle">
    <w:name w:val="Subtitle"/>
    <w:basedOn w:val="Normal"/>
    <w:next w:val="Normal"/>
    <w:link w:val="SubtitleChar"/>
    <w:uiPriority w:val="11"/>
    <w:rsid w:val="005A07F5"/>
    <w:pPr>
      <w:numPr>
        <w:ilvl w:val="1"/>
      </w:numPr>
      <w:spacing w:after="1200"/>
      <w:ind w:left="2376"/>
    </w:pPr>
    <w:rPr>
      <w:rFonts w:asciiTheme="majorHAnsi" w:eastAsiaTheme="minorEastAsia" w:hAnsiTheme="majorHAnsi"/>
      <w:spacing w:val="15"/>
      <w:sz w:val="64"/>
    </w:rPr>
  </w:style>
  <w:style w:type="character" w:customStyle="1" w:styleId="SubtitleChar">
    <w:name w:val="Subtitle Char"/>
    <w:basedOn w:val="DefaultParagraphFont"/>
    <w:link w:val="Subtitle"/>
    <w:uiPriority w:val="11"/>
    <w:rsid w:val="005A07F5"/>
    <w:rPr>
      <w:rFonts w:asciiTheme="majorHAnsi" w:eastAsiaTheme="minorEastAsia" w:hAnsiTheme="majorHAnsi"/>
      <w:spacing w:val="15"/>
      <w:sz w:val="64"/>
    </w:rPr>
  </w:style>
  <w:style w:type="character" w:styleId="SubtleEmphasis">
    <w:name w:val="Subtle Emphasis"/>
    <w:basedOn w:val="DefaultParagraphFont"/>
    <w:uiPriority w:val="19"/>
    <w:rsid w:val="008039B5"/>
    <w:rPr>
      <w:i/>
      <w:iCs/>
      <w:color w:val="7F7F7F" w:themeColor="text1" w:themeTint="80"/>
    </w:rPr>
  </w:style>
  <w:style w:type="paragraph" w:styleId="Title">
    <w:name w:val="Title"/>
    <w:basedOn w:val="Normal"/>
    <w:next w:val="Normal"/>
    <w:link w:val="TitleChar"/>
    <w:uiPriority w:val="10"/>
    <w:rsid w:val="005A07F5"/>
    <w:pPr>
      <w:spacing w:after="0"/>
      <w:ind w:left="2376"/>
      <w:contextualSpacing/>
    </w:pPr>
    <w:rPr>
      <w:rFonts w:asciiTheme="majorHAnsi" w:eastAsiaTheme="majorEastAsia" w:hAnsiTheme="majorHAnsi" w:cstheme="majorBidi"/>
      <w:b/>
      <w:i/>
      <w:spacing w:val="-10"/>
      <w:kern w:val="28"/>
      <w:sz w:val="64"/>
      <w:szCs w:val="56"/>
    </w:rPr>
  </w:style>
  <w:style w:type="character" w:customStyle="1" w:styleId="TitleChar">
    <w:name w:val="Title Char"/>
    <w:basedOn w:val="DefaultParagraphFont"/>
    <w:link w:val="Title"/>
    <w:uiPriority w:val="10"/>
    <w:rsid w:val="005A07F5"/>
    <w:rPr>
      <w:rFonts w:asciiTheme="majorHAnsi" w:eastAsiaTheme="majorEastAsia" w:hAnsiTheme="majorHAnsi" w:cstheme="majorBidi"/>
      <w:b/>
      <w:i/>
      <w:spacing w:val="-10"/>
      <w:kern w:val="28"/>
      <w:sz w:val="64"/>
      <w:szCs w:val="56"/>
    </w:rPr>
  </w:style>
  <w:style w:type="paragraph" w:styleId="TOC1">
    <w:name w:val="toc 1"/>
    <w:basedOn w:val="Normal"/>
    <w:next w:val="Normal"/>
    <w:autoRedefine/>
    <w:uiPriority w:val="39"/>
    <w:unhideWhenUsed/>
    <w:rsid w:val="0039054A"/>
    <w:pPr>
      <w:tabs>
        <w:tab w:val="right" w:leader="dot" w:pos="9634"/>
      </w:tabs>
      <w:spacing w:after="0" w:line="360" w:lineRule="auto"/>
    </w:pPr>
    <w:rPr>
      <w:b/>
      <w:color w:val="821A1A" w:themeColor="text2"/>
    </w:rPr>
  </w:style>
  <w:style w:type="paragraph" w:styleId="TOC2">
    <w:name w:val="toc 2"/>
    <w:basedOn w:val="Normal"/>
    <w:next w:val="Normal"/>
    <w:autoRedefine/>
    <w:uiPriority w:val="39"/>
    <w:unhideWhenUsed/>
    <w:rsid w:val="0039054A"/>
    <w:pPr>
      <w:tabs>
        <w:tab w:val="right" w:leader="dot" w:pos="9634"/>
      </w:tabs>
      <w:spacing w:after="0" w:line="360" w:lineRule="auto"/>
      <w:ind w:left="360"/>
    </w:pPr>
  </w:style>
  <w:style w:type="paragraph" w:styleId="TOC3">
    <w:name w:val="toc 3"/>
    <w:basedOn w:val="Normal"/>
    <w:next w:val="Normal"/>
    <w:autoRedefine/>
    <w:uiPriority w:val="39"/>
    <w:unhideWhenUsed/>
    <w:rsid w:val="0039054A"/>
    <w:pPr>
      <w:tabs>
        <w:tab w:val="right" w:leader="dot" w:pos="9634"/>
      </w:tabs>
      <w:spacing w:after="0" w:line="360" w:lineRule="auto"/>
      <w:ind w:left="720"/>
    </w:pPr>
  </w:style>
  <w:style w:type="paragraph" w:styleId="TOC4">
    <w:name w:val="toc 4"/>
    <w:basedOn w:val="Normal"/>
    <w:next w:val="Normal"/>
    <w:autoRedefine/>
    <w:uiPriority w:val="39"/>
    <w:semiHidden/>
    <w:unhideWhenUsed/>
    <w:rsid w:val="0039054A"/>
    <w:pPr>
      <w:tabs>
        <w:tab w:val="right" w:leader="dot" w:pos="9360"/>
      </w:tabs>
      <w:spacing w:after="0" w:line="360" w:lineRule="auto"/>
    </w:pPr>
  </w:style>
  <w:style w:type="paragraph" w:styleId="TOC5">
    <w:name w:val="toc 5"/>
    <w:basedOn w:val="Normal"/>
    <w:next w:val="Normal"/>
    <w:autoRedefine/>
    <w:uiPriority w:val="39"/>
    <w:semiHidden/>
    <w:unhideWhenUsed/>
    <w:rsid w:val="004A1E24"/>
    <w:pPr>
      <w:spacing w:before="120" w:after="120" w:line="240" w:lineRule="atLeast"/>
      <w:ind w:left="806"/>
    </w:pPr>
  </w:style>
  <w:style w:type="paragraph" w:styleId="TOCHeading">
    <w:name w:val="TOC Heading"/>
    <w:basedOn w:val="Heading1"/>
    <w:next w:val="Normal"/>
    <w:uiPriority w:val="39"/>
    <w:unhideWhenUsed/>
    <w:qFormat/>
    <w:rsid w:val="00D20CDA"/>
    <w:pPr>
      <w:keepLines/>
      <w:pageBreakBefore w:val="0"/>
      <w:numPr>
        <w:numId w:val="0"/>
      </w:numPr>
      <w:outlineLvl w:val="9"/>
    </w:pPr>
  </w:style>
  <w:style w:type="paragraph" w:customStyle="1" w:styleId="ListRoman">
    <w:name w:val="List Roman"/>
    <w:basedOn w:val="BodyText"/>
    <w:qFormat/>
    <w:rsid w:val="007C1DC3"/>
    <w:pPr>
      <w:numPr>
        <w:numId w:val="4"/>
      </w:numPr>
      <w:spacing w:after="120"/>
    </w:pPr>
  </w:style>
  <w:style w:type="paragraph" w:customStyle="1" w:styleId="ListRoman2">
    <w:name w:val="List Roman 2"/>
    <w:basedOn w:val="ListRoman"/>
    <w:qFormat/>
    <w:rsid w:val="00D80995"/>
    <w:pPr>
      <w:numPr>
        <w:ilvl w:val="1"/>
      </w:numPr>
      <w:tabs>
        <w:tab w:val="left" w:pos="792"/>
      </w:tabs>
    </w:pPr>
  </w:style>
  <w:style w:type="paragraph" w:customStyle="1" w:styleId="ListRoman3">
    <w:name w:val="List Roman 3"/>
    <w:basedOn w:val="ListRoman2"/>
    <w:qFormat/>
    <w:rsid w:val="00D80995"/>
    <w:pPr>
      <w:numPr>
        <w:ilvl w:val="2"/>
      </w:numPr>
      <w:tabs>
        <w:tab w:val="clear" w:pos="792"/>
        <w:tab w:val="left" w:pos="1195"/>
      </w:tabs>
    </w:pPr>
  </w:style>
  <w:style w:type="paragraph" w:customStyle="1" w:styleId="ListRoman4">
    <w:name w:val="List Roman 4"/>
    <w:basedOn w:val="ListRoman3"/>
    <w:qFormat/>
    <w:rsid w:val="00D80995"/>
    <w:pPr>
      <w:numPr>
        <w:ilvl w:val="3"/>
      </w:numPr>
      <w:tabs>
        <w:tab w:val="clear" w:pos="1195"/>
        <w:tab w:val="left" w:pos="1584"/>
      </w:tabs>
    </w:pPr>
  </w:style>
  <w:style w:type="paragraph" w:customStyle="1" w:styleId="ListRoman5">
    <w:name w:val="List Roman 5"/>
    <w:basedOn w:val="ListRoman4"/>
    <w:rsid w:val="00D80995"/>
    <w:pPr>
      <w:numPr>
        <w:ilvl w:val="4"/>
      </w:numPr>
      <w:tabs>
        <w:tab w:val="clear" w:pos="1584"/>
        <w:tab w:val="left" w:pos="1987"/>
      </w:tabs>
    </w:pPr>
  </w:style>
  <w:style w:type="table" w:styleId="TableGrid">
    <w:name w:val="Table Grid"/>
    <w:basedOn w:val="TableNormal"/>
    <w:uiPriority w:val="39"/>
    <w:rsid w:val="000D5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511A"/>
    <w:rPr>
      <w:sz w:val="16"/>
      <w:szCs w:val="16"/>
    </w:rPr>
  </w:style>
  <w:style w:type="paragraph" w:styleId="CommentSubject">
    <w:name w:val="annotation subject"/>
    <w:basedOn w:val="CommentText"/>
    <w:next w:val="CommentText"/>
    <w:link w:val="CommentSubjectChar"/>
    <w:uiPriority w:val="99"/>
    <w:semiHidden/>
    <w:unhideWhenUsed/>
    <w:rsid w:val="000D511A"/>
    <w:rPr>
      <w:b/>
      <w:bCs/>
    </w:rPr>
  </w:style>
  <w:style w:type="character" w:customStyle="1" w:styleId="CommentSubjectChar">
    <w:name w:val="Comment Subject Char"/>
    <w:basedOn w:val="CommentTextChar"/>
    <w:link w:val="CommentSubject"/>
    <w:uiPriority w:val="99"/>
    <w:semiHidden/>
    <w:rsid w:val="000D511A"/>
    <w:rPr>
      <w:b/>
      <w:bCs/>
      <w:sz w:val="20"/>
      <w:szCs w:val="20"/>
    </w:rPr>
  </w:style>
  <w:style w:type="paragraph" w:styleId="BalloonText">
    <w:name w:val="Balloon Text"/>
    <w:basedOn w:val="Normal"/>
    <w:link w:val="BalloonTextChar"/>
    <w:uiPriority w:val="99"/>
    <w:semiHidden/>
    <w:unhideWhenUsed/>
    <w:rsid w:val="000D51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11A"/>
    <w:rPr>
      <w:rFonts w:ascii="Segoe UI" w:hAnsi="Segoe UI" w:cs="Segoe UI"/>
      <w:sz w:val="18"/>
      <w:szCs w:val="18"/>
    </w:rPr>
  </w:style>
  <w:style w:type="character" w:styleId="PlaceholderText">
    <w:name w:val="Placeholder Text"/>
    <w:basedOn w:val="DefaultParagraphFont"/>
    <w:uiPriority w:val="99"/>
    <w:semiHidden/>
    <w:rsid w:val="004137BF"/>
    <w:rPr>
      <w:color w:val="808080"/>
    </w:rPr>
  </w:style>
  <w:style w:type="table" w:customStyle="1" w:styleId="PwCTableText">
    <w:name w:val="PwC Table Text"/>
    <w:basedOn w:val="TableNormal"/>
    <w:uiPriority w:val="99"/>
    <w:rsid w:val="00F0063B"/>
    <w:pPr>
      <w:spacing w:before="100" w:beforeAutospacing="1" w:after="100" w:afterAutospacing="1" w:line="240" w:lineRule="auto"/>
    </w:pPr>
    <w:rPr>
      <w:rFonts w:ascii="Georgia" w:hAnsi="Georgia"/>
      <w:sz w:val="18"/>
    </w:rPr>
    <w:tblPr>
      <w:tblBorders>
        <w:insideH w:val="dotted" w:sz="4" w:space="0" w:color="821A1A" w:themeColor="accent1"/>
      </w:tblBorders>
      <w:tblCellMar>
        <w:top w:w="72" w:type="dxa"/>
        <w:left w:w="115" w:type="dxa"/>
        <w:bottom w:w="72" w:type="dxa"/>
        <w:right w:w="115" w:type="dxa"/>
      </w:tblCellMar>
    </w:tblPr>
    <w:tcPr>
      <w:vAlign w:val="center"/>
    </w:tcPr>
    <w:tblStylePr w:type="firstRow">
      <w:pPr>
        <w:jc w:val="left"/>
      </w:pPr>
      <w:rPr>
        <w:rFonts w:asciiTheme="majorHAnsi" w:hAnsiTheme="majorHAnsi"/>
        <w:b/>
        <w:color w:val="821A1A" w:themeColor="text2"/>
        <w:sz w:val="18"/>
      </w:rPr>
      <w:tblPr/>
      <w:tcPr>
        <w:tcBorders>
          <w:top w:val="single" w:sz="6" w:space="0" w:color="821A1A" w:themeColor="accent1"/>
          <w:left w:val="nil"/>
          <w:bottom w:val="single" w:sz="6" w:space="0" w:color="821A1A" w:themeColor="accent1"/>
          <w:right w:val="nil"/>
          <w:insideH w:val="nil"/>
          <w:insideV w:val="nil"/>
          <w:tl2br w:val="nil"/>
          <w:tr2bl w:val="nil"/>
        </w:tcBorders>
      </w:tcPr>
    </w:tblStylePr>
  </w:style>
  <w:style w:type="table" w:customStyle="1" w:styleId="PwCTableofFigures">
    <w:name w:val="PwC Table of Figures"/>
    <w:basedOn w:val="PwCTableText"/>
    <w:uiPriority w:val="99"/>
    <w:rsid w:val="00F0063B"/>
    <w:pPr>
      <w:spacing w:after="0"/>
      <w:jc w:val="right"/>
    </w:pPr>
    <w:rPr>
      <w:rFonts w:ascii="Arial" w:hAnsi="Arial"/>
    </w:rPr>
    <w:tblPr/>
    <w:tblStylePr w:type="firstRow">
      <w:pPr>
        <w:jc w:val="right"/>
      </w:pPr>
      <w:rPr>
        <w:rFonts w:asciiTheme="majorHAnsi" w:hAnsiTheme="majorHAnsi"/>
        <w:b/>
        <w:color w:val="821A1A" w:themeColor="text2"/>
        <w:sz w:val="18"/>
      </w:rPr>
      <w:tblPr/>
      <w:tcPr>
        <w:tcBorders>
          <w:top w:val="single" w:sz="6" w:space="0" w:color="821A1A" w:themeColor="accent1"/>
          <w:left w:val="nil"/>
          <w:bottom w:val="single" w:sz="6" w:space="0" w:color="821A1A" w:themeColor="accent1"/>
          <w:right w:val="nil"/>
          <w:insideH w:val="nil"/>
          <w:insideV w:val="nil"/>
          <w:tl2br w:val="nil"/>
          <w:tr2bl w:val="nil"/>
        </w:tcBorders>
      </w:tcPr>
    </w:tblStylePr>
  </w:style>
  <w:style w:type="table" w:customStyle="1" w:styleId="Style1">
    <w:name w:val="Style1"/>
    <w:basedOn w:val="PwCTableText"/>
    <w:uiPriority w:val="99"/>
    <w:rsid w:val="00F0063B"/>
    <w:pPr>
      <w:spacing w:after="0"/>
    </w:pPr>
    <w:tblPr>
      <w:tblBorders>
        <w:top w:val="single" w:sz="4" w:space="0" w:color="821A1A" w:themeColor="accent1"/>
        <w:left w:val="single" w:sz="4" w:space="0" w:color="821A1A" w:themeColor="accent1"/>
        <w:bottom w:val="single" w:sz="4" w:space="0" w:color="821A1A" w:themeColor="accent1"/>
        <w:right w:val="single" w:sz="4" w:space="0" w:color="821A1A" w:themeColor="accent1"/>
        <w:insideH w:val="single" w:sz="4" w:space="0" w:color="821A1A" w:themeColor="accent1"/>
        <w:insideV w:val="single" w:sz="4" w:space="0" w:color="821A1A" w:themeColor="accent1"/>
      </w:tblBorders>
    </w:tblPr>
    <w:tblStylePr w:type="firstRow">
      <w:pPr>
        <w:jc w:val="left"/>
      </w:pPr>
      <w:rPr>
        <w:rFonts w:asciiTheme="majorHAnsi" w:hAnsiTheme="majorHAnsi"/>
        <w:b/>
        <w:color w:val="821A1A" w:themeColor="text2"/>
        <w:sz w:val="18"/>
      </w:rPr>
      <w:tblPr/>
      <w:tcPr>
        <w:tcBorders>
          <w:top w:val="single" w:sz="4" w:space="0" w:color="821A1A" w:themeColor="accent1"/>
          <w:left w:val="single" w:sz="4" w:space="0" w:color="821A1A" w:themeColor="accent1"/>
          <w:bottom w:val="single" w:sz="4" w:space="0" w:color="821A1A" w:themeColor="accent1"/>
          <w:right w:val="single" w:sz="4" w:space="0" w:color="821A1A" w:themeColor="accent1"/>
          <w:insideH w:val="nil"/>
          <w:insideV w:val="single" w:sz="4" w:space="0" w:color="821A1A" w:themeColor="accent1"/>
          <w:tl2br w:val="nil"/>
          <w:tr2bl w:val="nil"/>
        </w:tcBorders>
      </w:tcPr>
    </w:tblStylePr>
  </w:style>
  <w:style w:type="table" w:customStyle="1" w:styleId="SmartTextListTable">
    <w:name w:val="Smart Text List Table"/>
    <w:basedOn w:val="PwCTableText"/>
    <w:uiPriority w:val="99"/>
    <w:rsid w:val="00F0063B"/>
    <w:pPr>
      <w:spacing w:after="0"/>
    </w:pPr>
    <w:tblPr/>
    <w:tblStylePr w:type="firstRow">
      <w:pPr>
        <w:jc w:val="left"/>
      </w:pPr>
      <w:rPr>
        <w:rFonts w:asciiTheme="majorHAnsi" w:hAnsiTheme="majorHAnsi"/>
        <w:b/>
        <w:color w:val="821A1A" w:themeColor="text2"/>
        <w:sz w:val="18"/>
      </w:rPr>
      <w:tblPr/>
      <w:tcPr>
        <w:tcBorders>
          <w:top w:val="nil"/>
          <w:left w:val="nil"/>
          <w:bottom w:val="single" w:sz="6" w:space="0" w:color="821A1A" w:themeColor="accent1"/>
          <w:right w:val="nil"/>
          <w:insideH w:val="nil"/>
          <w:insideV w:val="nil"/>
          <w:tl2br w:val="nil"/>
          <w:tr2bl w:val="nil"/>
        </w:tcBorders>
      </w:tcPr>
    </w:tblStylePr>
  </w:style>
  <w:style w:type="table" w:customStyle="1" w:styleId="SmartBasicTable">
    <w:name w:val="Smart Basic Table"/>
    <w:basedOn w:val="PwCTableText"/>
    <w:uiPriority w:val="99"/>
    <w:rsid w:val="00F0063B"/>
    <w:pPr>
      <w:spacing w:after="0"/>
    </w:pPr>
    <w:tblPr/>
    <w:tblStylePr w:type="firstRow">
      <w:pPr>
        <w:jc w:val="left"/>
      </w:pPr>
      <w:rPr>
        <w:rFonts w:asciiTheme="majorHAnsi" w:hAnsiTheme="majorHAnsi"/>
        <w:b/>
        <w:color w:val="821A1A" w:themeColor="text2"/>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BodyTextIndent">
    <w:name w:val="Body Text Indent"/>
    <w:basedOn w:val="Normal"/>
    <w:link w:val="BodyTextIndentChar"/>
    <w:uiPriority w:val="99"/>
    <w:semiHidden/>
    <w:unhideWhenUsed/>
    <w:rsid w:val="00203B51"/>
    <w:pPr>
      <w:spacing w:after="120"/>
      <w:ind w:left="360"/>
    </w:pPr>
  </w:style>
  <w:style w:type="character" w:customStyle="1" w:styleId="BodyTextIndentChar">
    <w:name w:val="Body Text Indent Char"/>
    <w:basedOn w:val="DefaultParagraphFont"/>
    <w:link w:val="BodyTextIndent"/>
    <w:uiPriority w:val="99"/>
    <w:semiHidden/>
    <w:rsid w:val="00203B51"/>
    <w:rPr>
      <w:sz w:val="20"/>
    </w:rPr>
  </w:style>
  <w:style w:type="character" w:styleId="BookTitle">
    <w:name w:val="Book Title"/>
    <w:basedOn w:val="DefaultParagraphFont"/>
    <w:uiPriority w:val="33"/>
    <w:rsid w:val="00203B51"/>
    <w:rPr>
      <w:b/>
      <w:bCs/>
      <w:i/>
      <w:iCs/>
      <w:spacing w:val="5"/>
    </w:rPr>
  </w:style>
  <w:style w:type="paragraph" w:styleId="NoSpacing">
    <w:name w:val="No Spacing"/>
    <w:uiPriority w:val="1"/>
    <w:rsid w:val="008F5AF9"/>
    <w:pPr>
      <w:spacing w:after="0" w:line="240" w:lineRule="auto"/>
    </w:pPr>
  </w:style>
  <w:style w:type="character" w:styleId="Strong">
    <w:name w:val="Strong"/>
    <w:basedOn w:val="DefaultParagraphFont"/>
    <w:uiPriority w:val="22"/>
    <w:rsid w:val="008F5AF9"/>
    <w:rPr>
      <w:b/>
      <w:bCs/>
    </w:rPr>
  </w:style>
  <w:style w:type="character" w:styleId="SubtleReference">
    <w:name w:val="Subtle Reference"/>
    <w:basedOn w:val="DefaultParagraphFont"/>
    <w:uiPriority w:val="31"/>
    <w:rsid w:val="008F5AF9"/>
    <w:rPr>
      <w:smallCaps/>
      <w:color w:val="5A5A5A" w:themeColor="text1" w:themeTint="A5"/>
    </w:rPr>
  </w:style>
  <w:style w:type="paragraph" w:customStyle="1" w:styleId="AppendixHeading1">
    <w:name w:val="Appendix Heading 1"/>
    <w:basedOn w:val="Heading1"/>
    <w:next w:val="AppendixHeading2"/>
    <w:rsid w:val="00725A72"/>
    <w:pPr>
      <w:numPr>
        <w:numId w:val="6"/>
      </w:numPr>
      <w:ind w:left="0" w:firstLine="0"/>
    </w:pPr>
  </w:style>
  <w:style w:type="paragraph" w:customStyle="1" w:styleId="AppendixHeading2">
    <w:name w:val="Appendix Heading 2"/>
    <w:basedOn w:val="AppendixHeading1"/>
    <w:next w:val="BodyText"/>
    <w:rsid w:val="00725A72"/>
    <w:pPr>
      <w:pageBreakBefore w:val="0"/>
      <w:numPr>
        <w:ilvl w:val="1"/>
      </w:numPr>
      <w:spacing w:after="160"/>
      <w:ind w:left="0" w:firstLine="0"/>
      <w:outlineLvl w:val="1"/>
    </w:pPr>
    <w:rPr>
      <w:color w:val="821A1A" w:themeColor="text2"/>
      <w:sz w:val="32"/>
    </w:rPr>
  </w:style>
  <w:style w:type="paragraph" w:customStyle="1" w:styleId="AppendixHeading3">
    <w:name w:val="Appendix Heading 3"/>
    <w:basedOn w:val="AppendixHeading2"/>
    <w:next w:val="BodyText"/>
    <w:rsid w:val="00725A72"/>
    <w:pPr>
      <w:numPr>
        <w:ilvl w:val="2"/>
      </w:numPr>
      <w:ind w:left="0" w:firstLine="0"/>
      <w:outlineLvl w:val="2"/>
    </w:pPr>
    <w:rPr>
      <w:sz w:val="28"/>
    </w:rPr>
  </w:style>
  <w:style w:type="paragraph" w:customStyle="1" w:styleId="AppendixHeading4">
    <w:name w:val="Appendix Heading 4"/>
    <w:basedOn w:val="AppendixHeading3"/>
    <w:next w:val="BodyText"/>
    <w:rsid w:val="00725A72"/>
    <w:pPr>
      <w:numPr>
        <w:ilvl w:val="3"/>
      </w:numPr>
      <w:ind w:left="0" w:firstLine="0"/>
      <w:outlineLvl w:val="3"/>
    </w:pPr>
    <w:rPr>
      <w:b w:val="0"/>
    </w:rPr>
  </w:style>
  <w:style w:type="paragraph" w:customStyle="1" w:styleId="AppendixHeading5">
    <w:name w:val="Appendix Heading 5"/>
    <w:basedOn w:val="AppendixHeading4"/>
    <w:next w:val="BodyText"/>
    <w:rsid w:val="00725A72"/>
    <w:pPr>
      <w:numPr>
        <w:ilvl w:val="4"/>
      </w:numPr>
      <w:ind w:left="0" w:firstLine="0"/>
      <w:outlineLvl w:val="4"/>
    </w:pPr>
    <w:rPr>
      <w:sz w:val="24"/>
    </w:rPr>
  </w:style>
  <w:style w:type="character" w:customStyle="1" w:styleId="AddressChar">
    <w:name w:val="Address Char"/>
    <w:basedOn w:val="DefaultParagraphFont"/>
    <w:link w:val="Address"/>
    <w:locked/>
    <w:rsid w:val="001106C8"/>
    <w:rPr>
      <w:i/>
      <w:sz w:val="18"/>
    </w:rPr>
  </w:style>
  <w:style w:type="character" w:customStyle="1" w:styleId="DisclaimerChar">
    <w:name w:val="Disclaimer Char"/>
    <w:basedOn w:val="DefaultParagraphFont"/>
    <w:link w:val="Disclaimer"/>
    <w:locked/>
    <w:rsid w:val="001106C8"/>
    <w:rPr>
      <w:sz w:val="16"/>
    </w:rPr>
  </w:style>
  <w:style w:type="paragraph" w:styleId="TOAHeading">
    <w:name w:val="toa heading"/>
    <w:basedOn w:val="Normal"/>
    <w:next w:val="Normal"/>
    <w:uiPriority w:val="99"/>
    <w:unhideWhenUsed/>
    <w:rsid w:val="006D6992"/>
    <w:pPr>
      <w:spacing w:before="120"/>
    </w:pPr>
    <w:rPr>
      <w:rFonts w:asciiTheme="majorHAnsi" w:eastAsiaTheme="majorEastAsia" w:hAnsiTheme="majorHAnsi" w:cstheme="majorBidi"/>
      <w:b/>
      <w:bCs/>
      <w:sz w:val="24"/>
      <w:szCs w:val="24"/>
    </w:rPr>
  </w:style>
  <w:style w:type="paragraph" w:customStyle="1" w:styleId="BlockText2">
    <w:name w:val="Block Text 2"/>
    <w:basedOn w:val="BlockText"/>
    <w:rsid w:val="00A91EB3"/>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D9D9D9" w:themeFill="background2" w:themeFillShade="D9"/>
    </w:pPr>
  </w:style>
  <w:style w:type="paragraph" w:customStyle="1" w:styleId="Heading1wSubheading">
    <w:name w:val="Heading 1 w/Subheading"/>
    <w:basedOn w:val="Heading1"/>
    <w:next w:val="Subheading"/>
    <w:rsid w:val="004F3932"/>
    <w:pPr>
      <w:spacing w:after="0"/>
    </w:pPr>
  </w:style>
  <w:style w:type="paragraph" w:customStyle="1" w:styleId="Subheading">
    <w:name w:val="Subheading"/>
    <w:basedOn w:val="Heading1wSubheading"/>
    <w:rsid w:val="00E41E4D"/>
    <w:pPr>
      <w:pageBreakBefore w:val="0"/>
      <w:numPr>
        <w:numId w:val="0"/>
      </w:numPr>
      <w:spacing w:after="480"/>
    </w:pPr>
    <w:rPr>
      <w:b w:val="0"/>
      <w:i w:val="0"/>
      <w:sz w:val="44"/>
    </w:rPr>
  </w:style>
  <w:style w:type="paragraph" w:customStyle="1" w:styleId="Non-numberedHeading1wSubheading">
    <w:name w:val="Non-numbered Heading 1 w/Subheading"/>
    <w:basedOn w:val="Non-numberedHeading1"/>
    <w:next w:val="Subheading"/>
    <w:rsid w:val="006F3559"/>
    <w:pPr>
      <w:spacing w:after="0"/>
    </w:pPr>
  </w:style>
  <w:style w:type="paragraph" w:customStyle="1" w:styleId="AppendixHeading1wSubheading">
    <w:name w:val="Appendix Heading 1 w/Subheading"/>
    <w:basedOn w:val="AppendixHeading1"/>
    <w:next w:val="Subheading"/>
    <w:rsid w:val="006364BB"/>
    <w:pPr>
      <w:spacing w:after="0"/>
    </w:pPr>
  </w:style>
  <w:style w:type="paragraph" w:customStyle="1" w:styleId="ExhibitHeading1wSubheading">
    <w:name w:val="Exhibit Heading 1 w/Subheading"/>
    <w:basedOn w:val="ExhibitHeading1"/>
    <w:next w:val="Subheading"/>
    <w:rsid w:val="00A82344"/>
    <w:pPr>
      <w:spacing w:after="0"/>
    </w:pPr>
  </w:style>
  <w:style w:type="paragraph" w:customStyle="1" w:styleId="Attorneyworkproduct">
    <w:name w:val="Attorney work product"/>
    <w:rsid w:val="009E6C68"/>
    <w:pPr>
      <w:spacing w:after="200" w:line="240" w:lineRule="auto"/>
    </w:pPr>
    <w:rPr>
      <w:szCs w:val="22"/>
    </w:rPr>
  </w:style>
  <w:style w:type="character" w:customStyle="1" w:styleId="GuidanceChar">
    <w:name w:val="Guidance Char"/>
    <w:basedOn w:val="DefaultParagraphFont"/>
    <w:link w:val="Guidance"/>
    <w:uiPriority w:val="99"/>
    <w:rsid w:val="0090466E"/>
    <w:rPr>
      <w:rFonts w:ascii="Arial" w:hAnsi="Arial"/>
      <w:color w:val="00A5FF"/>
      <w:sz w:val="16"/>
    </w:rPr>
  </w:style>
  <w:style w:type="table" w:customStyle="1" w:styleId="GridTable4-Accent11">
    <w:name w:val="Grid Table 4 - Accent 11"/>
    <w:basedOn w:val="TableNormal"/>
    <w:uiPriority w:val="49"/>
    <w:rsid w:val="00F105FA"/>
    <w:pPr>
      <w:spacing w:after="0" w:line="240" w:lineRule="auto"/>
    </w:pPr>
    <w:tblPr>
      <w:tblStyleRowBandSize w:val="1"/>
      <w:tblStyleColBandSize w:val="1"/>
      <w:tblBorders>
        <w:top w:val="single" w:sz="4" w:space="0" w:color="DB4D4D" w:themeColor="accent1" w:themeTint="99"/>
        <w:left w:val="single" w:sz="4" w:space="0" w:color="DB4D4D" w:themeColor="accent1" w:themeTint="99"/>
        <w:bottom w:val="single" w:sz="4" w:space="0" w:color="DB4D4D" w:themeColor="accent1" w:themeTint="99"/>
        <w:right w:val="single" w:sz="4" w:space="0" w:color="DB4D4D" w:themeColor="accent1" w:themeTint="99"/>
        <w:insideH w:val="single" w:sz="4" w:space="0" w:color="DB4D4D" w:themeColor="accent1" w:themeTint="99"/>
        <w:insideV w:val="single" w:sz="4" w:space="0" w:color="DB4D4D" w:themeColor="accent1" w:themeTint="99"/>
      </w:tblBorders>
    </w:tblPr>
    <w:tblStylePr w:type="firstRow">
      <w:rPr>
        <w:b/>
        <w:bCs/>
        <w:color w:val="FFFFFF" w:themeColor="background1"/>
      </w:rPr>
      <w:tblPr/>
      <w:tcPr>
        <w:tcBorders>
          <w:top w:val="single" w:sz="4" w:space="0" w:color="821A1A" w:themeColor="accent1"/>
          <w:left w:val="single" w:sz="4" w:space="0" w:color="821A1A" w:themeColor="accent1"/>
          <w:bottom w:val="single" w:sz="4" w:space="0" w:color="821A1A" w:themeColor="accent1"/>
          <w:right w:val="single" w:sz="4" w:space="0" w:color="821A1A" w:themeColor="accent1"/>
          <w:insideH w:val="nil"/>
          <w:insideV w:val="nil"/>
        </w:tcBorders>
        <w:shd w:val="clear" w:color="auto" w:fill="821A1A" w:themeFill="accent1"/>
      </w:tcPr>
    </w:tblStylePr>
    <w:tblStylePr w:type="lastRow">
      <w:rPr>
        <w:b/>
        <w:bCs/>
      </w:rPr>
      <w:tblPr/>
      <w:tcPr>
        <w:tcBorders>
          <w:top w:val="double" w:sz="4" w:space="0" w:color="821A1A" w:themeColor="accent1"/>
        </w:tcBorders>
      </w:tcPr>
    </w:tblStylePr>
    <w:tblStylePr w:type="firstCol">
      <w:rPr>
        <w:b/>
        <w:bCs/>
      </w:rPr>
    </w:tblStylePr>
    <w:tblStylePr w:type="lastCol">
      <w:rPr>
        <w:b/>
        <w:bCs/>
      </w:rPr>
    </w:tblStylePr>
    <w:tblStylePr w:type="band1Vert">
      <w:tblPr/>
      <w:tcPr>
        <w:shd w:val="clear" w:color="auto" w:fill="F3C3C3" w:themeFill="accent1" w:themeFillTint="33"/>
      </w:tcPr>
    </w:tblStylePr>
    <w:tblStylePr w:type="band1Horz">
      <w:tblPr/>
      <w:tcPr>
        <w:shd w:val="clear" w:color="auto" w:fill="F3C3C3" w:themeFill="accent1" w:themeFillTint="33"/>
      </w:tcPr>
    </w:tblStylePr>
  </w:style>
  <w:style w:type="paragraph" w:customStyle="1" w:styleId="BodySingle">
    <w:name w:val="Body Single"/>
    <w:basedOn w:val="BodyText"/>
    <w:link w:val="BodySingleChar"/>
    <w:uiPriority w:val="1"/>
    <w:qFormat/>
    <w:rsid w:val="001B284D"/>
    <w:pPr>
      <w:spacing w:after="0" w:line="290" w:lineRule="atLeast"/>
    </w:pPr>
    <w:rPr>
      <w:rFonts w:ascii="Arial" w:eastAsia="Times New Roman" w:hAnsi="Arial" w:cs="Times New Roman"/>
      <w:lang w:val="en-GB"/>
    </w:rPr>
  </w:style>
  <w:style w:type="character" w:customStyle="1" w:styleId="BodySingleChar">
    <w:name w:val="Body Single Char"/>
    <w:basedOn w:val="BodyTextChar"/>
    <w:link w:val="BodySingle"/>
    <w:uiPriority w:val="1"/>
    <w:rsid w:val="001B284D"/>
    <w:rPr>
      <w:rFonts w:ascii="Arial" w:eastAsia="Times New Roman" w:hAnsi="Arial" w:cs="Times New Roman"/>
      <w:sz w:val="20"/>
      <w:lang w:val="en-GB"/>
    </w:rPr>
  </w:style>
  <w:style w:type="table" w:customStyle="1" w:styleId="GridTable4-Accent12">
    <w:name w:val="Grid Table 4 - Accent 12"/>
    <w:basedOn w:val="TableNormal"/>
    <w:uiPriority w:val="49"/>
    <w:rsid w:val="009736F7"/>
    <w:pPr>
      <w:spacing w:after="0" w:line="240" w:lineRule="auto"/>
    </w:pPr>
    <w:tblPr>
      <w:tblStyleRowBandSize w:val="1"/>
      <w:tblStyleColBandSize w:val="1"/>
      <w:tblBorders>
        <w:top w:val="single" w:sz="4" w:space="0" w:color="DB4D4D" w:themeColor="accent1" w:themeTint="99"/>
        <w:left w:val="single" w:sz="4" w:space="0" w:color="DB4D4D" w:themeColor="accent1" w:themeTint="99"/>
        <w:bottom w:val="single" w:sz="4" w:space="0" w:color="DB4D4D" w:themeColor="accent1" w:themeTint="99"/>
        <w:right w:val="single" w:sz="4" w:space="0" w:color="DB4D4D" w:themeColor="accent1" w:themeTint="99"/>
        <w:insideH w:val="single" w:sz="4" w:space="0" w:color="DB4D4D" w:themeColor="accent1" w:themeTint="99"/>
        <w:insideV w:val="single" w:sz="4" w:space="0" w:color="DB4D4D" w:themeColor="accent1" w:themeTint="99"/>
      </w:tblBorders>
    </w:tblPr>
    <w:tblStylePr w:type="firstRow">
      <w:rPr>
        <w:b/>
        <w:bCs/>
        <w:color w:val="FFFFFF" w:themeColor="background1"/>
      </w:rPr>
      <w:tblPr/>
      <w:tcPr>
        <w:tcBorders>
          <w:top w:val="single" w:sz="4" w:space="0" w:color="821A1A" w:themeColor="accent1"/>
          <w:left w:val="single" w:sz="4" w:space="0" w:color="821A1A" w:themeColor="accent1"/>
          <w:bottom w:val="single" w:sz="4" w:space="0" w:color="821A1A" w:themeColor="accent1"/>
          <w:right w:val="single" w:sz="4" w:space="0" w:color="821A1A" w:themeColor="accent1"/>
          <w:insideH w:val="nil"/>
          <w:insideV w:val="nil"/>
        </w:tcBorders>
        <w:shd w:val="clear" w:color="auto" w:fill="821A1A" w:themeFill="accent1"/>
      </w:tcPr>
    </w:tblStylePr>
    <w:tblStylePr w:type="lastRow">
      <w:rPr>
        <w:b/>
        <w:bCs/>
      </w:rPr>
      <w:tblPr/>
      <w:tcPr>
        <w:tcBorders>
          <w:top w:val="double" w:sz="4" w:space="0" w:color="821A1A" w:themeColor="accent1"/>
        </w:tcBorders>
      </w:tcPr>
    </w:tblStylePr>
    <w:tblStylePr w:type="firstCol">
      <w:rPr>
        <w:b/>
        <w:bCs/>
      </w:rPr>
    </w:tblStylePr>
    <w:tblStylePr w:type="lastCol">
      <w:rPr>
        <w:b/>
        <w:bCs/>
      </w:rPr>
    </w:tblStylePr>
    <w:tblStylePr w:type="band1Vert">
      <w:tblPr/>
      <w:tcPr>
        <w:shd w:val="clear" w:color="auto" w:fill="F3C3C3" w:themeFill="accent1" w:themeFillTint="33"/>
      </w:tcPr>
    </w:tblStylePr>
    <w:tblStylePr w:type="band1Horz">
      <w:tblPr/>
      <w:tcPr>
        <w:shd w:val="clear" w:color="auto" w:fill="F3C3C3" w:themeFill="accent1" w:themeFillTint="33"/>
      </w:tcPr>
    </w:tblStylePr>
  </w:style>
  <w:style w:type="paragraph" w:customStyle="1" w:styleId="Default">
    <w:name w:val="Default"/>
    <w:rsid w:val="009B65C8"/>
    <w:pPr>
      <w:autoSpaceDE w:val="0"/>
      <w:autoSpaceDN w:val="0"/>
      <w:adjustRightInd w:val="0"/>
      <w:spacing w:after="0" w:line="240" w:lineRule="auto"/>
    </w:pPr>
    <w:rPr>
      <w:rFonts w:ascii="Calibri" w:hAnsi="Calibri" w:cs="Calibri"/>
      <w:color w:val="000000"/>
      <w:sz w:val="24"/>
      <w:szCs w:val="24"/>
      <w:lang w:val="en-AU"/>
    </w:rPr>
  </w:style>
  <w:style w:type="table" w:customStyle="1" w:styleId="GridTable4-Accent21">
    <w:name w:val="Grid Table 4 - Accent 21"/>
    <w:basedOn w:val="TableNormal"/>
    <w:uiPriority w:val="49"/>
    <w:rsid w:val="009B65C8"/>
    <w:pPr>
      <w:spacing w:after="0" w:line="240" w:lineRule="auto"/>
    </w:pPr>
    <w:tblPr>
      <w:tblStyleRowBandSize w:val="1"/>
      <w:tblStyleColBandSize w:val="1"/>
      <w:tblBorders>
        <w:top w:val="single" w:sz="4" w:space="0" w:color="EC7C70" w:themeColor="accent2" w:themeTint="99"/>
        <w:left w:val="single" w:sz="4" w:space="0" w:color="EC7C70" w:themeColor="accent2" w:themeTint="99"/>
        <w:bottom w:val="single" w:sz="4" w:space="0" w:color="EC7C70" w:themeColor="accent2" w:themeTint="99"/>
        <w:right w:val="single" w:sz="4" w:space="0" w:color="EC7C70" w:themeColor="accent2" w:themeTint="99"/>
        <w:insideH w:val="single" w:sz="4" w:space="0" w:color="EC7C70" w:themeColor="accent2" w:themeTint="99"/>
        <w:insideV w:val="single" w:sz="4" w:space="0" w:color="EC7C70" w:themeColor="accent2" w:themeTint="99"/>
      </w:tblBorders>
    </w:tblPr>
    <w:tblStylePr w:type="firstRow">
      <w:rPr>
        <w:b/>
        <w:bCs/>
        <w:color w:val="FFFFFF" w:themeColor="background1"/>
      </w:rPr>
      <w:tblPr/>
      <w:tcPr>
        <w:tcBorders>
          <w:top w:val="single" w:sz="4" w:space="0" w:color="D62E1C" w:themeColor="accent2"/>
          <w:left w:val="single" w:sz="4" w:space="0" w:color="D62E1C" w:themeColor="accent2"/>
          <w:bottom w:val="single" w:sz="4" w:space="0" w:color="D62E1C" w:themeColor="accent2"/>
          <w:right w:val="single" w:sz="4" w:space="0" w:color="D62E1C" w:themeColor="accent2"/>
          <w:insideH w:val="nil"/>
          <w:insideV w:val="nil"/>
        </w:tcBorders>
        <w:shd w:val="clear" w:color="auto" w:fill="D62E1C" w:themeFill="accent2"/>
      </w:tcPr>
    </w:tblStylePr>
    <w:tblStylePr w:type="lastRow">
      <w:rPr>
        <w:b/>
        <w:bCs/>
      </w:rPr>
      <w:tblPr/>
      <w:tcPr>
        <w:tcBorders>
          <w:top w:val="double" w:sz="4" w:space="0" w:color="D62E1C" w:themeColor="accent2"/>
        </w:tcBorders>
      </w:tcPr>
    </w:tblStylePr>
    <w:tblStylePr w:type="firstCol">
      <w:rPr>
        <w:b/>
        <w:bCs/>
      </w:rPr>
    </w:tblStylePr>
    <w:tblStylePr w:type="lastCol">
      <w:rPr>
        <w:b/>
        <w:bCs/>
      </w:rPr>
    </w:tblStylePr>
    <w:tblStylePr w:type="band1Vert">
      <w:tblPr/>
      <w:tcPr>
        <w:shd w:val="clear" w:color="auto" w:fill="F8D3CF" w:themeFill="accent2" w:themeFillTint="33"/>
      </w:tcPr>
    </w:tblStylePr>
    <w:tblStylePr w:type="band1Horz">
      <w:tblPr/>
      <w:tcPr>
        <w:shd w:val="clear" w:color="auto" w:fill="F8D3CF" w:themeFill="accent2" w:themeFillTint="33"/>
      </w:tcPr>
    </w:tblStylePr>
  </w:style>
  <w:style w:type="character" w:customStyle="1" w:styleId="PwCAddressChar">
    <w:name w:val="PwC Address Char"/>
    <w:basedOn w:val="DefaultParagraphFont"/>
    <w:link w:val="PwCAddress"/>
    <w:rsid w:val="00772CAE"/>
    <w:rPr>
      <w:i/>
      <w:sz w:val="18"/>
    </w:rPr>
  </w:style>
  <w:style w:type="table" w:customStyle="1" w:styleId="GridTable4-Accent51">
    <w:name w:val="Grid Table 4 - Accent 51"/>
    <w:basedOn w:val="TableNormal"/>
    <w:uiPriority w:val="49"/>
    <w:rsid w:val="00F3188D"/>
    <w:pPr>
      <w:spacing w:after="0" w:line="240" w:lineRule="auto"/>
    </w:pPr>
    <w:rPr>
      <w:rFonts w:ascii="Georgia" w:hAnsi="Georgia"/>
      <w:szCs w:val="22"/>
    </w:rPr>
    <w:tblPr>
      <w:tblStyleRowBandSize w:val="1"/>
      <w:tblStyleColBandSize w:val="1"/>
      <w:tblBorders>
        <w:top w:val="single" w:sz="4" w:space="0" w:color="CCC8BC" w:themeColor="accent5" w:themeTint="99"/>
        <w:left w:val="single" w:sz="4" w:space="0" w:color="CCC8BC" w:themeColor="accent5" w:themeTint="99"/>
        <w:bottom w:val="single" w:sz="4" w:space="0" w:color="CCC8BC" w:themeColor="accent5" w:themeTint="99"/>
        <w:right w:val="single" w:sz="4" w:space="0" w:color="CCC8BC" w:themeColor="accent5" w:themeTint="99"/>
        <w:insideH w:val="single" w:sz="4" w:space="0" w:color="CCC8BC" w:themeColor="accent5" w:themeTint="99"/>
        <w:insideV w:val="single" w:sz="4" w:space="0" w:color="CCC8BC" w:themeColor="accent5" w:themeTint="99"/>
      </w:tblBorders>
    </w:tblPr>
    <w:tblStylePr w:type="firstRow">
      <w:rPr>
        <w:b/>
        <w:bCs/>
        <w:color w:val="FFFFFF" w:themeColor="background1"/>
      </w:rPr>
      <w:tblPr/>
      <w:tcPr>
        <w:tcBorders>
          <w:top w:val="single" w:sz="4" w:space="0" w:color="ABA591" w:themeColor="accent5"/>
          <w:left w:val="single" w:sz="4" w:space="0" w:color="ABA591" w:themeColor="accent5"/>
          <w:bottom w:val="single" w:sz="4" w:space="0" w:color="ABA591" w:themeColor="accent5"/>
          <w:right w:val="single" w:sz="4" w:space="0" w:color="ABA591" w:themeColor="accent5"/>
          <w:insideH w:val="nil"/>
          <w:insideV w:val="nil"/>
        </w:tcBorders>
        <w:shd w:val="clear" w:color="auto" w:fill="ABA591" w:themeFill="accent5"/>
      </w:tcPr>
    </w:tblStylePr>
    <w:tblStylePr w:type="lastRow">
      <w:rPr>
        <w:b/>
        <w:bCs/>
      </w:rPr>
      <w:tblPr/>
      <w:tcPr>
        <w:tcBorders>
          <w:top w:val="double" w:sz="4" w:space="0" w:color="ABA591" w:themeColor="accent5"/>
        </w:tcBorders>
      </w:tcPr>
    </w:tblStylePr>
    <w:tblStylePr w:type="firstCol">
      <w:rPr>
        <w:b/>
        <w:bCs/>
      </w:rPr>
    </w:tblStylePr>
    <w:tblStylePr w:type="lastCol">
      <w:rPr>
        <w:b/>
        <w:bCs/>
      </w:rPr>
    </w:tblStylePr>
    <w:tblStylePr w:type="band1Vert">
      <w:tblPr/>
      <w:tcPr>
        <w:shd w:val="clear" w:color="auto" w:fill="EEECE8" w:themeFill="accent5" w:themeFillTint="33"/>
      </w:tcPr>
    </w:tblStylePr>
    <w:tblStylePr w:type="band1Horz">
      <w:tblPr/>
      <w:tcPr>
        <w:shd w:val="clear" w:color="auto" w:fill="EEECE8" w:themeFill="accent5" w:themeFillTint="33"/>
      </w:tcPr>
    </w:tblStylePr>
  </w:style>
  <w:style w:type="table" w:customStyle="1" w:styleId="GridTable4Accent51">
    <w:name w:val="Grid Table 4 Accent 51"/>
    <w:basedOn w:val="TableNormal"/>
    <w:uiPriority w:val="49"/>
    <w:rsid w:val="00F04701"/>
    <w:pPr>
      <w:spacing w:after="0" w:line="240" w:lineRule="auto"/>
    </w:pPr>
    <w:rPr>
      <w:rFonts w:ascii="Georgia" w:eastAsia="Arial" w:hAnsi="Georgia" w:cs="Times New Roman"/>
      <w:szCs w:val="22"/>
    </w:rPr>
    <w:tblPr>
      <w:tblStyleRowBandSize w:val="1"/>
      <w:tblStyleColBandSize w:val="1"/>
      <w:tblInd w:w="0" w:type="nil"/>
      <w:tblBorders>
        <w:top w:val="single" w:sz="4" w:space="0" w:color="E06161"/>
        <w:left w:val="single" w:sz="4" w:space="0" w:color="E06161"/>
        <w:bottom w:val="single" w:sz="4" w:space="0" w:color="E06161"/>
        <w:right w:val="single" w:sz="4" w:space="0" w:color="E06161"/>
        <w:insideH w:val="single" w:sz="4" w:space="0" w:color="E06161"/>
        <w:insideV w:val="single" w:sz="4" w:space="0" w:color="E06161"/>
      </w:tblBorders>
    </w:tblPr>
    <w:tblStylePr w:type="firstRow">
      <w:rPr>
        <w:b/>
        <w:bCs/>
        <w:color w:val="FFFFFF"/>
      </w:rPr>
      <w:tblPr/>
      <w:tcPr>
        <w:tcBorders>
          <w:top w:val="single" w:sz="4" w:space="0" w:color="A32020"/>
          <w:left w:val="single" w:sz="4" w:space="0" w:color="A32020"/>
          <w:bottom w:val="single" w:sz="4" w:space="0" w:color="A32020"/>
          <w:right w:val="single" w:sz="4" w:space="0" w:color="A32020"/>
          <w:insideH w:val="nil"/>
          <w:insideV w:val="nil"/>
        </w:tcBorders>
        <w:shd w:val="clear" w:color="auto" w:fill="A32020"/>
      </w:tcPr>
    </w:tblStylePr>
    <w:tblStylePr w:type="lastRow">
      <w:rPr>
        <w:b/>
        <w:bCs/>
      </w:rPr>
      <w:tblPr/>
      <w:tcPr>
        <w:tcBorders>
          <w:top w:val="double" w:sz="4" w:space="0" w:color="A32020"/>
        </w:tcBorders>
      </w:tcPr>
    </w:tblStylePr>
    <w:tblStylePr w:type="firstCol">
      <w:rPr>
        <w:b/>
        <w:bCs/>
      </w:rPr>
    </w:tblStylePr>
    <w:tblStylePr w:type="lastCol">
      <w:rPr>
        <w:b/>
        <w:bCs/>
      </w:rPr>
    </w:tblStylePr>
    <w:tblStylePr w:type="band1Vert">
      <w:tblPr/>
      <w:tcPr>
        <w:shd w:val="clear" w:color="auto" w:fill="F4CACA"/>
      </w:tcPr>
    </w:tblStylePr>
    <w:tblStylePr w:type="band1Horz">
      <w:tblPr/>
      <w:tcPr>
        <w:shd w:val="clear" w:color="auto" w:fill="F4CACA"/>
      </w:tcPr>
    </w:tblStylePr>
  </w:style>
  <w:style w:type="paragraph" w:styleId="Revision">
    <w:name w:val="Revision"/>
    <w:hidden/>
    <w:uiPriority w:val="99"/>
    <w:semiHidden/>
    <w:rsid w:val="00D50B9A"/>
    <w:pPr>
      <w:spacing w:after="0" w:line="240" w:lineRule="auto"/>
    </w:pPr>
  </w:style>
  <w:style w:type="table" w:customStyle="1" w:styleId="GridTable4-Accent52">
    <w:name w:val="Grid Table 4 - Accent 52"/>
    <w:basedOn w:val="TableNormal"/>
    <w:uiPriority w:val="49"/>
    <w:rsid w:val="002C095D"/>
    <w:pPr>
      <w:spacing w:after="0" w:line="240" w:lineRule="auto"/>
    </w:pPr>
    <w:rPr>
      <w:rFonts w:ascii="Georgia" w:hAnsi="Georgia"/>
      <w:szCs w:val="22"/>
    </w:rPr>
    <w:tblPr>
      <w:tblStyleRowBandSize w:val="1"/>
      <w:tblStyleColBandSize w:val="1"/>
      <w:tblBorders>
        <w:top w:val="single" w:sz="4" w:space="0" w:color="CCC8BC" w:themeColor="accent5" w:themeTint="99"/>
        <w:left w:val="single" w:sz="4" w:space="0" w:color="CCC8BC" w:themeColor="accent5" w:themeTint="99"/>
        <w:bottom w:val="single" w:sz="4" w:space="0" w:color="CCC8BC" w:themeColor="accent5" w:themeTint="99"/>
        <w:right w:val="single" w:sz="4" w:space="0" w:color="CCC8BC" w:themeColor="accent5" w:themeTint="99"/>
        <w:insideH w:val="single" w:sz="4" w:space="0" w:color="CCC8BC" w:themeColor="accent5" w:themeTint="99"/>
        <w:insideV w:val="single" w:sz="4" w:space="0" w:color="CCC8BC" w:themeColor="accent5" w:themeTint="99"/>
      </w:tblBorders>
    </w:tblPr>
    <w:tblStylePr w:type="firstRow">
      <w:rPr>
        <w:b/>
        <w:bCs/>
        <w:color w:val="FFFFFF" w:themeColor="background1"/>
      </w:rPr>
      <w:tblPr/>
      <w:tcPr>
        <w:tcBorders>
          <w:top w:val="single" w:sz="4" w:space="0" w:color="ABA591" w:themeColor="accent5"/>
          <w:left w:val="single" w:sz="4" w:space="0" w:color="ABA591" w:themeColor="accent5"/>
          <w:bottom w:val="single" w:sz="4" w:space="0" w:color="ABA591" w:themeColor="accent5"/>
          <w:right w:val="single" w:sz="4" w:space="0" w:color="ABA591" w:themeColor="accent5"/>
          <w:insideH w:val="nil"/>
          <w:insideV w:val="nil"/>
        </w:tcBorders>
        <w:shd w:val="clear" w:color="auto" w:fill="ABA591" w:themeFill="accent5"/>
      </w:tcPr>
    </w:tblStylePr>
    <w:tblStylePr w:type="lastRow">
      <w:rPr>
        <w:b/>
        <w:bCs/>
      </w:rPr>
      <w:tblPr/>
      <w:tcPr>
        <w:tcBorders>
          <w:top w:val="double" w:sz="4" w:space="0" w:color="ABA591" w:themeColor="accent5"/>
        </w:tcBorders>
      </w:tcPr>
    </w:tblStylePr>
    <w:tblStylePr w:type="firstCol">
      <w:rPr>
        <w:b/>
        <w:bCs/>
      </w:rPr>
    </w:tblStylePr>
    <w:tblStylePr w:type="lastCol">
      <w:rPr>
        <w:b/>
        <w:bCs/>
      </w:rPr>
    </w:tblStylePr>
    <w:tblStylePr w:type="band1Vert">
      <w:tblPr/>
      <w:tcPr>
        <w:shd w:val="clear" w:color="auto" w:fill="EEECE8" w:themeFill="accent5" w:themeFillTint="33"/>
      </w:tcPr>
    </w:tblStylePr>
    <w:tblStylePr w:type="band1Horz">
      <w:tblPr/>
      <w:tcPr>
        <w:shd w:val="clear" w:color="auto" w:fill="EEECE8" w:themeFill="accent5" w:themeFillTint="33"/>
      </w:tcPr>
    </w:tblStylePr>
  </w:style>
  <w:style w:type="table" w:customStyle="1" w:styleId="GridTable4-Accent13">
    <w:name w:val="Grid Table 4 - Accent 13"/>
    <w:basedOn w:val="TableNormal"/>
    <w:uiPriority w:val="49"/>
    <w:rsid w:val="00583DEA"/>
    <w:pPr>
      <w:spacing w:after="0" w:line="240" w:lineRule="auto"/>
    </w:pPr>
    <w:tblPr>
      <w:tblStyleRowBandSize w:val="1"/>
      <w:tblStyleColBandSize w:val="1"/>
      <w:tblBorders>
        <w:top w:val="single" w:sz="4" w:space="0" w:color="DB4D4D" w:themeColor="accent1" w:themeTint="99"/>
        <w:left w:val="single" w:sz="4" w:space="0" w:color="DB4D4D" w:themeColor="accent1" w:themeTint="99"/>
        <w:bottom w:val="single" w:sz="4" w:space="0" w:color="DB4D4D" w:themeColor="accent1" w:themeTint="99"/>
        <w:right w:val="single" w:sz="4" w:space="0" w:color="DB4D4D" w:themeColor="accent1" w:themeTint="99"/>
        <w:insideH w:val="single" w:sz="4" w:space="0" w:color="DB4D4D" w:themeColor="accent1" w:themeTint="99"/>
        <w:insideV w:val="single" w:sz="4" w:space="0" w:color="DB4D4D" w:themeColor="accent1" w:themeTint="99"/>
      </w:tblBorders>
    </w:tblPr>
    <w:tblStylePr w:type="firstRow">
      <w:rPr>
        <w:b/>
        <w:bCs/>
        <w:color w:val="FFFFFF" w:themeColor="background1"/>
      </w:rPr>
      <w:tblPr/>
      <w:tcPr>
        <w:tcBorders>
          <w:top w:val="single" w:sz="4" w:space="0" w:color="821A1A" w:themeColor="accent1"/>
          <w:left w:val="single" w:sz="4" w:space="0" w:color="821A1A" w:themeColor="accent1"/>
          <w:bottom w:val="single" w:sz="4" w:space="0" w:color="821A1A" w:themeColor="accent1"/>
          <w:right w:val="single" w:sz="4" w:space="0" w:color="821A1A" w:themeColor="accent1"/>
          <w:insideH w:val="nil"/>
          <w:insideV w:val="nil"/>
        </w:tcBorders>
        <w:shd w:val="clear" w:color="auto" w:fill="821A1A" w:themeFill="accent1"/>
      </w:tcPr>
    </w:tblStylePr>
    <w:tblStylePr w:type="lastRow">
      <w:rPr>
        <w:b/>
        <w:bCs/>
      </w:rPr>
      <w:tblPr/>
      <w:tcPr>
        <w:tcBorders>
          <w:top w:val="double" w:sz="4" w:space="0" w:color="821A1A" w:themeColor="accent1"/>
        </w:tcBorders>
      </w:tcPr>
    </w:tblStylePr>
    <w:tblStylePr w:type="firstCol">
      <w:rPr>
        <w:b/>
        <w:bCs/>
      </w:rPr>
    </w:tblStylePr>
    <w:tblStylePr w:type="lastCol">
      <w:rPr>
        <w:b/>
        <w:bCs/>
      </w:rPr>
    </w:tblStylePr>
    <w:tblStylePr w:type="band1Vert">
      <w:tblPr/>
      <w:tcPr>
        <w:shd w:val="clear" w:color="auto" w:fill="F3C3C3" w:themeFill="accent1" w:themeFillTint="33"/>
      </w:tcPr>
    </w:tblStylePr>
    <w:tblStylePr w:type="band1Horz">
      <w:tblPr/>
      <w:tcPr>
        <w:shd w:val="clear" w:color="auto" w:fill="F3C3C3"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qFormat="1"/>
    <w:lsdException w:name="List Number" w:qFormat="1"/>
    <w:lsdException w:name="List Bullet 2" w:qFormat="1"/>
    <w:lsdException w:name="List Bullet 3" w:qFormat="1"/>
    <w:lsdException w:name="List Bullet 4" w:qFormat="1"/>
    <w:lsdException w:name="List Number 2" w:qFormat="1"/>
    <w:lsdException w:name="List Number 3" w:qFormat="1"/>
    <w:lsdException w:name="List Number 4" w:qFormat="1"/>
    <w:lsdException w:name="Title" w:semiHidden="0" w:uiPriority="10" w:unhideWhenUsed="0"/>
    <w:lsdException w:name="Default Paragraph Font" w:uiPriority="1"/>
    <w:lsdException w:name="Body Text" w:qFormat="1"/>
    <w:lsdException w:name="List Continue" w:qFormat="1"/>
    <w:lsdException w:name="List Continue 2" w:qFormat="1"/>
    <w:lsdException w:name="List Continue 3" w:qFormat="1"/>
    <w:lsdException w:name="List Continue 4" w:qFormat="1"/>
    <w:lsdException w:name="Subtitle" w:semiHidden="0" w:uiPriority="11" w:unhideWhenUsed="0"/>
    <w:lsdException w:name="Strong" w:semiHidden="0" w:uiPriority="22" w:unhideWhenUsed="0"/>
    <w:lsdException w:name="Emphasis" w:semiHidden="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56D94"/>
    <w:pPr>
      <w:spacing w:line="240" w:lineRule="auto"/>
    </w:pPr>
  </w:style>
  <w:style w:type="paragraph" w:styleId="Heading1">
    <w:name w:val="heading 1"/>
    <w:basedOn w:val="Normal"/>
    <w:next w:val="Heading2"/>
    <w:link w:val="Heading1Char"/>
    <w:uiPriority w:val="9"/>
    <w:qFormat/>
    <w:rsid w:val="00E249D3"/>
    <w:pPr>
      <w:keepNext/>
      <w:pageBreakBefore/>
      <w:numPr>
        <w:numId w:val="5"/>
      </w:numPr>
      <w:spacing w:after="480" w:line="0" w:lineRule="atLeast"/>
      <w:ind w:left="0" w:firstLine="0"/>
      <w:outlineLvl w:val="0"/>
    </w:pPr>
    <w:rPr>
      <w:rFonts w:asciiTheme="majorHAnsi" w:eastAsiaTheme="majorEastAsia" w:hAnsiTheme="majorHAnsi" w:cstheme="majorBidi"/>
      <w:b/>
      <w:i/>
      <w:color w:val="000000" w:themeColor="text1"/>
      <w:sz w:val="48"/>
      <w:szCs w:val="32"/>
    </w:rPr>
  </w:style>
  <w:style w:type="paragraph" w:styleId="Heading2">
    <w:name w:val="heading 2"/>
    <w:basedOn w:val="Normal"/>
    <w:next w:val="BodyText"/>
    <w:link w:val="Heading2Char"/>
    <w:uiPriority w:val="9"/>
    <w:unhideWhenUsed/>
    <w:qFormat/>
    <w:rsid w:val="001949E1"/>
    <w:pPr>
      <w:keepNext/>
      <w:numPr>
        <w:ilvl w:val="1"/>
        <w:numId w:val="5"/>
      </w:numPr>
      <w:spacing w:line="0" w:lineRule="atLeast"/>
      <w:ind w:left="0" w:firstLine="0"/>
      <w:outlineLvl w:val="1"/>
    </w:pPr>
    <w:rPr>
      <w:rFonts w:asciiTheme="majorHAnsi" w:eastAsiaTheme="majorEastAsia" w:hAnsiTheme="majorHAnsi" w:cstheme="majorBidi"/>
      <w:b/>
      <w:i/>
      <w:color w:val="821A1A" w:themeColor="text2"/>
      <w:sz w:val="32"/>
      <w:szCs w:val="26"/>
    </w:rPr>
  </w:style>
  <w:style w:type="paragraph" w:styleId="Heading3">
    <w:name w:val="heading 3"/>
    <w:basedOn w:val="Normal"/>
    <w:next w:val="BodyText"/>
    <w:link w:val="Heading3Char"/>
    <w:uiPriority w:val="9"/>
    <w:unhideWhenUsed/>
    <w:rsid w:val="001949E1"/>
    <w:pPr>
      <w:keepNext/>
      <w:numPr>
        <w:ilvl w:val="2"/>
        <w:numId w:val="5"/>
      </w:numPr>
      <w:spacing w:line="0" w:lineRule="atLeast"/>
      <w:ind w:left="0" w:firstLine="0"/>
      <w:outlineLvl w:val="2"/>
    </w:pPr>
    <w:rPr>
      <w:rFonts w:asciiTheme="majorHAnsi" w:eastAsiaTheme="majorEastAsia" w:hAnsiTheme="majorHAnsi" w:cstheme="majorBidi"/>
      <w:b/>
      <w:i/>
      <w:color w:val="821A1A" w:themeColor="text2"/>
      <w:sz w:val="28"/>
      <w:szCs w:val="24"/>
    </w:rPr>
  </w:style>
  <w:style w:type="paragraph" w:styleId="Heading4">
    <w:name w:val="heading 4"/>
    <w:basedOn w:val="Normal"/>
    <w:next w:val="BodyText"/>
    <w:link w:val="Heading4Char"/>
    <w:uiPriority w:val="9"/>
    <w:unhideWhenUsed/>
    <w:qFormat/>
    <w:rsid w:val="001949E1"/>
    <w:pPr>
      <w:keepNext/>
      <w:numPr>
        <w:ilvl w:val="3"/>
        <w:numId w:val="5"/>
      </w:numPr>
      <w:spacing w:line="0" w:lineRule="atLeast"/>
      <w:ind w:left="0" w:firstLine="0"/>
      <w:outlineLvl w:val="3"/>
    </w:pPr>
    <w:rPr>
      <w:rFonts w:asciiTheme="majorHAnsi" w:eastAsiaTheme="majorEastAsia" w:hAnsiTheme="majorHAnsi" w:cstheme="majorBidi"/>
      <w:i/>
      <w:iCs/>
      <w:color w:val="821A1A" w:themeColor="text2"/>
      <w:sz w:val="28"/>
    </w:rPr>
  </w:style>
  <w:style w:type="paragraph" w:styleId="Heading5">
    <w:name w:val="heading 5"/>
    <w:basedOn w:val="Normal"/>
    <w:next w:val="BodyText"/>
    <w:link w:val="Heading5Char"/>
    <w:uiPriority w:val="9"/>
    <w:unhideWhenUsed/>
    <w:rsid w:val="001949E1"/>
    <w:pPr>
      <w:keepNext/>
      <w:numPr>
        <w:ilvl w:val="4"/>
        <w:numId w:val="5"/>
      </w:numPr>
      <w:spacing w:line="0" w:lineRule="atLeast"/>
      <w:ind w:left="0" w:firstLine="0"/>
      <w:outlineLvl w:val="4"/>
    </w:pPr>
    <w:rPr>
      <w:rFonts w:asciiTheme="majorHAnsi" w:eastAsiaTheme="majorEastAsia" w:hAnsiTheme="majorHAnsi" w:cstheme="majorBidi"/>
      <w:i/>
      <w:color w:val="821A1A" w:themeColor="text2"/>
      <w:sz w:val="24"/>
    </w:rPr>
  </w:style>
  <w:style w:type="paragraph" w:styleId="Heading6">
    <w:name w:val="heading 6"/>
    <w:basedOn w:val="Normal"/>
    <w:next w:val="Normal"/>
    <w:link w:val="Heading6Char"/>
    <w:uiPriority w:val="9"/>
    <w:semiHidden/>
    <w:unhideWhenUsed/>
    <w:rsid w:val="00701540"/>
    <w:pPr>
      <w:keepNext/>
      <w:spacing w:line="0" w:lineRule="atLeast"/>
      <w:outlineLvl w:val="5"/>
    </w:pPr>
    <w:rPr>
      <w:rFonts w:asciiTheme="majorHAnsi" w:eastAsiaTheme="majorEastAsia" w:hAnsiTheme="majorHAnsi" w:cstheme="majorBidi"/>
      <w:color w:val="821A1A" w:themeColor="text2"/>
      <w:sz w:val="24"/>
    </w:rPr>
  </w:style>
  <w:style w:type="paragraph" w:styleId="Heading7">
    <w:name w:val="heading 7"/>
    <w:basedOn w:val="Normal"/>
    <w:next w:val="Normal"/>
    <w:link w:val="Heading7Char"/>
    <w:uiPriority w:val="9"/>
    <w:semiHidden/>
    <w:unhideWhenUsed/>
    <w:rsid w:val="00204320"/>
    <w:pPr>
      <w:keepNext/>
      <w:spacing w:before="40" w:after="0"/>
      <w:outlineLvl w:val="6"/>
    </w:pPr>
    <w:rPr>
      <w:rFonts w:asciiTheme="majorHAnsi" w:eastAsiaTheme="majorEastAsia" w:hAnsiTheme="majorHAnsi" w:cstheme="majorBidi"/>
      <w:i/>
      <w:iCs/>
      <w:color w:val="400D0D" w:themeColor="accent1" w:themeShade="7F"/>
    </w:rPr>
  </w:style>
  <w:style w:type="paragraph" w:styleId="Heading8">
    <w:name w:val="heading 8"/>
    <w:basedOn w:val="Normal"/>
    <w:next w:val="BodyText"/>
    <w:link w:val="Heading8Char"/>
    <w:uiPriority w:val="9"/>
    <w:semiHidden/>
    <w:unhideWhenUsed/>
    <w:rsid w:val="00204320"/>
    <w:pPr>
      <w:keepNext/>
      <w:spacing w:after="2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rsid w:val="00204320"/>
    <w:pPr>
      <w:keepNext/>
      <w:spacing w:after="2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E6A"/>
    <w:pPr>
      <w:tabs>
        <w:tab w:val="center" w:pos="4680"/>
        <w:tab w:val="right" w:pos="9360"/>
      </w:tabs>
      <w:spacing w:after="0"/>
    </w:pPr>
    <w:rPr>
      <w:rFonts w:ascii="Arial" w:hAnsi="Arial"/>
      <w:color w:val="000000" w:themeColor="text1"/>
      <w:sz w:val="16"/>
    </w:rPr>
  </w:style>
  <w:style w:type="character" w:customStyle="1" w:styleId="HeaderChar">
    <w:name w:val="Header Char"/>
    <w:basedOn w:val="DefaultParagraphFont"/>
    <w:link w:val="Header"/>
    <w:uiPriority w:val="99"/>
    <w:rsid w:val="00BE7E6A"/>
    <w:rPr>
      <w:rFonts w:ascii="Arial" w:hAnsi="Arial"/>
      <w:color w:val="000000" w:themeColor="text1"/>
      <w:sz w:val="16"/>
    </w:rPr>
  </w:style>
  <w:style w:type="paragraph" w:styleId="Footer">
    <w:name w:val="footer"/>
    <w:aliases w:val="|| Footer"/>
    <w:basedOn w:val="Normal"/>
    <w:link w:val="FooterChar"/>
    <w:uiPriority w:val="99"/>
    <w:unhideWhenUsed/>
    <w:rsid w:val="00EF7FD6"/>
    <w:pPr>
      <w:tabs>
        <w:tab w:val="center" w:pos="4680"/>
        <w:tab w:val="right" w:pos="9360"/>
      </w:tabs>
      <w:spacing w:after="0"/>
    </w:pPr>
    <w:rPr>
      <w:rFonts w:ascii="Arial" w:hAnsi="Arial"/>
      <w:color w:val="000000" w:themeColor="text1"/>
      <w:sz w:val="16"/>
    </w:rPr>
  </w:style>
  <w:style w:type="character" w:customStyle="1" w:styleId="FooterChar">
    <w:name w:val="Footer Char"/>
    <w:aliases w:val="|| Footer Char"/>
    <w:basedOn w:val="DefaultParagraphFont"/>
    <w:link w:val="Footer"/>
    <w:uiPriority w:val="99"/>
    <w:rsid w:val="00EF7FD6"/>
    <w:rPr>
      <w:rFonts w:ascii="Arial" w:hAnsi="Arial"/>
      <w:color w:val="000000" w:themeColor="text1"/>
      <w:sz w:val="16"/>
    </w:rPr>
  </w:style>
  <w:style w:type="paragraph" w:customStyle="1" w:styleId="Address">
    <w:name w:val="Address"/>
    <w:basedOn w:val="Normal"/>
    <w:link w:val="AddressChar"/>
    <w:qFormat/>
    <w:rsid w:val="00C965F8"/>
    <w:pPr>
      <w:spacing w:after="0" w:line="200" w:lineRule="atLeast"/>
    </w:pPr>
    <w:rPr>
      <w:i/>
      <w:sz w:val="18"/>
    </w:rPr>
  </w:style>
  <w:style w:type="character" w:customStyle="1" w:styleId="Heading1Char">
    <w:name w:val="Heading 1 Char"/>
    <w:basedOn w:val="DefaultParagraphFont"/>
    <w:link w:val="Heading1"/>
    <w:uiPriority w:val="9"/>
    <w:rsid w:val="00E249D3"/>
    <w:rPr>
      <w:rFonts w:asciiTheme="majorHAnsi" w:eastAsiaTheme="majorEastAsia" w:hAnsiTheme="majorHAnsi" w:cstheme="majorBidi"/>
      <w:b/>
      <w:i/>
      <w:color w:val="000000" w:themeColor="text1"/>
      <w:sz w:val="48"/>
      <w:szCs w:val="32"/>
    </w:rPr>
  </w:style>
  <w:style w:type="paragraph" w:styleId="BodyText">
    <w:name w:val="Body Text"/>
    <w:basedOn w:val="Normal"/>
    <w:link w:val="BodyTextChar"/>
    <w:uiPriority w:val="99"/>
    <w:unhideWhenUsed/>
    <w:qFormat/>
    <w:rsid w:val="008550D2"/>
  </w:style>
  <w:style w:type="character" w:customStyle="1" w:styleId="BodyTextChar">
    <w:name w:val="Body Text Char"/>
    <w:basedOn w:val="DefaultParagraphFont"/>
    <w:link w:val="BodyText"/>
    <w:uiPriority w:val="99"/>
    <w:rsid w:val="008550D2"/>
    <w:rPr>
      <w:sz w:val="20"/>
    </w:rPr>
  </w:style>
  <w:style w:type="character" w:customStyle="1" w:styleId="Heading2Char">
    <w:name w:val="Heading 2 Char"/>
    <w:basedOn w:val="DefaultParagraphFont"/>
    <w:link w:val="Heading2"/>
    <w:uiPriority w:val="9"/>
    <w:rsid w:val="001949E1"/>
    <w:rPr>
      <w:rFonts w:asciiTheme="majorHAnsi" w:eastAsiaTheme="majorEastAsia" w:hAnsiTheme="majorHAnsi" w:cstheme="majorBidi"/>
      <w:b/>
      <w:i/>
      <w:color w:val="821A1A" w:themeColor="text2"/>
      <w:sz w:val="32"/>
      <w:szCs w:val="26"/>
    </w:rPr>
  </w:style>
  <w:style w:type="character" w:customStyle="1" w:styleId="Heading3Char">
    <w:name w:val="Heading 3 Char"/>
    <w:basedOn w:val="DefaultParagraphFont"/>
    <w:link w:val="Heading3"/>
    <w:uiPriority w:val="9"/>
    <w:rsid w:val="001949E1"/>
    <w:rPr>
      <w:rFonts w:asciiTheme="majorHAnsi" w:eastAsiaTheme="majorEastAsia" w:hAnsiTheme="majorHAnsi" w:cstheme="majorBidi"/>
      <w:b/>
      <w:i/>
      <w:color w:val="821A1A" w:themeColor="text2"/>
      <w:sz w:val="28"/>
      <w:szCs w:val="24"/>
    </w:rPr>
  </w:style>
  <w:style w:type="character" w:customStyle="1" w:styleId="Heading4Char">
    <w:name w:val="Heading 4 Char"/>
    <w:basedOn w:val="DefaultParagraphFont"/>
    <w:link w:val="Heading4"/>
    <w:uiPriority w:val="9"/>
    <w:rsid w:val="001949E1"/>
    <w:rPr>
      <w:rFonts w:asciiTheme="majorHAnsi" w:eastAsiaTheme="majorEastAsia" w:hAnsiTheme="majorHAnsi" w:cstheme="majorBidi"/>
      <w:i/>
      <w:iCs/>
      <w:color w:val="821A1A" w:themeColor="text2"/>
      <w:sz w:val="28"/>
    </w:rPr>
  </w:style>
  <w:style w:type="character" w:customStyle="1" w:styleId="Heading5Char">
    <w:name w:val="Heading 5 Char"/>
    <w:basedOn w:val="DefaultParagraphFont"/>
    <w:link w:val="Heading5"/>
    <w:uiPriority w:val="9"/>
    <w:rsid w:val="001949E1"/>
    <w:rPr>
      <w:rFonts w:asciiTheme="majorHAnsi" w:eastAsiaTheme="majorEastAsia" w:hAnsiTheme="majorHAnsi" w:cstheme="majorBidi"/>
      <w:i/>
      <w:color w:val="821A1A" w:themeColor="text2"/>
      <w:sz w:val="24"/>
    </w:rPr>
  </w:style>
  <w:style w:type="character" w:customStyle="1" w:styleId="Heading6Char">
    <w:name w:val="Heading 6 Char"/>
    <w:basedOn w:val="DefaultParagraphFont"/>
    <w:link w:val="Heading6"/>
    <w:uiPriority w:val="9"/>
    <w:semiHidden/>
    <w:rsid w:val="00701540"/>
    <w:rPr>
      <w:rFonts w:asciiTheme="majorHAnsi" w:eastAsiaTheme="majorEastAsia" w:hAnsiTheme="majorHAnsi" w:cstheme="majorBidi"/>
      <w:color w:val="821A1A" w:themeColor="text2"/>
      <w:sz w:val="24"/>
    </w:rPr>
  </w:style>
  <w:style w:type="character" w:customStyle="1" w:styleId="Heading7Char">
    <w:name w:val="Heading 7 Char"/>
    <w:basedOn w:val="DefaultParagraphFont"/>
    <w:link w:val="Heading7"/>
    <w:uiPriority w:val="9"/>
    <w:semiHidden/>
    <w:rsid w:val="00204320"/>
    <w:rPr>
      <w:rFonts w:asciiTheme="majorHAnsi" w:eastAsiaTheme="majorEastAsia" w:hAnsiTheme="majorHAnsi" w:cstheme="majorBidi"/>
      <w:i/>
      <w:iCs/>
      <w:color w:val="400D0D" w:themeColor="accent1" w:themeShade="7F"/>
      <w:sz w:val="20"/>
    </w:rPr>
  </w:style>
  <w:style w:type="character" w:customStyle="1" w:styleId="Heading8Char">
    <w:name w:val="Heading 8 Char"/>
    <w:basedOn w:val="DefaultParagraphFont"/>
    <w:link w:val="Heading8"/>
    <w:uiPriority w:val="9"/>
    <w:semiHidden/>
    <w:rsid w:val="002043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4320"/>
    <w:rPr>
      <w:rFonts w:asciiTheme="majorHAnsi" w:eastAsiaTheme="majorEastAsia" w:hAnsiTheme="majorHAnsi" w:cstheme="majorBidi"/>
      <w:i/>
      <w:iCs/>
      <w:color w:val="272727" w:themeColor="text1" w:themeTint="D8"/>
      <w:sz w:val="20"/>
      <w:szCs w:val="21"/>
    </w:rPr>
  </w:style>
  <w:style w:type="paragraph" w:styleId="BlockText">
    <w:name w:val="Block Text"/>
    <w:basedOn w:val="BodyText"/>
    <w:uiPriority w:val="99"/>
    <w:unhideWhenUsed/>
    <w:rsid w:val="00B4382C"/>
    <w:pPr>
      <w:pBdr>
        <w:top w:val="single" w:sz="2" w:space="10" w:color="821A1A" w:themeColor="accent1" w:shadow="1"/>
        <w:left w:val="single" w:sz="2" w:space="10" w:color="821A1A" w:themeColor="accent1" w:shadow="1"/>
        <w:bottom w:val="single" w:sz="2" w:space="10" w:color="821A1A" w:themeColor="accent1" w:shadow="1"/>
        <w:right w:val="single" w:sz="2" w:space="10" w:color="821A1A" w:themeColor="accent1" w:shadow="1"/>
      </w:pBdr>
      <w:ind w:left="230" w:right="230"/>
    </w:pPr>
    <w:rPr>
      <w:rFonts w:eastAsiaTheme="minorEastAsia"/>
      <w:i/>
      <w:iCs/>
      <w:color w:val="821A1A" w:themeColor="accent1"/>
      <w:sz w:val="22"/>
    </w:rPr>
  </w:style>
  <w:style w:type="paragraph" w:customStyle="1" w:styleId="BlockText3">
    <w:name w:val="Block Text 3"/>
    <w:basedOn w:val="BodyText"/>
    <w:rsid w:val="008B54C2"/>
    <w:pPr>
      <w:pBdr>
        <w:top w:val="single" w:sz="8" w:space="10" w:color="821A1A" w:themeColor="accent1"/>
        <w:left w:val="single" w:sz="8" w:space="10" w:color="821A1A" w:themeColor="accent1"/>
        <w:bottom w:val="single" w:sz="8" w:space="10" w:color="821A1A" w:themeColor="accent1"/>
        <w:right w:val="single" w:sz="8" w:space="10" w:color="821A1A" w:themeColor="accent1"/>
      </w:pBdr>
      <w:shd w:val="clear" w:color="auto" w:fill="821A1A" w:themeFill="accent1"/>
      <w:ind w:left="230" w:right="230"/>
    </w:pPr>
    <w:rPr>
      <w:b/>
      <w:i/>
      <w:color w:val="FFFFFF" w:themeColor="background2"/>
      <w:sz w:val="22"/>
    </w:rPr>
  </w:style>
  <w:style w:type="paragraph" w:customStyle="1" w:styleId="Callout">
    <w:name w:val="Callout"/>
    <w:basedOn w:val="BodyText"/>
    <w:next w:val="BodyText"/>
    <w:rsid w:val="00CA23DA"/>
    <w:pPr>
      <w:framePr w:w="2102" w:hSpace="230" w:wrap="around" w:vAnchor="text" w:hAnchor="page" w:x="1023" w:y="203"/>
    </w:pPr>
    <w:rPr>
      <w:i/>
      <w:color w:val="821A1A" w:themeColor="text2"/>
      <w:sz w:val="16"/>
    </w:rPr>
  </w:style>
  <w:style w:type="paragraph" w:styleId="CommentText">
    <w:name w:val="annotation text"/>
    <w:basedOn w:val="Normal"/>
    <w:link w:val="CommentTextChar"/>
    <w:uiPriority w:val="99"/>
    <w:semiHidden/>
    <w:unhideWhenUsed/>
    <w:rsid w:val="00F92C4D"/>
  </w:style>
  <w:style w:type="character" w:customStyle="1" w:styleId="CommentTextChar">
    <w:name w:val="Comment Text Char"/>
    <w:basedOn w:val="DefaultParagraphFont"/>
    <w:link w:val="CommentText"/>
    <w:uiPriority w:val="99"/>
    <w:semiHidden/>
    <w:rsid w:val="00F92C4D"/>
    <w:rPr>
      <w:sz w:val="20"/>
      <w:szCs w:val="20"/>
    </w:rPr>
  </w:style>
  <w:style w:type="paragraph" w:styleId="Date">
    <w:name w:val="Date"/>
    <w:basedOn w:val="Normal"/>
    <w:next w:val="BodyText"/>
    <w:link w:val="DateChar"/>
    <w:uiPriority w:val="99"/>
    <w:unhideWhenUsed/>
    <w:rsid w:val="003A010F"/>
    <w:pPr>
      <w:spacing w:line="276" w:lineRule="auto"/>
      <w:ind w:left="2376"/>
    </w:pPr>
    <w:rPr>
      <w:sz w:val="28"/>
    </w:rPr>
  </w:style>
  <w:style w:type="character" w:customStyle="1" w:styleId="DateChar">
    <w:name w:val="Date Char"/>
    <w:basedOn w:val="DefaultParagraphFont"/>
    <w:link w:val="Date"/>
    <w:uiPriority w:val="99"/>
    <w:rsid w:val="003A010F"/>
    <w:rPr>
      <w:sz w:val="28"/>
    </w:rPr>
  </w:style>
  <w:style w:type="paragraph" w:customStyle="1" w:styleId="Disclaimer">
    <w:name w:val="Disclaimer"/>
    <w:basedOn w:val="BodyText"/>
    <w:link w:val="DisclaimerChar"/>
    <w:qFormat/>
    <w:rsid w:val="008C239A"/>
    <w:pPr>
      <w:spacing w:after="0" w:line="140" w:lineRule="atLeast"/>
    </w:pPr>
    <w:rPr>
      <w:sz w:val="16"/>
    </w:rPr>
  </w:style>
  <w:style w:type="paragraph" w:styleId="Caption">
    <w:name w:val="caption"/>
    <w:basedOn w:val="Normal"/>
    <w:next w:val="BodyText"/>
    <w:uiPriority w:val="35"/>
    <w:unhideWhenUsed/>
    <w:rsid w:val="00972CCA"/>
    <w:rPr>
      <w:i/>
      <w:iCs/>
      <w:color w:val="821A1A" w:themeColor="text2"/>
      <w:szCs w:val="18"/>
    </w:rPr>
  </w:style>
  <w:style w:type="paragraph" w:customStyle="1" w:styleId="DividerHeader">
    <w:name w:val="Divider Header"/>
    <w:rsid w:val="00502377"/>
    <w:pPr>
      <w:spacing w:after="240" w:line="240" w:lineRule="atLeast"/>
    </w:pPr>
    <w:rPr>
      <w:rFonts w:asciiTheme="majorHAnsi" w:hAnsiTheme="majorHAnsi"/>
      <w:b/>
      <w:i/>
      <w:color w:val="000000" w:themeColor="text1"/>
      <w:sz w:val="64"/>
    </w:rPr>
  </w:style>
  <w:style w:type="paragraph" w:customStyle="1" w:styleId="ExhibitHeading1">
    <w:name w:val="Exhibit Heading 1"/>
    <w:basedOn w:val="BodyText"/>
    <w:next w:val="BodyText"/>
    <w:rsid w:val="00F406B3"/>
    <w:pPr>
      <w:keepNext/>
      <w:pageBreakBefore/>
      <w:numPr>
        <w:numId w:val="7"/>
      </w:numPr>
      <w:spacing w:after="480" w:line="0" w:lineRule="atLeast"/>
      <w:outlineLvl w:val="0"/>
    </w:pPr>
    <w:rPr>
      <w:rFonts w:asciiTheme="majorHAnsi" w:hAnsiTheme="majorHAnsi"/>
      <w:b/>
      <w:i/>
      <w:sz w:val="48"/>
    </w:rPr>
  </w:style>
  <w:style w:type="paragraph" w:customStyle="1" w:styleId="ExhibitHeading2">
    <w:name w:val="Exhibit Heading 2"/>
    <w:basedOn w:val="ExhibitHeading1"/>
    <w:next w:val="BodyText"/>
    <w:rsid w:val="00DB5131"/>
    <w:pPr>
      <w:pageBreakBefore w:val="0"/>
      <w:numPr>
        <w:ilvl w:val="1"/>
      </w:numPr>
      <w:spacing w:after="160"/>
      <w:ind w:left="504" w:hanging="504"/>
      <w:outlineLvl w:val="1"/>
    </w:pPr>
    <w:rPr>
      <w:color w:val="821A1A" w:themeColor="text2"/>
      <w:sz w:val="32"/>
    </w:rPr>
  </w:style>
  <w:style w:type="paragraph" w:customStyle="1" w:styleId="ExhibitHeading3">
    <w:name w:val="Exhibit Heading 3"/>
    <w:basedOn w:val="ExhibitHeading2"/>
    <w:next w:val="BodyText"/>
    <w:rsid w:val="00DB5131"/>
    <w:pPr>
      <w:numPr>
        <w:ilvl w:val="2"/>
      </w:numPr>
      <w:ind w:left="648" w:hanging="648"/>
      <w:outlineLvl w:val="2"/>
    </w:pPr>
    <w:rPr>
      <w:sz w:val="28"/>
    </w:rPr>
  </w:style>
  <w:style w:type="paragraph" w:customStyle="1" w:styleId="ExhibitHeading4">
    <w:name w:val="Exhibit Heading 4"/>
    <w:basedOn w:val="ExhibitHeading3"/>
    <w:next w:val="BodyText"/>
    <w:rsid w:val="00DB5131"/>
    <w:pPr>
      <w:numPr>
        <w:ilvl w:val="3"/>
      </w:numPr>
      <w:ind w:left="792" w:hanging="792"/>
      <w:outlineLvl w:val="3"/>
    </w:pPr>
    <w:rPr>
      <w:b w:val="0"/>
    </w:rPr>
  </w:style>
  <w:style w:type="paragraph" w:customStyle="1" w:styleId="ExhibitHeading5">
    <w:name w:val="Exhibit Heading 5"/>
    <w:basedOn w:val="ExhibitHeading4"/>
    <w:next w:val="BodyText"/>
    <w:rsid w:val="00DB5131"/>
    <w:pPr>
      <w:numPr>
        <w:ilvl w:val="4"/>
      </w:numPr>
      <w:ind w:left="864" w:hanging="864"/>
      <w:outlineLvl w:val="4"/>
    </w:pPr>
    <w:rPr>
      <w:sz w:val="24"/>
    </w:rPr>
  </w:style>
  <w:style w:type="character" w:styleId="FollowedHyperlink">
    <w:name w:val="FollowedHyperlink"/>
    <w:basedOn w:val="DefaultParagraphFont"/>
    <w:uiPriority w:val="99"/>
    <w:semiHidden/>
    <w:unhideWhenUsed/>
    <w:rsid w:val="00BC4B6A"/>
    <w:rPr>
      <w:color w:val="B9B29E" w:themeColor="accent6" w:themeTint="99"/>
      <w:u w:val="single"/>
    </w:rPr>
  </w:style>
  <w:style w:type="character" w:styleId="FootnoteReference">
    <w:name w:val="footnote reference"/>
    <w:basedOn w:val="DefaultParagraphFont"/>
    <w:uiPriority w:val="99"/>
    <w:semiHidden/>
    <w:unhideWhenUsed/>
    <w:rsid w:val="00DC787F"/>
    <w:rPr>
      <w:color w:val="000000" w:themeColor="text1"/>
      <w:vertAlign w:val="superscript"/>
    </w:rPr>
  </w:style>
  <w:style w:type="paragraph" w:styleId="FootnoteText">
    <w:name w:val="footnote text"/>
    <w:basedOn w:val="Normal"/>
    <w:link w:val="FootnoteTextChar"/>
    <w:uiPriority w:val="99"/>
    <w:semiHidden/>
    <w:unhideWhenUsed/>
    <w:rsid w:val="00B906A1"/>
    <w:pPr>
      <w:spacing w:after="0"/>
    </w:pPr>
    <w:rPr>
      <w:color w:val="000000" w:themeColor="text1"/>
      <w:sz w:val="18"/>
    </w:rPr>
  </w:style>
  <w:style w:type="character" w:customStyle="1" w:styleId="FootnoteTextChar">
    <w:name w:val="Footnote Text Char"/>
    <w:basedOn w:val="DefaultParagraphFont"/>
    <w:link w:val="FootnoteText"/>
    <w:uiPriority w:val="99"/>
    <w:semiHidden/>
    <w:rsid w:val="00B906A1"/>
    <w:rPr>
      <w:color w:val="000000" w:themeColor="text1"/>
      <w:sz w:val="18"/>
      <w:szCs w:val="20"/>
    </w:rPr>
  </w:style>
  <w:style w:type="paragraph" w:customStyle="1" w:styleId="Guidance">
    <w:name w:val="Guidance"/>
    <w:basedOn w:val="Normal"/>
    <w:link w:val="GuidanceChar"/>
    <w:uiPriority w:val="99"/>
    <w:qFormat/>
    <w:rsid w:val="00FD7DAD"/>
    <w:pPr>
      <w:spacing w:after="100" w:afterAutospacing="1" w:line="276" w:lineRule="auto"/>
    </w:pPr>
    <w:rPr>
      <w:rFonts w:ascii="Arial" w:hAnsi="Arial"/>
      <w:color w:val="00A5FF"/>
      <w:sz w:val="16"/>
    </w:rPr>
  </w:style>
  <w:style w:type="character" w:styleId="HTMLAcronym">
    <w:name w:val="HTML Acronym"/>
    <w:basedOn w:val="DefaultParagraphFont"/>
    <w:uiPriority w:val="99"/>
    <w:semiHidden/>
    <w:unhideWhenUsed/>
    <w:rsid w:val="00B07192"/>
    <w:rPr>
      <w:color w:val="000000" w:themeColor="text1"/>
    </w:rPr>
  </w:style>
  <w:style w:type="character" w:styleId="Hyperlink">
    <w:name w:val="Hyperlink"/>
    <w:basedOn w:val="DefaultParagraphFont"/>
    <w:uiPriority w:val="99"/>
    <w:unhideWhenUsed/>
    <w:rsid w:val="002D4EF1"/>
    <w:rPr>
      <w:color w:val="0070C0"/>
      <w:u w:val="single"/>
    </w:rPr>
  </w:style>
  <w:style w:type="paragraph" w:styleId="Index1">
    <w:name w:val="index 1"/>
    <w:basedOn w:val="Normal"/>
    <w:next w:val="Normal"/>
    <w:autoRedefine/>
    <w:uiPriority w:val="99"/>
    <w:unhideWhenUsed/>
    <w:rsid w:val="007C1DC3"/>
    <w:pPr>
      <w:spacing w:after="120"/>
      <w:ind w:left="202" w:hanging="202"/>
    </w:pPr>
  </w:style>
  <w:style w:type="paragraph" w:styleId="Index2">
    <w:name w:val="index 2"/>
    <w:basedOn w:val="Normal"/>
    <w:next w:val="Normal"/>
    <w:autoRedefine/>
    <w:uiPriority w:val="99"/>
    <w:unhideWhenUsed/>
    <w:rsid w:val="007C1DC3"/>
    <w:pPr>
      <w:spacing w:after="120"/>
      <w:ind w:left="404" w:hanging="202"/>
    </w:pPr>
  </w:style>
  <w:style w:type="paragraph" w:styleId="Index3">
    <w:name w:val="index 3"/>
    <w:basedOn w:val="Normal"/>
    <w:next w:val="Normal"/>
    <w:autoRedefine/>
    <w:uiPriority w:val="99"/>
    <w:unhideWhenUsed/>
    <w:rsid w:val="007C1DC3"/>
    <w:pPr>
      <w:spacing w:after="120"/>
      <w:ind w:left="605" w:hanging="202"/>
    </w:pPr>
  </w:style>
  <w:style w:type="paragraph" w:styleId="Index4">
    <w:name w:val="index 4"/>
    <w:basedOn w:val="Normal"/>
    <w:next w:val="Normal"/>
    <w:autoRedefine/>
    <w:uiPriority w:val="99"/>
    <w:unhideWhenUsed/>
    <w:rsid w:val="0052450E"/>
    <w:pPr>
      <w:spacing w:after="0"/>
      <w:ind w:left="800" w:hanging="200"/>
    </w:pPr>
  </w:style>
  <w:style w:type="paragraph" w:styleId="Index5">
    <w:name w:val="index 5"/>
    <w:basedOn w:val="Normal"/>
    <w:next w:val="Normal"/>
    <w:autoRedefine/>
    <w:uiPriority w:val="99"/>
    <w:unhideWhenUsed/>
    <w:rsid w:val="007C1DC3"/>
    <w:pPr>
      <w:spacing w:after="120"/>
      <w:ind w:left="1008" w:hanging="202"/>
    </w:pPr>
  </w:style>
  <w:style w:type="paragraph" w:styleId="Index6">
    <w:name w:val="index 6"/>
    <w:basedOn w:val="Normal"/>
    <w:next w:val="Normal"/>
    <w:autoRedefine/>
    <w:uiPriority w:val="99"/>
    <w:unhideWhenUsed/>
    <w:rsid w:val="007C1DC3"/>
    <w:pPr>
      <w:spacing w:after="120"/>
      <w:ind w:left="1196" w:hanging="202"/>
    </w:pPr>
  </w:style>
  <w:style w:type="paragraph" w:styleId="Index7">
    <w:name w:val="index 7"/>
    <w:basedOn w:val="Normal"/>
    <w:next w:val="Normal"/>
    <w:autoRedefine/>
    <w:uiPriority w:val="99"/>
    <w:unhideWhenUsed/>
    <w:rsid w:val="007C1DC3"/>
    <w:pPr>
      <w:spacing w:after="120"/>
      <w:ind w:left="1397" w:hanging="202"/>
    </w:pPr>
  </w:style>
  <w:style w:type="paragraph" w:styleId="Index8">
    <w:name w:val="index 8"/>
    <w:basedOn w:val="Normal"/>
    <w:next w:val="Normal"/>
    <w:autoRedefine/>
    <w:uiPriority w:val="99"/>
    <w:unhideWhenUsed/>
    <w:rsid w:val="007C1DC3"/>
    <w:pPr>
      <w:spacing w:after="120"/>
      <w:ind w:left="1599" w:hanging="202"/>
    </w:pPr>
  </w:style>
  <w:style w:type="paragraph" w:styleId="Index9">
    <w:name w:val="index 9"/>
    <w:basedOn w:val="Normal"/>
    <w:next w:val="Normal"/>
    <w:autoRedefine/>
    <w:uiPriority w:val="99"/>
    <w:unhideWhenUsed/>
    <w:rsid w:val="007C1DC3"/>
    <w:pPr>
      <w:spacing w:after="120"/>
      <w:ind w:left="1800" w:hanging="202"/>
    </w:pPr>
  </w:style>
  <w:style w:type="paragraph" w:styleId="IndexHeading">
    <w:name w:val="index heading"/>
    <w:basedOn w:val="Normal"/>
    <w:next w:val="Index1"/>
    <w:uiPriority w:val="99"/>
    <w:unhideWhenUsed/>
    <w:rsid w:val="006D4048"/>
    <w:rPr>
      <w:rFonts w:asciiTheme="majorHAnsi" w:eastAsiaTheme="majorEastAsia" w:hAnsiTheme="majorHAnsi" w:cstheme="majorBidi"/>
      <w:b/>
      <w:bCs/>
    </w:rPr>
  </w:style>
  <w:style w:type="character" w:styleId="IntenseEmphasis">
    <w:name w:val="Intense Emphasis"/>
    <w:basedOn w:val="DefaultParagraphFont"/>
    <w:uiPriority w:val="21"/>
    <w:rsid w:val="006D4048"/>
    <w:rPr>
      <w:i/>
      <w:iCs/>
      <w:color w:val="821A1A" w:themeColor="accent1"/>
    </w:rPr>
  </w:style>
  <w:style w:type="paragraph" w:customStyle="1" w:styleId="HeadingText">
    <w:name w:val="Heading Text"/>
    <w:basedOn w:val="BodyText"/>
    <w:next w:val="BodyText"/>
    <w:qFormat/>
    <w:rsid w:val="0058176B"/>
    <w:pPr>
      <w:spacing w:after="80"/>
    </w:pPr>
    <w:rPr>
      <w:b/>
      <w:color w:val="821A1A" w:themeColor="text2"/>
    </w:rPr>
  </w:style>
  <w:style w:type="character" w:styleId="IntenseReference">
    <w:name w:val="Intense Reference"/>
    <w:basedOn w:val="DefaultParagraphFont"/>
    <w:uiPriority w:val="32"/>
    <w:rsid w:val="00B15864"/>
    <w:rPr>
      <w:b/>
      <w:bCs/>
      <w:smallCaps/>
      <w:color w:val="821A1A" w:themeColor="accent1"/>
      <w:spacing w:val="5"/>
    </w:rPr>
  </w:style>
  <w:style w:type="character" w:styleId="Emphasis">
    <w:name w:val="Emphasis"/>
    <w:basedOn w:val="DefaultParagraphFont"/>
    <w:uiPriority w:val="99"/>
    <w:qFormat/>
    <w:rsid w:val="00052F4A"/>
    <w:rPr>
      <w:i/>
      <w:iCs/>
    </w:rPr>
  </w:style>
  <w:style w:type="paragraph" w:styleId="IntenseQuote">
    <w:name w:val="Intense Quote"/>
    <w:basedOn w:val="Normal"/>
    <w:next w:val="Normal"/>
    <w:link w:val="IntenseQuoteChar"/>
    <w:uiPriority w:val="30"/>
    <w:rsid w:val="00DB3823"/>
    <w:pPr>
      <w:pBdr>
        <w:bottom w:val="single" w:sz="4" w:space="10" w:color="821A1A" w:themeColor="accent1"/>
      </w:pBdr>
      <w:spacing w:before="200" w:after="280" w:line="276" w:lineRule="auto"/>
      <w:ind w:left="936" w:right="936"/>
    </w:pPr>
    <w:rPr>
      <w:b/>
      <w:i/>
      <w:iCs/>
      <w:color w:val="821A1A" w:themeColor="accent1"/>
    </w:rPr>
  </w:style>
  <w:style w:type="character" w:customStyle="1" w:styleId="IntenseQuoteChar">
    <w:name w:val="Intense Quote Char"/>
    <w:basedOn w:val="DefaultParagraphFont"/>
    <w:link w:val="IntenseQuote"/>
    <w:uiPriority w:val="30"/>
    <w:rsid w:val="00DB3823"/>
    <w:rPr>
      <w:b/>
      <w:i/>
      <w:iCs/>
      <w:color w:val="821A1A" w:themeColor="accent1"/>
      <w:sz w:val="20"/>
    </w:rPr>
  </w:style>
  <w:style w:type="character" w:styleId="LineNumber">
    <w:name w:val="line number"/>
    <w:basedOn w:val="DefaultParagraphFont"/>
    <w:uiPriority w:val="99"/>
    <w:unhideWhenUsed/>
    <w:rsid w:val="00DB3823"/>
  </w:style>
  <w:style w:type="paragraph" w:styleId="List">
    <w:name w:val="List"/>
    <w:basedOn w:val="Normal"/>
    <w:uiPriority w:val="99"/>
    <w:unhideWhenUsed/>
    <w:rsid w:val="007C1DC3"/>
    <w:pPr>
      <w:spacing w:after="120"/>
      <w:ind w:left="346"/>
    </w:pPr>
  </w:style>
  <w:style w:type="paragraph" w:styleId="List2">
    <w:name w:val="List 2"/>
    <w:basedOn w:val="List"/>
    <w:uiPriority w:val="99"/>
    <w:unhideWhenUsed/>
    <w:rsid w:val="007C1DC3"/>
    <w:pPr>
      <w:ind w:left="691"/>
    </w:pPr>
  </w:style>
  <w:style w:type="paragraph" w:styleId="List4">
    <w:name w:val="List 4"/>
    <w:basedOn w:val="List3"/>
    <w:uiPriority w:val="99"/>
    <w:unhideWhenUsed/>
    <w:rsid w:val="005A613E"/>
    <w:pPr>
      <w:ind w:left="1382" w:firstLine="0"/>
    </w:pPr>
  </w:style>
  <w:style w:type="paragraph" w:styleId="List3">
    <w:name w:val="List 3"/>
    <w:basedOn w:val="List2"/>
    <w:uiPriority w:val="99"/>
    <w:unhideWhenUsed/>
    <w:rsid w:val="007C1DC3"/>
    <w:pPr>
      <w:ind w:left="2232" w:hanging="1195"/>
    </w:pPr>
  </w:style>
  <w:style w:type="paragraph" w:styleId="List5">
    <w:name w:val="List 5"/>
    <w:basedOn w:val="Normal"/>
    <w:uiPriority w:val="99"/>
    <w:unhideWhenUsed/>
    <w:rsid w:val="007C1DC3"/>
    <w:pPr>
      <w:spacing w:after="120"/>
      <w:ind w:left="1728"/>
    </w:pPr>
  </w:style>
  <w:style w:type="paragraph" w:customStyle="1" w:styleId="ListAlpha">
    <w:name w:val="List Alpha"/>
    <w:basedOn w:val="Normal"/>
    <w:qFormat/>
    <w:rsid w:val="007C1DC3"/>
    <w:pPr>
      <w:numPr>
        <w:numId w:val="3"/>
      </w:numPr>
      <w:spacing w:after="120"/>
    </w:pPr>
  </w:style>
  <w:style w:type="paragraph" w:customStyle="1" w:styleId="ListAlpha2">
    <w:name w:val="List Alpha 2"/>
    <w:basedOn w:val="ListAlpha"/>
    <w:qFormat/>
    <w:rsid w:val="007C1DC3"/>
    <w:pPr>
      <w:numPr>
        <w:ilvl w:val="1"/>
      </w:numPr>
      <w:ind w:left="692" w:hanging="346"/>
    </w:pPr>
  </w:style>
  <w:style w:type="paragraph" w:customStyle="1" w:styleId="ListAlpha3">
    <w:name w:val="List Alpha 3"/>
    <w:basedOn w:val="ListAlpha"/>
    <w:qFormat/>
    <w:rsid w:val="003B1935"/>
    <w:pPr>
      <w:numPr>
        <w:ilvl w:val="2"/>
      </w:numPr>
    </w:pPr>
  </w:style>
  <w:style w:type="paragraph" w:customStyle="1" w:styleId="ListAlpha4">
    <w:name w:val="List Alpha 4"/>
    <w:basedOn w:val="ListAlpha3"/>
    <w:qFormat/>
    <w:rsid w:val="003B1935"/>
    <w:pPr>
      <w:numPr>
        <w:ilvl w:val="3"/>
      </w:numPr>
    </w:pPr>
  </w:style>
  <w:style w:type="paragraph" w:customStyle="1" w:styleId="ListAlpha5">
    <w:name w:val="List Alpha 5"/>
    <w:basedOn w:val="ListAlpha4"/>
    <w:rsid w:val="003B1935"/>
    <w:pPr>
      <w:numPr>
        <w:ilvl w:val="4"/>
      </w:numPr>
    </w:pPr>
  </w:style>
  <w:style w:type="paragraph" w:styleId="ListParagraph">
    <w:name w:val="List Paragraph"/>
    <w:basedOn w:val="Normal"/>
    <w:uiPriority w:val="34"/>
    <w:qFormat/>
    <w:rsid w:val="007C1DC3"/>
    <w:pPr>
      <w:spacing w:after="120"/>
      <w:ind w:left="720"/>
      <w:contextualSpacing/>
    </w:pPr>
  </w:style>
  <w:style w:type="paragraph" w:styleId="ListBullet">
    <w:name w:val="List Bullet"/>
    <w:basedOn w:val="Normal"/>
    <w:uiPriority w:val="99"/>
    <w:unhideWhenUsed/>
    <w:qFormat/>
    <w:rsid w:val="00BE2698"/>
    <w:pPr>
      <w:numPr>
        <w:numId w:val="1"/>
      </w:numPr>
      <w:spacing w:after="120"/>
    </w:pPr>
  </w:style>
  <w:style w:type="paragraph" w:styleId="ListBullet2">
    <w:name w:val="List Bullet 2"/>
    <w:basedOn w:val="Normal"/>
    <w:uiPriority w:val="99"/>
    <w:unhideWhenUsed/>
    <w:qFormat/>
    <w:rsid w:val="00232269"/>
    <w:pPr>
      <w:numPr>
        <w:ilvl w:val="1"/>
        <w:numId w:val="1"/>
      </w:numPr>
      <w:spacing w:after="120"/>
      <w:ind w:left="692" w:hanging="346"/>
    </w:pPr>
  </w:style>
  <w:style w:type="paragraph" w:styleId="ListBullet3">
    <w:name w:val="List Bullet 3"/>
    <w:basedOn w:val="Normal"/>
    <w:uiPriority w:val="99"/>
    <w:unhideWhenUsed/>
    <w:qFormat/>
    <w:rsid w:val="00232269"/>
    <w:pPr>
      <w:numPr>
        <w:ilvl w:val="2"/>
        <w:numId w:val="1"/>
      </w:numPr>
      <w:spacing w:after="120"/>
    </w:pPr>
  </w:style>
  <w:style w:type="paragraph" w:styleId="ListBullet4">
    <w:name w:val="List Bullet 4"/>
    <w:basedOn w:val="Normal"/>
    <w:uiPriority w:val="99"/>
    <w:unhideWhenUsed/>
    <w:qFormat/>
    <w:rsid w:val="00232269"/>
    <w:pPr>
      <w:numPr>
        <w:ilvl w:val="3"/>
        <w:numId w:val="1"/>
      </w:numPr>
      <w:spacing w:after="120"/>
      <w:ind w:left="1383" w:hanging="346"/>
    </w:pPr>
  </w:style>
  <w:style w:type="paragraph" w:styleId="ListBullet5">
    <w:name w:val="List Bullet 5"/>
    <w:basedOn w:val="Normal"/>
    <w:uiPriority w:val="99"/>
    <w:unhideWhenUsed/>
    <w:rsid w:val="00232269"/>
    <w:pPr>
      <w:numPr>
        <w:ilvl w:val="4"/>
        <w:numId w:val="1"/>
      </w:numPr>
      <w:spacing w:after="120"/>
    </w:pPr>
  </w:style>
  <w:style w:type="paragraph" w:customStyle="1" w:styleId="ListBullet6">
    <w:name w:val="List Bullet 6"/>
    <w:basedOn w:val="ListBullet5"/>
    <w:rsid w:val="00BE2698"/>
    <w:pPr>
      <w:numPr>
        <w:ilvl w:val="5"/>
      </w:numPr>
    </w:pPr>
  </w:style>
  <w:style w:type="paragraph" w:customStyle="1" w:styleId="ListBullet7">
    <w:name w:val="List Bullet 7"/>
    <w:basedOn w:val="ListBullet6"/>
    <w:rsid w:val="00DB07DA"/>
    <w:pPr>
      <w:numPr>
        <w:ilvl w:val="6"/>
      </w:numPr>
    </w:pPr>
  </w:style>
  <w:style w:type="paragraph" w:customStyle="1" w:styleId="ListBullet8">
    <w:name w:val="List Bullet 8"/>
    <w:basedOn w:val="ListBullet7"/>
    <w:rsid w:val="00BE2698"/>
    <w:pPr>
      <w:numPr>
        <w:ilvl w:val="7"/>
      </w:numPr>
    </w:pPr>
  </w:style>
  <w:style w:type="paragraph" w:customStyle="1" w:styleId="ListBullet9">
    <w:name w:val="List Bullet 9"/>
    <w:basedOn w:val="ListBullet8"/>
    <w:rsid w:val="00DB07DA"/>
    <w:pPr>
      <w:numPr>
        <w:ilvl w:val="8"/>
      </w:numPr>
    </w:pPr>
  </w:style>
  <w:style w:type="paragraph" w:styleId="ListNumber">
    <w:name w:val="List Number"/>
    <w:basedOn w:val="Normal"/>
    <w:uiPriority w:val="99"/>
    <w:unhideWhenUsed/>
    <w:qFormat/>
    <w:rsid w:val="007C1DC3"/>
    <w:pPr>
      <w:numPr>
        <w:numId w:val="2"/>
      </w:numPr>
      <w:spacing w:after="120"/>
    </w:pPr>
  </w:style>
  <w:style w:type="paragraph" w:styleId="ListNumber2">
    <w:name w:val="List Number 2"/>
    <w:basedOn w:val="ListNumber"/>
    <w:uiPriority w:val="99"/>
    <w:unhideWhenUsed/>
    <w:qFormat/>
    <w:rsid w:val="009E168D"/>
    <w:pPr>
      <w:numPr>
        <w:ilvl w:val="1"/>
      </w:numPr>
      <w:tabs>
        <w:tab w:val="left" w:pos="792"/>
      </w:tabs>
    </w:pPr>
  </w:style>
  <w:style w:type="paragraph" w:styleId="ListNumber3">
    <w:name w:val="List Number 3"/>
    <w:basedOn w:val="ListNumber2"/>
    <w:uiPriority w:val="99"/>
    <w:unhideWhenUsed/>
    <w:qFormat/>
    <w:rsid w:val="009E168D"/>
    <w:pPr>
      <w:numPr>
        <w:ilvl w:val="2"/>
      </w:numPr>
      <w:tabs>
        <w:tab w:val="clear" w:pos="792"/>
        <w:tab w:val="left" w:pos="1195"/>
      </w:tabs>
    </w:pPr>
  </w:style>
  <w:style w:type="paragraph" w:styleId="ListNumber4">
    <w:name w:val="List Number 4"/>
    <w:basedOn w:val="ListNumber3"/>
    <w:uiPriority w:val="99"/>
    <w:unhideWhenUsed/>
    <w:qFormat/>
    <w:rsid w:val="00BA4D70"/>
    <w:pPr>
      <w:numPr>
        <w:ilvl w:val="3"/>
      </w:numPr>
      <w:tabs>
        <w:tab w:val="clear" w:pos="1195"/>
        <w:tab w:val="left" w:pos="1642"/>
      </w:tabs>
    </w:pPr>
  </w:style>
  <w:style w:type="paragraph" w:styleId="ListNumber5">
    <w:name w:val="List Number 5"/>
    <w:basedOn w:val="ListNumber4"/>
    <w:uiPriority w:val="99"/>
    <w:unhideWhenUsed/>
    <w:rsid w:val="00BA4D70"/>
    <w:pPr>
      <w:numPr>
        <w:ilvl w:val="4"/>
      </w:numPr>
      <w:tabs>
        <w:tab w:val="clear" w:pos="1642"/>
        <w:tab w:val="left" w:pos="1987"/>
      </w:tabs>
    </w:pPr>
  </w:style>
  <w:style w:type="paragraph" w:styleId="ListContinue">
    <w:name w:val="List Continue"/>
    <w:basedOn w:val="Normal"/>
    <w:uiPriority w:val="99"/>
    <w:unhideWhenUsed/>
    <w:qFormat/>
    <w:rsid w:val="007C1DC3"/>
    <w:pPr>
      <w:spacing w:after="120"/>
      <w:ind w:left="346"/>
    </w:pPr>
  </w:style>
  <w:style w:type="paragraph" w:styleId="ListContinue2">
    <w:name w:val="List Continue 2"/>
    <w:basedOn w:val="ListContinue"/>
    <w:uiPriority w:val="99"/>
    <w:unhideWhenUsed/>
    <w:qFormat/>
    <w:rsid w:val="0010165E"/>
    <w:pPr>
      <w:ind w:left="691"/>
    </w:pPr>
  </w:style>
  <w:style w:type="paragraph" w:styleId="ListContinue3">
    <w:name w:val="List Continue 3"/>
    <w:basedOn w:val="ListNumber2"/>
    <w:uiPriority w:val="99"/>
    <w:unhideWhenUsed/>
    <w:qFormat/>
    <w:rsid w:val="007C1DC3"/>
    <w:pPr>
      <w:numPr>
        <w:ilvl w:val="0"/>
        <w:numId w:val="0"/>
      </w:numPr>
      <w:ind w:left="1037"/>
    </w:pPr>
  </w:style>
  <w:style w:type="paragraph" w:styleId="ListContinue4">
    <w:name w:val="List Continue 4"/>
    <w:basedOn w:val="ListContinue3"/>
    <w:uiPriority w:val="99"/>
    <w:unhideWhenUsed/>
    <w:qFormat/>
    <w:rsid w:val="0010165E"/>
    <w:pPr>
      <w:ind w:left="1382"/>
    </w:pPr>
  </w:style>
  <w:style w:type="paragraph" w:styleId="ListContinue5">
    <w:name w:val="List Continue 5"/>
    <w:basedOn w:val="ListContinue4"/>
    <w:uiPriority w:val="99"/>
    <w:unhideWhenUsed/>
    <w:rsid w:val="0010165E"/>
    <w:pPr>
      <w:ind w:left="1728"/>
    </w:pPr>
  </w:style>
  <w:style w:type="paragraph" w:styleId="MacroText">
    <w:name w:val="macro"/>
    <w:link w:val="MacroTextChar"/>
    <w:uiPriority w:val="99"/>
    <w:unhideWhenUsed/>
    <w:rsid w:val="00983A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rsid w:val="00983A25"/>
    <w:rPr>
      <w:rFonts w:ascii="Consolas" w:hAnsi="Consolas"/>
      <w:sz w:val="20"/>
      <w:szCs w:val="20"/>
    </w:rPr>
  </w:style>
  <w:style w:type="paragraph" w:styleId="MessageHeader">
    <w:name w:val="Message Header"/>
    <w:basedOn w:val="Normal"/>
    <w:link w:val="MessageHeaderChar"/>
    <w:uiPriority w:val="99"/>
    <w:semiHidden/>
    <w:unhideWhenUsed/>
    <w:rsid w:val="00983A2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983A25"/>
    <w:rPr>
      <w:rFonts w:eastAsiaTheme="majorEastAsia" w:cstheme="majorBidi"/>
      <w:sz w:val="24"/>
      <w:szCs w:val="24"/>
      <w:shd w:val="pct20" w:color="auto" w:fill="auto"/>
    </w:rPr>
  </w:style>
  <w:style w:type="paragraph" w:customStyle="1" w:styleId="Non-numberedHeading1">
    <w:name w:val="Non-numbered Heading 1"/>
    <w:basedOn w:val="Normal"/>
    <w:next w:val="BodyText"/>
    <w:qFormat/>
    <w:rsid w:val="00EA5E04"/>
    <w:pPr>
      <w:keepNext/>
      <w:pageBreakBefore/>
      <w:spacing w:after="480"/>
      <w:outlineLvl w:val="0"/>
    </w:pPr>
    <w:rPr>
      <w:rFonts w:asciiTheme="majorHAnsi" w:eastAsiaTheme="majorEastAsia" w:hAnsiTheme="majorHAnsi" w:cstheme="majorBidi"/>
      <w:b/>
      <w:i/>
      <w:color w:val="000000" w:themeColor="text1"/>
      <w:sz w:val="48"/>
      <w:szCs w:val="32"/>
    </w:rPr>
  </w:style>
  <w:style w:type="paragraph" w:customStyle="1" w:styleId="Non-numberedHeading2">
    <w:name w:val="Non-numbered Heading 2"/>
    <w:basedOn w:val="Non-numberedHeading1"/>
    <w:next w:val="BodyText"/>
    <w:qFormat/>
    <w:rsid w:val="00D75085"/>
    <w:pPr>
      <w:pageBreakBefore w:val="0"/>
      <w:spacing w:after="160"/>
      <w:outlineLvl w:val="1"/>
    </w:pPr>
    <w:rPr>
      <w:color w:val="821A1A" w:themeColor="text2"/>
      <w:sz w:val="32"/>
    </w:rPr>
  </w:style>
  <w:style w:type="paragraph" w:customStyle="1" w:styleId="Non-numberedHeading3">
    <w:name w:val="Non-numbered Heading 3"/>
    <w:basedOn w:val="Non-numberedHeading2"/>
    <w:next w:val="BodyText"/>
    <w:qFormat/>
    <w:rsid w:val="00B83298"/>
    <w:pPr>
      <w:outlineLvl w:val="2"/>
    </w:pPr>
    <w:rPr>
      <w:sz w:val="28"/>
    </w:rPr>
  </w:style>
  <w:style w:type="paragraph" w:customStyle="1" w:styleId="Non-numberedHeading4">
    <w:name w:val="Non-numbered Heading 4"/>
    <w:basedOn w:val="Non-numberedHeading3"/>
    <w:next w:val="BodyText"/>
    <w:qFormat/>
    <w:rsid w:val="00B83298"/>
    <w:pPr>
      <w:outlineLvl w:val="3"/>
    </w:pPr>
    <w:rPr>
      <w:b w:val="0"/>
    </w:rPr>
  </w:style>
  <w:style w:type="paragraph" w:customStyle="1" w:styleId="Non-numberedHeading5">
    <w:name w:val="Non-numbered Heading 5"/>
    <w:basedOn w:val="Non-numberedHeading4"/>
    <w:next w:val="BodyText"/>
    <w:rsid w:val="00B83298"/>
    <w:pPr>
      <w:outlineLvl w:val="4"/>
    </w:pPr>
    <w:rPr>
      <w:sz w:val="24"/>
    </w:rPr>
  </w:style>
  <w:style w:type="paragraph" w:customStyle="1" w:styleId="PwCAddress">
    <w:name w:val="PwC Address"/>
    <w:basedOn w:val="BodyText"/>
    <w:link w:val="PwCAddressChar"/>
    <w:qFormat/>
    <w:rsid w:val="000E3AAB"/>
    <w:pPr>
      <w:spacing w:after="0" w:line="200" w:lineRule="atLeast"/>
    </w:pPr>
    <w:rPr>
      <w:i/>
      <w:sz w:val="18"/>
    </w:rPr>
  </w:style>
  <w:style w:type="paragraph" w:styleId="Quote">
    <w:name w:val="Quote"/>
    <w:basedOn w:val="Normal"/>
    <w:next w:val="Normal"/>
    <w:link w:val="QuoteChar"/>
    <w:uiPriority w:val="29"/>
    <w:rsid w:val="0015255D"/>
    <w:pPr>
      <w:spacing w:line="276" w:lineRule="auto"/>
      <w:jc w:val="center"/>
    </w:pPr>
    <w:rPr>
      <w:i/>
      <w:iCs/>
      <w:color w:val="404040" w:themeColor="text1" w:themeTint="BF"/>
    </w:rPr>
  </w:style>
  <w:style w:type="character" w:customStyle="1" w:styleId="QuoteChar">
    <w:name w:val="Quote Char"/>
    <w:basedOn w:val="DefaultParagraphFont"/>
    <w:link w:val="Quote"/>
    <w:uiPriority w:val="29"/>
    <w:rsid w:val="0015255D"/>
    <w:rPr>
      <w:i/>
      <w:iCs/>
      <w:color w:val="404040" w:themeColor="text1" w:themeTint="BF"/>
      <w:sz w:val="20"/>
    </w:rPr>
  </w:style>
  <w:style w:type="paragraph" w:customStyle="1" w:styleId="Source">
    <w:name w:val="Source"/>
    <w:basedOn w:val="BodyText"/>
    <w:qFormat/>
    <w:rsid w:val="00EA6A72"/>
    <w:pPr>
      <w:spacing w:line="240" w:lineRule="atLeast"/>
    </w:pPr>
    <w:rPr>
      <w:i/>
      <w:sz w:val="16"/>
    </w:rPr>
  </w:style>
  <w:style w:type="paragraph" w:styleId="Subtitle">
    <w:name w:val="Subtitle"/>
    <w:basedOn w:val="Normal"/>
    <w:next w:val="Normal"/>
    <w:link w:val="SubtitleChar"/>
    <w:uiPriority w:val="11"/>
    <w:rsid w:val="005A07F5"/>
    <w:pPr>
      <w:numPr>
        <w:ilvl w:val="1"/>
      </w:numPr>
      <w:spacing w:after="1200"/>
      <w:ind w:left="2376"/>
    </w:pPr>
    <w:rPr>
      <w:rFonts w:asciiTheme="majorHAnsi" w:eastAsiaTheme="minorEastAsia" w:hAnsiTheme="majorHAnsi"/>
      <w:spacing w:val="15"/>
      <w:sz w:val="64"/>
    </w:rPr>
  </w:style>
  <w:style w:type="character" w:customStyle="1" w:styleId="SubtitleChar">
    <w:name w:val="Subtitle Char"/>
    <w:basedOn w:val="DefaultParagraphFont"/>
    <w:link w:val="Subtitle"/>
    <w:uiPriority w:val="11"/>
    <w:rsid w:val="005A07F5"/>
    <w:rPr>
      <w:rFonts w:asciiTheme="majorHAnsi" w:eastAsiaTheme="minorEastAsia" w:hAnsiTheme="majorHAnsi"/>
      <w:spacing w:val="15"/>
      <w:sz w:val="64"/>
    </w:rPr>
  </w:style>
  <w:style w:type="character" w:styleId="SubtleEmphasis">
    <w:name w:val="Subtle Emphasis"/>
    <w:basedOn w:val="DefaultParagraphFont"/>
    <w:uiPriority w:val="19"/>
    <w:rsid w:val="008039B5"/>
    <w:rPr>
      <w:i/>
      <w:iCs/>
      <w:color w:val="7F7F7F" w:themeColor="text1" w:themeTint="80"/>
    </w:rPr>
  </w:style>
  <w:style w:type="paragraph" w:styleId="Title">
    <w:name w:val="Title"/>
    <w:basedOn w:val="Normal"/>
    <w:next w:val="Normal"/>
    <w:link w:val="TitleChar"/>
    <w:uiPriority w:val="10"/>
    <w:rsid w:val="005A07F5"/>
    <w:pPr>
      <w:spacing w:after="0"/>
      <w:ind w:left="2376"/>
      <w:contextualSpacing/>
    </w:pPr>
    <w:rPr>
      <w:rFonts w:asciiTheme="majorHAnsi" w:eastAsiaTheme="majorEastAsia" w:hAnsiTheme="majorHAnsi" w:cstheme="majorBidi"/>
      <w:b/>
      <w:i/>
      <w:spacing w:val="-10"/>
      <w:kern w:val="28"/>
      <w:sz w:val="64"/>
      <w:szCs w:val="56"/>
    </w:rPr>
  </w:style>
  <w:style w:type="character" w:customStyle="1" w:styleId="TitleChar">
    <w:name w:val="Title Char"/>
    <w:basedOn w:val="DefaultParagraphFont"/>
    <w:link w:val="Title"/>
    <w:uiPriority w:val="10"/>
    <w:rsid w:val="005A07F5"/>
    <w:rPr>
      <w:rFonts w:asciiTheme="majorHAnsi" w:eastAsiaTheme="majorEastAsia" w:hAnsiTheme="majorHAnsi" w:cstheme="majorBidi"/>
      <w:b/>
      <w:i/>
      <w:spacing w:val="-10"/>
      <w:kern w:val="28"/>
      <w:sz w:val="64"/>
      <w:szCs w:val="56"/>
    </w:rPr>
  </w:style>
  <w:style w:type="paragraph" w:styleId="TOC1">
    <w:name w:val="toc 1"/>
    <w:basedOn w:val="Normal"/>
    <w:next w:val="Normal"/>
    <w:autoRedefine/>
    <w:uiPriority w:val="39"/>
    <w:unhideWhenUsed/>
    <w:rsid w:val="0039054A"/>
    <w:pPr>
      <w:tabs>
        <w:tab w:val="right" w:leader="dot" w:pos="9634"/>
      </w:tabs>
      <w:spacing w:after="0" w:line="360" w:lineRule="auto"/>
    </w:pPr>
    <w:rPr>
      <w:b/>
      <w:color w:val="821A1A" w:themeColor="text2"/>
    </w:rPr>
  </w:style>
  <w:style w:type="paragraph" w:styleId="TOC2">
    <w:name w:val="toc 2"/>
    <w:basedOn w:val="Normal"/>
    <w:next w:val="Normal"/>
    <w:autoRedefine/>
    <w:uiPriority w:val="39"/>
    <w:unhideWhenUsed/>
    <w:rsid w:val="0039054A"/>
    <w:pPr>
      <w:tabs>
        <w:tab w:val="right" w:leader="dot" w:pos="9634"/>
      </w:tabs>
      <w:spacing w:after="0" w:line="360" w:lineRule="auto"/>
      <w:ind w:left="360"/>
    </w:pPr>
  </w:style>
  <w:style w:type="paragraph" w:styleId="TOC3">
    <w:name w:val="toc 3"/>
    <w:basedOn w:val="Normal"/>
    <w:next w:val="Normal"/>
    <w:autoRedefine/>
    <w:uiPriority w:val="39"/>
    <w:unhideWhenUsed/>
    <w:rsid w:val="0039054A"/>
    <w:pPr>
      <w:tabs>
        <w:tab w:val="right" w:leader="dot" w:pos="9634"/>
      </w:tabs>
      <w:spacing w:after="0" w:line="360" w:lineRule="auto"/>
      <w:ind w:left="720"/>
    </w:pPr>
  </w:style>
  <w:style w:type="paragraph" w:styleId="TOC4">
    <w:name w:val="toc 4"/>
    <w:basedOn w:val="Normal"/>
    <w:next w:val="Normal"/>
    <w:autoRedefine/>
    <w:uiPriority w:val="39"/>
    <w:semiHidden/>
    <w:unhideWhenUsed/>
    <w:rsid w:val="0039054A"/>
    <w:pPr>
      <w:tabs>
        <w:tab w:val="right" w:leader="dot" w:pos="9360"/>
      </w:tabs>
      <w:spacing w:after="0" w:line="360" w:lineRule="auto"/>
    </w:pPr>
  </w:style>
  <w:style w:type="paragraph" w:styleId="TOC5">
    <w:name w:val="toc 5"/>
    <w:basedOn w:val="Normal"/>
    <w:next w:val="Normal"/>
    <w:autoRedefine/>
    <w:uiPriority w:val="39"/>
    <w:semiHidden/>
    <w:unhideWhenUsed/>
    <w:rsid w:val="004A1E24"/>
    <w:pPr>
      <w:spacing w:before="120" w:after="120" w:line="240" w:lineRule="atLeast"/>
      <w:ind w:left="806"/>
    </w:pPr>
  </w:style>
  <w:style w:type="paragraph" w:styleId="TOCHeading">
    <w:name w:val="TOC Heading"/>
    <w:basedOn w:val="Heading1"/>
    <w:next w:val="Normal"/>
    <w:uiPriority w:val="39"/>
    <w:unhideWhenUsed/>
    <w:qFormat/>
    <w:rsid w:val="00D20CDA"/>
    <w:pPr>
      <w:keepLines/>
      <w:pageBreakBefore w:val="0"/>
      <w:numPr>
        <w:numId w:val="0"/>
      </w:numPr>
      <w:outlineLvl w:val="9"/>
    </w:pPr>
  </w:style>
  <w:style w:type="paragraph" w:customStyle="1" w:styleId="ListRoman">
    <w:name w:val="List Roman"/>
    <w:basedOn w:val="BodyText"/>
    <w:qFormat/>
    <w:rsid w:val="007C1DC3"/>
    <w:pPr>
      <w:numPr>
        <w:numId w:val="4"/>
      </w:numPr>
      <w:spacing w:after="120"/>
    </w:pPr>
  </w:style>
  <w:style w:type="paragraph" w:customStyle="1" w:styleId="ListRoman2">
    <w:name w:val="List Roman 2"/>
    <w:basedOn w:val="ListRoman"/>
    <w:qFormat/>
    <w:rsid w:val="00D80995"/>
    <w:pPr>
      <w:numPr>
        <w:ilvl w:val="1"/>
      </w:numPr>
      <w:tabs>
        <w:tab w:val="left" w:pos="792"/>
      </w:tabs>
    </w:pPr>
  </w:style>
  <w:style w:type="paragraph" w:customStyle="1" w:styleId="ListRoman3">
    <w:name w:val="List Roman 3"/>
    <w:basedOn w:val="ListRoman2"/>
    <w:qFormat/>
    <w:rsid w:val="00D80995"/>
    <w:pPr>
      <w:numPr>
        <w:ilvl w:val="2"/>
      </w:numPr>
      <w:tabs>
        <w:tab w:val="clear" w:pos="792"/>
        <w:tab w:val="left" w:pos="1195"/>
      </w:tabs>
    </w:pPr>
  </w:style>
  <w:style w:type="paragraph" w:customStyle="1" w:styleId="ListRoman4">
    <w:name w:val="List Roman 4"/>
    <w:basedOn w:val="ListRoman3"/>
    <w:qFormat/>
    <w:rsid w:val="00D80995"/>
    <w:pPr>
      <w:numPr>
        <w:ilvl w:val="3"/>
      </w:numPr>
      <w:tabs>
        <w:tab w:val="clear" w:pos="1195"/>
        <w:tab w:val="left" w:pos="1584"/>
      </w:tabs>
    </w:pPr>
  </w:style>
  <w:style w:type="paragraph" w:customStyle="1" w:styleId="ListRoman5">
    <w:name w:val="List Roman 5"/>
    <w:basedOn w:val="ListRoman4"/>
    <w:rsid w:val="00D80995"/>
    <w:pPr>
      <w:numPr>
        <w:ilvl w:val="4"/>
      </w:numPr>
      <w:tabs>
        <w:tab w:val="clear" w:pos="1584"/>
        <w:tab w:val="left" w:pos="1987"/>
      </w:tabs>
    </w:pPr>
  </w:style>
  <w:style w:type="table" w:styleId="TableGrid">
    <w:name w:val="Table Grid"/>
    <w:basedOn w:val="TableNormal"/>
    <w:uiPriority w:val="39"/>
    <w:rsid w:val="000D5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511A"/>
    <w:rPr>
      <w:sz w:val="16"/>
      <w:szCs w:val="16"/>
    </w:rPr>
  </w:style>
  <w:style w:type="paragraph" w:styleId="CommentSubject">
    <w:name w:val="annotation subject"/>
    <w:basedOn w:val="CommentText"/>
    <w:next w:val="CommentText"/>
    <w:link w:val="CommentSubjectChar"/>
    <w:uiPriority w:val="99"/>
    <w:semiHidden/>
    <w:unhideWhenUsed/>
    <w:rsid w:val="000D511A"/>
    <w:rPr>
      <w:b/>
      <w:bCs/>
    </w:rPr>
  </w:style>
  <w:style w:type="character" w:customStyle="1" w:styleId="CommentSubjectChar">
    <w:name w:val="Comment Subject Char"/>
    <w:basedOn w:val="CommentTextChar"/>
    <w:link w:val="CommentSubject"/>
    <w:uiPriority w:val="99"/>
    <w:semiHidden/>
    <w:rsid w:val="000D511A"/>
    <w:rPr>
      <w:b/>
      <w:bCs/>
      <w:sz w:val="20"/>
      <w:szCs w:val="20"/>
    </w:rPr>
  </w:style>
  <w:style w:type="paragraph" w:styleId="BalloonText">
    <w:name w:val="Balloon Text"/>
    <w:basedOn w:val="Normal"/>
    <w:link w:val="BalloonTextChar"/>
    <w:uiPriority w:val="99"/>
    <w:semiHidden/>
    <w:unhideWhenUsed/>
    <w:rsid w:val="000D51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11A"/>
    <w:rPr>
      <w:rFonts w:ascii="Segoe UI" w:hAnsi="Segoe UI" w:cs="Segoe UI"/>
      <w:sz w:val="18"/>
      <w:szCs w:val="18"/>
    </w:rPr>
  </w:style>
  <w:style w:type="character" w:styleId="PlaceholderText">
    <w:name w:val="Placeholder Text"/>
    <w:basedOn w:val="DefaultParagraphFont"/>
    <w:uiPriority w:val="99"/>
    <w:semiHidden/>
    <w:rsid w:val="004137BF"/>
    <w:rPr>
      <w:color w:val="808080"/>
    </w:rPr>
  </w:style>
  <w:style w:type="table" w:customStyle="1" w:styleId="PwCTableText">
    <w:name w:val="PwC Table Text"/>
    <w:basedOn w:val="TableNormal"/>
    <w:uiPriority w:val="99"/>
    <w:rsid w:val="00F0063B"/>
    <w:pPr>
      <w:spacing w:before="100" w:beforeAutospacing="1" w:after="100" w:afterAutospacing="1" w:line="240" w:lineRule="auto"/>
    </w:pPr>
    <w:rPr>
      <w:rFonts w:ascii="Georgia" w:hAnsi="Georgia"/>
      <w:sz w:val="18"/>
    </w:rPr>
    <w:tblPr>
      <w:tblBorders>
        <w:insideH w:val="dotted" w:sz="4" w:space="0" w:color="821A1A" w:themeColor="accent1"/>
      </w:tblBorders>
      <w:tblCellMar>
        <w:top w:w="72" w:type="dxa"/>
        <w:left w:w="115" w:type="dxa"/>
        <w:bottom w:w="72" w:type="dxa"/>
        <w:right w:w="115" w:type="dxa"/>
      </w:tblCellMar>
    </w:tblPr>
    <w:tcPr>
      <w:vAlign w:val="center"/>
    </w:tcPr>
    <w:tblStylePr w:type="firstRow">
      <w:pPr>
        <w:jc w:val="left"/>
      </w:pPr>
      <w:rPr>
        <w:rFonts w:asciiTheme="majorHAnsi" w:hAnsiTheme="majorHAnsi"/>
        <w:b/>
        <w:color w:val="821A1A" w:themeColor="text2"/>
        <w:sz w:val="18"/>
      </w:rPr>
      <w:tblPr/>
      <w:tcPr>
        <w:tcBorders>
          <w:top w:val="single" w:sz="6" w:space="0" w:color="821A1A" w:themeColor="accent1"/>
          <w:left w:val="nil"/>
          <w:bottom w:val="single" w:sz="6" w:space="0" w:color="821A1A" w:themeColor="accent1"/>
          <w:right w:val="nil"/>
          <w:insideH w:val="nil"/>
          <w:insideV w:val="nil"/>
          <w:tl2br w:val="nil"/>
          <w:tr2bl w:val="nil"/>
        </w:tcBorders>
      </w:tcPr>
    </w:tblStylePr>
  </w:style>
  <w:style w:type="table" w:customStyle="1" w:styleId="PwCTableofFigures">
    <w:name w:val="PwC Table of Figures"/>
    <w:basedOn w:val="PwCTableText"/>
    <w:uiPriority w:val="99"/>
    <w:rsid w:val="00F0063B"/>
    <w:pPr>
      <w:spacing w:after="0"/>
      <w:jc w:val="right"/>
    </w:pPr>
    <w:rPr>
      <w:rFonts w:ascii="Arial" w:hAnsi="Arial"/>
    </w:rPr>
    <w:tblPr/>
    <w:tblStylePr w:type="firstRow">
      <w:pPr>
        <w:jc w:val="right"/>
      </w:pPr>
      <w:rPr>
        <w:rFonts w:asciiTheme="majorHAnsi" w:hAnsiTheme="majorHAnsi"/>
        <w:b/>
        <w:color w:val="821A1A" w:themeColor="text2"/>
        <w:sz w:val="18"/>
      </w:rPr>
      <w:tblPr/>
      <w:tcPr>
        <w:tcBorders>
          <w:top w:val="single" w:sz="6" w:space="0" w:color="821A1A" w:themeColor="accent1"/>
          <w:left w:val="nil"/>
          <w:bottom w:val="single" w:sz="6" w:space="0" w:color="821A1A" w:themeColor="accent1"/>
          <w:right w:val="nil"/>
          <w:insideH w:val="nil"/>
          <w:insideV w:val="nil"/>
          <w:tl2br w:val="nil"/>
          <w:tr2bl w:val="nil"/>
        </w:tcBorders>
      </w:tcPr>
    </w:tblStylePr>
  </w:style>
  <w:style w:type="table" w:customStyle="1" w:styleId="Style1">
    <w:name w:val="Style1"/>
    <w:basedOn w:val="PwCTableText"/>
    <w:uiPriority w:val="99"/>
    <w:rsid w:val="00F0063B"/>
    <w:pPr>
      <w:spacing w:after="0"/>
    </w:pPr>
    <w:tblPr>
      <w:tblBorders>
        <w:top w:val="single" w:sz="4" w:space="0" w:color="821A1A" w:themeColor="accent1"/>
        <w:left w:val="single" w:sz="4" w:space="0" w:color="821A1A" w:themeColor="accent1"/>
        <w:bottom w:val="single" w:sz="4" w:space="0" w:color="821A1A" w:themeColor="accent1"/>
        <w:right w:val="single" w:sz="4" w:space="0" w:color="821A1A" w:themeColor="accent1"/>
        <w:insideH w:val="single" w:sz="4" w:space="0" w:color="821A1A" w:themeColor="accent1"/>
        <w:insideV w:val="single" w:sz="4" w:space="0" w:color="821A1A" w:themeColor="accent1"/>
      </w:tblBorders>
    </w:tblPr>
    <w:tblStylePr w:type="firstRow">
      <w:pPr>
        <w:jc w:val="left"/>
      </w:pPr>
      <w:rPr>
        <w:rFonts w:asciiTheme="majorHAnsi" w:hAnsiTheme="majorHAnsi"/>
        <w:b/>
        <w:color w:val="821A1A" w:themeColor="text2"/>
        <w:sz w:val="18"/>
      </w:rPr>
      <w:tblPr/>
      <w:tcPr>
        <w:tcBorders>
          <w:top w:val="single" w:sz="4" w:space="0" w:color="821A1A" w:themeColor="accent1"/>
          <w:left w:val="single" w:sz="4" w:space="0" w:color="821A1A" w:themeColor="accent1"/>
          <w:bottom w:val="single" w:sz="4" w:space="0" w:color="821A1A" w:themeColor="accent1"/>
          <w:right w:val="single" w:sz="4" w:space="0" w:color="821A1A" w:themeColor="accent1"/>
          <w:insideH w:val="nil"/>
          <w:insideV w:val="single" w:sz="4" w:space="0" w:color="821A1A" w:themeColor="accent1"/>
          <w:tl2br w:val="nil"/>
          <w:tr2bl w:val="nil"/>
        </w:tcBorders>
      </w:tcPr>
    </w:tblStylePr>
  </w:style>
  <w:style w:type="table" w:customStyle="1" w:styleId="SmartTextListTable">
    <w:name w:val="Smart Text List Table"/>
    <w:basedOn w:val="PwCTableText"/>
    <w:uiPriority w:val="99"/>
    <w:rsid w:val="00F0063B"/>
    <w:pPr>
      <w:spacing w:after="0"/>
    </w:pPr>
    <w:tblPr/>
    <w:tblStylePr w:type="firstRow">
      <w:pPr>
        <w:jc w:val="left"/>
      </w:pPr>
      <w:rPr>
        <w:rFonts w:asciiTheme="majorHAnsi" w:hAnsiTheme="majorHAnsi"/>
        <w:b/>
        <w:color w:val="821A1A" w:themeColor="text2"/>
        <w:sz w:val="18"/>
      </w:rPr>
      <w:tblPr/>
      <w:tcPr>
        <w:tcBorders>
          <w:top w:val="nil"/>
          <w:left w:val="nil"/>
          <w:bottom w:val="single" w:sz="6" w:space="0" w:color="821A1A" w:themeColor="accent1"/>
          <w:right w:val="nil"/>
          <w:insideH w:val="nil"/>
          <w:insideV w:val="nil"/>
          <w:tl2br w:val="nil"/>
          <w:tr2bl w:val="nil"/>
        </w:tcBorders>
      </w:tcPr>
    </w:tblStylePr>
  </w:style>
  <w:style w:type="table" w:customStyle="1" w:styleId="SmartBasicTable">
    <w:name w:val="Smart Basic Table"/>
    <w:basedOn w:val="PwCTableText"/>
    <w:uiPriority w:val="99"/>
    <w:rsid w:val="00F0063B"/>
    <w:pPr>
      <w:spacing w:after="0"/>
    </w:pPr>
    <w:tblPr/>
    <w:tblStylePr w:type="firstRow">
      <w:pPr>
        <w:jc w:val="left"/>
      </w:pPr>
      <w:rPr>
        <w:rFonts w:asciiTheme="majorHAnsi" w:hAnsiTheme="majorHAnsi"/>
        <w:b/>
        <w:color w:val="821A1A" w:themeColor="text2"/>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BodyTextIndent">
    <w:name w:val="Body Text Indent"/>
    <w:basedOn w:val="Normal"/>
    <w:link w:val="BodyTextIndentChar"/>
    <w:uiPriority w:val="99"/>
    <w:semiHidden/>
    <w:unhideWhenUsed/>
    <w:rsid w:val="00203B51"/>
    <w:pPr>
      <w:spacing w:after="120"/>
      <w:ind w:left="360"/>
    </w:pPr>
  </w:style>
  <w:style w:type="character" w:customStyle="1" w:styleId="BodyTextIndentChar">
    <w:name w:val="Body Text Indent Char"/>
    <w:basedOn w:val="DefaultParagraphFont"/>
    <w:link w:val="BodyTextIndent"/>
    <w:uiPriority w:val="99"/>
    <w:semiHidden/>
    <w:rsid w:val="00203B51"/>
    <w:rPr>
      <w:sz w:val="20"/>
    </w:rPr>
  </w:style>
  <w:style w:type="character" w:styleId="BookTitle">
    <w:name w:val="Book Title"/>
    <w:basedOn w:val="DefaultParagraphFont"/>
    <w:uiPriority w:val="33"/>
    <w:rsid w:val="00203B51"/>
    <w:rPr>
      <w:b/>
      <w:bCs/>
      <w:i/>
      <w:iCs/>
      <w:spacing w:val="5"/>
    </w:rPr>
  </w:style>
  <w:style w:type="paragraph" w:styleId="NoSpacing">
    <w:name w:val="No Spacing"/>
    <w:uiPriority w:val="1"/>
    <w:rsid w:val="008F5AF9"/>
    <w:pPr>
      <w:spacing w:after="0" w:line="240" w:lineRule="auto"/>
    </w:pPr>
  </w:style>
  <w:style w:type="character" w:styleId="Strong">
    <w:name w:val="Strong"/>
    <w:basedOn w:val="DefaultParagraphFont"/>
    <w:uiPriority w:val="22"/>
    <w:rsid w:val="008F5AF9"/>
    <w:rPr>
      <w:b/>
      <w:bCs/>
    </w:rPr>
  </w:style>
  <w:style w:type="character" w:styleId="SubtleReference">
    <w:name w:val="Subtle Reference"/>
    <w:basedOn w:val="DefaultParagraphFont"/>
    <w:uiPriority w:val="31"/>
    <w:rsid w:val="008F5AF9"/>
    <w:rPr>
      <w:smallCaps/>
      <w:color w:val="5A5A5A" w:themeColor="text1" w:themeTint="A5"/>
    </w:rPr>
  </w:style>
  <w:style w:type="paragraph" w:customStyle="1" w:styleId="AppendixHeading1">
    <w:name w:val="Appendix Heading 1"/>
    <w:basedOn w:val="Heading1"/>
    <w:next w:val="AppendixHeading2"/>
    <w:rsid w:val="00725A72"/>
    <w:pPr>
      <w:numPr>
        <w:numId w:val="6"/>
      </w:numPr>
      <w:ind w:left="0" w:firstLine="0"/>
    </w:pPr>
  </w:style>
  <w:style w:type="paragraph" w:customStyle="1" w:styleId="AppendixHeading2">
    <w:name w:val="Appendix Heading 2"/>
    <w:basedOn w:val="AppendixHeading1"/>
    <w:next w:val="BodyText"/>
    <w:rsid w:val="00725A72"/>
    <w:pPr>
      <w:pageBreakBefore w:val="0"/>
      <w:numPr>
        <w:ilvl w:val="1"/>
      </w:numPr>
      <w:spacing w:after="160"/>
      <w:ind w:left="0" w:firstLine="0"/>
      <w:outlineLvl w:val="1"/>
    </w:pPr>
    <w:rPr>
      <w:color w:val="821A1A" w:themeColor="text2"/>
      <w:sz w:val="32"/>
    </w:rPr>
  </w:style>
  <w:style w:type="paragraph" w:customStyle="1" w:styleId="AppendixHeading3">
    <w:name w:val="Appendix Heading 3"/>
    <w:basedOn w:val="AppendixHeading2"/>
    <w:next w:val="BodyText"/>
    <w:rsid w:val="00725A72"/>
    <w:pPr>
      <w:numPr>
        <w:ilvl w:val="2"/>
      </w:numPr>
      <w:ind w:left="0" w:firstLine="0"/>
      <w:outlineLvl w:val="2"/>
    </w:pPr>
    <w:rPr>
      <w:sz w:val="28"/>
    </w:rPr>
  </w:style>
  <w:style w:type="paragraph" w:customStyle="1" w:styleId="AppendixHeading4">
    <w:name w:val="Appendix Heading 4"/>
    <w:basedOn w:val="AppendixHeading3"/>
    <w:next w:val="BodyText"/>
    <w:rsid w:val="00725A72"/>
    <w:pPr>
      <w:numPr>
        <w:ilvl w:val="3"/>
      </w:numPr>
      <w:ind w:left="0" w:firstLine="0"/>
      <w:outlineLvl w:val="3"/>
    </w:pPr>
    <w:rPr>
      <w:b w:val="0"/>
    </w:rPr>
  </w:style>
  <w:style w:type="paragraph" w:customStyle="1" w:styleId="AppendixHeading5">
    <w:name w:val="Appendix Heading 5"/>
    <w:basedOn w:val="AppendixHeading4"/>
    <w:next w:val="BodyText"/>
    <w:rsid w:val="00725A72"/>
    <w:pPr>
      <w:numPr>
        <w:ilvl w:val="4"/>
      </w:numPr>
      <w:ind w:left="0" w:firstLine="0"/>
      <w:outlineLvl w:val="4"/>
    </w:pPr>
    <w:rPr>
      <w:sz w:val="24"/>
    </w:rPr>
  </w:style>
  <w:style w:type="character" w:customStyle="1" w:styleId="AddressChar">
    <w:name w:val="Address Char"/>
    <w:basedOn w:val="DefaultParagraphFont"/>
    <w:link w:val="Address"/>
    <w:locked/>
    <w:rsid w:val="001106C8"/>
    <w:rPr>
      <w:i/>
      <w:sz w:val="18"/>
    </w:rPr>
  </w:style>
  <w:style w:type="character" w:customStyle="1" w:styleId="DisclaimerChar">
    <w:name w:val="Disclaimer Char"/>
    <w:basedOn w:val="DefaultParagraphFont"/>
    <w:link w:val="Disclaimer"/>
    <w:locked/>
    <w:rsid w:val="001106C8"/>
    <w:rPr>
      <w:sz w:val="16"/>
    </w:rPr>
  </w:style>
  <w:style w:type="paragraph" w:styleId="TOAHeading">
    <w:name w:val="toa heading"/>
    <w:basedOn w:val="Normal"/>
    <w:next w:val="Normal"/>
    <w:uiPriority w:val="99"/>
    <w:unhideWhenUsed/>
    <w:rsid w:val="006D6992"/>
    <w:pPr>
      <w:spacing w:before="120"/>
    </w:pPr>
    <w:rPr>
      <w:rFonts w:asciiTheme="majorHAnsi" w:eastAsiaTheme="majorEastAsia" w:hAnsiTheme="majorHAnsi" w:cstheme="majorBidi"/>
      <w:b/>
      <w:bCs/>
      <w:sz w:val="24"/>
      <w:szCs w:val="24"/>
    </w:rPr>
  </w:style>
  <w:style w:type="paragraph" w:customStyle="1" w:styleId="BlockText2">
    <w:name w:val="Block Text 2"/>
    <w:basedOn w:val="BlockText"/>
    <w:rsid w:val="00A91EB3"/>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D9D9D9" w:themeFill="background2" w:themeFillShade="D9"/>
    </w:pPr>
  </w:style>
  <w:style w:type="paragraph" w:customStyle="1" w:styleId="Heading1wSubheading">
    <w:name w:val="Heading 1 w/Subheading"/>
    <w:basedOn w:val="Heading1"/>
    <w:next w:val="Subheading"/>
    <w:rsid w:val="004F3932"/>
    <w:pPr>
      <w:spacing w:after="0"/>
    </w:pPr>
  </w:style>
  <w:style w:type="paragraph" w:customStyle="1" w:styleId="Subheading">
    <w:name w:val="Subheading"/>
    <w:basedOn w:val="Heading1wSubheading"/>
    <w:rsid w:val="00E41E4D"/>
    <w:pPr>
      <w:pageBreakBefore w:val="0"/>
      <w:numPr>
        <w:numId w:val="0"/>
      </w:numPr>
      <w:spacing w:after="480"/>
    </w:pPr>
    <w:rPr>
      <w:b w:val="0"/>
      <w:i w:val="0"/>
      <w:sz w:val="44"/>
    </w:rPr>
  </w:style>
  <w:style w:type="paragraph" w:customStyle="1" w:styleId="Non-numberedHeading1wSubheading">
    <w:name w:val="Non-numbered Heading 1 w/Subheading"/>
    <w:basedOn w:val="Non-numberedHeading1"/>
    <w:next w:val="Subheading"/>
    <w:rsid w:val="006F3559"/>
    <w:pPr>
      <w:spacing w:after="0"/>
    </w:pPr>
  </w:style>
  <w:style w:type="paragraph" w:customStyle="1" w:styleId="AppendixHeading1wSubheading">
    <w:name w:val="Appendix Heading 1 w/Subheading"/>
    <w:basedOn w:val="AppendixHeading1"/>
    <w:next w:val="Subheading"/>
    <w:rsid w:val="006364BB"/>
    <w:pPr>
      <w:spacing w:after="0"/>
    </w:pPr>
  </w:style>
  <w:style w:type="paragraph" w:customStyle="1" w:styleId="ExhibitHeading1wSubheading">
    <w:name w:val="Exhibit Heading 1 w/Subheading"/>
    <w:basedOn w:val="ExhibitHeading1"/>
    <w:next w:val="Subheading"/>
    <w:rsid w:val="00A82344"/>
    <w:pPr>
      <w:spacing w:after="0"/>
    </w:pPr>
  </w:style>
  <w:style w:type="paragraph" w:customStyle="1" w:styleId="Attorneyworkproduct">
    <w:name w:val="Attorney work product"/>
    <w:rsid w:val="009E6C68"/>
    <w:pPr>
      <w:spacing w:after="200" w:line="240" w:lineRule="auto"/>
    </w:pPr>
    <w:rPr>
      <w:szCs w:val="22"/>
    </w:rPr>
  </w:style>
  <w:style w:type="character" w:customStyle="1" w:styleId="GuidanceChar">
    <w:name w:val="Guidance Char"/>
    <w:basedOn w:val="DefaultParagraphFont"/>
    <w:link w:val="Guidance"/>
    <w:uiPriority w:val="99"/>
    <w:rsid w:val="0090466E"/>
    <w:rPr>
      <w:rFonts w:ascii="Arial" w:hAnsi="Arial"/>
      <w:color w:val="00A5FF"/>
      <w:sz w:val="16"/>
    </w:rPr>
  </w:style>
  <w:style w:type="table" w:customStyle="1" w:styleId="GridTable4-Accent11">
    <w:name w:val="Grid Table 4 - Accent 11"/>
    <w:basedOn w:val="TableNormal"/>
    <w:uiPriority w:val="49"/>
    <w:rsid w:val="00F105FA"/>
    <w:pPr>
      <w:spacing w:after="0" w:line="240" w:lineRule="auto"/>
    </w:pPr>
    <w:tblPr>
      <w:tblStyleRowBandSize w:val="1"/>
      <w:tblStyleColBandSize w:val="1"/>
      <w:tblBorders>
        <w:top w:val="single" w:sz="4" w:space="0" w:color="DB4D4D" w:themeColor="accent1" w:themeTint="99"/>
        <w:left w:val="single" w:sz="4" w:space="0" w:color="DB4D4D" w:themeColor="accent1" w:themeTint="99"/>
        <w:bottom w:val="single" w:sz="4" w:space="0" w:color="DB4D4D" w:themeColor="accent1" w:themeTint="99"/>
        <w:right w:val="single" w:sz="4" w:space="0" w:color="DB4D4D" w:themeColor="accent1" w:themeTint="99"/>
        <w:insideH w:val="single" w:sz="4" w:space="0" w:color="DB4D4D" w:themeColor="accent1" w:themeTint="99"/>
        <w:insideV w:val="single" w:sz="4" w:space="0" w:color="DB4D4D" w:themeColor="accent1" w:themeTint="99"/>
      </w:tblBorders>
    </w:tblPr>
    <w:tblStylePr w:type="firstRow">
      <w:rPr>
        <w:b/>
        <w:bCs/>
        <w:color w:val="FFFFFF" w:themeColor="background1"/>
      </w:rPr>
      <w:tblPr/>
      <w:tcPr>
        <w:tcBorders>
          <w:top w:val="single" w:sz="4" w:space="0" w:color="821A1A" w:themeColor="accent1"/>
          <w:left w:val="single" w:sz="4" w:space="0" w:color="821A1A" w:themeColor="accent1"/>
          <w:bottom w:val="single" w:sz="4" w:space="0" w:color="821A1A" w:themeColor="accent1"/>
          <w:right w:val="single" w:sz="4" w:space="0" w:color="821A1A" w:themeColor="accent1"/>
          <w:insideH w:val="nil"/>
          <w:insideV w:val="nil"/>
        </w:tcBorders>
        <w:shd w:val="clear" w:color="auto" w:fill="821A1A" w:themeFill="accent1"/>
      </w:tcPr>
    </w:tblStylePr>
    <w:tblStylePr w:type="lastRow">
      <w:rPr>
        <w:b/>
        <w:bCs/>
      </w:rPr>
      <w:tblPr/>
      <w:tcPr>
        <w:tcBorders>
          <w:top w:val="double" w:sz="4" w:space="0" w:color="821A1A" w:themeColor="accent1"/>
        </w:tcBorders>
      </w:tcPr>
    </w:tblStylePr>
    <w:tblStylePr w:type="firstCol">
      <w:rPr>
        <w:b/>
        <w:bCs/>
      </w:rPr>
    </w:tblStylePr>
    <w:tblStylePr w:type="lastCol">
      <w:rPr>
        <w:b/>
        <w:bCs/>
      </w:rPr>
    </w:tblStylePr>
    <w:tblStylePr w:type="band1Vert">
      <w:tblPr/>
      <w:tcPr>
        <w:shd w:val="clear" w:color="auto" w:fill="F3C3C3" w:themeFill="accent1" w:themeFillTint="33"/>
      </w:tcPr>
    </w:tblStylePr>
    <w:tblStylePr w:type="band1Horz">
      <w:tblPr/>
      <w:tcPr>
        <w:shd w:val="clear" w:color="auto" w:fill="F3C3C3" w:themeFill="accent1" w:themeFillTint="33"/>
      </w:tcPr>
    </w:tblStylePr>
  </w:style>
  <w:style w:type="paragraph" w:customStyle="1" w:styleId="BodySingle">
    <w:name w:val="Body Single"/>
    <w:basedOn w:val="BodyText"/>
    <w:link w:val="BodySingleChar"/>
    <w:uiPriority w:val="1"/>
    <w:qFormat/>
    <w:rsid w:val="001B284D"/>
    <w:pPr>
      <w:spacing w:after="0" w:line="290" w:lineRule="atLeast"/>
    </w:pPr>
    <w:rPr>
      <w:rFonts w:ascii="Arial" w:eastAsia="Times New Roman" w:hAnsi="Arial" w:cs="Times New Roman"/>
      <w:lang w:val="en-GB"/>
    </w:rPr>
  </w:style>
  <w:style w:type="character" w:customStyle="1" w:styleId="BodySingleChar">
    <w:name w:val="Body Single Char"/>
    <w:basedOn w:val="BodyTextChar"/>
    <w:link w:val="BodySingle"/>
    <w:uiPriority w:val="1"/>
    <w:rsid w:val="001B284D"/>
    <w:rPr>
      <w:rFonts w:ascii="Arial" w:eastAsia="Times New Roman" w:hAnsi="Arial" w:cs="Times New Roman"/>
      <w:sz w:val="20"/>
      <w:lang w:val="en-GB"/>
    </w:rPr>
  </w:style>
  <w:style w:type="table" w:customStyle="1" w:styleId="GridTable4-Accent12">
    <w:name w:val="Grid Table 4 - Accent 12"/>
    <w:basedOn w:val="TableNormal"/>
    <w:uiPriority w:val="49"/>
    <w:rsid w:val="009736F7"/>
    <w:pPr>
      <w:spacing w:after="0" w:line="240" w:lineRule="auto"/>
    </w:pPr>
    <w:tblPr>
      <w:tblStyleRowBandSize w:val="1"/>
      <w:tblStyleColBandSize w:val="1"/>
      <w:tblBorders>
        <w:top w:val="single" w:sz="4" w:space="0" w:color="DB4D4D" w:themeColor="accent1" w:themeTint="99"/>
        <w:left w:val="single" w:sz="4" w:space="0" w:color="DB4D4D" w:themeColor="accent1" w:themeTint="99"/>
        <w:bottom w:val="single" w:sz="4" w:space="0" w:color="DB4D4D" w:themeColor="accent1" w:themeTint="99"/>
        <w:right w:val="single" w:sz="4" w:space="0" w:color="DB4D4D" w:themeColor="accent1" w:themeTint="99"/>
        <w:insideH w:val="single" w:sz="4" w:space="0" w:color="DB4D4D" w:themeColor="accent1" w:themeTint="99"/>
        <w:insideV w:val="single" w:sz="4" w:space="0" w:color="DB4D4D" w:themeColor="accent1" w:themeTint="99"/>
      </w:tblBorders>
    </w:tblPr>
    <w:tblStylePr w:type="firstRow">
      <w:rPr>
        <w:b/>
        <w:bCs/>
        <w:color w:val="FFFFFF" w:themeColor="background1"/>
      </w:rPr>
      <w:tblPr/>
      <w:tcPr>
        <w:tcBorders>
          <w:top w:val="single" w:sz="4" w:space="0" w:color="821A1A" w:themeColor="accent1"/>
          <w:left w:val="single" w:sz="4" w:space="0" w:color="821A1A" w:themeColor="accent1"/>
          <w:bottom w:val="single" w:sz="4" w:space="0" w:color="821A1A" w:themeColor="accent1"/>
          <w:right w:val="single" w:sz="4" w:space="0" w:color="821A1A" w:themeColor="accent1"/>
          <w:insideH w:val="nil"/>
          <w:insideV w:val="nil"/>
        </w:tcBorders>
        <w:shd w:val="clear" w:color="auto" w:fill="821A1A" w:themeFill="accent1"/>
      </w:tcPr>
    </w:tblStylePr>
    <w:tblStylePr w:type="lastRow">
      <w:rPr>
        <w:b/>
        <w:bCs/>
      </w:rPr>
      <w:tblPr/>
      <w:tcPr>
        <w:tcBorders>
          <w:top w:val="double" w:sz="4" w:space="0" w:color="821A1A" w:themeColor="accent1"/>
        </w:tcBorders>
      </w:tcPr>
    </w:tblStylePr>
    <w:tblStylePr w:type="firstCol">
      <w:rPr>
        <w:b/>
        <w:bCs/>
      </w:rPr>
    </w:tblStylePr>
    <w:tblStylePr w:type="lastCol">
      <w:rPr>
        <w:b/>
        <w:bCs/>
      </w:rPr>
    </w:tblStylePr>
    <w:tblStylePr w:type="band1Vert">
      <w:tblPr/>
      <w:tcPr>
        <w:shd w:val="clear" w:color="auto" w:fill="F3C3C3" w:themeFill="accent1" w:themeFillTint="33"/>
      </w:tcPr>
    </w:tblStylePr>
    <w:tblStylePr w:type="band1Horz">
      <w:tblPr/>
      <w:tcPr>
        <w:shd w:val="clear" w:color="auto" w:fill="F3C3C3" w:themeFill="accent1" w:themeFillTint="33"/>
      </w:tcPr>
    </w:tblStylePr>
  </w:style>
  <w:style w:type="paragraph" w:customStyle="1" w:styleId="Default">
    <w:name w:val="Default"/>
    <w:rsid w:val="009B65C8"/>
    <w:pPr>
      <w:autoSpaceDE w:val="0"/>
      <w:autoSpaceDN w:val="0"/>
      <w:adjustRightInd w:val="0"/>
      <w:spacing w:after="0" w:line="240" w:lineRule="auto"/>
    </w:pPr>
    <w:rPr>
      <w:rFonts w:ascii="Calibri" w:hAnsi="Calibri" w:cs="Calibri"/>
      <w:color w:val="000000"/>
      <w:sz w:val="24"/>
      <w:szCs w:val="24"/>
      <w:lang w:val="en-AU"/>
    </w:rPr>
  </w:style>
  <w:style w:type="table" w:customStyle="1" w:styleId="GridTable4-Accent21">
    <w:name w:val="Grid Table 4 - Accent 21"/>
    <w:basedOn w:val="TableNormal"/>
    <w:uiPriority w:val="49"/>
    <w:rsid w:val="009B65C8"/>
    <w:pPr>
      <w:spacing w:after="0" w:line="240" w:lineRule="auto"/>
    </w:pPr>
    <w:tblPr>
      <w:tblStyleRowBandSize w:val="1"/>
      <w:tblStyleColBandSize w:val="1"/>
      <w:tblBorders>
        <w:top w:val="single" w:sz="4" w:space="0" w:color="EC7C70" w:themeColor="accent2" w:themeTint="99"/>
        <w:left w:val="single" w:sz="4" w:space="0" w:color="EC7C70" w:themeColor="accent2" w:themeTint="99"/>
        <w:bottom w:val="single" w:sz="4" w:space="0" w:color="EC7C70" w:themeColor="accent2" w:themeTint="99"/>
        <w:right w:val="single" w:sz="4" w:space="0" w:color="EC7C70" w:themeColor="accent2" w:themeTint="99"/>
        <w:insideH w:val="single" w:sz="4" w:space="0" w:color="EC7C70" w:themeColor="accent2" w:themeTint="99"/>
        <w:insideV w:val="single" w:sz="4" w:space="0" w:color="EC7C70" w:themeColor="accent2" w:themeTint="99"/>
      </w:tblBorders>
    </w:tblPr>
    <w:tblStylePr w:type="firstRow">
      <w:rPr>
        <w:b/>
        <w:bCs/>
        <w:color w:val="FFFFFF" w:themeColor="background1"/>
      </w:rPr>
      <w:tblPr/>
      <w:tcPr>
        <w:tcBorders>
          <w:top w:val="single" w:sz="4" w:space="0" w:color="D62E1C" w:themeColor="accent2"/>
          <w:left w:val="single" w:sz="4" w:space="0" w:color="D62E1C" w:themeColor="accent2"/>
          <w:bottom w:val="single" w:sz="4" w:space="0" w:color="D62E1C" w:themeColor="accent2"/>
          <w:right w:val="single" w:sz="4" w:space="0" w:color="D62E1C" w:themeColor="accent2"/>
          <w:insideH w:val="nil"/>
          <w:insideV w:val="nil"/>
        </w:tcBorders>
        <w:shd w:val="clear" w:color="auto" w:fill="D62E1C" w:themeFill="accent2"/>
      </w:tcPr>
    </w:tblStylePr>
    <w:tblStylePr w:type="lastRow">
      <w:rPr>
        <w:b/>
        <w:bCs/>
      </w:rPr>
      <w:tblPr/>
      <w:tcPr>
        <w:tcBorders>
          <w:top w:val="double" w:sz="4" w:space="0" w:color="D62E1C" w:themeColor="accent2"/>
        </w:tcBorders>
      </w:tcPr>
    </w:tblStylePr>
    <w:tblStylePr w:type="firstCol">
      <w:rPr>
        <w:b/>
        <w:bCs/>
      </w:rPr>
    </w:tblStylePr>
    <w:tblStylePr w:type="lastCol">
      <w:rPr>
        <w:b/>
        <w:bCs/>
      </w:rPr>
    </w:tblStylePr>
    <w:tblStylePr w:type="band1Vert">
      <w:tblPr/>
      <w:tcPr>
        <w:shd w:val="clear" w:color="auto" w:fill="F8D3CF" w:themeFill="accent2" w:themeFillTint="33"/>
      </w:tcPr>
    </w:tblStylePr>
    <w:tblStylePr w:type="band1Horz">
      <w:tblPr/>
      <w:tcPr>
        <w:shd w:val="clear" w:color="auto" w:fill="F8D3CF" w:themeFill="accent2" w:themeFillTint="33"/>
      </w:tcPr>
    </w:tblStylePr>
  </w:style>
  <w:style w:type="character" w:customStyle="1" w:styleId="PwCAddressChar">
    <w:name w:val="PwC Address Char"/>
    <w:basedOn w:val="DefaultParagraphFont"/>
    <w:link w:val="PwCAddress"/>
    <w:rsid w:val="00772CAE"/>
    <w:rPr>
      <w:i/>
      <w:sz w:val="18"/>
    </w:rPr>
  </w:style>
  <w:style w:type="table" w:customStyle="1" w:styleId="GridTable4-Accent51">
    <w:name w:val="Grid Table 4 - Accent 51"/>
    <w:basedOn w:val="TableNormal"/>
    <w:uiPriority w:val="49"/>
    <w:rsid w:val="00F3188D"/>
    <w:pPr>
      <w:spacing w:after="0" w:line="240" w:lineRule="auto"/>
    </w:pPr>
    <w:rPr>
      <w:rFonts w:ascii="Georgia" w:hAnsi="Georgia"/>
      <w:szCs w:val="22"/>
    </w:rPr>
    <w:tblPr>
      <w:tblStyleRowBandSize w:val="1"/>
      <w:tblStyleColBandSize w:val="1"/>
      <w:tblBorders>
        <w:top w:val="single" w:sz="4" w:space="0" w:color="CCC8BC" w:themeColor="accent5" w:themeTint="99"/>
        <w:left w:val="single" w:sz="4" w:space="0" w:color="CCC8BC" w:themeColor="accent5" w:themeTint="99"/>
        <w:bottom w:val="single" w:sz="4" w:space="0" w:color="CCC8BC" w:themeColor="accent5" w:themeTint="99"/>
        <w:right w:val="single" w:sz="4" w:space="0" w:color="CCC8BC" w:themeColor="accent5" w:themeTint="99"/>
        <w:insideH w:val="single" w:sz="4" w:space="0" w:color="CCC8BC" w:themeColor="accent5" w:themeTint="99"/>
        <w:insideV w:val="single" w:sz="4" w:space="0" w:color="CCC8BC" w:themeColor="accent5" w:themeTint="99"/>
      </w:tblBorders>
    </w:tblPr>
    <w:tblStylePr w:type="firstRow">
      <w:rPr>
        <w:b/>
        <w:bCs/>
        <w:color w:val="FFFFFF" w:themeColor="background1"/>
      </w:rPr>
      <w:tblPr/>
      <w:tcPr>
        <w:tcBorders>
          <w:top w:val="single" w:sz="4" w:space="0" w:color="ABA591" w:themeColor="accent5"/>
          <w:left w:val="single" w:sz="4" w:space="0" w:color="ABA591" w:themeColor="accent5"/>
          <w:bottom w:val="single" w:sz="4" w:space="0" w:color="ABA591" w:themeColor="accent5"/>
          <w:right w:val="single" w:sz="4" w:space="0" w:color="ABA591" w:themeColor="accent5"/>
          <w:insideH w:val="nil"/>
          <w:insideV w:val="nil"/>
        </w:tcBorders>
        <w:shd w:val="clear" w:color="auto" w:fill="ABA591" w:themeFill="accent5"/>
      </w:tcPr>
    </w:tblStylePr>
    <w:tblStylePr w:type="lastRow">
      <w:rPr>
        <w:b/>
        <w:bCs/>
      </w:rPr>
      <w:tblPr/>
      <w:tcPr>
        <w:tcBorders>
          <w:top w:val="double" w:sz="4" w:space="0" w:color="ABA591" w:themeColor="accent5"/>
        </w:tcBorders>
      </w:tcPr>
    </w:tblStylePr>
    <w:tblStylePr w:type="firstCol">
      <w:rPr>
        <w:b/>
        <w:bCs/>
      </w:rPr>
    </w:tblStylePr>
    <w:tblStylePr w:type="lastCol">
      <w:rPr>
        <w:b/>
        <w:bCs/>
      </w:rPr>
    </w:tblStylePr>
    <w:tblStylePr w:type="band1Vert">
      <w:tblPr/>
      <w:tcPr>
        <w:shd w:val="clear" w:color="auto" w:fill="EEECE8" w:themeFill="accent5" w:themeFillTint="33"/>
      </w:tcPr>
    </w:tblStylePr>
    <w:tblStylePr w:type="band1Horz">
      <w:tblPr/>
      <w:tcPr>
        <w:shd w:val="clear" w:color="auto" w:fill="EEECE8" w:themeFill="accent5" w:themeFillTint="33"/>
      </w:tcPr>
    </w:tblStylePr>
  </w:style>
  <w:style w:type="table" w:customStyle="1" w:styleId="GridTable4Accent51">
    <w:name w:val="Grid Table 4 Accent 51"/>
    <w:basedOn w:val="TableNormal"/>
    <w:uiPriority w:val="49"/>
    <w:rsid w:val="00F04701"/>
    <w:pPr>
      <w:spacing w:after="0" w:line="240" w:lineRule="auto"/>
    </w:pPr>
    <w:rPr>
      <w:rFonts w:ascii="Georgia" w:eastAsia="Arial" w:hAnsi="Georgia" w:cs="Times New Roman"/>
      <w:szCs w:val="22"/>
    </w:rPr>
    <w:tblPr>
      <w:tblStyleRowBandSize w:val="1"/>
      <w:tblStyleColBandSize w:val="1"/>
      <w:tblInd w:w="0" w:type="nil"/>
      <w:tblBorders>
        <w:top w:val="single" w:sz="4" w:space="0" w:color="E06161"/>
        <w:left w:val="single" w:sz="4" w:space="0" w:color="E06161"/>
        <w:bottom w:val="single" w:sz="4" w:space="0" w:color="E06161"/>
        <w:right w:val="single" w:sz="4" w:space="0" w:color="E06161"/>
        <w:insideH w:val="single" w:sz="4" w:space="0" w:color="E06161"/>
        <w:insideV w:val="single" w:sz="4" w:space="0" w:color="E06161"/>
      </w:tblBorders>
    </w:tblPr>
    <w:tblStylePr w:type="firstRow">
      <w:rPr>
        <w:b/>
        <w:bCs/>
        <w:color w:val="FFFFFF"/>
      </w:rPr>
      <w:tblPr/>
      <w:tcPr>
        <w:tcBorders>
          <w:top w:val="single" w:sz="4" w:space="0" w:color="A32020"/>
          <w:left w:val="single" w:sz="4" w:space="0" w:color="A32020"/>
          <w:bottom w:val="single" w:sz="4" w:space="0" w:color="A32020"/>
          <w:right w:val="single" w:sz="4" w:space="0" w:color="A32020"/>
          <w:insideH w:val="nil"/>
          <w:insideV w:val="nil"/>
        </w:tcBorders>
        <w:shd w:val="clear" w:color="auto" w:fill="A32020"/>
      </w:tcPr>
    </w:tblStylePr>
    <w:tblStylePr w:type="lastRow">
      <w:rPr>
        <w:b/>
        <w:bCs/>
      </w:rPr>
      <w:tblPr/>
      <w:tcPr>
        <w:tcBorders>
          <w:top w:val="double" w:sz="4" w:space="0" w:color="A32020"/>
        </w:tcBorders>
      </w:tcPr>
    </w:tblStylePr>
    <w:tblStylePr w:type="firstCol">
      <w:rPr>
        <w:b/>
        <w:bCs/>
      </w:rPr>
    </w:tblStylePr>
    <w:tblStylePr w:type="lastCol">
      <w:rPr>
        <w:b/>
        <w:bCs/>
      </w:rPr>
    </w:tblStylePr>
    <w:tblStylePr w:type="band1Vert">
      <w:tblPr/>
      <w:tcPr>
        <w:shd w:val="clear" w:color="auto" w:fill="F4CACA"/>
      </w:tcPr>
    </w:tblStylePr>
    <w:tblStylePr w:type="band1Horz">
      <w:tblPr/>
      <w:tcPr>
        <w:shd w:val="clear" w:color="auto" w:fill="F4CACA"/>
      </w:tcPr>
    </w:tblStylePr>
  </w:style>
  <w:style w:type="paragraph" w:styleId="Revision">
    <w:name w:val="Revision"/>
    <w:hidden/>
    <w:uiPriority w:val="99"/>
    <w:semiHidden/>
    <w:rsid w:val="00D50B9A"/>
    <w:pPr>
      <w:spacing w:after="0" w:line="240" w:lineRule="auto"/>
    </w:pPr>
  </w:style>
  <w:style w:type="table" w:customStyle="1" w:styleId="GridTable4-Accent52">
    <w:name w:val="Grid Table 4 - Accent 52"/>
    <w:basedOn w:val="TableNormal"/>
    <w:uiPriority w:val="49"/>
    <w:rsid w:val="002C095D"/>
    <w:pPr>
      <w:spacing w:after="0" w:line="240" w:lineRule="auto"/>
    </w:pPr>
    <w:rPr>
      <w:rFonts w:ascii="Georgia" w:hAnsi="Georgia"/>
      <w:szCs w:val="22"/>
    </w:rPr>
    <w:tblPr>
      <w:tblStyleRowBandSize w:val="1"/>
      <w:tblStyleColBandSize w:val="1"/>
      <w:tblBorders>
        <w:top w:val="single" w:sz="4" w:space="0" w:color="CCC8BC" w:themeColor="accent5" w:themeTint="99"/>
        <w:left w:val="single" w:sz="4" w:space="0" w:color="CCC8BC" w:themeColor="accent5" w:themeTint="99"/>
        <w:bottom w:val="single" w:sz="4" w:space="0" w:color="CCC8BC" w:themeColor="accent5" w:themeTint="99"/>
        <w:right w:val="single" w:sz="4" w:space="0" w:color="CCC8BC" w:themeColor="accent5" w:themeTint="99"/>
        <w:insideH w:val="single" w:sz="4" w:space="0" w:color="CCC8BC" w:themeColor="accent5" w:themeTint="99"/>
        <w:insideV w:val="single" w:sz="4" w:space="0" w:color="CCC8BC" w:themeColor="accent5" w:themeTint="99"/>
      </w:tblBorders>
    </w:tblPr>
    <w:tblStylePr w:type="firstRow">
      <w:rPr>
        <w:b/>
        <w:bCs/>
        <w:color w:val="FFFFFF" w:themeColor="background1"/>
      </w:rPr>
      <w:tblPr/>
      <w:tcPr>
        <w:tcBorders>
          <w:top w:val="single" w:sz="4" w:space="0" w:color="ABA591" w:themeColor="accent5"/>
          <w:left w:val="single" w:sz="4" w:space="0" w:color="ABA591" w:themeColor="accent5"/>
          <w:bottom w:val="single" w:sz="4" w:space="0" w:color="ABA591" w:themeColor="accent5"/>
          <w:right w:val="single" w:sz="4" w:space="0" w:color="ABA591" w:themeColor="accent5"/>
          <w:insideH w:val="nil"/>
          <w:insideV w:val="nil"/>
        </w:tcBorders>
        <w:shd w:val="clear" w:color="auto" w:fill="ABA591" w:themeFill="accent5"/>
      </w:tcPr>
    </w:tblStylePr>
    <w:tblStylePr w:type="lastRow">
      <w:rPr>
        <w:b/>
        <w:bCs/>
      </w:rPr>
      <w:tblPr/>
      <w:tcPr>
        <w:tcBorders>
          <w:top w:val="double" w:sz="4" w:space="0" w:color="ABA591" w:themeColor="accent5"/>
        </w:tcBorders>
      </w:tcPr>
    </w:tblStylePr>
    <w:tblStylePr w:type="firstCol">
      <w:rPr>
        <w:b/>
        <w:bCs/>
      </w:rPr>
    </w:tblStylePr>
    <w:tblStylePr w:type="lastCol">
      <w:rPr>
        <w:b/>
        <w:bCs/>
      </w:rPr>
    </w:tblStylePr>
    <w:tblStylePr w:type="band1Vert">
      <w:tblPr/>
      <w:tcPr>
        <w:shd w:val="clear" w:color="auto" w:fill="EEECE8" w:themeFill="accent5" w:themeFillTint="33"/>
      </w:tcPr>
    </w:tblStylePr>
    <w:tblStylePr w:type="band1Horz">
      <w:tblPr/>
      <w:tcPr>
        <w:shd w:val="clear" w:color="auto" w:fill="EEECE8" w:themeFill="accent5" w:themeFillTint="33"/>
      </w:tcPr>
    </w:tblStylePr>
  </w:style>
  <w:style w:type="table" w:customStyle="1" w:styleId="GridTable4-Accent13">
    <w:name w:val="Grid Table 4 - Accent 13"/>
    <w:basedOn w:val="TableNormal"/>
    <w:uiPriority w:val="49"/>
    <w:rsid w:val="00583DEA"/>
    <w:pPr>
      <w:spacing w:after="0" w:line="240" w:lineRule="auto"/>
    </w:pPr>
    <w:tblPr>
      <w:tblStyleRowBandSize w:val="1"/>
      <w:tblStyleColBandSize w:val="1"/>
      <w:tblBorders>
        <w:top w:val="single" w:sz="4" w:space="0" w:color="DB4D4D" w:themeColor="accent1" w:themeTint="99"/>
        <w:left w:val="single" w:sz="4" w:space="0" w:color="DB4D4D" w:themeColor="accent1" w:themeTint="99"/>
        <w:bottom w:val="single" w:sz="4" w:space="0" w:color="DB4D4D" w:themeColor="accent1" w:themeTint="99"/>
        <w:right w:val="single" w:sz="4" w:space="0" w:color="DB4D4D" w:themeColor="accent1" w:themeTint="99"/>
        <w:insideH w:val="single" w:sz="4" w:space="0" w:color="DB4D4D" w:themeColor="accent1" w:themeTint="99"/>
        <w:insideV w:val="single" w:sz="4" w:space="0" w:color="DB4D4D" w:themeColor="accent1" w:themeTint="99"/>
      </w:tblBorders>
    </w:tblPr>
    <w:tblStylePr w:type="firstRow">
      <w:rPr>
        <w:b/>
        <w:bCs/>
        <w:color w:val="FFFFFF" w:themeColor="background1"/>
      </w:rPr>
      <w:tblPr/>
      <w:tcPr>
        <w:tcBorders>
          <w:top w:val="single" w:sz="4" w:space="0" w:color="821A1A" w:themeColor="accent1"/>
          <w:left w:val="single" w:sz="4" w:space="0" w:color="821A1A" w:themeColor="accent1"/>
          <w:bottom w:val="single" w:sz="4" w:space="0" w:color="821A1A" w:themeColor="accent1"/>
          <w:right w:val="single" w:sz="4" w:space="0" w:color="821A1A" w:themeColor="accent1"/>
          <w:insideH w:val="nil"/>
          <w:insideV w:val="nil"/>
        </w:tcBorders>
        <w:shd w:val="clear" w:color="auto" w:fill="821A1A" w:themeFill="accent1"/>
      </w:tcPr>
    </w:tblStylePr>
    <w:tblStylePr w:type="lastRow">
      <w:rPr>
        <w:b/>
        <w:bCs/>
      </w:rPr>
      <w:tblPr/>
      <w:tcPr>
        <w:tcBorders>
          <w:top w:val="double" w:sz="4" w:space="0" w:color="821A1A" w:themeColor="accent1"/>
        </w:tcBorders>
      </w:tcPr>
    </w:tblStylePr>
    <w:tblStylePr w:type="firstCol">
      <w:rPr>
        <w:b/>
        <w:bCs/>
      </w:rPr>
    </w:tblStylePr>
    <w:tblStylePr w:type="lastCol">
      <w:rPr>
        <w:b/>
        <w:bCs/>
      </w:rPr>
    </w:tblStylePr>
    <w:tblStylePr w:type="band1Vert">
      <w:tblPr/>
      <w:tcPr>
        <w:shd w:val="clear" w:color="auto" w:fill="F3C3C3" w:themeFill="accent1" w:themeFillTint="33"/>
      </w:tcPr>
    </w:tblStylePr>
    <w:tblStylePr w:type="band1Horz">
      <w:tblPr/>
      <w:tcPr>
        <w:shd w:val="clear" w:color="auto" w:fill="F3C3C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143">
      <w:bodyDiv w:val="1"/>
      <w:marLeft w:val="0"/>
      <w:marRight w:val="0"/>
      <w:marTop w:val="0"/>
      <w:marBottom w:val="0"/>
      <w:divBdr>
        <w:top w:val="none" w:sz="0" w:space="0" w:color="auto"/>
        <w:left w:val="none" w:sz="0" w:space="0" w:color="auto"/>
        <w:bottom w:val="none" w:sz="0" w:space="0" w:color="auto"/>
        <w:right w:val="none" w:sz="0" w:space="0" w:color="auto"/>
      </w:divBdr>
    </w:div>
    <w:div w:id="425927848">
      <w:bodyDiv w:val="1"/>
      <w:marLeft w:val="0"/>
      <w:marRight w:val="0"/>
      <w:marTop w:val="0"/>
      <w:marBottom w:val="0"/>
      <w:divBdr>
        <w:top w:val="none" w:sz="0" w:space="0" w:color="auto"/>
        <w:left w:val="none" w:sz="0" w:space="0" w:color="auto"/>
        <w:bottom w:val="none" w:sz="0" w:space="0" w:color="auto"/>
        <w:right w:val="none" w:sz="0" w:space="0" w:color="auto"/>
      </w:divBdr>
    </w:div>
    <w:div w:id="490408847">
      <w:bodyDiv w:val="1"/>
      <w:marLeft w:val="0"/>
      <w:marRight w:val="0"/>
      <w:marTop w:val="0"/>
      <w:marBottom w:val="0"/>
      <w:divBdr>
        <w:top w:val="none" w:sz="0" w:space="0" w:color="auto"/>
        <w:left w:val="none" w:sz="0" w:space="0" w:color="auto"/>
        <w:bottom w:val="none" w:sz="0" w:space="0" w:color="auto"/>
        <w:right w:val="none" w:sz="0" w:space="0" w:color="auto"/>
      </w:divBdr>
    </w:div>
    <w:div w:id="857234762">
      <w:bodyDiv w:val="1"/>
      <w:marLeft w:val="0"/>
      <w:marRight w:val="0"/>
      <w:marTop w:val="0"/>
      <w:marBottom w:val="0"/>
      <w:divBdr>
        <w:top w:val="none" w:sz="0" w:space="0" w:color="auto"/>
        <w:left w:val="none" w:sz="0" w:space="0" w:color="auto"/>
        <w:bottom w:val="none" w:sz="0" w:space="0" w:color="auto"/>
        <w:right w:val="none" w:sz="0" w:space="0" w:color="auto"/>
      </w:divBdr>
    </w:div>
    <w:div w:id="1141272070">
      <w:bodyDiv w:val="1"/>
      <w:marLeft w:val="0"/>
      <w:marRight w:val="0"/>
      <w:marTop w:val="0"/>
      <w:marBottom w:val="0"/>
      <w:divBdr>
        <w:top w:val="none" w:sz="0" w:space="0" w:color="auto"/>
        <w:left w:val="none" w:sz="0" w:space="0" w:color="auto"/>
        <w:bottom w:val="none" w:sz="0" w:space="0" w:color="auto"/>
        <w:right w:val="none" w:sz="0" w:space="0" w:color="auto"/>
      </w:divBdr>
    </w:div>
    <w:div w:id="1292125537">
      <w:bodyDiv w:val="1"/>
      <w:marLeft w:val="0"/>
      <w:marRight w:val="0"/>
      <w:marTop w:val="0"/>
      <w:marBottom w:val="0"/>
      <w:divBdr>
        <w:top w:val="none" w:sz="0" w:space="0" w:color="auto"/>
        <w:left w:val="none" w:sz="0" w:space="0" w:color="auto"/>
        <w:bottom w:val="none" w:sz="0" w:space="0" w:color="auto"/>
        <w:right w:val="none" w:sz="0" w:space="0" w:color="auto"/>
      </w:divBdr>
      <w:divsChild>
        <w:div w:id="113982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4639371">
              <w:marLeft w:val="0"/>
              <w:marRight w:val="0"/>
              <w:marTop w:val="0"/>
              <w:marBottom w:val="0"/>
              <w:divBdr>
                <w:top w:val="none" w:sz="0" w:space="0" w:color="auto"/>
                <w:left w:val="none" w:sz="0" w:space="0" w:color="auto"/>
                <w:bottom w:val="none" w:sz="0" w:space="0" w:color="auto"/>
                <w:right w:val="none" w:sz="0" w:space="0" w:color="auto"/>
              </w:divBdr>
              <w:divsChild>
                <w:div w:id="177622340">
                  <w:marLeft w:val="0"/>
                  <w:marRight w:val="0"/>
                  <w:marTop w:val="0"/>
                  <w:marBottom w:val="0"/>
                  <w:divBdr>
                    <w:top w:val="none" w:sz="0" w:space="0" w:color="auto"/>
                    <w:left w:val="none" w:sz="0" w:space="0" w:color="auto"/>
                    <w:bottom w:val="none" w:sz="0" w:space="0" w:color="auto"/>
                    <w:right w:val="none" w:sz="0" w:space="0" w:color="auto"/>
                  </w:divBdr>
                  <w:divsChild>
                    <w:div w:id="9084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969701">
      <w:bodyDiv w:val="1"/>
      <w:marLeft w:val="0"/>
      <w:marRight w:val="0"/>
      <w:marTop w:val="0"/>
      <w:marBottom w:val="0"/>
      <w:divBdr>
        <w:top w:val="none" w:sz="0" w:space="0" w:color="auto"/>
        <w:left w:val="none" w:sz="0" w:space="0" w:color="auto"/>
        <w:bottom w:val="none" w:sz="0" w:space="0" w:color="auto"/>
        <w:right w:val="none" w:sz="0" w:space="0" w:color="auto"/>
      </w:divBdr>
    </w:div>
    <w:div w:id="161463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PwC\Smart\Content\Word\Templates\Generic%20Report.dotx" TargetMode="External"/></Relationships>
</file>

<file path=word/theme/theme1.xml><?xml version="1.0" encoding="utf-8"?>
<a:theme xmlns:a="http://schemas.openxmlformats.org/drawingml/2006/main" name="Office Theme">
  <a:themeElements>
    <a:clrScheme name="Smart Report">
      <a:dk1>
        <a:srgbClr val="000000"/>
      </a:dk1>
      <a:lt1>
        <a:srgbClr val="FFFFFF"/>
      </a:lt1>
      <a:dk2>
        <a:srgbClr val="821A1A"/>
      </a:dk2>
      <a:lt2>
        <a:srgbClr val="FFFFFF"/>
      </a:lt2>
      <a:accent1>
        <a:srgbClr val="821A1A"/>
      </a:accent1>
      <a:accent2>
        <a:srgbClr val="D62E1C"/>
      </a:accent2>
      <a:accent3>
        <a:srgbClr val="FFCF48"/>
      </a:accent3>
      <a:accent4>
        <a:srgbClr val="E36A00"/>
      </a:accent4>
      <a:accent5>
        <a:srgbClr val="ABA591"/>
      </a:accent5>
      <a:accent6>
        <a:srgbClr val="877E62"/>
      </a:accent6>
      <a:hlink>
        <a:srgbClr val="821A1A"/>
      </a:hlink>
      <a:folHlink>
        <a:srgbClr val="821A1A"/>
      </a:folHlink>
    </a:clrScheme>
    <a:fontScheme name="PwC Word Font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298D8-A357-4C55-8DFC-BF95E1DE51B2}">
  <ds:schemaRefs>
    <ds:schemaRef ds:uri="http://schemas.openxmlformats.org/package/2006/metadata/core-properties"/>
    <ds:schemaRef ds:uri="http://schemas.microsoft.com/office/2006/documentManagement/types"/>
    <ds:schemaRef ds:uri="http://purl.org/dc/terms/"/>
    <ds:schemaRef ds:uri="http://purl.org/dc/elements/1.1/"/>
    <ds:schemaRef ds:uri="http://www.w3.org/XML/1998/namespace"/>
    <ds:schemaRef ds:uri="http://purl.org/dc/dcmitype/"/>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B19F5C-F03F-4B06-B779-67F831022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A12A0-718E-472A-9858-E09936D35897}">
  <ds:schemaRefs>
    <ds:schemaRef ds:uri="http://schemas.microsoft.com/sharepoint/v3/contenttype/forms"/>
  </ds:schemaRefs>
</ds:datastoreItem>
</file>

<file path=customXml/itemProps4.xml><?xml version="1.0" encoding="utf-8"?>
<ds:datastoreItem xmlns:ds="http://schemas.openxmlformats.org/officeDocument/2006/customXml" ds:itemID="{AB3B7EDD-93BC-401F-90CC-D4C60F809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Report</Template>
  <TotalTime>3</TotalTime>
  <Pages>19</Pages>
  <Words>6191</Words>
  <Characters>35289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National Disability Insurance Scheme</vt:lpstr>
    </vt:vector>
  </TitlesOfParts>
  <Company>PricewaterhouseCoopers</Company>
  <LinksUpToDate>false</LinksUpToDate>
  <CharactersWithSpaces>41398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Disability Insurance Scheme</dc:title>
  <dc:subject>MyPlace Portal Implementation Review – Final Report</dc:subject>
  <dc:creator>David Cummins</dc:creator>
  <dc:description>Base Report (A4)</dc:description>
  <cp:lastModifiedBy>WHITER, Shaun</cp:lastModifiedBy>
  <cp:revision>7</cp:revision>
  <cp:lastPrinted>2016-09-02T06:09:00Z</cp:lastPrinted>
  <dcterms:created xsi:type="dcterms:W3CDTF">2016-09-02T05:26:00Z</dcterms:created>
  <dcterms:modified xsi:type="dcterms:W3CDTF">2016-09-02T06:10:00Z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Language">
    <vt:lpwstr>English (UK)</vt:lpwstr>
  </property>
  <property fmtid="{D5CDD505-2E9C-101B-9397-08002B2CF9AE}" pid="3" name="Smart_OpenPropertiesOnNew">
    <vt:lpwstr>Yes</vt:lpwstr>
  </property>
  <property fmtid="{D5CDD505-2E9C-101B-9397-08002B2CF9AE}" pid="4" name="Go Live Date">
    <vt:lpwstr>01_05_2015</vt:lpwstr>
  </property>
  <property fmtid="{D5CDD505-2E9C-101B-9397-08002B2CF9AE}" pid="5" name="Confidentiality Stamp">
    <vt:lpwstr>Strictly Private and Confidential</vt:lpwstr>
  </property>
  <property fmtid="{D5CDD505-2E9C-101B-9397-08002B2CF9AE}" pid="6" name="Smart Base Report (A4)">
    <vt:lpwstr>Version 20150105</vt:lpwstr>
  </property>
  <property fmtid="{D5CDD505-2E9C-101B-9397-08002B2CF9AE}" pid="7" name="Date completed">
    <vt:lpwstr>31 August 2016</vt:lpwstr>
  </property>
</Properties>
</file>