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CF553B">
      <w:pPr>
        <w:spacing w:before="0" w:after="0"/>
        <w:ind w:left="-850"/>
      </w:pPr>
      <w:bookmarkStart w:id="0" w:name="_GoBack"/>
      <w:bookmarkEnd w:id="0"/>
      <w:r>
        <w:rPr>
          <w:noProof/>
        </w:rPr>
        <w:drawing>
          <wp:inline distT="0" distB="0" distL="0" distR="0" wp14:anchorId="5A5530E8" wp14:editId="11420DAD">
            <wp:extent cx="7542000"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2000" cy="1436354"/>
                    </a:xfrm>
                    <a:prstGeom prst="rect">
                      <a:avLst/>
                    </a:prstGeom>
                  </pic:spPr>
                </pic:pic>
              </a:graphicData>
            </a:graphic>
          </wp:inline>
        </w:drawing>
      </w:r>
    </w:p>
    <w:p w:rsidR="00C80192" w:rsidRPr="00195BF2" w:rsidRDefault="00195BF2" w:rsidP="004D44E8">
      <w:pPr>
        <w:pStyle w:val="Smalltext"/>
      </w:pPr>
      <w:r w:rsidRPr="00195BF2">
        <w:t>DSS1435.9.14</w:t>
      </w:r>
    </w:p>
    <w:p w:rsidR="00057D5A" w:rsidRPr="00057D5A" w:rsidRDefault="00057D5A" w:rsidP="00D201E6">
      <w:pPr>
        <w:pStyle w:val="Title"/>
        <w:spacing w:after="0"/>
      </w:pPr>
      <w:r w:rsidRPr="00057D5A">
        <w:t>2014-15 Budget - Changes to the Commonwealth Seniors Health Card (CSHC)</w:t>
      </w:r>
    </w:p>
    <w:p w:rsidR="00057D5A" w:rsidRPr="00057D5A" w:rsidRDefault="00057D5A" w:rsidP="00057D5A">
      <w:pPr>
        <w:widowControl w:val="0"/>
        <w:suppressAutoHyphens/>
        <w:autoSpaceDE w:val="0"/>
        <w:autoSpaceDN w:val="0"/>
        <w:adjustRightInd w:val="0"/>
        <w:spacing w:before="0" w:after="85" w:line="220" w:lineRule="atLeast"/>
        <w:textAlignment w:val="center"/>
        <w:rPr>
          <w:bCs/>
          <w:spacing w:val="0"/>
          <w:position w:val="-2"/>
          <w:sz w:val="24"/>
          <w:lang w:val="en-GB" w:eastAsia="en-US"/>
        </w:rPr>
      </w:pPr>
    </w:p>
    <w:p w:rsidR="00057D5A" w:rsidRPr="00057D5A" w:rsidRDefault="00057D5A" w:rsidP="00D201E6">
      <w:pPr>
        <w:pStyle w:val="Subtitle"/>
        <w:spacing w:after="240"/>
      </w:pPr>
      <w:r w:rsidRPr="00057D5A">
        <w:t>What was announced in the budget?</w:t>
      </w:r>
    </w:p>
    <w:p w:rsidR="00057D5A" w:rsidRPr="00057D5A" w:rsidRDefault="00057D5A" w:rsidP="00057D5A">
      <w:pPr>
        <w:pStyle w:val="Heading1"/>
      </w:pPr>
      <w:r w:rsidRPr="00057D5A">
        <w:t>Indexation of CSHC income limits</w:t>
      </w:r>
    </w:p>
    <w:p w:rsidR="00B17CEB" w:rsidRDefault="00B17CEB" w:rsidP="00B17CEB">
      <w:pPr>
        <w:autoSpaceDE w:val="0"/>
        <w:autoSpaceDN w:val="0"/>
        <w:spacing w:after="85" w:line="220" w:lineRule="atLeast"/>
        <w:textAlignment w:val="center"/>
        <w:rPr>
          <w:position w:val="-2"/>
          <w:lang w:val="en-GB"/>
        </w:rPr>
      </w:pPr>
      <w:r>
        <w:rPr>
          <w:position w:val="-2"/>
          <w:lang w:val="en-GB"/>
        </w:rPr>
        <w:t>In line with the Australian Government’s election commitment to seniors, from 20 September 2014 the income thresholds for the Commonwealth Seniors Health Card (CSHC) were indexed in line with the Consumer Price Index (CPI).</w:t>
      </w:r>
    </w:p>
    <w:p w:rsidR="00B17CEB" w:rsidRDefault="00B17CEB" w:rsidP="00B17CEB">
      <w:pPr>
        <w:autoSpaceDE w:val="0"/>
        <w:autoSpaceDN w:val="0"/>
        <w:spacing w:after="85" w:line="220" w:lineRule="atLeast"/>
        <w:textAlignment w:val="center"/>
        <w:rPr>
          <w:position w:val="-2"/>
          <w:lang w:val="en-GB"/>
        </w:rPr>
      </w:pPr>
      <w:r>
        <w:rPr>
          <w:position w:val="-2"/>
          <w:lang w:val="en-GB"/>
        </w:rPr>
        <w:t xml:space="preserve">This change means modest variations in income will not affect eligibility to the CSHC and will reduce uncertainty for self-funded retirees. </w:t>
      </w:r>
      <w:r w:rsidR="00CA1627">
        <w:rPr>
          <w:position w:val="-2"/>
          <w:lang w:val="en-GB"/>
        </w:rPr>
        <w:t>The increases in the CSHC income thresholds in 2014</w:t>
      </w:r>
      <w:r>
        <w:rPr>
          <w:position w:val="-2"/>
          <w:lang w:val="en-GB"/>
        </w:rPr>
        <w:t xml:space="preserve"> </w:t>
      </w:r>
      <w:r w:rsidR="00CA1627">
        <w:rPr>
          <w:position w:val="-2"/>
          <w:lang w:val="en-GB"/>
        </w:rPr>
        <w:t xml:space="preserve">were </w:t>
      </w:r>
      <w:r>
        <w:rPr>
          <w:position w:val="-2"/>
          <w:lang w:val="en-GB"/>
        </w:rPr>
        <w:t xml:space="preserve">the first </w:t>
      </w:r>
      <w:r w:rsidR="00CA1627">
        <w:rPr>
          <w:position w:val="-2"/>
          <w:lang w:val="en-GB"/>
        </w:rPr>
        <w:t>increases</w:t>
      </w:r>
      <w:r>
        <w:rPr>
          <w:position w:val="-2"/>
          <w:lang w:val="en-GB"/>
        </w:rPr>
        <w:t xml:space="preserve"> since 2001.</w:t>
      </w:r>
    </w:p>
    <w:p w:rsidR="00B17CEB" w:rsidRDefault="00B17CEB" w:rsidP="00B17CEB">
      <w:pPr>
        <w:autoSpaceDE w:val="0"/>
        <w:autoSpaceDN w:val="0"/>
        <w:spacing w:after="85" w:line="220" w:lineRule="atLeast"/>
        <w:textAlignment w:val="center"/>
        <w:rPr>
          <w:position w:val="-2"/>
          <w:lang w:val="en-GB"/>
        </w:rPr>
      </w:pPr>
      <w:r>
        <w:rPr>
          <w:position w:val="-2"/>
          <w:lang w:val="en-GB"/>
        </w:rPr>
        <w:t xml:space="preserve">Since 20 September </w:t>
      </w:r>
      <w:r w:rsidR="00CA1627">
        <w:rPr>
          <w:position w:val="-2"/>
          <w:lang w:val="en-GB"/>
        </w:rPr>
        <w:t>2015</w:t>
      </w:r>
      <w:r>
        <w:rPr>
          <w:position w:val="-2"/>
          <w:lang w:val="en-GB"/>
        </w:rPr>
        <w:t>, CSHC income thresholds have been $</w:t>
      </w:r>
      <w:r w:rsidR="00CA1627">
        <w:rPr>
          <w:position w:val="-2"/>
          <w:lang w:val="en-GB"/>
        </w:rPr>
        <w:t>52,273</w:t>
      </w:r>
      <w:r>
        <w:rPr>
          <w:position w:val="-2"/>
          <w:lang w:val="en-GB"/>
        </w:rPr>
        <w:t xml:space="preserve"> per annum for singles, $</w:t>
      </w:r>
      <w:r w:rsidR="00CA1627">
        <w:rPr>
          <w:position w:val="-2"/>
          <w:lang w:val="en-GB"/>
        </w:rPr>
        <w:t>83,636</w:t>
      </w:r>
      <w:r>
        <w:rPr>
          <w:position w:val="-2"/>
          <w:lang w:val="en-GB"/>
        </w:rPr>
        <w:t xml:space="preserve"> annually for couples (combined income) and $</w:t>
      </w:r>
      <w:r w:rsidR="00CA1627">
        <w:rPr>
          <w:position w:val="-2"/>
          <w:lang w:val="en-GB"/>
        </w:rPr>
        <w:t>104,546</w:t>
      </w:r>
      <w:r>
        <w:rPr>
          <w:position w:val="-2"/>
          <w:lang w:val="en-GB"/>
        </w:rPr>
        <w:t xml:space="preserve"> annually (combined income) for couples who are separated by illness or respite care. These amounts will be indexed in September each year.</w:t>
      </w:r>
    </w:p>
    <w:p w:rsidR="00057D5A" w:rsidRPr="00057D5A" w:rsidRDefault="00057D5A" w:rsidP="00D201E6">
      <w:pPr>
        <w:widowControl w:val="0"/>
        <w:suppressAutoHyphens/>
        <w:autoSpaceDE w:val="0"/>
        <w:autoSpaceDN w:val="0"/>
        <w:adjustRightInd w:val="0"/>
        <w:spacing w:before="0" w:after="80" w:line="220" w:lineRule="atLeast"/>
        <w:textAlignment w:val="center"/>
        <w:rPr>
          <w:rFonts w:eastAsia="Cambria" w:cs="MuseoSans-300"/>
          <w:spacing w:val="0"/>
          <w:position w:val="-2"/>
          <w:szCs w:val="22"/>
          <w:lang w:val="en-GB" w:eastAsia="en-US"/>
        </w:rPr>
      </w:pPr>
      <w:r w:rsidRPr="00057D5A">
        <w:rPr>
          <w:rFonts w:eastAsia="Cambria" w:cs="MuseoSans-300"/>
          <w:spacing w:val="0"/>
          <w:position w:val="-2"/>
          <w:szCs w:val="22"/>
          <w:lang w:val="en-GB" w:eastAsia="en-US"/>
        </w:rPr>
        <w:t xml:space="preserve">This policy demonstrates the </w:t>
      </w:r>
      <w:r w:rsidR="008E1E47" w:rsidRPr="00057D5A">
        <w:rPr>
          <w:rFonts w:eastAsia="Cambria" w:cs="MuseoSans-300"/>
          <w:spacing w:val="0"/>
          <w:position w:val="-2"/>
          <w:szCs w:val="22"/>
          <w:lang w:val="en-GB" w:eastAsia="en-US"/>
        </w:rPr>
        <w:t>Government</w:t>
      </w:r>
      <w:r w:rsidR="008E1E47">
        <w:rPr>
          <w:rFonts w:eastAsia="Cambria" w:cs="MuseoSans-300"/>
          <w:spacing w:val="0"/>
          <w:position w:val="-2"/>
          <w:szCs w:val="22"/>
          <w:lang w:val="en-GB" w:eastAsia="en-US"/>
        </w:rPr>
        <w:t xml:space="preserve">’s </w:t>
      </w:r>
      <w:r w:rsidRPr="00057D5A">
        <w:rPr>
          <w:rFonts w:eastAsia="Cambria" w:cs="MuseoSans-300"/>
          <w:spacing w:val="0"/>
          <w:position w:val="-2"/>
          <w:szCs w:val="22"/>
          <w:lang w:val="en-GB" w:eastAsia="en-US"/>
        </w:rPr>
        <w:t xml:space="preserve">commitment to older Australians. </w:t>
      </w:r>
      <w:r w:rsidR="008E1E47">
        <w:rPr>
          <w:rFonts w:eastAsia="Cambria" w:cs="MuseoSans-300"/>
          <w:spacing w:val="0"/>
          <w:position w:val="-2"/>
          <w:szCs w:val="22"/>
          <w:lang w:val="en-GB" w:eastAsia="en-US"/>
        </w:rPr>
        <w:t>A</w:t>
      </w:r>
      <w:r w:rsidRPr="00057D5A">
        <w:rPr>
          <w:rFonts w:eastAsia="Cambria" w:cs="MuseoSans-300"/>
          <w:spacing w:val="0"/>
          <w:position w:val="-2"/>
          <w:szCs w:val="22"/>
          <w:lang w:val="en-GB" w:eastAsia="en-US"/>
        </w:rPr>
        <w:t>s a result of this change</w:t>
      </w:r>
      <w:r w:rsidR="008E1E47">
        <w:rPr>
          <w:rFonts w:eastAsia="Cambria" w:cs="MuseoSans-300"/>
          <w:spacing w:val="0"/>
          <w:position w:val="-2"/>
          <w:szCs w:val="22"/>
          <w:lang w:val="en-GB" w:eastAsia="en-US"/>
        </w:rPr>
        <w:t xml:space="preserve"> it is estimated</w:t>
      </w:r>
      <w:r w:rsidRPr="00057D5A">
        <w:rPr>
          <w:rFonts w:eastAsia="Cambria" w:cs="MuseoSans-300"/>
          <w:spacing w:val="0"/>
          <w:position w:val="-2"/>
          <w:szCs w:val="22"/>
          <w:lang w:val="en-GB" w:eastAsia="en-US"/>
        </w:rPr>
        <w:t xml:space="preserve"> a further 27,000 people will access the </w:t>
      </w:r>
      <w:r w:rsidR="008E1E47">
        <w:rPr>
          <w:rFonts w:eastAsia="Cambria" w:cs="MuseoSans-300"/>
          <w:spacing w:val="0"/>
          <w:position w:val="-2"/>
          <w:szCs w:val="22"/>
          <w:lang w:val="en-GB" w:eastAsia="en-US"/>
        </w:rPr>
        <w:t xml:space="preserve">CSHC </w:t>
      </w:r>
      <w:r w:rsidRPr="00057D5A">
        <w:rPr>
          <w:rFonts w:eastAsia="Cambria" w:cs="MuseoSans-300"/>
          <w:spacing w:val="0"/>
          <w:position w:val="-2"/>
          <w:szCs w:val="22"/>
          <w:lang w:val="en-GB" w:eastAsia="en-US"/>
        </w:rPr>
        <w:t>by 30 June 2018.</w:t>
      </w:r>
    </w:p>
    <w:p w:rsidR="00057D5A" w:rsidRPr="00057D5A" w:rsidRDefault="00057D5A" w:rsidP="00057D5A">
      <w:pPr>
        <w:pStyle w:val="Heading1"/>
      </w:pPr>
      <w:r w:rsidRPr="00057D5A">
        <w:t>Cessation of the Seniors Supplement</w:t>
      </w:r>
    </w:p>
    <w:p w:rsidR="003B707E" w:rsidRPr="00057D5A" w:rsidRDefault="00CA1627" w:rsidP="003B707E">
      <w:pPr>
        <w:widowControl w:val="0"/>
        <w:suppressAutoHyphens/>
        <w:autoSpaceDE w:val="0"/>
        <w:autoSpaceDN w:val="0"/>
        <w:adjustRightInd w:val="0"/>
        <w:spacing w:before="0" w:after="85" w:line="220" w:lineRule="atLeast"/>
        <w:textAlignment w:val="center"/>
        <w:rPr>
          <w:rFonts w:eastAsia="Cambria" w:cs="MuseoSans-300"/>
          <w:spacing w:val="0"/>
          <w:position w:val="-2"/>
          <w:szCs w:val="22"/>
          <w:lang w:val="en-GB" w:eastAsia="en-US"/>
        </w:rPr>
      </w:pPr>
      <w:r>
        <w:rPr>
          <w:rFonts w:eastAsia="Cambria" w:cs="MuseoSans-300"/>
          <w:spacing w:val="0"/>
          <w:position w:val="-2"/>
          <w:szCs w:val="22"/>
          <w:lang w:val="en-GB" w:eastAsia="en-US"/>
        </w:rPr>
        <w:t>To</w:t>
      </w:r>
      <w:r w:rsidR="003B707E">
        <w:rPr>
          <w:rFonts w:eastAsia="Cambria" w:cs="MuseoSans-300"/>
          <w:spacing w:val="0"/>
          <w:position w:val="-2"/>
          <w:szCs w:val="22"/>
          <w:lang w:val="en-GB" w:eastAsia="en-US"/>
        </w:rPr>
        <w:t xml:space="preserve"> </w:t>
      </w:r>
      <w:r w:rsidR="003B707E" w:rsidRPr="00057D5A">
        <w:rPr>
          <w:rFonts w:eastAsia="Cambria" w:cs="MuseoSans-300"/>
          <w:spacing w:val="0"/>
          <w:position w:val="-2"/>
          <w:szCs w:val="22"/>
          <w:lang w:val="en-GB" w:eastAsia="en-US"/>
        </w:rPr>
        <w:t>help ensure payments to senior Australians remain targeted to those who need them most</w:t>
      </w:r>
      <w:r w:rsidR="003B707E">
        <w:rPr>
          <w:rFonts w:eastAsia="Cambria" w:cs="MuseoSans-300"/>
          <w:spacing w:val="0"/>
          <w:position w:val="-2"/>
          <w:szCs w:val="22"/>
          <w:lang w:val="en-GB" w:eastAsia="en-US"/>
        </w:rPr>
        <w:t>,</w:t>
      </w:r>
      <w:r w:rsidR="003B707E" w:rsidRPr="00057D5A">
        <w:rPr>
          <w:rFonts w:eastAsia="Cambria" w:cs="MuseoSans-300"/>
          <w:spacing w:val="0"/>
          <w:position w:val="-2"/>
          <w:szCs w:val="22"/>
          <w:lang w:val="en-GB" w:eastAsia="en-US"/>
        </w:rPr>
        <w:t xml:space="preserve"> and to ensure the sustainability of the CSHC</w:t>
      </w:r>
      <w:r>
        <w:rPr>
          <w:rFonts w:eastAsia="Cambria" w:cs="MuseoSans-300"/>
          <w:spacing w:val="0"/>
          <w:position w:val="-2"/>
          <w:szCs w:val="22"/>
          <w:lang w:val="en-GB" w:eastAsia="en-US"/>
        </w:rPr>
        <w:t xml:space="preserve">, </w:t>
      </w:r>
      <w:r w:rsidRPr="00057D5A">
        <w:rPr>
          <w:rFonts w:eastAsia="Cambria" w:cs="MuseoSans-300"/>
          <w:spacing w:val="0"/>
          <w:position w:val="-2"/>
          <w:szCs w:val="22"/>
          <w:lang w:val="en-GB" w:eastAsia="en-US"/>
        </w:rPr>
        <w:t>the Government cease</w:t>
      </w:r>
      <w:r>
        <w:rPr>
          <w:rFonts w:eastAsia="Cambria" w:cs="MuseoSans-300"/>
          <w:spacing w:val="0"/>
          <w:position w:val="-2"/>
          <w:szCs w:val="22"/>
          <w:lang w:val="en-GB" w:eastAsia="en-US"/>
        </w:rPr>
        <w:t>d</w:t>
      </w:r>
      <w:r w:rsidRPr="00057D5A">
        <w:rPr>
          <w:rFonts w:eastAsia="Cambria" w:cs="MuseoSans-300"/>
          <w:spacing w:val="0"/>
          <w:position w:val="-2"/>
          <w:szCs w:val="22"/>
          <w:lang w:val="en-GB" w:eastAsia="en-US"/>
        </w:rPr>
        <w:t xml:space="preserve"> payment of the Seniors Supplement</w:t>
      </w:r>
      <w:r w:rsidR="003B707E">
        <w:rPr>
          <w:rFonts w:eastAsia="Cambria" w:cs="MuseoSans-300"/>
          <w:spacing w:val="0"/>
          <w:position w:val="-2"/>
          <w:szCs w:val="22"/>
          <w:lang w:val="en-GB" w:eastAsia="en-US"/>
        </w:rPr>
        <w:t>.</w:t>
      </w:r>
      <w:r>
        <w:rPr>
          <w:rFonts w:eastAsia="Cambria" w:cs="MuseoSans-300"/>
          <w:spacing w:val="0"/>
          <w:position w:val="-2"/>
          <w:szCs w:val="22"/>
          <w:lang w:val="en-GB" w:eastAsia="en-US"/>
        </w:rPr>
        <w:t xml:space="preserve">  The final payment of the Seniors Supplement was made in June 2015.</w:t>
      </w:r>
    </w:p>
    <w:p w:rsidR="00057D5A" w:rsidRPr="00057D5A" w:rsidRDefault="00057D5A" w:rsidP="00057D5A">
      <w:pPr>
        <w:widowControl w:val="0"/>
        <w:suppressAutoHyphens/>
        <w:autoSpaceDE w:val="0"/>
        <w:autoSpaceDN w:val="0"/>
        <w:adjustRightInd w:val="0"/>
        <w:spacing w:before="0" w:after="85" w:line="220" w:lineRule="atLeast"/>
        <w:textAlignment w:val="center"/>
        <w:rPr>
          <w:rFonts w:eastAsia="Cambria" w:cs="MuseoSans-300"/>
          <w:spacing w:val="0"/>
          <w:position w:val="-2"/>
          <w:szCs w:val="22"/>
          <w:lang w:val="en-GB" w:eastAsia="en-US"/>
        </w:rPr>
      </w:pPr>
      <w:r w:rsidRPr="00057D5A">
        <w:rPr>
          <w:rFonts w:eastAsia="Cambria" w:cs="MuseoSans-300"/>
          <w:spacing w:val="0"/>
          <w:position w:val="-2"/>
          <w:szCs w:val="22"/>
          <w:lang w:val="en-GB" w:eastAsia="en-US"/>
        </w:rPr>
        <w:t xml:space="preserve">Holders of a CSHC continue to </w:t>
      </w:r>
      <w:r w:rsidR="00D24925">
        <w:rPr>
          <w:rFonts w:eastAsia="Cambria" w:cs="MuseoSans-300"/>
          <w:spacing w:val="0"/>
          <w:position w:val="-2"/>
          <w:szCs w:val="22"/>
          <w:lang w:val="en-GB" w:eastAsia="en-US"/>
        </w:rPr>
        <w:t xml:space="preserve">be </w:t>
      </w:r>
      <w:r w:rsidRPr="00057D5A">
        <w:rPr>
          <w:rFonts w:eastAsia="Cambria" w:cs="MuseoSans-300"/>
          <w:spacing w:val="0"/>
          <w:position w:val="-2"/>
          <w:szCs w:val="22"/>
          <w:lang w:val="en-GB" w:eastAsia="en-US"/>
        </w:rPr>
        <w:t xml:space="preserve">eligible for all their other current entitlements attached to the card such as: </w:t>
      </w:r>
    </w:p>
    <w:p w:rsidR="00057D5A" w:rsidRPr="00057D5A" w:rsidRDefault="00D24925" w:rsidP="00057D5A">
      <w:pPr>
        <w:widowControl w:val="0"/>
        <w:numPr>
          <w:ilvl w:val="0"/>
          <w:numId w:val="63"/>
        </w:numPr>
        <w:suppressAutoHyphens/>
        <w:autoSpaceDE w:val="0"/>
        <w:autoSpaceDN w:val="0"/>
        <w:adjustRightInd w:val="0"/>
        <w:spacing w:before="0" w:after="85" w:line="220" w:lineRule="atLeast"/>
        <w:contextualSpacing/>
        <w:textAlignment w:val="center"/>
        <w:rPr>
          <w:rFonts w:eastAsia="Cambria" w:cs="MuseoSans-300"/>
          <w:spacing w:val="0"/>
          <w:position w:val="-2"/>
          <w:szCs w:val="22"/>
          <w:lang w:val="en-GB" w:eastAsia="en-US"/>
        </w:rPr>
      </w:pPr>
      <w:r>
        <w:rPr>
          <w:rFonts w:eastAsia="Cambria" w:cs="MuseoSans-300"/>
          <w:spacing w:val="0"/>
          <w:position w:val="-2"/>
          <w:szCs w:val="22"/>
          <w:lang w:val="en-GB" w:eastAsia="en-US"/>
        </w:rPr>
        <w:t>m</w:t>
      </w:r>
      <w:r w:rsidR="00057D5A" w:rsidRPr="00057D5A">
        <w:rPr>
          <w:rFonts w:eastAsia="Cambria" w:cs="MuseoSans-300"/>
          <w:spacing w:val="0"/>
          <w:position w:val="-2"/>
          <w:szCs w:val="22"/>
          <w:lang w:val="en-GB" w:eastAsia="en-US"/>
        </w:rPr>
        <w:t>edicines listed on the Pharmaceutical Benefits Scheme</w:t>
      </w:r>
      <w:r>
        <w:rPr>
          <w:rFonts w:eastAsia="Cambria" w:cs="MuseoSans-300"/>
          <w:spacing w:val="0"/>
          <w:position w:val="-2"/>
          <w:szCs w:val="22"/>
          <w:lang w:val="en-GB" w:eastAsia="en-US"/>
        </w:rPr>
        <w:t xml:space="preserve"> (PBS)</w:t>
      </w:r>
      <w:r w:rsidR="00057D5A" w:rsidRPr="00057D5A">
        <w:rPr>
          <w:rFonts w:eastAsia="Cambria" w:cs="MuseoSans-300"/>
          <w:spacing w:val="0"/>
          <w:position w:val="-2"/>
          <w:szCs w:val="22"/>
          <w:lang w:val="en-GB" w:eastAsia="en-US"/>
        </w:rPr>
        <w:t xml:space="preserve"> at the concessional rate</w:t>
      </w:r>
    </w:p>
    <w:p w:rsidR="00057D5A" w:rsidRPr="00057D5A" w:rsidRDefault="00D24925" w:rsidP="00057D5A">
      <w:pPr>
        <w:widowControl w:val="0"/>
        <w:numPr>
          <w:ilvl w:val="0"/>
          <w:numId w:val="63"/>
        </w:numPr>
        <w:suppressAutoHyphens/>
        <w:autoSpaceDE w:val="0"/>
        <w:autoSpaceDN w:val="0"/>
        <w:adjustRightInd w:val="0"/>
        <w:spacing w:before="0" w:after="85" w:line="220" w:lineRule="atLeast"/>
        <w:contextualSpacing/>
        <w:textAlignment w:val="center"/>
        <w:rPr>
          <w:rFonts w:eastAsia="Cambria" w:cs="MuseoSans-300"/>
          <w:spacing w:val="0"/>
          <w:position w:val="-2"/>
          <w:szCs w:val="22"/>
          <w:lang w:val="en-GB" w:eastAsia="en-US"/>
        </w:rPr>
      </w:pPr>
      <w:r>
        <w:rPr>
          <w:rFonts w:eastAsia="Cambria" w:cs="MuseoSans-300"/>
          <w:spacing w:val="0"/>
          <w:position w:val="-2"/>
          <w:szCs w:val="22"/>
          <w:lang w:val="en-GB" w:eastAsia="en-US"/>
        </w:rPr>
        <w:t>a</w:t>
      </w:r>
      <w:r w:rsidR="00057D5A" w:rsidRPr="00057D5A">
        <w:rPr>
          <w:rFonts w:eastAsia="Cambria" w:cs="MuseoSans-300"/>
          <w:spacing w:val="0"/>
          <w:position w:val="-2"/>
          <w:szCs w:val="22"/>
          <w:lang w:val="en-GB" w:eastAsia="en-US"/>
        </w:rPr>
        <w:t xml:space="preserve">ccess to </w:t>
      </w:r>
      <w:r>
        <w:rPr>
          <w:rFonts w:eastAsia="Cambria" w:cs="MuseoSans-300"/>
          <w:spacing w:val="0"/>
          <w:position w:val="-2"/>
          <w:szCs w:val="22"/>
          <w:lang w:val="en-GB" w:eastAsia="en-US"/>
        </w:rPr>
        <w:t xml:space="preserve">PBS </w:t>
      </w:r>
      <w:r w:rsidR="00057D5A" w:rsidRPr="00057D5A">
        <w:rPr>
          <w:rFonts w:eastAsia="Cambria" w:cs="MuseoSans-300"/>
          <w:spacing w:val="0"/>
          <w:position w:val="-2"/>
          <w:szCs w:val="22"/>
          <w:lang w:val="en-GB" w:eastAsia="en-US"/>
        </w:rPr>
        <w:t xml:space="preserve">prescriptions, generally without charge, for the remainder of the calendar year after reaching the </w:t>
      </w:r>
      <w:r>
        <w:rPr>
          <w:rFonts w:eastAsia="Cambria" w:cs="MuseoSans-300"/>
          <w:spacing w:val="0"/>
          <w:position w:val="-2"/>
          <w:szCs w:val="22"/>
          <w:lang w:val="en-GB" w:eastAsia="en-US"/>
        </w:rPr>
        <w:t xml:space="preserve">PBS </w:t>
      </w:r>
      <w:r w:rsidR="00057D5A" w:rsidRPr="00057D5A">
        <w:rPr>
          <w:rFonts w:eastAsia="Cambria" w:cs="MuseoSans-300"/>
          <w:spacing w:val="0"/>
          <w:position w:val="-2"/>
          <w:szCs w:val="22"/>
          <w:lang w:val="en-GB" w:eastAsia="en-US"/>
        </w:rPr>
        <w:t>Safety Net</w:t>
      </w:r>
    </w:p>
    <w:p w:rsidR="00057D5A" w:rsidRPr="00057D5A" w:rsidRDefault="00D24925" w:rsidP="00057D5A">
      <w:pPr>
        <w:widowControl w:val="0"/>
        <w:numPr>
          <w:ilvl w:val="0"/>
          <w:numId w:val="63"/>
        </w:numPr>
        <w:suppressAutoHyphens/>
        <w:autoSpaceDE w:val="0"/>
        <w:autoSpaceDN w:val="0"/>
        <w:adjustRightInd w:val="0"/>
        <w:spacing w:before="0" w:after="85" w:line="220" w:lineRule="atLeast"/>
        <w:contextualSpacing/>
        <w:textAlignment w:val="center"/>
        <w:rPr>
          <w:rFonts w:eastAsia="Cambria" w:cs="MuseoSans-300"/>
          <w:spacing w:val="0"/>
          <w:position w:val="-2"/>
          <w:szCs w:val="22"/>
          <w:lang w:val="en-GB" w:eastAsia="en-US"/>
        </w:rPr>
      </w:pPr>
      <w:r>
        <w:rPr>
          <w:rFonts w:eastAsia="Cambria" w:cs="MuseoSans-300"/>
          <w:spacing w:val="0"/>
          <w:position w:val="-2"/>
          <w:szCs w:val="22"/>
          <w:lang w:val="en-GB" w:eastAsia="en-US"/>
        </w:rPr>
        <w:t>b</w:t>
      </w:r>
      <w:r w:rsidR="00057D5A" w:rsidRPr="00057D5A">
        <w:rPr>
          <w:rFonts w:eastAsia="Cambria" w:cs="MuseoSans-300"/>
          <w:spacing w:val="0"/>
          <w:position w:val="-2"/>
          <w:szCs w:val="22"/>
          <w:lang w:val="en-GB" w:eastAsia="en-US"/>
        </w:rPr>
        <w:t>ulk-billed general practitioner appointments, at the discretion of the doctor (the Government provides financial incentives for general practitioners to bulk-bill concession card holders)</w:t>
      </w:r>
    </w:p>
    <w:p w:rsidR="00057D5A" w:rsidRPr="00057D5A" w:rsidRDefault="00D24925" w:rsidP="00057D5A">
      <w:pPr>
        <w:widowControl w:val="0"/>
        <w:numPr>
          <w:ilvl w:val="0"/>
          <w:numId w:val="63"/>
        </w:numPr>
        <w:suppressAutoHyphens/>
        <w:autoSpaceDE w:val="0"/>
        <w:autoSpaceDN w:val="0"/>
        <w:adjustRightInd w:val="0"/>
        <w:spacing w:before="0" w:after="85" w:line="220" w:lineRule="atLeast"/>
        <w:contextualSpacing/>
        <w:textAlignment w:val="center"/>
        <w:rPr>
          <w:rFonts w:eastAsia="Cambria" w:cs="MuseoSans-300"/>
          <w:spacing w:val="0"/>
          <w:position w:val="-2"/>
          <w:szCs w:val="22"/>
          <w:lang w:val="en-GB" w:eastAsia="en-US"/>
        </w:rPr>
      </w:pPr>
      <w:proofErr w:type="gramStart"/>
      <w:r>
        <w:rPr>
          <w:rFonts w:eastAsia="Cambria" w:cs="MuseoSans-300"/>
          <w:spacing w:val="0"/>
          <w:position w:val="-2"/>
          <w:szCs w:val="22"/>
          <w:lang w:val="en-GB" w:eastAsia="en-US"/>
        </w:rPr>
        <w:t>a</w:t>
      </w:r>
      <w:proofErr w:type="gramEnd"/>
      <w:r w:rsidR="00517DF3">
        <w:rPr>
          <w:rFonts w:eastAsia="Cambria" w:cs="MuseoSans-300"/>
          <w:spacing w:val="0"/>
          <w:position w:val="-2"/>
          <w:szCs w:val="22"/>
          <w:lang w:val="en-GB" w:eastAsia="en-US"/>
        </w:rPr>
        <w:t xml:space="preserve"> </w:t>
      </w:r>
      <w:r w:rsidR="00057D5A" w:rsidRPr="00057D5A">
        <w:rPr>
          <w:rFonts w:eastAsia="Cambria" w:cs="MuseoSans-300"/>
          <w:spacing w:val="0"/>
          <w:position w:val="-2"/>
          <w:szCs w:val="22"/>
          <w:lang w:val="en-GB" w:eastAsia="en-US"/>
        </w:rPr>
        <w:t>reduction in the cost of out</w:t>
      </w:r>
      <w:r w:rsidR="00057D5A" w:rsidRPr="00057D5A">
        <w:rPr>
          <w:rFonts w:eastAsia="Cambria" w:cs="MuseoSans-300"/>
          <w:spacing w:val="0"/>
          <w:position w:val="-2"/>
          <w:szCs w:val="22"/>
          <w:lang w:val="en-GB" w:eastAsia="en-US"/>
        </w:rPr>
        <w:noBreakHyphen/>
        <w:t>of</w:t>
      </w:r>
      <w:r w:rsidR="00057D5A" w:rsidRPr="00057D5A">
        <w:rPr>
          <w:rFonts w:eastAsia="Cambria" w:cs="MuseoSans-300"/>
          <w:spacing w:val="0"/>
          <w:position w:val="-2"/>
          <w:szCs w:val="22"/>
          <w:lang w:val="en-GB" w:eastAsia="en-US"/>
        </w:rPr>
        <w:noBreakHyphen/>
        <w:t xml:space="preserve">hospital expenses, through the lower </w:t>
      </w:r>
      <w:r w:rsidR="002F331B">
        <w:rPr>
          <w:rFonts w:eastAsia="Cambria" w:cs="MuseoSans-300"/>
          <w:spacing w:val="0"/>
          <w:position w:val="-2"/>
          <w:szCs w:val="22"/>
          <w:lang w:val="en-GB" w:eastAsia="en-US"/>
        </w:rPr>
        <w:t xml:space="preserve">threshold of the </w:t>
      </w:r>
      <w:r w:rsidR="00057D5A" w:rsidRPr="00057D5A">
        <w:rPr>
          <w:rFonts w:eastAsia="Cambria" w:cs="MuseoSans-300"/>
          <w:spacing w:val="0"/>
          <w:position w:val="-2"/>
          <w:szCs w:val="22"/>
          <w:lang w:val="en-GB" w:eastAsia="en-US"/>
        </w:rPr>
        <w:t>Extended Medicare Safety Net.</w:t>
      </w:r>
    </w:p>
    <w:p w:rsidR="003F19E2" w:rsidRDefault="003F19E2" w:rsidP="00D201E6">
      <w:pPr>
        <w:widowControl w:val="0"/>
        <w:suppressAutoHyphens/>
        <w:autoSpaceDE w:val="0"/>
        <w:autoSpaceDN w:val="0"/>
        <w:adjustRightInd w:val="0"/>
        <w:spacing w:before="0" w:after="80" w:line="220" w:lineRule="atLeast"/>
        <w:textAlignment w:val="center"/>
        <w:rPr>
          <w:rFonts w:eastAsia="Cambria" w:cs="MuseoSans-300"/>
          <w:spacing w:val="0"/>
          <w:position w:val="-2"/>
          <w:szCs w:val="22"/>
          <w:lang w:val="en-GB" w:eastAsia="en-US"/>
        </w:rPr>
      </w:pPr>
    </w:p>
    <w:p w:rsidR="00057D5A" w:rsidRDefault="00057D5A" w:rsidP="00057D5A">
      <w:pPr>
        <w:widowControl w:val="0"/>
        <w:suppressAutoHyphens/>
        <w:autoSpaceDE w:val="0"/>
        <w:autoSpaceDN w:val="0"/>
        <w:adjustRightInd w:val="0"/>
        <w:spacing w:before="0" w:after="85" w:line="220" w:lineRule="atLeast"/>
        <w:textAlignment w:val="center"/>
        <w:rPr>
          <w:rFonts w:eastAsia="Cambria" w:cs="MuseoSans-300"/>
          <w:spacing w:val="0"/>
          <w:position w:val="-2"/>
          <w:szCs w:val="22"/>
          <w:lang w:val="en-GB" w:eastAsia="en-US"/>
        </w:rPr>
      </w:pPr>
      <w:r w:rsidRPr="00057D5A">
        <w:rPr>
          <w:rFonts w:eastAsia="Cambria" w:cs="MuseoSans-300"/>
          <w:spacing w:val="0"/>
          <w:position w:val="-2"/>
          <w:szCs w:val="22"/>
          <w:lang w:val="en-GB" w:eastAsia="en-US"/>
        </w:rPr>
        <w:t xml:space="preserve">CSHC holders also </w:t>
      </w:r>
      <w:r w:rsidR="005B7498">
        <w:rPr>
          <w:rFonts w:eastAsia="Cambria" w:cs="MuseoSans-300"/>
          <w:spacing w:val="0"/>
          <w:position w:val="-2"/>
          <w:szCs w:val="22"/>
          <w:lang w:val="en-GB" w:eastAsia="en-US"/>
        </w:rPr>
        <w:t xml:space="preserve">continue to </w:t>
      </w:r>
      <w:r w:rsidRPr="00057D5A">
        <w:rPr>
          <w:rFonts w:eastAsia="Cambria" w:cs="MuseoSans-300"/>
          <w:spacing w:val="0"/>
          <w:position w:val="-2"/>
          <w:szCs w:val="22"/>
          <w:lang w:val="en-GB" w:eastAsia="en-US"/>
        </w:rPr>
        <w:t>receive the Energy Supplement, which will remain at its current rate ($36</w:t>
      </w:r>
      <w:r w:rsidR="00E24AC5">
        <w:rPr>
          <w:rFonts w:eastAsia="Cambria" w:cs="MuseoSans-300"/>
          <w:spacing w:val="0"/>
          <w:position w:val="-2"/>
          <w:szCs w:val="22"/>
          <w:lang w:val="en-GB" w:eastAsia="en-US"/>
        </w:rPr>
        <w:t>6</w:t>
      </w:r>
      <w:r w:rsidRPr="00057D5A">
        <w:rPr>
          <w:rFonts w:eastAsia="Cambria" w:cs="MuseoSans-300"/>
          <w:spacing w:val="0"/>
          <w:position w:val="-2"/>
          <w:szCs w:val="22"/>
          <w:lang w:val="en-GB" w:eastAsia="en-US"/>
        </w:rPr>
        <w:t>.</w:t>
      </w:r>
      <w:r w:rsidR="00E24AC5">
        <w:rPr>
          <w:rFonts w:eastAsia="Cambria" w:cs="MuseoSans-300"/>
          <w:spacing w:val="0"/>
          <w:position w:val="-2"/>
          <w:szCs w:val="22"/>
          <w:lang w:val="en-GB" w:eastAsia="en-US"/>
        </w:rPr>
        <w:t>6</w:t>
      </w:r>
      <w:r w:rsidRPr="00057D5A">
        <w:rPr>
          <w:rFonts w:eastAsia="Cambria" w:cs="MuseoSans-300"/>
          <w:spacing w:val="0"/>
          <w:position w:val="-2"/>
          <w:szCs w:val="22"/>
          <w:lang w:val="en-GB" w:eastAsia="en-US"/>
        </w:rPr>
        <w:t xml:space="preserve">0 </w:t>
      </w:r>
      <w:r w:rsidR="00D24925">
        <w:rPr>
          <w:rFonts w:eastAsia="Cambria" w:cs="MuseoSans-300"/>
          <w:spacing w:val="0"/>
          <w:position w:val="-2"/>
          <w:szCs w:val="22"/>
          <w:lang w:val="en-GB" w:eastAsia="en-US"/>
        </w:rPr>
        <w:t xml:space="preserve">annually </w:t>
      </w:r>
      <w:r w:rsidRPr="00057D5A">
        <w:rPr>
          <w:rFonts w:eastAsia="Cambria" w:cs="MuseoSans-300"/>
          <w:spacing w:val="0"/>
          <w:position w:val="-2"/>
          <w:szCs w:val="22"/>
          <w:lang w:val="en-GB" w:eastAsia="en-US"/>
        </w:rPr>
        <w:t>for singles and $27</w:t>
      </w:r>
      <w:r w:rsidR="00E91646">
        <w:rPr>
          <w:rFonts w:eastAsia="Cambria" w:cs="MuseoSans-300"/>
          <w:spacing w:val="0"/>
          <w:position w:val="-2"/>
          <w:szCs w:val="22"/>
          <w:lang w:val="en-GB" w:eastAsia="en-US"/>
        </w:rPr>
        <w:t>5</w:t>
      </w:r>
      <w:r w:rsidRPr="00057D5A">
        <w:rPr>
          <w:rFonts w:eastAsia="Cambria" w:cs="MuseoSans-300"/>
          <w:spacing w:val="0"/>
          <w:position w:val="-2"/>
          <w:szCs w:val="22"/>
          <w:lang w:val="en-GB" w:eastAsia="en-US"/>
        </w:rPr>
        <w:t>.</w:t>
      </w:r>
      <w:r w:rsidR="00E91646">
        <w:rPr>
          <w:rFonts w:eastAsia="Cambria" w:cs="MuseoSans-300"/>
          <w:spacing w:val="0"/>
          <w:position w:val="-2"/>
          <w:szCs w:val="22"/>
          <w:lang w:val="en-GB" w:eastAsia="en-US"/>
        </w:rPr>
        <w:t>6</w:t>
      </w:r>
      <w:r w:rsidRPr="00057D5A">
        <w:rPr>
          <w:rFonts w:eastAsia="Cambria" w:cs="MuseoSans-300"/>
          <w:spacing w:val="0"/>
          <w:position w:val="-2"/>
          <w:szCs w:val="22"/>
          <w:lang w:val="en-GB" w:eastAsia="en-US"/>
        </w:rPr>
        <w:t xml:space="preserve">0 </w:t>
      </w:r>
      <w:r w:rsidR="00D24925">
        <w:rPr>
          <w:rFonts w:eastAsia="Cambria" w:cs="MuseoSans-300"/>
          <w:spacing w:val="0"/>
          <w:position w:val="-2"/>
          <w:szCs w:val="22"/>
          <w:lang w:val="en-GB" w:eastAsia="en-US"/>
        </w:rPr>
        <w:t>annually</w:t>
      </w:r>
      <w:r w:rsidRPr="00057D5A">
        <w:rPr>
          <w:rFonts w:eastAsia="Cambria" w:cs="MuseoSans-300"/>
          <w:spacing w:val="0"/>
          <w:position w:val="-2"/>
          <w:szCs w:val="22"/>
          <w:lang w:val="en-GB" w:eastAsia="en-US"/>
        </w:rPr>
        <w:t xml:space="preserve"> for each member of a couple).</w:t>
      </w:r>
    </w:p>
    <w:p w:rsidR="00057D5A" w:rsidRPr="00057D5A" w:rsidRDefault="00D24925" w:rsidP="00057D5A">
      <w:pPr>
        <w:pStyle w:val="Heading1"/>
      </w:pPr>
      <w:r>
        <w:lastRenderedPageBreak/>
        <w:t>Changes to the CSHC</w:t>
      </w:r>
      <w:r w:rsidR="00517DF3">
        <w:t xml:space="preserve"> </w:t>
      </w:r>
      <w:r w:rsidR="00057D5A" w:rsidRPr="00057D5A">
        <w:t xml:space="preserve">income </w:t>
      </w:r>
      <w:r>
        <w:t xml:space="preserve">test </w:t>
      </w:r>
    </w:p>
    <w:p w:rsidR="00057D5A" w:rsidRPr="00057D5A" w:rsidRDefault="003B707E" w:rsidP="00057D5A">
      <w:pPr>
        <w:widowControl w:val="0"/>
        <w:suppressAutoHyphens/>
        <w:autoSpaceDE w:val="0"/>
        <w:autoSpaceDN w:val="0"/>
        <w:adjustRightInd w:val="0"/>
        <w:spacing w:before="0" w:after="0" w:line="240" w:lineRule="auto"/>
        <w:textAlignment w:val="center"/>
        <w:rPr>
          <w:rFonts w:eastAsia="Cambria" w:cs="MuseoSans-300"/>
          <w:spacing w:val="0"/>
          <w:position w:val="-2"/>
          <w:szCs w:val="22"/>
          <w:lang w:val="en-GB" w:eastAsia="en-US"/>
        </w:rPr>
      </w:pPr>
      <w:r>
        <w:rPr>
          <w:rFonts w:eastAsia="Cambria" w:cs="MuseoSans-300"/>
          <w:spacing w:val="0"/>
          <w:position w:val="-2"/>
          <w:szCs w:val="22"/>
          <w:lang w:val="en-GB" w:eastAsia="en-US"/>
        </w:rPr>
        <w:t>F</w:t>
      </w:r>
      <w:r w:rsidR="00254F31">
        <w:rPr>
          <w:rFonts w:eastAsia="Cambria" w:cs="MuseoSans-300"/>
          <w:spacing w:val="0"/>
          <w:position w:val="-2"/>
          <w:szCs w:val="22"/>
          <w:lang w:val="en-GB" w:eastAsia="en-US"/>
        </w:rPr>
        <w:t>r</w:t>
      </w:r>
      <w:r w:rsidR="00057D5A" w:rsidRPr="00057D5A">
        <w:rPr>
          <w:rFonts w:eastAsia="Cambria" w:cs="MuseoSans-300"/>
          <w:spacing w:val="0"/>
          <w:position w:val="-2"/>
          <w:szCs w:val="22"/>
          <w:lang w:val="en-GB" w:eastAsia="en-US"/>
        </w:rPr>
        <w:t>om 1 January 2015</w:t>
      </w:r>
      <w:r w:rsidR="00983950">
        <w:rPr>
          <w:rFonts w:eastAsia="Cambria" w:cs="MuseoSans-300"/>
          <w:spacing w:val="0"/>
          <w:position w:val="-2"/>
          <w:szCs w:val="22"/>
          <w:lang w:val="en-GB" w:eastAsia="en-US"/>
        </w:rPr>
        <w:t>,</w:t>
      </w:r>
      <w:r w:rsidR="00134C7B">
        <w:rPr>
          <w:rFonts w:eastAsia="Cambria" w:cs="MuseoSans-300"/>
          <w:spacing w:val="0"/>
          <w:position w:val="-2"/>
          <w:szCs w:val="22"/>
          <w:lang w:val="en-GB" w:eastAsia="en-US"/>
        </w:rPr>
        <w:t xml:space="preserve"> </w:t>
      </w:r>
      <w:r w:rsidR="00057D5A" w:rsidRPr="00057D5A">
        <w:rPr>
          <w:rFonts w:eastAsia="Cambria" w:cs="MuseoSans-300"/>
          <w:spacing w:val="0"/>
          <w:position w:val="-2"/>
          <w:szCs w:val="22"/>
          <w:lang w:val="en-GB" w:eastAsia="en-US"/>
        </w:rPr>
        <w:t>income from account</w:t>
      </w:r>
      <w:r w:rsidR="00D24925">
        <w:rPr>
          <w:rFonts w:eastAsia="Cambria" w:cs="MuseoSans-300"/>
          <w:spacing w:val="0"/>
          <w:position w:val="-2"/>
          <w:szCs w:val="22"/>
          <w:lang w:val="en-GB" w:eastAsia="en-US"/>
        </w:rPr>
        <w:t>-</w:t>
      </w:r>
      <w:r w:rsidR="00057D5A" w:rsidRPr="00057D5A">
        <w:rPr>
          <w:rFonts w:eastAsia="Cambria" w:cs="MuseoSans-300"/>
          <w:spacing w:val="0"/>
          <w:position w:val="-2"/>
          <w:szCs w:val="22"/>
          <w:lang w:val="en-GB" w:eastAsia="en-US"/>
        </w:rPr>
        <w:t xml:space="preserve">based superannuation income streams </w:t>
      </w:r>
      <w:r w:rsidR="00641D41">
        <w:rPr>
          <w:rFonts w:eastAsia="Cambria" w:cs="MuseoSans-300"/>
          <w:spacing w:val="0"/>
          <w:position w:val="-2"/>
          <w:szCs w:val="22"/>
          <w:lang w:val="en-GB" w:eastAsia="en-US"/>
        </w:rPr>
        <w:t xml:space="preserve">has </w:t>
      </w:r>
      <w:r w:rsidR="005B7498">
        <w:rPr>
          <w:rFonts w:eastAsia="Cambria" w:cs="MuseoSans-300"/>
          <w:spacing w:val="0"/>
          <w:position w:val="-2"/>
          <w:szCs w:val="22"/>
          <w:lang w:val="en-GB" w:eastAsia="en-US"/>
        </w:rPr>
        <w:t>been</w:t>
      </w:r>
      <w:r w:rsidR="00057D5A" w:rsidRPr="00057D5A">
        <w:rPr>
          <w:rFonts w:eastAsia="Cambria" w:cs="MuseoSans-300"/>
          <w:spacing w:val="0"/>
          <w:position w:val="-2"/>
          <w:szCs w:val="22"/>
          <w:lang w:val="en-GB" w:eastAsia="en-US"/>
        </w:rPr>
        <w:t xml:space="preserve"> included in the CSHC income test. The assessment of account</w:t>
      </w:r>
      <w:r w:rsidR="00D24925">
        <w:rPr>
          <w:rFonts w:eastAsia="Cambria" w:cs="MuseoSans-300"/>
          <w:spacing w:val="0"/>
          <w:position w:val="-2"/>
          <w:szCs w:val="22"/>
          <w:lang w:val="en-GB" w:eastAsia="en-US"/>
        </w:rPr>
        <w:t>-</w:t>
      </w:r>
      <w:r w:rsidR="00057D5A" w:rsidRPr="00057D5A">
        <w:rPr>
          <w:rFonts w:eastAsia="Cambria" w:cs="MuseoSans-300"/>
          <w:spacing w:val="0"/>
          <w:position w:val="-2"/>
          <w:szCs w:val="22"/>
          <w:lang w:val="en-GB" w:eastAsia="en-US"/>
        </w:rPr>
        <w:t xml:space="preserve">based income stream account balances </w:t>
      </w:r>
      <w:r w:rsidR="00E32B9A">
        <w:rPr>
          <w:rFonts w:eastAsia="Cambria" w:cs="MuseoSans-300"/>
          <w:spacing w:val="0"/>
          <w:position w:val="-2"/>
          <w:szCs w:val="22"/>
          <w:lang w:val="en-GB" w:eastAsia="en-US"/>
        </w:rPr>
        <w:t xml:space="preserve">is </w:t>
      </w:r>
      <w:r w:rsidR="005B7498">
        <w:rPr>
          <w:rFonts w:eastAsia="Cambria" w:cs="MuseoSans-300"/>
          <w:spacing w:val="0"/>
          <w:position w:val="-2"/>
          <w:szCs w:val="22"/>
          <w:lang w:val="en-GB" w:eastAsia="en-US"/>
        </w:rPr>
        <w:t>now</w:t>
      </w:r>
      <w:r w:rsidR="00057D5A" w:rsidRPr="00057D5A">
        <w:rPr>
          <w:rFonts w:eastAsia="Cambria" w:cs="MuseoSans-300"/>
          <w:spacing w:val="0"/>
          <w:position w:val="-2"/>
          <w:szCs w:val="22"/>
          <w:lang w:val="en-GB" w:eastAsia="en-US"/>
        </w:rPr>
        <w:t xml:space="preserve"> the same for CSHC holders as for Age Pensioners and align</w:t>
      </w:r>
      <w:r w:rsidR="00E32B9A">
        <w:rPr>
          <w:rFonts w:eastAsia="Cambria" w:cs="MuseoSans-300"/>
          <w:spacing w:val="0"/>
          <w:position w:val="-2"/>
          <w:szCs w:val="22"/>
          <w:lang w:val="en-GB" w:eastAsia="en-US"/>
        </w:rPr>
        <w:t>s</w:t>
      </w:r>
      <w:r w:rsidR="00057D5A" w:rsidRPr="00057D5A">
        <w:rPr>
          <w:rFonts w:eastAsia="Cambria" w:cs="MuseoSans-300"/>
          <w:spacing w:val="0"/>
          <w:position w:val="-2"/>
          <w:szCs w:val="22"/>
          <w:lang w:val="en-GB" w:eastAsia="en-US"/>
        </w:rPr>
        <w:t xml:space="preserve"> with the measure to deem the balances of account</w:t>
      </w:r>
      <w:r w:rsidR="00517DF3">
        <w:rPr>
          <w:rFonts w:eastAsia="Cambria" w:cs="MuseoSans-300"/>
          <w:spacing w:val="0"/>
          <w:position w:val="-2"/>
          <w:szCs w:val="22"/>
          <w:lang w:val="en-GB" w:eastAsia="en-US"/>
        </w:rPr>
        <w:t>-</w:t>
      </w:r>
      <w:r w:rsidR="00057D5A" w:rsidRPr="00057D5A">
        <w:rPr>
          <w:rFonts w:eastAsia="Cambria" w:cs="MuseoSans-300"/>
          <w:spacing w:val="0"/>
          <w:position w:val="-2"/>
          <w:szCs w:val="22"/>
          <w:lang w:val="en-GB" w:eastAsia="en-US"/>
        </w:rPr>
        <w:t>based income streams of Age Pensioners from 1 January 2015.</w:t>
      </w:r>
    </w:p>
    <w:p w:rsidR="00057D5A" w:rsidRPr="00057D5A" w:rsidRDefault="00057D5A" w:rsidP="00057D5A">
      <w:pPr>
        <w:widowControl w:val="0"/>
        <w:suppressAutoHyphens/>
        <w:autoSpaceDE w:val="0"/>
        <w:autoSpaceDN w:val="0"/>
        <w:adjustRightInd w:val="0"/>
        <w:spacing w:before="0" w:after="0" w:line="240" w:lineRule="auto"/>
        <w:textAlignment w:val="center"/>
        <w:rPr>
          <w:rFonts w:eastAsia="Cambria" w:cs="MuseoSans-300"/>
          <w:spacing w:val="0"/>
          <w:position w:val="-2"/>
          <w:szCs w:val="22"/>
          <w:lang w:val="en-GB" w:eastAsia="en-US"/>
        </w:rPr>
      </w:pPr>
    </w:p>
    <w:p w:rsidR="00057D5A" w:rsidRPr="00057D5A" w:rsidRDefault="0056158B" w:rsidP="008D181E">
      <w:pPr>
        <w:spacing w:before="0" w:after="85" w:line="240" w:lineRule="auto"/>
        <w:rPr>
          <w:rFonts w:eastAsia="Cambria" w:cs="MuseoSans-300"/>
          <w:spacing w:val="0"/>
          <w:position w:val="-2"/>
          <w:szCs w:val="22"/>
          <w:lang w:val="en-GB" w:eastAsia="en-US"/>
        </w:rPr>
      </w:pPr>
      <w:r w:rsidRPr="0056158B">
        <w:rPr>
          <w:rFonts w:eastAsia="Cambria" w:cs="MuseoSans-300"/>
          <w:spacing w:val="0"/>
          <w:position w:val="-2"/>
          <w:szCs w:val="22"/>
          <w:lang w:val="en-GB" w:eastAsia="en-US"/>
        </w:rPr>
        <w:t>Deeming assumes that financial investments are earning a certain rate of income. The actual returns from the recipient’s investments, whether in the form of capital growth, dividends or interest, are not used for the income test assessment, even if the investment returns are above the deeming rates.</w:t>
      </w:r>
      <w:r>
        <w:rPr>
          <w:rFonts w:eastAsia="Cambria" w:cs="MuseoSans-300"/>
          <w:spacing w:val="0"/>
          <w:position w:val="-2"/>
          <w:szCs w:val="22"/>
          <w:lang w:val="en-GB" w:eastAsia="en-US"/>
        </w:rPr>
        <w:t xml:space="preserve"> </w:t>
      </w:r>
      <w:r w:rsidR="00057D5A" w:rsidRPr="00057D5A">
        <w:rPr>
          <w:rFonts w:eastAsia="Cambria" w:cs="MuseoSans-300"/>
          <w:spacing w:val="0"/>
          <w:position w:val="-2"/>
          <w:szCs w:val="22"/>
          <w:lang w:val="en-GB" w:eastAsia="en-US"/>
        </w:rPr>
        <w:t>The current deeming rate (</w:t>
      </w:r>
      <w:r w:rsidR="003F19E2">
        <w:rPr>
          <w:rFonts w:eastAsia="Cambria" w:cs="MuseoSans-300"/>
          <w:spacing w:val="0"/>
          <w:position w:val="-2"/>
          <w:szCs w:val="22"/>
          <w:lang w:val="en-GB" w:eastAsia="en-US"/>
        </w:rPr>
        <w:t xml:space="preserve">from </w:t>
      </w:r>
      <w:r w:rsidR="002F331B">
        <w:rPr>
          <w:rFonts w:eastAsia="Cambria" w:cs="MuseoSans-300"/>
          <w:spacing w:val="0"/>
          <w:position w:val="-2"/>
          <w:szCs w:val="22"/>
          <w:lang w:val="en-GB" w:eastAsia="en-US"/>
        </w:rPr>
        <w:t>1 July</w:t>
      </w:r>
      <w:r w:rsidR="00530788">
        <w:rPr>
          <w:rFonts w:eastAsia="Cambria" w:cs="MuseoSans-300"/>
          <w:spacing w:val="0"/>
          <w:position w:val="-2"/>
          <w:szCs w:val="22"/>
          <w:lang w:val="en-GB" w:eastAsia="en-US"/>
        </w:rPr>
        <w:t xml:space="preserve"> 2015</w:t>
      </w:r>
      <w:r w:rsidR="00057D5A" w:rsidRPr="00057D5A">
        <w:rPr>
          <w:rFonts w:eastAsia="Cambria" w:cs="MuseoSans-300"/>
          <w:spacing w:val="0"/>
          <w:position w:val="-2"/>
          <w:szCs w:val="22"/>
          <w:lang w:val="en-GB" w:eastAsia="en-US"/>
        </w:rPr>
        <w:t xml:space="preserve">) </w:t>
      </w:r>
      <w:r w:rsidR="005E5467">
        <w:rPr>
          <w:rFonts w:eastAsia="Cambria" w:cs="MuseoSans-300"/>
          <w:spacing w:val="0"/>
          <w:position w:val="-2"/>
          <w:szCs w:val="22"/>
          <w:lang w:val="en-GB" w:eastAsia="en-US"/>
        </w:rPr>
        <w:t>is</w:t>
      </w:r>
      <w:r w:rsidR="005E5467" w:rsidRPr="00057D5A">
        <w:rPr>
          <w:rFonts w:eastAsia="Cambria" w:cs="MuseoSans-300"/>
          <w:spacing w:val="0"/>
          <w:position w:val="-2"/>
          <w:szCs w:val="22"/>
          <w:lang w:val="en-GB" w:eastAsia="en-US"/>
        </w:rPr>
        <w:t xml:space="preserve"> </w:t>
      </w:r>
      <w:r w:rsidR="00530788">
        <w:rPr>
          <w:rFonts w:eastAsia="Cambria" w:cs="MuseoSans-300"/>
          <w:spacing w:val="0"/>
          <w:position w:val="-2"/>
          <w:szCs w:val="22"/>
          <w:lang w:val="en-GB" w:eastAsia="en-US"/>
        </w:rPr>
        <w:t xml:space="preserve">1.75 </w:t>
      </w:r>
      <w:r w:rsidR="00D24925">
        <w:rPr>
          <w:rFonts w:eastAsia="Cambria" w:cs="MuseoSans-300"/>
          <w:spacing w:val="0"/>
          <w:position w:val="-2"/>
          <w:szCs w:val="22"/>
          <w:lang w:val="en-GB" w:eastAsia="en-US"/>
        </w:rPr>
        <w:t>per cent</w:t>
      </w:r>
      <w:r w:rsidR="00057D5A" w:rsidRPr="00057D5A">
        <w:rPr>
          <w:rFonts w:eastAsia="Cambria" w:cs="MuseoSans-300"/>
          <w:spacing w:val="0"/>
          <w:position w:val="-2"/>
          <w:szCs w:val="22"/>
          <w:lang w:val="en-GB" w:eastAsia="en-US"/>
        </w:rPr>
        <w:t xml:space="preserve"> for the first:</w:t>
      </w:r>
    </w:p>
    <w:p w:rsidR="00057D5A" w:rsidRPr="00057D5A" w:rsidRDefault="00057D5A" w:rsidP="0056158B">
      <w:pPr>
        <w:widowControl w:val="0"/>
        <w:numPr>
          <w:ilvl w:val="0"/>
          <w:numId w:val="64"/>
        </w:numPr>
        <w:suppressAutoHyphens/>
        <w:autoSpaceDE w:val="0"/>
        <w:autoSpaceDN w:val="0"/>
        <w:adjustRightInd w:val="0"/>
        <w:spacing w:before="0" w:after="0" w:line="240" w:lineRule="auto"/>
        <w:contextualSpacing/>
        <w:textAlignment w:val="center"/>
        <w:rPr>
          <w:rFonts w:eastAsia="Cambria" w:cs="MuseoSans-300"/>
          <w:spacing w:val="0"/>
          <w:position w:val="-2"/>
          <w:szCs w:val="22"/>
          <w:lang w:val="en-GB" w:eastAsia="en-US"/>
        </w:rPr>
      </w:pPr>
      <w:r w:rsidRPr="00057D5A">
        <w:rPr>
          <w:rFonts w:eastAsia="Cambria" w:cs="MuseoSans-300"/>
          <w:spacing w:val="0"/>
          <w:position w:val="-2"/>
          <w:szCs w:val="22"/>
          <w:lang w:val="en-GB" w:eastAsia="en-US"/>
        </w:rPr>
        <w:t>$</w:t>
      </w:r>
      <w:r w:rsidR="002F331B">
        <w:rPr>
          <w:rFonts w:eastAsia="Cambria" w:cs="MuseoSans-300"/>
          <w:spacing w:val="0"/>
          <w:position w:val="-2"/>
          <w:szCs w:val="22"/>
          <w:lang w:val="en-GB" w:eastAsia="en-US"/>
        </w:rPr>
        <w:t>48,6</w:t>
      </w:r>
      <w:r w:rsidR="002F331B" w:rsidRPr="00057D5A">
        <w:rPr>
          <w:rFonts w:eastAsia="Cambria" w:cs="MuseoSans-300"/>
          <w:spacing w:val="0"/>
          <w:position w:val="-2"/>
          <w:szCs w:val="22"/>
          <w:lang w:val="en-GB" w:eastAsia="en-US"/>
        </w:rPr>
        <w:t xml:space="preserve">00 </w:t>
      </w:r>
      <w:r w:rsidR="0056158B">
        <w:rPr>
          <w:rFonts w:eastAsia="Cambria" w:cs="MuseoSans-300"/>
          <w:spacing w:val="0"/>
          <w:position w:val="-2"/>
          <w:szCs w:val="22"/>
          <w:lang w:val="en-GB" w:eastAsia="en-US"/>
        </w:rPr>
        <w:t xml:space="preserve">of a single person’s </w:t>
      </w:r>
      <w:r w:rsidRPr="00057D5A">
        <w:rPr>
          <w:rFonts w:eastAsia="Cambria" w:cs="MuseoSans-300"/>
          <w:spacing w:val="0"/>
          <w:position w:val="-2"/>
          <w:szCs w:val="22"/>
          <w:lang w:val="en-GB" w:eastAsia="en-US"/>
        </w:rPr>
        <w:t>total financial asset</w:t>
      </w:r>
      <w:r w:rsidR="003427F8">
        <w:rPr>
          <w:rFonts w:eastAsia="Cambria" w:cs="MuseoSans-300"/>
          <w:spacing w:val="0"/>
          <w:position w:val="-2"/>
          <w:szCs w:val="22"/>
          <w:lang w:val="en-GB" w:eastAsia="en-US"/>
        </w:rPr>
        <w:t>s</w:t>
      </w:r>
      <w:r w:rsidR="00D24925">
        <w:rPr>
          <w:rFonts w:eastAsia="Cambria" w:cs="MuseoSans-300"/>
          <w:spacing w:val="0"/>
          <w:position w:val="-2"/>
          <w:szCs w:val="22"/>
          <w:lang w:val="en-GB" w:eastAsia="en-US"/>
        </w:rPr>
        <w:t>.</w:t>
      </w:r>
    </w:p>
    <w:p w:rsidR="00057D5A" w:rsidRPr="00057D5A" w:rsidRDefault="00057D5A" w:rsidP="008D181E">
      <w:pPr>
        <w:widowControl w:val="0"/>
        <w:numPr>
          <w:ilvl w:val="0"/>
          <w:numId w:val="64"/>
        </w:numPr>
        <w:suppressAutoHyphens/>
        <w:autoSpaceDE w:val="0"/>
        <w:autoSpaceDN w:val="0"/>
        <w:adjustRightInd w:val="0"/>
        <w:spacing w:before="0" w:line="240" w:lineRule="auto"/>
        <w:ind w:left="1077" w:hanging="357"/>
        <w:contextualSpacing/>
        <w:textAlignment w:val="center"/>
        <w:rPr>
          <w:rFonts w:eastAsia="Cambria" w:cs="MuseoSans-300"/>
          <w:spacing w:val="0"/>
          <w:position w:val="-2"/>
          <w:szCs w:val="22"/>
          <w:lang w:val="en-GB" w:eastAsia="en-US"/>
        </w:rPr>
      </w:pPr>
      <w:r w:rsidRPr="00057D5A">
        <w:rPr>
          <w:rFonts w:eastAsia="Cambria" w:cs="MuseoSans-300"/>
          <w:spacing w:val="0"/>
          <w:position w:val="-2"/>
          <w:szCs w:val="22"/>
          <w:lang w:val="en-GB" w:eastAsia="en-US"/>
        </w:rPr>
        <w:t>$</w:t>
      </w:r>
      <w:r w:rsidR="002F331B">
        <w:rPr>
          <w:rFonts w:eastAsia="Cambria" w:cs="MuseoSans-300"/>
          <w:spacing w:val="0"/>
          <w:position w:val="-2"/>
          <w:szCs w:val="22"/>
          <w:lang w:val="en-GB" w:eastAsia="en-US"/>
        </w:rPr>
        <w:t>80</w:t>
      </w:r>
      <w:r w:rsidRPr="00057D5A">
        <w:rPr>
          <w:rFonts w:eastAsia="Cambria" w:cs="MuseoSans-300"/>
          <w:spacing w:val="0"/>
          <w:position w:val="-2"/>
          <w:szCs w:val="22"/>
          <w:lang w:val="en-GB" w:eastAsia="en-US"/>
        </w:rPr>
        <w:t xml:space="preserve">,600 of </w:t>
      </w:r>
      <w:r w:rsidR="0056158B">
        <w:rPr>
          <w:rFonts w:eastAsia="Cambria" w:cs="MuseoSans-300"/>
          <w:spacing w:val="0"/>
          <w:position w:val="-2"/>
          <w:szCs w:val="22"/>
          <w:lang w:val="en-GB" w:eastAsia="en-US"/>
        </w:rPr>
        <w:t xml:space="preserve">a </w:t>
      </w:r>
      <w:r w:rsidRPr="00057D5A">
        <w:rPr>
          <w:rFonts w:eastAsia="Cambria" w:cs="MuseoSans-300"/>
          <w:spacing w:val="0"/>
          <w:position w:val="-2"/>
          <w:szCs w:val="22"/>
          <w:lang w:val="en-GB" w:eastAsia="en-US"/>
        </w:rPr>
        <w:t>couple's total financial assets</w:t>
      </w:r>
      <w:r w:rsidR="00D24925">
        <w:rPr>
          <w:rFonts w:eastAsia="Cambria" w:cs="MuseoSans-300"/>
          <w:spacing w:val="0"/>
          <w:position w:val="-2"/>
          <w:szCs w:val="22"/>
          <w:lang w:val="en-GB" w:eastAsia="en-US"/>
        </w:rPr>
        <w:t>.</w:t>
      </w:r>
    </w:p>
    <w:p w:rsidR="0056158B" w:rsidRPr="0056158B" w:rsidRDefault="00D24925" w:rsidP="008D181E">
      <w:pPr>
        <w:widowControl w:val="0"/>
        <w:suppressAutoHyphens/>
        <w:autoSpaceDE w:val="0"/>
        <w:autoSpaceDN w:val="0"/>
        <w:adjustRightInd w:val="0"/>
        <w:spacing w:before="240" w:after="0" w:line="240" w:lineRule="auto"/>
        <w:textAlignment w:val="center"/>
        <w:rPr>
          <w:rFonts w:eastAsia="Cambria" w:cs="MuseoSans-300"/>
          <w:spacing w:val="0"/>
          <w:position w:val="-2"/>
          <w:szCs w:val="22"/>
          <w:lang w:val="en-GB" w:eastAsia="en-US"/>
        </w:rPr>
      </w:pPr>
      <w:r>
        <w:rPr>
          <w:rFonts w:eastAsia="Cambria" w:cs="MuseoSans-300"/>
          <w:spacing w:val="0"/>
          <w:position w:val="-2"/>
          <w:szCs w:val="22"/>
          <w:lang w:val="en-GB" w:eastAsia="en-US"/>
        </w:rPr>
        <w:t>A higher deeming rate of 3.</w:t>
      </w:r>
      <w:r w:rsidR="00530788">
        <w:rPr>
          <w:rFonts w:eastAsia="Cambria" w:cs="MuseoSans-300"/>
          <w:spacing w:val="0"/>
          <w:position w:val="-2"/>
          <w:szCs w:val="22"/>
          <w:lang w:val="en-GB" w:eastAsia="en-US"/>
        </w:rPr>
        <w:t>2</w:t>
      </w:r>
      <w:r>
        <w:rPr>
          <w:rFonts w:eastAsia="Cambria" w:cs="MuseoSans-300"/>
          <w:spacing w:val="0"/>
          <w:position w:val="-2"/>
          <w:szCs w:val="22"/>
          <w:lang w:val="en-GB" w:eastAsia="en-US"/>
        </w:rPr>
        <w:t>5 per cent applies to financial investments above these amounts.</w:t>
      </w:r>
      <w:r w:rsidR="00517DF3">
        <w:rPr>
          <w:rFonts w:eastAsia="Cambria" w:cs="MuseoSans-300"/>
          <w:spacing w:val="0"/>
          <w:position w:val="-2"/>
          <w:szCs w:val="22"/>
          <w:lang w:val="en-GB" w:eastAsia="en-US"/>
        </w:rPr>
        <w:t xml:space="preserve"> </w:t>
      </w:r>
      <w:r w:rsidR="0056158B" w:rsidRPr="0056158B">
        <w:rPr>
          <w:rFonts w:eastAsia="Cambria" w:cs="MuseoSans-300"/>
          <w:spacing w:val="0"/>
          <w:position w:val="-2"/>
          <w:szCs w:val="22"/>
          <w:lang w:val="en-GB" w:eastAsia="en-US"/>
        </w:rPr>
        <w:t>The</w:t>
      </w:r>
      <w:r w:rsidR="00517DF3">
        <w:rPr>
          <w:rFonts w:eastAsia="Cambria" w:cs="MuseoSans-300"/>
          <w:spacing w:val="0"/>
          <w:position w:val="-2"/>
          <w:szCs w:val="22"/>
          <w:lang w:val="en-GB" w:eastAsia="en-US"/>
        </w:rPr>
        <w:t> </w:t>
      </w:r>
      <w:r w:rsidR="0056158B" w:rsidRPr="0056158B">
        <w:rPr>
          <w:rFonts w:eastAsia="Cambria" w:cs="MuseoSans-300"/>
          <w:spacing w:val="0"/>
          <w:position w:val="-2"/>
          <w:szCs w:val="22"/>
          <w:lang w:val="en-GB" w:eastAsia="en-US"/>
        </w:rPr>
        <w:t>deeming rates are monitored on an ongoing basis to ensure they reflect available returns.</w:t>
      </w:r>
    </w:p>
    <w:p w:rsidR="0056158B" w:rsidRPr="0056158B" w:rsidRDefault="0056158B" w:rsidP="0056158B">
      <w:pPr>
        <w:spacing w:before="0" w:after="0" w:line="240" w:lineRule="auto"/>
        <w:rPr>
          <w:rFonts w:eastAsia="Cambria" w:cs="MuseoSans-300"/>
          <w:spacing w:val="0"/>
          <w:position w:val="-2"/>
          <w:szCs w:val="22"/>
          <w:lang w:val="en-GB" w:eastAsia="en-US"/>
        </w:rPr>
      </w:pPr>
      <w:r w:rsidRPr="0056158B">
        <w:rPr>
          <w:rFonts w:eastAsia="Cambria" w:cs="MuseoSans-300"/>
          <w:spacing w:val="0"/>
          <w:position w:val="-2"/>
          <w:szCs w:val="22"/>
          <w:lang w:val="en-GB" w:eastAsia="en-US"/>
        </w:rPr>
        <w:t xml:space="preserve">Deeming rates reflect the rates of return people can earn from their financial assets: </w:t>
      </w:r>
    </w:p>
    <w:p w:rsidR="0056158B" w:rsidRPr="0056158B" w:rsidRDefault="0056158B" w:rsidP="0056158B">
      <w:pPr>
        <w:widowControl w:val="0"/>
        <w:numPr>
          <w:ilvl w:val="0"/>
          <w:numId w:val="64"/>
        </w:numPr>
        <w:suppressAutoHyphens/>
        <w:autoSpaceDE w:val="0"/>
        <w:autoSpaceDN w:val="0"/>
        <w:adjustRightInd w:val="0"/>
        <w:spacing w:before="0" w:after="0" w:line="240" w:lineRule="auto"/>
        <w:contextualSpacing/>
        <w:textAlignment w:val="center"/>
        <w:rPr>
          <w:rFonts w:eastAsia="Cambria" w:cs="MuseoSans-300"/>
          <w:spacing w:val="0"/>
          <w:position w:val="-2"/>
          <w:szCs w:val="22"/>
          <w:lang w:val="en-GB" w:eastAsia="en-US"/>
        </w:rPr>
      </w:pPr>
      <w:r w:rsidRPr="0056158B">
        <w:rPr>
          <w:rFonts w:eastAsia="Cambria" w:cs="MuseoSans-300"/>
          <w:spacing w:val="0"/>
          <w:position w:val="-2"/>
          <w:szCs w:val="22"/>
          <w:lang w:val="en-GB" w:eastAsia="en-US"/>
        </w:rPr>
        <w:t>The lower deeming rate reflects that many people choose to have savings in investments with high accessibility and safety, which tend to provide relatively low returns.</w:t>
      </w:r>
    </w:p>
    <w:p w:rsidR="0056158B" w:rsidRPr="0056158B" w:rsidRDefault="0056158B" w:rsidP="0056158B">
      <w:pPr>
        <w:widowControl w:val="0"/>
        <w:numPr>
          <w:ilvl w:val="0"/>
          <w:numId w:val="64"/>
        </w:numPr>
        <w:suppressAutoHyphens/>
        <w:autoSpaceDE w:val="0"/>
        <w:autoSpaceDN w:val="0"/>
        <w:adjustRightInd w:val="0"/>
        <w:spacing w:before="0" w:after="0" w:line="240" w:lineRule="auto"/>
        <w:contextualSpacing/>
        <w:textAlignment w:val="center"/>
        <w:rPr>
          <w:rFonts w:eastAsia="Cambria" w:cs="MuseoSans-300"/>
          <w:spacing w:val="0"/>
          <w:position w:val="-2"/>
          <w:szCs w:val="22"/>
          <w:lang w:val="en-GB" w:eastAsia="en-US"/>
        </w:rPr>
      </w:pPr>
      <w:r w:rsidRPr="0056158B">
        <w:rPr>
          <w:rFonts w:eastAsia="Cambria" w:cs="MuseoSans-300"/>
          <w:spacing w:val="0"/>
          <w:position w:val="-2"/>
          <w:szCs w:val="22"/>
          <w:lang w:val="en-GB" w:eastAsia="en-US"/>
        </w:rPr>
        <w:t>The higher deeming rate reflects that people with more savings may seek higher returns on some of their investments, either by accepting lower accessibility or higher risk.</w:t>
      </w:r>
    </w:p>
    <w:p w:rsidR="0056158B" w:rsidRDefault="0056158B" w:rsidP="0056158B">
      <w:pPr>
        <w:spacing w:before="0" w:after="0" w:line="240" w:lineRule="auto"/>
        <w:rPr>
          <w:rFonts w:eastAsia="Cambria" w:cs="MuseoSans-300"/>
          <w:spacing w:val="0"/>
          <w:position w:val="-2"/>
          <w:szCs w:val="22"/>
          <w:lang w:val="en-GB" w:eastAsia="en-US"/>
        </w:rPr>
      </w:pPr>
    </w:p>
    <w:p w:rsidR="00057D5A" w:rsidRPr="00057D5A" w:rsidRDefault="00057D5A" w:rsidP="00057D5A">
      <w:pPr>
        <w:widowControl w:val="0"/>
        <w:suppressAutoHyphens/>
        <w:autoSpaceDE w:val="0"/>
        <w:autoSpaceDN w:val="0"/>
        <w:adjustRightInd w:val="0"/>
        <w:spacing w:before="0" w:after="85" w:line="220" w:lineRule="atLeast"/>
        <w:textAlignment w:val="center"/>
        <w:rPr>
          <w:rFonts w:eastAsia="Cambria" w:cs="MuseoSans-300"/>
          <w:spacing w:val="0"/>
          <w:position w:val="-2"/>
          <w:szCs w:val="22"/>
          <w:lang w:val="en-GB" w:eastAsia="en-US"/>
        </w:rPr>
      </w:pPr>
      <w:r w:rsidRPr="00057D5A">
        <w:rPr>
          <w:rFonts w:eastAsia="Cambria" w:cs="MuseoSans-300"/>
          <w:spacing w:val="0"/>
          <w:position w:val="-2"/>
          <w:szCs w:val="22"/>
          <w:lang w:val="en-GB" w:eastAsia="en-US"/>
        </w:rPr>
        <w:t>This measure</w:t>
      </w:r>
      <w:r w:rsidR="00DB445B">
        <w:rPr>
          <w:rFonts w:eastAsia="Cambria" w:cs="MuseoSans-300"/>
          <w:spacing w:val="0"/>
          <w:position w:val="-2"/>
          <w:szCs w:val="22"/>
          <w:lang w:val="en-GB" w:eastAsia="en-US"/>
        </w:rPr>
        <w:t>, which commence</w:t>
      </w:r>
      <w:r w:rsidR="005E5467">
        <w:rPr>
          <w:rFonts w:eastAsia="Cambria" w:cs="MuseoSans-300"/>
          <w:spacing w:val="0"/>
          <w:position w:val="-2"/>
          <w:szCs w:val="22"/>
          <w:lang w:val="en-GB" w:eastAsia="en-US"/>
        </w:rPr>
        <w:t>d</w:t>
      </w:r>
      <w:r w:rsidRPr="00057D5A">
        <w:rPr>
          <w:rFonts w:eastAsia="Cambria" w:cs="MuseoSans-300"/>
          <w:spacing w:val="0"/>
          <w:position w:val="-2"/>
          <w:szCs w:val="22"/>
          <w:lang w:val="en-GB" w:eastAsia="en-US"/>
        </w:rPr>
        <w:t xml:space="preserve"> on 1 January 2015</w:t>
      </w:r>
      <w:r w:rsidR="00DB445B">
        <w:rPr>
          <w:rFonts w:eastAsia="Cambria" w:cs="MuseoSans-300"/>
          <w:spacing w:val="0"/>
          <w:position w:val="-2"/>
          <w:szCs w:val="22"/>
          <w:lang w:val="en-GB" w:eastAsia="en-US"/>
        </w:rPr>
        <w:t>,</w:t>
      </w:r>
      <w:r w:rsidRPr="00057D5A">
        <w:rPr>
          <w:rFonts w:eastAsia="Cambria" w:cs="MuseoSans-300"/>
          <w:spacing w:val="0"/>
          <w:position w:val="-2"/>
          <w:szCs w:val="22"/>
          <w:lang w:val="en-GB" w:eastAsia="en-US"/>
        </w:rPr>
        <w:t xml:space="preserve"> include</w:t>
      </w:r>
      <w:r w:rsidR="005B7498">
        <w:rPr>
          <w:rFonts w:eastAsia="Cambria" w:cs="MuseoSans-300"/>
          <w:spacing w:val="0"/>
          <w:position w:val="-2"/>
          <w:szCs w:val="22"/>
          <w:lang w:val="en-GB" w:eastAsia="en-US"/>
        </w:rPr>
        <w:t>d</w:t>
      </w:r>
      <w:r w:rsidRPr="00057D5A">
        <w:rPr>
          <w:rFonts w:eastAsia="Cambria" w:cs="MuseoSans-300"/>
          <w:spacing w:val="0"/>
          <w:position w:val="-2"/>
          <w:szCs w:val="22"/>
          <w:lang w:val="en-GB" w:eastAsia="en-US"/>
        </w:rPr>
        <w:t xml:space="preserve"> </w:t>
      </w:r>
      <w:r w:rsidR="00E97DE4">
        <w:rPr>
          <w:rFonts w:eastAsia="Cambria" w:cs="MuseoSans-300"/>
          <w:spacing w:val="0"/>
          <w:position w:val="-2"/>
          <w:szCs w:val="22"/>
          <w:lang w:val="en-GB" w:eastAsia="en-US"/>
        </w:rPr>
        <w:t xml:space="preserve">a </w:t>
      </w:r>
      <w:r w:rsidRPr="00057D5A">
        <w:rPr>
          <w:rFonts w:eastAsia="Cambria" w:cs="MuseoSans-300"/>
          <w:spacing w:val="0"/>
          <w:position w:val="-2"/>
          <w:szCs w:val="22"/>
          <w:lang w:val="en-GB" w:eastAsia="en-US"/>
        </w:rPr>
        <w:t>grandfathering provision.</w:t>
      </w:r>
      <w:r w:rsidR="002869DA">
        <w:rPr>
          <w:rFonts w:eastAsia="Cambria" w:cs="MuseoSans-300"/>
          <w:spacing w:val="0"/>
          <w:position w:val="-2"/>
          <w:szCs w:val="22"/>
          <w:lang w:val="en-GB" w:eastAsia="en-US"/>
        </w:rPr>
        <w:t xml:space="preserve"> Grandfathering is a provision in which an old rule continues to apply to existing situations while a new rule applies to future cases.</w:t>
      </w:r>
      <w:r w:rsidRPr="00057D5A">
        <w:rPr>
          <w:rFonts w:eastAsia="Cambria" w:cs="MuseoSans-300"/>
          <w:spacing w:val="0"/>
          <w:position w:val="-2"/>
          <w:szCs w:val="22"/>
          <w:lang w:val="en-GB" w:eastAsia="en-US"/>
        </w:rPr>
        <w:t xml:space="preserve"> Account</w:t>
      </w:r>
      <w:r w:rsidR="002869DA">
        <w:rPr>
          <w:rFonts w:eastAsia="Cambria" w:cs="MuseoSans-300"/>
          <w:spacing w:val="0"/>
          <w:position w:val="-2"/>
          <w:szCs w:val="22"/>
          <w:lang w:val="en-GB" w:eastAsia="en-US"/>
        </w:rPr>
        <w:t>-</w:t>
      </w:r>
      <w:r w:rsidRPr="00057D5A">
        <w:rPr>
          <w:rFonts w:eastAsia="Cambria" w:cs="MuseoSans-300"/>
          <w:spacing w:val="0"/>
          <w:position w:val="-2"/>
          <w:szCs w:val="22"/>
          <w:lang w:val="en-GB" w:eastAsia="en-US"/>
        </w:rPr>
        <w:t xml:space="preserve">based income streams </w:t>
      </w:r>
      <w:r w:rsidR="00902968">
        <w:rPr>
          <w:rFonts w:eastAsia="Cambria" w:cs="MuseoSans-300"/>
          <w:spacing w:val="0"/>
          <w:position w:val="-2"/>
          <w:szCs w:val="22"/>
          <w:lang w:val="en-GB" w:eastAsia="en-US"/>
        </w:rPr>
        <w:t>commenc</w:t>
      </w:r>
      <w:r w:rsidR="005B7498">
        <w:rPr>
          <w:rFonts w:eastAsia="Cambria" w:cs="MuseoSans-300"/>
          <w:spacing w:val="0"/>
          <w:position w:val="-2"/>
          <w:szCs w:val="22"/>
          <w:lang w:val="en-GB" w:eastAsia="en-US"/>
        </w:rPr>
        <w:t>ed</w:t>
      </w:r>
      <w:r w:rsidR="00902968">
        <w:rPr>
          <w:rFonts w:eastAsia="Cambria" w:cs="MuseoSans-300"/>
          <w:spacing w:val="0"/>
          <w:position w:val="-2"/>
          <w:szCs w:val="22"/>
          <w:lang w:val="en-GB" w:eastAsia="en-US"/>
        </w:rPr>
        <w:t xml:space="preserve"> </w:t>
      </w:r>
      <w:r w:rsidRPr="00057D5A">
        <w:rPr>
          <w:rFonts w:eastAsia="Cambria" w:cs="MuseoSans-300"/>
          <w:spacing w:val="0"/>
          <w:position w:val="-2"/>
          <w:szCs w:val="22"/>
          <w:lang w:val="en-GB" w:eastAsia="en-US"/>
        </w:rPr>
        <w:t xml:space="preserve">prior to 1 January 2015 by existing CSHC holders </w:t>
      </w:r>
      <w:r w:rsidR="005E5467">
        <w:rPr>
          <w:rFonts w:eastAsia="Cambria" w:cs="MuseoSans-300"/>
          <w:spacing w:val="0"/>
          <w:position w:val="-2"/>
          <w:szCs w:val="22"/>
          <w:lang w:val="en-GB" w:eastAsia="en-US"/>
        </w:rPr>
        <w:t>are</w:t>
      </w:r>
      <w:r w:rsidRPr="00057D5A">
        <w:rPr>
          <w:rFonts w:eastAsia="Cambria" w:cs="MuseoSans-300"/>
          <w:spacing w:val="0"/>
          <w:position w:val="-2"/>
          <w:szCs w:val="22"/>
          <w:lang w:val="en-GB" w:eastAsia="en-US"/>
        </w:rPr>
        <w:t xml:space="preserve"> exempt from the new provision and excluded from assessment.</w:t>
      </w:r>
    </w:p>
    <w:p w:rsidR="00057D5A" w:rsidRPr="00057D5A" w:rsidRDefault="00057D5A" w:rsidP="00093A3E">
      <w:pPr>
        <w:pStyle w:val="Heading2"/>
        <w:spacing w:before="120" w:after="0"/>
      </w:pPr>
      <w:r w:rsidRPr="00057D5A">
        <w:t>Examples of grandfathering arrangements to apply after 1 January 2015</w:t>
      </w:r>
    </w:p>
    <w:p w:rsidR="00057D5A" w:rsidRPr="00057D5A" w:rsidRDefault="00057D5A" w:rsidP="00057D5A">
      <w:pPr>
        <w:widowControl w:val="0"/>
        <w:suppressAutoHyphens/>
        <w:autoSpaceDE w:val="0"/>
        <w:autoSpaceDN w:val="0"/>
        <w:adjustRightInd w:val="0"/>
        <w:spacing w:before="0" w:after="0" w:line="220" w:lineRule="atLeast"/>
        <w:textAlignment w:val="center"/>
        <w:rPr>
          <w:rFonts w:eastAsia="Cambria" w:cs="MuseoSans-300"/>
          <w:spacing w:val="0"/>
          <w:position w:val="-2"/>
          <w:szCs w:val="22"/>
          <w:lang w:val="en-GB" w:eastAsia="en-US"/>
        </w:rPr>
      </w:pPr>
    </w:p>
    <w:p w:rsidR="00057D5A" w:rsidRPr="008D2D97" w:rsidRDefault="00057D5A" w:rsidP="008D2D97">
      <w:pPr>
        <w:pStyle w:val="Heading3"/>
      </w:pPr>
      <w:r w:rsidRPr="008D2D97">
        <w:t>Example 1 –</w:t>
      </w:r>
      <w:r w:rsidR="00DB59FA">
        <w:t xml:space="preserve"> </w:t>
      </w:r>
      <w:r w:rsidR="00FD0AB5">
        <w:t xml:space="preserve">Irene </w:t>
      </w:r>
      <w:r w:rsidR="005B7498">
        <w:t>wa</w:t>
      </w:r>
      <w:r w:rsidR="005B7498" w:rsidRPr="008D2D97">
        <w:t xml:space="preserve">s </w:t>
      </w:r>
      <w:r w:rsidRPr="008D2D97">
        <w:t>the holder of a CSHC on</w:t>
      </w:r>
      <w:r w:rsidR="00517DF3">
        <w:t xml:space="preserve"> </w:t>
      </w:r>
      <w:r w:rsidR="00C32EE3">
        <w:t>31 December 2014</w:t>
      </w:r>
      <w:r w:rsidRPr="008D2D97">
        <w:t>. Her account</w:t>
      </w:r>
      <w:r w:rsidR="002869DA">
        <w:t>-</w:t>
      </w:r>
      <w:r w:rsidRPr="008D2D97">
        <w:t xml:space="preserve"> based income stream was purchased prior to</w:t>
      </w:r>
      <w:r w:rsidR="005E5467">
        <w:t xml:space="preserve"> </w:t>
      </w:r>
      <w:r w:rsidR="002869DA">
        <w:t>1 January 2015</w:t>
      </w:r>
      <w:r w:rsidRPr="008D2D97">
        <w:t>.</w:t>
      </w:r>
    </w:p>
    <w:p w:rsidR="00057D5A" w:rsidRPr="00E67DF6" w:rsidRDefault="00057D5A" w:rsidP="00057D5A">
      <w:pPr>
        <w:widowControl w:val="0"/>
        <w:suppressAutoHyphens/>
        <w:autoSpaceDE w:val="0"/>
        <w:autoSpaceDN w:val="0"/>
        <w:adjustRightInd w:val="0"/>
        <w:spacing w:before="0" w:after="0" w:line="220" w:lineRule="atLeast"/>
        <w:ind w:left="284"/>
        <w:textAlignment w:val="center"/>
        <w:rPr>
          <w:rFonts w:eastAsia="Cambria" w:cs="MuseoSans-300"/>
          <w:b/>
          <w:spacing w:val="0"/>
          <w:position w:val="-2"/>
          <w:szCs w:val="22"/>
          <w:lang w:val="en-GB" w:eastAsia="en-US"/>
        </w:rPr>
      </w:pPr>
      <w:r w:rsidRPr="00057D5A">
        <w:rPr>
          <w:rFonts w:eastAsia="Cambria" w:cs="MuseoSans-300"/>
          <w:spacing w:val="0"/>
          <w:position w:val="-2"/>
          <w:szCs w:val="22"/>
          <w:lang w:val="en-GB" w:eastAsia="en-US"/>
        </w:rPr>
        <w:t>Irene is 75 years old, married, and the holder of a CSHC on</w:t>
      </w:r>
      <w:r w:rsidR="00517DF3">
        <w:rPr>
          <w:rFonts w:eastAsia="Cambria" w:cs="MuseoSans-300"/>
          <w:spacing w:val="0"/>
          <w:position w:val="-2"/>
          <w:szCs w:val="22"/>
          <w:lang w:val="en-GB" w:eastAsia="en-US"/>
        </w:rPr>
        <w:t xml:space="preserve"> </w:t>
      </w:r>
      <w:r w:rsidR="00447374">
        <w:rPr>
          <w:rFonts w:eastAsia="Cambria" w:cs="MuseoSans-300"/>
          <w:spacing w:val="0"/>
          <w:position w:val="-2"/>
          <w:szCs w:val="22"/>
          <w:lang w:val="en-GB" w:eastAsia="en-US"/>
        </w:rPr>
        <w:t>31 December 2014</w:t>
      </w:r>
      <w:r w:rsidRPr="00057D5A">
        <w:rPr>
          <w:rFonts w:eastAsia="Cambria" w:cs="MuseoSans-300"/>
          <w:spacing w:val="0"/>
          <w:position w:val="-2"/>
          <w:szCs w:val="22"/>
          <w:lang w:val="en-GB" w:eastAsia="en-US"/>
        </w:rPr>
        <w:t>. Irene and her husband have a combined annual adjusted income of $75,000. Irene also has $1 million in a tax</w:t>
      </w:r>
      <w:r w:rsidR="00517DF3">
        <w:rPr>
          <w:rFonts w:eastAsia="Cambria" w:cs="MuseoSans-300"/>
          <w:spacing w:val="0"/>
          <w:position w:val="-2"/>
          <w:szCs w:val="22"/>
          <w:lang w:val="en-GB" w:eastAsia="en-US"/>
        </w:rPr>
        <w:t>-</w:t>
      </w:r>
      <w:r w:rsidRPr="00057D5A">
        <w:rPr>
          <w:rFonts w:eastAsia="Cambria" w:cs="MuseoSans-300"/>
          <w:spacing w:val="0"/>
          <w:position w:val="-2"/>
          <w:szCs w:val="22"/>
          <w:lang w:val="en-GB" w:eastAsia="en-US"/>
        </w:rPr>
        <w:t>free account</w:t>
      </w:r>
      <w:r w:rsidR="002869DA">
        <w:rPr>
          <w:rFonts w:eastAsia="Cambria" w:cs="MuseoSans-300"/>
          <w:spacing w:val="0"/>
          <w:position w:val="-2"/>
          <w:szCs w:val="22"/>
          <w:lang w:val="en-GB" w:eastAsia="en-US"/>
        </w:rPr>
        <w:t>-</w:t>
      </w:r>
      <w:r w:rsidRPr="00057D5A">
        <w:rPr>
          <w:rFonts w:eastAsia="Cambria" w:cs="MuseoSans-300"/>
          <w:spacing w:val="0"/>
          <w:position w:val="-2"/>
          <w:szCs w:val="22"/>
          <w:lang w:val="en-GB" w:eastAsia="en-US"/>
        </w:rPr>
        <w:t>based income stream, which was purchased before</w:t>
      </w:r>
      <w:r w:rsidR="00517DF3">
        <w:rPr>
          <w:rFonts w:eastAsia="Cambria" w:cs="MuseoSans-300"/>
          <w:spacing w:val="0"/>
          <w:position w:val="-2"/>
          <w:szCs w:val="22"/>
          <w:lang w:val="en-GB" w:eastAsia="en-US"/>
        </w:rPr>
        <w:t xml:space="preserve"> </w:t>
      </w:r>
      <w:r w:rsidR="002869DA">
        <w:rPr>
          <w:rFonts w:eastAsia="Cambria" w:cs="MuseoSans-300"/>
          <w:spacing w:val="0"/>
          <w:position w:val="-2"/>
          <w:szCs w:val="22"/>
          <w:lang w:val="en-GB" w:eastAsia="en-US"/>
        </w:rPr>
        <w:t>1 January 2015</w:t>
      </w:r>
      <w:r w:rsidRPr="00057D5A">
        <w:rPr>
          <w:rFonts w:eastAsia="Cambria" w:cs="MuseoSans-300"/>
          <w:spacing w:val="0"/>
          <w:position w:val="-2"/>
          <w:szCs w:val="22"/>
          <w:lang w:val="en-GB" w:eastAsia="en-US"/>
        </w:rPr>
        <w:t>. </w:t>
      </w:r>
      <w:r w:rsidRPr="00E67DF6">
        <w:rPr>
          <w:rFonts w:eastAsia="Cambria" w:cs="MuseoSans-300"/>
          <w:b/>
          <w:spacing w:val="0"/>
          <w:position w:val="-2"/>
          <w:szCs w:val="22"/>
          <w:lang w:val="en-GB" w:eastAsia="en-US"/>
        </w:rPr>
        <w:t>Because of the grandfathering provisions</w:t>
      </w:r>
      <w:r w:rsidR="00461F80" w:rsidRPr="00E67DF6">
        <w:rPr>
          <w:rFonts w:eastAsia="Cambria" w:cs="MuseoSans-300"/>
          <w:b/>
          <w:spacing w:val="0"/>
          <w:position w:val="-2"/>
          <w:szCs w:val="22"/>
          <w:lang w:val="en-GB" w:eastAsia="en-US"/>
        </w:rPr>
        <w:t>,</w:t>
      </w:r>
      <w:r w:rsidRPr="00E67DF6">
        <w:rPr>
          <w:rFonts w:eastAsia="Cambria" w:cs="MuseoSans-300"/>
          <w:b/>
          <w:spacing w:val="0"/>
          <w:position w:val="-2"/>
          <w:szCs w:val="22"/>
          <w:lang w:val="en-GB" w:eastAsia="en-US"/>
        </w:rPr>
        <w:t xml:space="preserve"> Irene </w:t>
      </w:r>
      <w:r w:rsidR="005B7498">
        <w:rPr>
          <w:rFonts w:eastAsia="Cambria" w:cs="MuseoSans-300"/>
          <w:b/>
          <w:spacing w:val="0"/>
          <w:position w:val="-2"/>
          <w:szCs w:val="22"/>
          <w:lang w:val="en-GB" w:eastAsia="en-US"/>
        </w:rPr>
        <w:t>was</w:t>
      </w:r>
      <w:r w:rsidR="005B7498" w:rsidRPr="00E67DF6">
        <w:rPr>
          <w:rFonts w:eastAsia="Cambria" w:cs="MuseoSans-300"/>
          <w:b/>
          <w:spacing w:val="0"/>
          <w:position w:val="-2"/>
          <w:szCs w:val="22"/>
          <w:lang w:val="en-GB" w:eastAsia="en-US"/>
        </w:rPr>
        <w:t xml:space="preserve"> </w:t>
      </w:r>
      <w:r w:rsidR="002869DA" w:rsidRPr="00E67DF6">
        <w:rPr>
          <w:rFonts w:eastAsia="Cambria" w:cs="MuseoSans-300"/>
          <w:b/>
          <w:spacing w:val="0"/>
          <w:position w:val="-2"/>
          <w:szCs w:val="22"/>
          <w:lang w:val="en-GB" w:eastAsia="en-US"/>
        </w:rPr>
        <w:t>not</w:t>
      </w:r>
      <w:r w:rsidRPr="00E67DF6">
        <w:rPr>
          <w:rFonts w:eastAsia="Cambria" w:cs="MuseoSans-300"/>
          <w:b/>
          <w:spacing w:val="0"/>
          <w:position w:val="-2"/>
          <w:szCs w:val="22"/>
          <w:lang w:val="en-GB" w:eastAsia="en-US"/>
        </w:rPr>
        <w:t xml:space="preserve"> affected by the changes to the treatment of account</w:t>
      </w:r>
      <w:r w:rsidR="00517DF3">
        <w:rPr>
          <w:rFonts w:eastAsia="Cambria" w:cs="MuseoSans-300"/>
          <w:b/>
          <w:spacing w:val="0"/>
          <w:position w:val="-2"/>
          <w:szCs w:val="22"/>
          <w:lang w:val="en-GB" w:eastAsia="en-US"/>
        </w:rPr>
        <w:t>-</w:t>
      </w:r>
      <w:r w:rsidRPr="00E67DF6">
        <w:rPr>
          <w:rFonts w:eastAsia="Cambria" w:cs="MuseoSans-300"/>
          <w:b/>
          <w:spacing w:val="0"/>
          <w:position w:val="-2"/>
          <w:szCs w:val="22"/>
          <w:lang w:val="en-GB" w:eastAsia="en-US"/>
        </w:rPr>
        <w:t xml:space="preserve">based income streams in the CSHC income test, which </w:t>
      </w:r>
      <w:r w:rsidR="005B7498" w:rsidRPr="00E67DF6">
        <w:rPr>
          <w:rFonts w:eastAsia="Cambria" w:cs="MuseoSans-300"/>
          <w:b/>
          <w:spacing w:val="0"/>
          <w:position w:val="-2"/>
          <w:szCs w:val="22"/>
          <w:lang w:val="en-GB" w:eastAsia="en-US"/>
        </w:rPr>
        <w:t>c</w:t>
      </w:r>
      <w:r w:rsidR="005B7498">
        <w:rPr>
          <w:rFonts w:eastAsia="Cambria" w:cs="MuseoSans-300"/>
          <w:b/>
          <w:spacing w:val="0"/>
          <w:position w:val="-2"/>
          <w:szCs w:val="22"/>
          <w:lang w:val="en-GB" w:eastAsia="en-US"/>
        </w:rPr>
        <w:t>a</w:t>
      </w:r>
      <w:r w:rsidR="005B7498" w:rsidRPr="00E67DF6">
        <w:rPr>
          <w:rFonts w:eastAsia="Cambria" w:cs="MuseoSans-300"/>
          <w:b/>
          <w:spacing w:val="0"/>
          <w:position w:val="-2"/>
          <w:szCs w:val="22"/>
          <w:lang w:val="en-GB" w:eastAsia="en-US"/>
        </w:rPr>
        <w:t xml:space="preserve">me </w:t>
      </w:r>
      <w:r w:rsidRPr="00E67DF6">
        <w:rPr>
          <w:rFonts w:eastAsia="Cambria" w:cs="MuseoSans-300"/>
          <w:b/>
          <w:spacing w:val="0"/>
          <w:position w:val="-2"/>
          <w:szCs w:val="22"/>
          <w:lang w:val="en-GB" w:eastAsia="en-US"/>
        </w:rPr>
        <w:t xml:space="preserve">into effect </w:t>
      </w:r>
      <w:r w:rsidR="005B7498">
        <w:rPr>
          <w:rFonts w:eastAsia="Cambria" w:cs="MuseoSans-300"/>
          <w:b/>
          <w:spacing w:val="0"/>
          <w:position w:val="-2"/>
          <w:szCs w:val="22"/>
          <w:lang w:val="en-GB" w:eastAsia="en-US"/>
        </w:rPr>
        <w:t>on</w:t>
      </w:r>
      <w:r w:rsidR="005B7498" w:rsidRPr="00E67DF6">
        <w:rPr>
          <w:rFonts w:eastAsia="Cambria" w:cs="MuseoSans-300"/>
          <w:b/>
          <w:spacing w:val="0"/>
          <w:position w:val="-2"/>
          <w:szCs w:val="22"/>
          <w:lang w:val="en-GB" w:eastAsia="en-US"/>
        </w:rPr>
        <w:t xml:space="preserve"> </w:t>
      </w:r>
      <w:r w:rsidRPr="00E67DF6">
        <w:rPr>
          <w:rFonts w:eastAsia="Cambria" w:cs="MuseoSans-300"/>
          <w:b/>
          <w:spacing w:val="0"/>
          <w:position w:val="-2"/>
          <w:szCs w:val="22"/>
          <w:lang w:val="en-GB" w:eastAsia="en-US"/>
        </w:rPr>
        <w:t>1</w:t>
      </w:r>
      <w:r w:rsidR="00517DF3">
        <w:rPr>
          <w:rFonts w:eastAsia="Cambria" w:cs="MuseoSans-300"/>
          <w:b/>
          <w:spacing w:val="0"/>
          <w:position w:val="-2"/>
          <w:szCs w:val="22"/>
          <w:lang w:val="en-GB" w:eastAsia="en-US"/>
        </w:rPr>
        <w:t> </w:t>
      </w:r>
      <w:r w:rsidRPr="00E67DF6">
        <w:rPr>
          <w:rFonts w:eastAsia="Cambria" w:cs="MuseoSans-300"/>
          <w:b/>
          <w:spacing w:val="0"/>
          <w:position w:val="-2"/>
          <w:szCs w:val="22"/>
          <w:lang w:val="en-GB" w:eastAsia="en-US"/>
        </w:rPr>
        <w:t>January 2015.</w:t>
      </w:r>
    </w:p>
    <w:p w:rsidR="00517DF3" w:rsidRDefault="00517DF3" w:rsidP="00057D5A">
      <w:pPr>
        <w:widowControl w:val="0"/>
        <w:suppressAutoHyphens/>
        <w:autoSpaceDE w:val="0"/>
        <w:autoSpaceDN w:val="0"/>
        <w:adjustRightInd w:val="0"/>
        <w:spacing w:before="0" w:after="0" w:line="220" w:lineRule="atLeast"/>
        <w:ind w:left="284"/>
        <w:textAlignment w:val="center"/>
        <w:rPr>
          <w:rFonts w:eastAsia="Cambria" w:cs="MuseoSans-300"/>
          <w:spacing w:val="0"/>
          <w:position w:val="-2"/>
          <w:szCs w:val="22"/>
          <w:lang w:val="en-GB" w:eastAsia="en-US"/>
        </w:rPr>
      </w:pPr>
    </w:p>
    <w:p w:rsidR="00057D5A" w:rsidRPr="00057D5A" w:rsidRDefault="00057D5A" w:rsidP="00057D5A">
      <w:pPr>
        <w:widowControl w:val="0"/>
        <w:suppressAutoHyphens/>
        <w:autoSpaceDE w:val="0"/>
        <w:autoSpaceDN w:val="0"/>
        <w:adjustRightInd w:val="0"/>
        <w:spacing w:before="0" w:after="0" w:line="220" w:lineRule="atLeast"/>
        <w:ind w:left="284"/>
        <w:textAlignment w:val="center"/>
        <w:rPr>
          <w:rFonts w:eastAsia="Cambria" w:cs="MuseoSans-300"/>
          <w:spacing w:val="0"/>
          <w:position w:val="-2"/>
          <w:szCs w:val="22"/>
          <w:lang w:val="en-GB" w:eastAsia="en-US"/>
        </w:rPr>
      </w:pPr>
      <w:r w:rsidRPr="00057D5A">
        <w:rPr>
          <w:rFonts w:eastAsia="Cambria" w:cs="MuseoSans-300"/>
          <w:spacing w:val="0"/>
          <w:position w:val="-2"/>
          <w:szCs w:val="22"/>
          <w:lang w:val="en-GB" w:eastAsia="en-US"/>
        </w:rPr>
        <w:t xml:space="preserve">Irene </w:t>
      </w:r>
      <w:r w:rsidR="005B7498">
        <w:rPr>
          <w:rFonts w:eastAsia="Cambria" w:cs="MuseoSans-300"/>
          <w:spacing w:val="0"/>
          <w:position w:val="-2"/>
          <w:szCs w:val="22"/>
          <w:lang w:val="en-GB" w:eastAsia="en-US"/>
        </w:rPr>
        <w:t>remains</w:t>
      </w:r>
      <w:r w:rsidRPr="00057D5A">
        <w:rPr>
          <w:rFonts w:eastAsia="Cambria" w:cs="MuseoSans-300"/>
          <w:spacing w:val="0"/>
          <w:position w:val="-2"/>
          <w:szCs w:val="22"/>
          <w:lang w:val="en-GB" w:eastAsia="en-US"/>
        </w:rPr>
        <w:t xml:space="preserve"> eligible for the CSHC and </w:t>
      </w:r>
      <w:r w:rsidR="005B7498">
        <w:rPr>
          <w:rFonts w:eastAsia="Cambria" w:cs="MuseoSans-300"/>
          <w:spacing w:val="0"/>
          <w:position w:val="-2"/>
          <w:szCs w:val="22"/>
          <w:lang w:val="en-GB" w:eastAsia="en-US"/>
        </w:rPr>
        <w:t xml:space="preserve">continues to </w:t>
      </w:r>
      <w:r w:rsidRPr="00057D5A">
        <w:rPr>
          <w:rFonts w:eastAsia="Cambria" w:cs="MuseoSans-300"/>
          <w:spacing w:val="0"/>
          <w:position w:val="-2"/>
          <w:szCs w:val="22"/>
          <w:lang w:val="en-GB" w:eastAsia="en-US"/>
        </w:rPr>
        <w:t>have access to the benefits provided by the card.</w:t>
      </w:r>
    </w:p>
    <w:p w:rsidR="00057D5A" w:rsidRPr="00057D5A" w:rsidRDefault="00057D5A" w:rsidP="00057D5A">
      <w:pPr>
        <w:widowControl w:val="0"/>
        <w:suppressAutoHyphens/>
        <w:autoSpaceDE w:val="0"/>
        <w:autoSpaceDN w:val="0"/>
        <w:adjustRightInd w:val="0"/>
        <w:spacing w:before="0" w:after="0" w:line="220" w:lineRule="atLeast"/>
        <w:ind w:left="284"/>
        <w:textAlignment w:val="center"/>
        <w:rPr>
          <w:rFonts w:eastAsia="Cambria" w:cs="MuseoSans-300"/>
          <w:spacing w:val="0"/>
          <w:position w:val="-2"/>
          <w:szCs w:val="22"/>
          <w:lang w:val="en-GB" w:eastAsia="en-US"/>
        </w:rPr>
      </w:pPr>
    </w:p>
    <w:p w:rsidR="00057D5A" w:rsidRPr="00057D5A" w:rsidRDefault="00057D5A" w:rsidP="008D2D97">
      <w:pPr>
        <w:pStyle w:val="Heading3"/>
      </w:pPr>
      <w:r w:rsidRPr="00057D5A">
        <w:t>Example 2 –</w:t>
      </w:r>
      <w:r w:rsidR="00DB59FA">
        <w:t xml:space="preserve"> </w:t>
      </w:r>
      <w:r w:rsidR="00FD0AB5">
        <w:t xml:space="preserve">Jasmin </w:t>
      </w:r>
      <w:r w:rsidRPr="00057D5A">
        <w:t xml:space="preserve">claims CSHC </w:t>
      </w:r>
      <w:r w:rsidR="00C32EE3">
        <w:t xml:space="preserve">on or </w:t>
      </w:r>
      <w:r w:rsidRPr="00057D5A">
        <w:t>after</w:t>
      </w:r>
      <w:r w:rsidR="00517DF3">
        <w:t xml:space="preserve"> </w:t>
      </w:r>
      <w:r w:rsidR="00FD0AB5">
        <w:t>1 January 2015</w:t>
      </w:r>
      <w:r w:rsidRPr="00057D5A">
        <w:t>.</w:t>
      </w:r>
    </w:p>
    <w:p w:rsidR="00057D5A" w:rsidRPr="00057D5A" w:rsidRDefault="00057D5A" w:rsidP="00057D5A">
      <w:pPr>
        <w:widowControl w:val="0"/>
        <w:suppressAutoHyphens/>
        <w:autoSpaceDE w:val="0"/>
        <w:autoSpaceDN w:val="0"/>
        <w:adjustRightInd w:val="0"/>
        <w:spacing w:before="0" w:after="85" w:line="220" w:lineRule="atLeast"/>
        <w:ind w:left="284"/>
        <w:textAlignment w:val="center"/>
        <w:rPr>
          <w:rFonts w:eastAsia="Cambria" w:cs="MuseoSans-300"/>
          <w:spacing w:val="0"/>
          <w:position w:val="-2"/>
          <w:szCs w:val="22"/>
          <w:lang w:val="en-GB" w:eastAsia="en-US"/>
        </w:rPr>
      </w:pPr>
      <w:r w:rsidRPr="00057D5A">
        <w:rPr>
          <w:rFonts w:eastAsia="Cambria" w:cs="MuseoSans-300"/>
          <w:spacing w:val="0"/>
          <w:position w:val="-2"/>
          <w:szCs w:val="22"/>
          <w:lang w:val="en-GB" w:eastAsia="en-US"/>
        </w:rPr>
        <w:t xml:space="preserve">Jasmin is single and turns 65 on 15 </w:t>
      </w:r>
      <w:r w:rsidR="00E27331">
        <w:rPr>
          <w:rFonts w:eastAsia="Cambria" w:cs="MuseoSans-300"/>
          <w:spacing w:val="0"/>
          <w:position w:val="-2"/>
          <w:szCs w:val="22"/>
          <w:lang w:val="en-GB" w:eastAsia="en-US"/>
        </w:rPr>
        <w:t xml:space="preserve">October </w:t>
      </w:r>
      <w:r w:rsidRPr="00057D5A">
        <w:rPr>
          <w:rFonts w:eastAsia="Cambria" w:cs="MuseoSans-300"/>
          <w:spacing w:val="0"/>
          <w:position w:val="-2"/>
          <w:szCs w:val="22"/>
          <w:lang w:val="en-GB" w:eastAsia="en-US"/>
        </w:rPr>
        <w:t>2015. Jasmin is a self-funded retiree and is drawing down on her account</w:t>
      </w:r>
      <w:r w:rsidR="00FD0AB5">
        <w:rPr>
          <w:rFonts w:eastAsia="Cambria" w:cs="MuseoSans-300"/>
          <w:spacing w:val="0"/>
          <w:position w:val="-2"/>
          <w:szCs w:val="22"/>
          <w:lang w:val="en-GB" w:eastAsia="en-US"/>
        </w:rPr>
        <w:t>-</w:t>
      </w:r>
      <w:r w:rsidRPr="00057D5A">
        <w:rPr>
          <w:rFonts w:eastAsia="Cambria" w:cs="MuseoSans-300"/>
          <w:spacing w:val="0"/>
          <w:position w:val="-2"/>
          <w:szCs w:val="22"/>
          <w:lang w:val="en-GB" w:eastAsia="en-US"/>
        </w:rPr>
        <w:t xml:space="preserve">based income stream account balance of $2 million. Jasmin lodges a claim for the CSHC on </w:t>
      </w:r>
      <w:r w:rsidR="00221C2D" w:rsidRPr="00057D5A">
        <w:rPr>
          <w:rFonts w:eastAsia="Cambria" w:cs="MuseoSans-300"/>
          <w:spacing w:val="0"/>
          <w:position w:val="-2"/>
          <w:szCs w:val="22"/>
          <w:lang w:val="en-GB" w:eastAsia="en-US"/>
        </w:rPr>
        <w:t>15</w:t>
      </w:r>
      <w:r w:rsidR="00221C2D">
        <w:rPr>
          <w:rFonts w:eastAsia="Cambria" w:cs="MuseoSans-300"/>
          <w:spacing w:val="0"/>
          <w:position w:val="-2"/>
          <w:szCs w:val="22"/>
          <w:lang w:val="en-GB" w:eastAsia="en-US"/>
        </w:rPr>
        <w:t> </w:t>
      </w:r>
      <w:r w:rsidR="00E27331">
        <w:rPr>
          <w:rFonts w:eastAsia="Cambria" w:cs="MuseoSans-300"/>
          <w:spacing w:val="0"/>
          <w:position w:val="-2"/>
          <w:szCs w:val="22"/>
          <w:lang w:val="en-GB" w:eastAsia="en-US"/>
        </w:rPr>
        <w:t>October</w:t>
      </w:r>
      <w:r w:rsidR="00221C2D">
        <w:rPr>
          <w:rFonts w:eastAsia="Cambria" w:cs="MuseoSans-300"/>
          <w:spacing w:val="0"/>
          <w:position w:val="-2"/>
          <w:szCs w:val="22"/>
          <w:lang w:val="en-GB" w:eastAsia="en-US"/>
        </w:rPr>
        <w:t> </w:t>
      </w:r>
      <w:r w:rsidRPr="00057D5A">
        <w:rPr>
          <w:rFonts w:eastAsia="Cambria" w:cs="MuseoSans-300"/>
          <w:spacing w:val="0"/>
          <w:position w:val="-2"/>
          <w:szCs w:val="22"/>
          <w:lang w:val="en-GB" w:eastAsia="en-US"/>
        </w:rPr>
        <w:t xml:space="preserve">2015. </w:t>
      </w:r>
      <w:r w:rsidR="00E27331">
        <w:rPr>
          <w:rFonts w:eastAsia="Cambria" w:cs="MuseoSans-300"/>
          <w:spacing w:val="0"/>
          <w:position w:val="-2"/>
          <w:szCs w:val="22"/>
          <w:lang w:val="en-GB" w:eastAsia="en-US"/>
        </w:rPr>
        <w:t xml:space="preserve">She has an annual adjusted income of $5,000. </w:t>
      </w:r>
      <w:r w:rsidRPr="00057D5A">
        <w:rPr>
          <w:rFonts w:eastAsia="Cambria" w:cs="MuseoSans-300"/>
          <w:spacing w:val="0"/>
          <w:position w:val="-2"/>
          <w:szCs w:val="22"/>
          <w:lang w:val="en-GB" w:eastAsia="en-US"/>
        </w:rPr>
        <w:t xml:space="preserve">Under the CSHC income test from </w:t>
      </w:r>
      <w:r w:rsidR="003427F8" w:rsidRPr="00057D5A">
        <w:rPr>
          <w:rFonts w:eastAsia="Cambria" w:cs="MuseoSans-300"/>
          <w:spacing w:val="0"/>
          <w:position w:val="-2"/>
          <w:szCs w:val="22"/>
          <w:lang w:val="en-GB" w:eastAsia="en-US"/>
        </w:rPr>
        <w:t>1</w:t>
      </w:r>
      <w:r w:rsidR="003427F8">
        <w:rPr>
          <w:rFonts w:eastAsia="Cambria" w:cs="MuseoSans-300"/>
          <w:spacing w:val="0"/>
          <w:position w:val="-2"/>
          <w:szCs w:val="22"/>
          <w:lang w:val="en-GB" w:eastAsia="en-US"/>
        </w:rPr>
        <w:t> </w:t>
      </w:r>
      <w:r w:rsidR="003427F8" w:rsidRPr="00057D5A">
        <w:rPr>
          <w:rFonts w:eastAsia="Cambria" w:cs="MuseoSans-300"/>
          <w:spacing w:val="0"/>
          <w:position w:val="-2"/>
          <w:szCs w:val="22"/>
          <w:lang w:val="en-GB" w:eastAsia="en-US"/>
        </w:rPr>
        <w:t>January</w:t>
      </w:r>
      <w:r w:rsidR="003427F8">
        <w:rPr>
          <w:rFonts w:eastAsia="Cambria" w:cs="MuseoSans-300"/>
          <w:spacing w:val="0"/>
          <w:position w:val="-2"/>
          <w:szCs w:val="22"/>
          <w:lang w:val="en-GB" w:eastAsia="en-US"/>
        </w:rPr>
        <w:t> </w:t>
      </w:r>
      <w:r w:rsidRPr="00057D5A">
        <w:rPr>
          <w:rFonts w:eastAsia="Cambria" w:cs="MuseoSans-300"/>
          <w:spacing w:val="0"/>
          <w:position w:val="-2"/>
          <w:szCs w:val="22"/>
          <w:lang w:val="en-GB" w:eastAsia="en-US"/>
        </w:rPr>
        <w:t>2015, Jasmin’s account</w:t>
      </w:r>
      <w:r w:rsidR="00FD0AB5">
        <w:rPr>
          <w:rFonts w:eastAsia="Cambria" w:cs="MuseoSans-300"/>
          <w:spacing w:val="0"/>
          <w:position w:val="-2"/>
          <w:szCs w:val="22"/>
          <w:lang w:val="en-GB" w:eastAsia="en-US"/>
        </w:rPr>
        <w:t>-</w:t>
      </w:r>
      <w:r w:rsidRPr="00057D5A">
        <w:rPr>
          <w:rFonts w:eastAsia="Cambria" w:cs="MuseoSans-300"/>
          <w:spacing w:val="0"/>
          <w:position w:val="-2"/>
          <w:szCs w:val="22"/>
          <w:lang w:val="en-GB" w:eastAsia="en-US"/>
        </w:rPr>
        <w:t xml:space="preserve">based income stream is assessed under the deeming rules as earning </w:t>
      </w:r>
      <w:r w:rsidR="00CA2C6E">
        <w:rPr>
          <w:rFonts w:eastAsia="Cambria" w:cs="MuseoSans-300"/>
          <w:spacing w:val="0"/>
          <w:position w:val="-2"/>
          <w:szCs w:val="22"/>
          <w:lang w:val="en-GB" w:eastAsia="en-US"/>
        </w:rPr>
        <w:t>$64,271</w:t>
      </w:r>
      <w:r w:rsidRPr="00057D5A">
        <w:rPr>
          <w:rFonts w:eastAsia="Cambria" w:cs="MuseoSans-300"/>
          <w:spacing w:val="0"/>
          <w:position w:val="-2"/>
          <w:szCs w:val="22"/>
          <w:lang w:val="en-GB" w:eastAsia="en-US"/>
        </w:rPr>
        <w:t xml:space="preserve"> per year.</w:t>
      </w:r>
    </w:p>
    <w:p w:rsidR="00057D5A" w:rsidRDefault="00057D5A" w:rsidP="00517DF3">
      <w:pPr>
        <w:widowControl w:val="0"/>
        <w:suppressAutoHyphens/>
        <w:autoSpaceDE w:val="0"/>
        <w:autoSpaceDN w:val="0"/>
        <w:adjustRightInd w:val="0"/>
        <w:spacing w:before="0" w:after="0" w:line="220" w:lineRule="atLeast"/>
        <w:ind w:left="284"/>
        <w:textAlignment w:val="center"/>
        <w:rPr>
          <w:rFonts w:eastAsia="Cambria" w:cs="MuseoSans-300"/>
          <w:spacing w:val="0"/>
          <w:position w:val="-2"/>
          <w:szCs w:val="22"/>
          <w:lang w:val="en-GB" w:eastAsia="en-US"/>
        </w:rPr>
      </w:pPr>
      <w:r w:rsidRPr="00057D5A">
        <w:rPr>
          <w:rFonts w:eastAsia="Cambria" w:cs="MuseoSans-300"/>
          <w:spacing w:val="0"/>
          <w:position w:val="-2"/>
          <w:szCs w:val="22"/>
          <w:lang w:val="en-GB" w:eastAsia="en-US"/>
        </w:rPr>
        <w:t xml:space="preserve">Combined with her </w:t>
      </w:r>
      <w:r w:rsidR="00E27331">
        <w:rPr>
          <w:rFonts w:eastAsia="Cambria" w:cs="MuseoSans-300"/>
          <w:spacing w:val="0"/>
          <w:position w:val="-2"/>
          <w:szCs w:val="22"/>
          <w:lang w:val="en-GB" w:eastAsia="en-US"/>
        </w:rPr>
        <w:t>adjusted</w:t>
      </w:r>
      <w:r w:rsidR="00E27331" w:rsidRPr="00057D5A">
        <w:rPr>
          <w:rFonts w:eastAsia="Cambria" w:cs="MuseoSans-300"/>
          <w:spacing w:val="0"/>
          <w:position w:val="-2"/>
          <w:szCs w:val="22"/>
          <w:lang w:val="en-GB" w:eastAsia="en-US"/>
        </w:rPr>
        <w:t xml:space="preserve"> </w:t>
      </w:r>
      <w:r w:rsidRPr="00057D5A">
        <w:rPr>
          <w:rFonts w:eastAsia="Cambria" w:cs="MuseoSans-300"/>
          <w:spacing w:val="0"/>
          <w:position w:val="-2"/>
          <w:szCs w:val="22"/>
          <w:lang w:val="en-GB" w:eastAsia="en-US"/>
        </w:rPr>
        <w:t>income</w:t>
      </w:r>
      <w:r w:rsidR="00037963">
        <w:rPr>
          <w:rFonts w:eastAsia="Cambria" w:cs="MuseoSans-300"/>
          <w:spacing w:val="0"/>
          <w:position w:val="-2"/>
          <w:szCs w:val="22"/>
          <w:lang w:val="en-GB" w:eastAsia="en-US"/>
        </w:rPr>
        <w:t>,</w:t>
      </w:r>
      <w:r w:rsidRPr="00057D5A">
        <w:rPr>
          <w:rFonts w:eastAsia="Cambria" w:cs="MuseoSans-300"/>
          <w:spacing w:val="0"/>
          <w:position w:val="-2"/>
          <w:szCs w:val="22"/>
          <w:lang w:val="en-GB" w:eastAsia="en-US"/>
        </w:rPr>
        <w:t xml:space="preserve"> her total assessable income would be </w:t>
      </w:r>
      <w:r w:rsidR="00CA2C6E">
        <w:rPr>
          <w:rFonts w:eastAsia="Cambria" w:cs="MuseoSans-300"/>
          <w:spacing w:val="0"/>
          <w:position w:val="-2"/>
          <w:szCs w:val="22"/>
          <w:lang w:val="en-GB" w:eastAsia="en-US"/>
        </w:rPr>
        <w:t>$69,271</w:t>
      </w:r>
      <w:r w:rsidRPr="00057D5A">
        <w:rPr>
          <w:rFonts w:eastAsia="Cambria" w:cs="MuseoSans-300"/>
          <w:spacing w:val="0"/>
          <w:position w:val="-2"/>
          <w:szCs w:val="22"/>
          <w:lang w:val="en-GB" w:eastAsia="en-US"/>
        </w:rPr>
        <w:t>, which is above the annual CSHC income test limit of $</w:t>
      </w:r>
      <w:r w:rsidR="002F331B">
        <w:rPr>
          <w:rFonts w:eastAsia="Cambria" w:cs="MuseoSans-300"/>
          <w:spacing w:val="0"/>
          <w:position w:val="-2"/>
          <w:szCs w:val="22"/>
          <w:lang w:val="en-GB" w:eastAsia="en-US"/>
        </w:rPr>
        <w:t>52,273</w:t>
      </w:r>
      <w:r w:rsidRPr="00057D5A">
        <w:rPr>
          <w:rFonts w:eastAsia="Cambria" w:cs="MuseoSans-300"/>
          <w:spacing w:val="0"/>
          <w:position w:val="-2"/>
          <w:szCs w:val="22"/>
          <w:lang w:val="en-GB" w:eastAsia="en-US"/>
        </w:rPr>
        <w:t xml:space="preserve"> for singles.</w:t>
      </w:r>
    </w:p>
    <w:p w:rsidR="00517DF3" w:rsidRPr="00057D5A" w:rsidRDefault="00517DF3" w:rsidP="00517DF3">
      <w:pPr>
        <w:widowControl w:val="0"/>
        <w:suppressAutoHyphens/>
        <w:autoSpaceDE w:val="0"/>
        <w:autoSpaceDN w:val="0"/>
        <w:adjustRightInd w:val="0"/>
        <w:spacing w:before="0" w:after="0" w:line="220" w:lineRule="atLeast"/>
        <w:ind w:left="284"/>
        <w:textAlignment w:val="center"/>
        <w:rPr>
          <w:rFonts w:eastAsia="Cambria" w:cs="MuseoSans-300"/>
          <w:spacing w:val="0"/>
          <w:position w:val="-2"/>
          <w:szCs w:val="22"/>
          <w:lang w:val="en-GB" w:eastAsia="en-US"/>
        </w:rPr>
      </w:pPr>
    </w:p>
    <w:p w:rsidR="00057D5A" w:rsidRPr="00057D5A" w:rsidRDefault="00FD0AB5" w:rsidP="00517DF3">
      <w:pPr>
        <w:widowControl w:val="0"/>
        <w:suppressAutoHyphens/>
        <w:autoSpaceDE w:val="0"/>
        <w:autoSpaceDN w:val="0"/>
        <w:adjustRightInd w:val="0"/>
        <w:spacing w:before="0" w:after="0" w:line="220" w:lineRule="atLeast"/>
        <w:ind w:left="284"/>
        <w:textAlignment w:val="center"/>
        <w:rPr>
          <w:rFonts w:eastAsia="Cambria" w:cs="MuseoSans-300"/>
          <w:spacing w:val="0"/>
          <w:position w:val="-2"/>
          <w:szCs w:val="22"/>
          <w:lang w:val="en-GB" w:eastAsia="en-US"/>
        </w:rPr>
      </w:pPr>
      <w:r>
        <w:rPr>
          <w:rFonts w:eastAsia="Cambria" w:cs="MuseoSans-300"/>
          <w:spacing w:val="0"/>
          <w:position w:val="-2"/>
          <w:szCs w:val="22"/>
          <w:lang w:val="en-GB" w:eastAsia="en-US"/>
        </w:rPr>
        <w:t xml:space="preserve">Therefore, </w:t>
      </w:r>
      <w:r w:rsidR="00057D5A" w:rsidRPr="00057D5A">
        <w:rPr>
          <w:rFonts w:eastAsia="Cambria" w:cs="MuseoSans-300"/>
          <w:spacing w:val="0"/>
          <w:position w:val="-2"/>
          <w:szCs w:val="22"/>
          <w:lang w:val="en-GB" w:eastAsia="en-US"/>
        </w:rPr>
        <w:t>Jasmin’s claim for a CSHC is rejected.</w:t>
      </w:r>
    </w:p>
    <w:p w:rsidR="00220DE5" w:rsidRDefault="00220DE5">
      <w:pPr>
        <w:spacing w:before="0" w:after="0" w:line="240" w:lineRule="auto"/>
        <w:rPr>
          <w:rFonts w:eastAsia="Cambria" w:cs="MuseoSans-300"/>
          <w:spacing w:val="0"/>
          <w:position w:val="-2"/>
          <w:szCs w:val="22"/>
          <w:lang w:val="en-GB" w:eastAsia="en-US"/>
        </w:rPr>
      </w:pPr>
      <w:r>
        <w:rPr>
          <w:rFonts w:eastAsia="Cambria" w:cs="MuseoSans-300"/>
          <w:spacing w:val="0"/>
          <w:position w:val="-2"/>
          <w:szCs w:val="22"/>
          <w:lang w:val="en-GB" w:eastAsia="en-US"/>
        </w:rPr>
        <w:br w:type="page"/>
      </w:r>
    </w:p>
    <w:p w:rsidR="00057D5A" w:rsidRPr="00057D5A" w:rsidRDefault="00057D5A" w:rsidP="00517DF3">
      <w:pPr>
        <w:widowControl w:val="0"/>
        <w:suppressAutoHyphens/>
        <w:autoSpaceDE w:val="0"/>
        <w:autoSpaceDN w:val="0"/>
        <w:adjustRightInd w:val="0"/>
        <w:spacing w:before="0" w:after="0" w:line="220" w:lineRule="atLeast"/>
        <w:ind w:left="284"/>
        <w:textAlignment w:val="center"/>
        <w:rPr>
          <w:rFonts w:eastAsia="Cambria" w:cs="MuseoSans-300"/>
          <w:spacing w:val="0"/>
          <w:position w:val="-2"/>
          <w:szCs w:val="22"/>
          <w:lang w:val="en-GB" w:eastAsia="en-US"/>
        </w:rPr>
      </w:pPr>
    </w:p>
    <w:p w:rsidR="00057D5A" w:rsidRPr="00057D5A" w:rsidRDefault="00057D5A" w:rsidP="00517DF3">
      <w:pPr>
        <w:pStyle w:val="Heading3"/>
      </w:pPr>
      <w:r w:rsidRPr="00057D5A">
        <w:t>Example 3 –</w:t>
      </w:r>
      <w:r w:rsidR="00DB59FA">
        <w:t xml:space="preserve"> </w:t>
      </w:r>
      <w:r w:rsidR="00FD0AB5">
        <w:t xml:space="preserve">Sachin </w:t>
      </w:r>
      <w:r w:rsidRPr="00057D5A">
        <w:t xml:space="preserve">changes </w:t>
      </w:r>
      <w:r w:rsidR="00FD0AB5">
        <w:t xml:space="preserve">his </w:t>
      </w:r>
      <w:r w:rsidRPr="00057D5A">
        <w:t>account</w:t>
      </w:r>
      <w:r w:rsidR="00FD0AB5">
        <w:t>-</w:t>
      </w:r>
      <w:r w:rsidRPr="00057D5A">
        <w:t xml:space="preserve">based income stream after </w:t>
      </w:r>
      <w:r w:rsidR="00FD0AB5">
        <w:t xml:space="preserve">1 January </w:t>
      </w:r>
      <w:r w:rsidRPr="00057D5A">
        <w:t>20</w:t>
      </w:r>
      <w:r w:rsidR="00BC5186">
        <w:t>1</w:t>
      </w:r>
      <w:r w:rsidRPr="00057D5A">
        <w:t>5</w:t>
      </w:r>
      <w:r w:rsidR="008F4C73">
        <w:t>.</w:t>
      </w:r>
    </w:p>
    <w:p w:rsidR="00057D5A" w:rsidRDefault="00057D5A" w:rsidP="00517DF3">
      <w:pPr>
        <w:widowControl w:val="0"/>
        <w:suppressAutoHyphens/>
        <w:autoSpaceDE w:val="0"/>
        <w:autoSpaceDN w:val="0"/>
        <w:adjustRightInd w:val="0"/>
        <w:spacing w:before="0" w:after="0" w:line="220" w:lineRule="atLeast"/>
        <w:ind w:left="284"/>
        <w:textAlignment w:val="center"/>
        <w:rPr>
          <w:rFonts w:eastAsia="Cambria" w:cs="MuseoSans-300"/>
          <w:spacing w:val="0"/>
          <w:position w:val="-2"/>
          <w:szCs w:val="22"/>
          <w:lang w:val="en-GB" w:eastAsia="en-US"/>
        </w:rPr>
      </w:pPr>
      <w:r w:rsidRPr="00057D5A">
        <w:rPr>
          <w:rFonts w:eastAsia="Cambria" w:cs="MuseoSans-300"/>
          <w:spacing w:val="0"/>
          <w:position w:val="-2"/>
          <w:szCs w:val="22"/>
          <w:lang w:val="en-GB" w:eastAsia="en-US"/>
        </w:rPr>
        <w:t>Sachin is 80 years old, single and the holder of a CSHC. Sachin has an annual adjusted income of $47,000. Sachin is also drawing down on his account</w:t>
      </w:r>
      <w:r w:rsidR="00FD0AB5">
        <w:rPr>
          <w:rFonts w:eastAsia="Cambria" w:cs="MuseoSans-300"/>
          <w:spacing w:val="0"/>
          <w:position w:val="-2"/>
          <w:szCs w:val="22"/>
          <w:lang w:val="en-GB" w:eastAsia="en-US"/>
        </w:rPr>
        <w:t>-</w:t>
      </w:r>
      <w:r w:rsidRPr="00057D5A">
        <w:rPr>
          <w:rFonts w:eastAsia="Cambria" w:cs="MuseoSans-300"/>
          <w:spacing w:val="0"/>
          <w:position w:val="-2"/>
          <w:szCs w:val="22"/>
          <w:lang w:val="en-GB" w:eastAsia="en-US"/>
        </w:rPr>
        <w:t>based income stream, which he purchased in 2008. Because of the grandfathering provisions, there is no income assessed against this product. However, on 20 </w:t>
      </w:r>
      <w:r w:rsidR="00221C2D">
        <w:rPr>
          <w:rFonts w:eastAsia="Cambria" w:cs="MuseoSans-300"/>
          <w:spacing w:val="0"/>
          <w:position w:val="-2"/>
          <w:szCs w:val="22"/>
          <w:lang w:val="en-GB" w:eastAsia="en-US"/>
        </w:rPr>
        <w:t>July</w:t>
      </w:r>
      <w:r w:rsidR="00221C2D" w:rsidRPr="00057D5A">
        <w:rPr>
          <w:rFonts w:eastAsia="Cambria" w:cs="MuseoSans-300"/>
          <w:spacing w:val="0"/>
          <w:position w:val="-2"/>
          <w:szCs w:val="22"/>
          <w:lang w:val="en-GB" w:eastAsia="en-US"/>
        </w:rPr>
        <w:t xml:space="preserve"> </w:t>
      </w:r>
      <w:r w:rsidRPr="00057D5A">
        <w:rPr>
          <w:rFonts w:eastAsia="Cambria" w:cs="MuseoSans-300"/>
          <w:spacing w:val="0"/>
          <w:position w:val="-2"/>
          <w:szCs w:val="22"/>
          <w:lang w:val="en-GB" w:eastAsia="en-US"/>
        </w:rPr>
        <w:t xml:space="preserve">2015 Sachin </w:t>
      </w:r>
      <w:r w:rsidR="00221C2D" w:rsidRPr="00057D5A">
        <w:rPr>
          <w:rFonts w:eastAsia="Cambria" w:cs="MuseoSans-300"/>
          <w:spacing w:val="0"/>
          <w:position w:val="-2"/>
          <w:szCs w:val="22"/>
          <w:lang w:val="en-GB" w:eastAsia="en-US"/>
        </w:rPr>
        <w:t>decide</w:t>
      </w:r>
      <w:r w:rsidR="00221C2D">
        <w:rPr>
          <w:rFonts w:eastAsia="Cambria" w:cs="MuseoSans-300"/>
          <w:spacing w:val="0"/>
          <w:position w:val="-2"/>
          <w:szCs w:val="22"/>
          <w:lang w:val="en-GB" w:eastAsia="en-US"/>
        </w:rPr>
        <w:t>d</w:t>
      </w:r>
      <w:r w:rsidR="00221C2D" w:rsidRPr="00057D5A">
        <w:rPr>
          <w:rFonts w:eastAsia="Cambria" w:cs="MuseoSans-300"/>
          <w:spacing w:val="0"/>
          <w:position w:val="-2"/>
          <w:szCs w:val="22"/>
          <w:lang w:val="en-GB" w:eastAsia="en-US"/>
        </w:rPr>
        <w:t xml:space="preserve"> </w:t>
      </w:r>
      <w:r w:rsidRPr="00057D5A">
        <w:rPr>
          <w:rFonts w:eastAsia="Cambria" w:cs="MuseoSans-300"/>
          <w:spacing w:val="0"/>
          <w:position w:val="-2"/>
          <w:szCs w:val="22"/>
          <w:lang w:val="en-GB" w:eastAsia="en-US"/>
        </w:rPr>
        <w:t>to change his existing account</w:t>
      </w:r>
      <w:r w:rsidR="00FD0AB5">
        <w:rPr>
          <w:rFonts w:eastAsia="Cambria" w:cs="MuseoSans-300"/>
          <w:spacing w:val="0"/>
          <w:position w:val="-2"/>
          <w:szCs w:val="22"/>
          <w:lang w:val="en-GB" w:eastAsia="en-US"/>
        </w:rPr>
        <w:t>-</w:t>
      </w:r>
      <w:r w:rsidRPr="00057D5A">
        <w:rPr>
          <w:rFonts w:eastAsia="Cambria" w:cs="MuseoSans-300"/>
          <w:spacing w:val="0"/>
          <w:position w:val="-2"/>
          <w:szCs w:val="22"/>
          <w:lang w:val="en-GB" w:eastAsia="en-US"/>
        </w:rPr>
        <w:t>based income stream to another account</w:t>
      </w:r>
      <w:r w:rsidR="00FD0AB5">
        <w:rPr>
          <w:rFonts w:eastAsia="Cambria" w:cs="MuseoSans-300"/>
          <w:spacing w:val="0"/>
          <w:position w:val="-2"/>
          <w:szCs w:val="22"/>
          <w:lang w:val="en-GB" w:eastAsia="en-US"/>
        </w:rPr>
        <w:t>-</w:t>
      </w:r>
      <w:r w:rsidRPr="00057D5A">
        <w:rPr>
          <w:rFonts w:eastAsia="Cambria" w:cs="MuseoSans-300"/>
          <w:spacing w:val="0"/>
          <w:position w:val="-2"/>
          <w:szCs w:val="22"/>
          <w:lang w:val="en-GB" w:eastAsia="en-US"/>
        </w:rPr>
        <w:t>based income stream product. As a result</w:t>
      </w:r>
      <w:r w:rsidR="00FD0AB5">
        <w:rPr>
          <w:rFonts w:eastAsia="Cambria" w:cs="MuseoSans-300"/>
          <w:spacing w:val="0"/>
          <w:position w:val="-2"/>
          <w:szCs w:val="22"/>
          <w:lang w:val="en-GB" w:eastAsia="en-US"/>
        </w:rPr>
        <w:t>,</w:t>
      </w:r>
      <w:r w:rsidRPr="00057D5A">
        <w:rPr>
          <w:rFonts w:eastAsia="Cambria" w:cs="MuseoSans-300"/>
          <w:spacing w:val="0"/>
          <w:position w:val="-2"/>
          <w:szCs w:val="22"/>
          <w:lang w:val="en-GB" w:eastAsia="en-US"/>
        </w:rPr>
        <w:t xml:space="preserve"> he </w:t>
      </w:r>
      <w:r w:rsidR="00221C2D">
        <w:rPr>
          <w:rFonts w:eastAsia="Cambria" w:cs="MuseoSans-300"/>
          <w:spacing w:val="0"/>
          <w:position w:val="-2"/>
          <w:szCs w:val="22"/>
          <w:lang w:val="en-GB" w:eastAsia="en-US"/>
        </w:rPr>
        <w:t>lost</w:t>
      </w:r>
      <w:r w:rsidR="00221C2D" w:rsidRPr="00057D5A">
        <w:rPr>
          <w:rFonts w:eastAsia="Cambria" w:cs="MuseoSans-300"/>
          <w:spacing w:val="0"/>
          <w:position w:val="-2"/>
          <w:szCs w:val="22"/>
          <w:lang w:val="en-GB" w:eastAsia="en-US"/>
        </w:rPr>
        <w:t xml:space="preserve"> </w:t>
      </w:r>
      <w:r w:rsidRPr="00057D5A">
        <w:rPr>
          <w:rFonts w:eastAsia="Cambria" w:cs="MuseoSans-300"/>
          <w:spacing w:val="0"/>
          <w:position w:val="-2"/>
          <w:szCs w:val="22"/>
          <w:lang w:val="en-GB" w:eastAsia="en-US"/>
        </w:rPr>
        <w:t>his grandfather</w:t>
      </w:r>
      <w:r w:rsidR="00254F31">
        <w:rPr>
          <w:rFonts w:eastAsia="Cambria" w:cs="MuseoSans-300"/>
          <w:spacing w:val="0"/>
          <w:position w:val="-2"/>
          <w:szCs w:val="22"/>
          <w:lang w:val="en-GB" w:eastAsia="en-US"/>
        </w:rPr>
        <w:t>ed</w:t>
      </w:r>
      <w:r w:rsidRPr="00057D5A">
        <w:rPr>
          <w:rFonts w:eastAsia="Cambria" w:cs="MuseoSans-300"/>
          <w:spacing w:val="0"/>
          <w:position w:val="-2"/>
          <w:szCs w:val="22"/>
          <w:lang w:val="en-GB" w:eastAsia="en-US"/>
        </w:rPr>
        <w:t xml:space="preserve"> status</w:t>
      </w:r>
      <w:r w:rsidR="008F4C73">
        <w:rPr>
          <w:rFonts w:eastAsia="Cambria" w:cs="MuseoSans-300"/>
          <w:spacing w:val="0"/>
          <w:position w:val="-2"/>
          <w:szCs w:val="22"/>
          <w:lang w:val="en-GB" w:eastAsia="en-US"/>
        </w:rPr>
        <w:t xml:space="preserve"> </w:t>
      </w:r>
      <w:r w:rsidR="00C32EE3">
        <w:rPr>
          <w:rFonts w:eastAsia="Cambria" w:cs="MuseoSans-300"/>
          <w:spacing w:val="0"/>
          <w:position w:val="-2"/>
          <w:szCs w:val="22"/>
          <w:lang w:val="en-GB" w:eastAsia="en-US"/>
        </w:rPr>
        <w:t>for this product</w:t>
      </w:r>
      <w:r w:rsidRPr="00057D5A">
        <w:rPr>
          <w:rFonts w:eastAsia="Cambria" w:cs="MuseoSans-300"/>
          <w:spacing w:val="0"/>
          <w:position w:val="-2"/>
          <w:szCs w:val="22"/>
          <w:lang w:val="en-GB" w:eastAsia="en-US"/>
        </w:rPr>
        <w:t xml:space="preserve"> and deemed income of $10,000 is assessed against the account balance of his new account</w:t>
      </w:r>
      <w:r w:rsidR="00FD0AB5">
        <w:rPr>
          <w:rFonts w:eastAsia="Cambria" w:cs="MuseoSans-300"/>
          <w:spacing w:val="0"/>
          <w:position w:val="-2"/>
          <w:szCs w:val="22"/>
          <w:lang w:val="en-GB" w:eastAsia="en-US"/>
        </w:rPr>
        <w:t>-</w:t>
      </w:r>
      <w:r w:rsidRPr="00057D5A">
        <w:rPr>
          <w:rFonts w:eastAsia="Cambria" w:cs="MuseoSans-300"/>
          <w:spacing w:val="0"/>
          <w:position w:val="-2"/>
          <w:szCs w:val="22"/>
          <w:lang w:val="en-GB" w:eastAsia="en-US"/>
        </w:rPr>
        <w:t>based income stream.</w:t>
      </w:r>
    </w:p>
    <w:p w:rsidR="008F4C73" w:rsidRPr="00057D5A" w:rsidRDefault="008F4C73" w:rsidP="00517DF3">
      <w:pPr>
        <w:widowControl w:val="0"/>
        <w:suppressAutoHyphens/>
        <w:autoSpaceDE w:val="0"/>
        <w:autoSpaceDN w:val="0"/>
        <w:adjustRightInd w:val="0"/>
        <w:spacing w:before="0" w:after="0" w:line="220" w:lineRule="atLeast"/>
        <w:ind w:left="284"/>
        <w:textAlignment w:val="center"/>
        <w:rPr>
          <w:rFonts w:eastAsia="Cambria" w:cs="MuseoSans-300"/>
          <w:spacing w:val="0"/>
          <w:position w:val="-2"/>
          <w:szCs w:val="22"/>
          <w:lang w:val="en-GB" w:eastAsia="en-US"/>
        </w:rPr>
      </w:pPr>
    </w:p>
    <w:p w:rsidR="00057D5A" w:rsidRPr="00057D5A" w:rsidRDefault="002A41C0" w:rsidP="008F4C73">
      <w:pPr>
        <w:widowControl w:val="0"/>
        <w:suppressAutoHyphens/>
        <w:autoSpaceDE w:val="0"/>
        <w:autoSpaceDN w:val="0"/>
        <w:adjustRightInd w:val="0"/>
        <w:spacing w:before="0" w:after="0" w:line="220" w:lineRule="atLeast"/>
        <w:ind w:left="284"/>
        <w:textAlignment w:val="center"/>
        <w:rPr>
          <w:rFonts w:eastAsia="Cambria" w:cs="MuseoSans-300"/>
          <w:spacing w:val="0"/>
          <w:position w:val="-2"/>
          <w:szCs w:val="22"/>
          <w:lang w:val="en-GB" w:eastAsia="en-US"/>
        </w:rPr>
      </w:pPr>
      <w:r>
        <w:rPr>
          <w:rFonts w:eastAsia="Cambria" w:cs="MuseoSans-300"/>
          <w:spacing w:val="0"/>
          <w:position w:val="-2"/>
          <w:szCs w:val="22"/>
          <w:lang w:val="en-GB" w:eastAsia="en-US"/>
        </w:rPr>
        <w:t>Because Sachin’s assessed</w:t>
      </w:r>
      <w:r w:rsidR="00057D5A" w:rsidRPr="00057D5A">
        <w:rPr>
          <w:rFonts w:eastAsia="Cambria" w:cs="MuseoSans-300"/>
          <w:spacing w:val="0"/>
          <w:position w:val="-2"/>
          <w:szCs w:val="22"/>
          <w:lang w:val="en-GB" w:eastAsia="en-US"/>
        </w:rPr>
        <w:t xml:space="preserve"> income is now $57,000</w:t>
      </w:r>
      <w:r w:rsidR="00FD0AB5">
        <w:rPr>
          <w:rFonts w:eastAsia="Cambria" w:cs="MuseoSans-300"/>
          <w:spacing w:val="0"/>
          <w:position w:val="-2"/>
          <w:szCs w:val="22"/>
          <w:lang w:val="en-GB" w:eastAsia="en-US"/>
        </w:rPr>
        <w:t xml:space="preserve"> (</w:t>
      </w:r>
      <w:r w:rsidR="00FD0AB5" w:rsidRPr="00057D5A">
        <w:rPr>
          <w:rFonts w:eastAsia="Cambria" w:cs="MuseoSans-300"/>
          <w:spacing w:val="0"/>
          <w:position w:val="-2"/>
          <w:szCs w:val="22"/>
          <w:lang w:val="en-GB" w:eastAsia="en-US"/>
        </w:rPr>
        <w:t>as only account</w:t>
      </w:r>
      <w:r w:rsidR="00FD0AB5">
        <w:rPr>
          <w:rFonts w:eastAsia="Cambria" w:cs="MuseoSans-300"/>
          <w:spacing w:val="0"/>
          <w:position w:val="-2"/>
          <w:szCs w:val="22"/>
          <w:lang w:val="en-GB" w:eastAsia="en-US"/>
        </w:rPr>
        <w:t>-</w:t>
      </w:r>
      <w:r w:rsidR="00FD0AB5" w:rsidRPr="00057D5A">
        <w:rPr>
          <w:rFonts w:eastAsia="Cambria" w:cs="MuseoSans-300"/>
          <w:spacing w:val="0"/>
          <w:position w:val="-2"/>
          <w:szCs w:val="22"/>
          <w:lang w:val="en-GB" w:eastAsia="en-US"/>
        </w:rPr>
        <w:t>based income streams purchased prior to 1 January 2015 are grandfathered</w:t>
      </w:r>
      <w:r w:rsidR="00FD0AB5">
        <w:rPr>
          <w:rFonts w:eastAsia="Cambria" w:cs="MuseoSans-300"/>
          <w:spacing w:val="0"/>
          <w:position w:val="-2"/>
          <w:szCs w:val="22"/>
          <w:lang w:val="en-GB" w:eastAsia="en-US"/>
        </w:rPr>
        <w:t>)</w:t>
      </w:r>
      <w:r w:rsidR="00057D5A" w:rsidRPr="00057D5A">
        <w:rPr>
          <w:rFonts w:eastAsia="Cambria" w:cs="MuseoSans-300"/>
          <w:spacing w:val="0"/>
          <w:position w:val="-2"/>
          <w:szCs w:val="22"/>
          <w:lang w:val="en-GB" w:eastAsia="en-US"/>
        </w:rPr>
        <w:t xml:space="preserve"> he </w:t>
      </w:r>
      <w:r w:rsidR="00221C2D">
        <w:rPr>
          <w:rFonts w:eastAsia="Cambria" w:cs="MuseoSans-300"/>
          <w:spacing w:val="0"/>
          <w:position w:val="-2"/>
          <w:szCs w:val="22"/>
          <w:lang w:val="en-GB" w:eastAsia="en-US"/>
        </w:rPr>
        <w:t>lost</w:t>
      </w:r>
      <w:r w:rsidR="00221C2D" w:rsidRPr="00057D5A">
        <w:rPr>
          <w:rFonts w:eastAsia="Cambria" w:cs="MuseoSans-300"/>
          <w:spacing w:val="0"/>
          <w:position w:val="-2"/>
          <w:szCs w:val="22"/>
          <w:lang w:val="en-GB" w:eastAsia="en-US"/>
        </w:rPr>
        <w:t xml:space="preserve"> </w:t>
      </w:r>
      <w:r w:rsidR="00057D5A" w:rsidRPr="00057D5A">
        <w:rPr>
          <w:rFonts w:eastAsia="Cambria" w:cs="MuseoSans-300"/>
          <w:spacing w:val="0"/>
          <w:position w:val="-2"/>
          <w:szCs w:val="22"/>
          <w:lang w:val="en-GB" w:eastAsia="en-US"/>
        </w:rPr>
        <w:t>eligibility to his CSHC</w:t>
      </w:r>
      <w:r w:rsidR="00FD0AB5">
        <w:rPr>
          <w:rFonts w:eastAsia="Cambria" w:cs="MuseoSans-300"/>
          <w:spacing w:val="0"/>
          <w:position w:val="-2"/>
          <w:szCs w:val="22"/>
          <w:lang w:val="en-GB" w:eastAsia="en-US"/>
        </w:rPr>
        <w:t xml:space="preserve"> because this </w:t>
      </w:r>
      <w:r w:rsidR="00FD0AB5" w:rsidRPr="00057D5A">
        <w:rPr>
          <w:rFonts w:eastAsia="Cambria" w:cs="MuseoSans-300"/>
          <w:spacing w:val="0"/>
          <w:position w:val="-2"/>
          <w:szCs w:val="22"/>
          <w:lang w:val="en-GB" w:eastAsia="en-US"/>
        </w:rPr>
        <w:t>is above the annual CSHC income test limit of $</w:t>
      </w:r>
      <w:r w:rsidR="002F331B">
        <w:rPr>
          <w:rFonts w:eastAsia="Cambria" w:cs="MuseoSans-300"/>
          <w:spacing w:val="0"/>
          <w:position w:val="-2"/>
          <w:szCs w:val="22"/>
          <w:lang w:val="en-GB" w:eastAsia="en-US"/>
        </w:rPr>
        <w:t>52,273</w:t>
      </w:r>
      <w:r w:rsidR="00FD0AB5" w:rsidRPr="00057D5A">
        <w:rPr>
          <w:rFonts w:eastAsia="Cambria" w:cs="MuseoSans-300"/>
          <w:spacing w:val="0"/>
          <w:position w:val="-2"/>
          <w:szCs w:val="22"/>
          <w:lang w:val="en-GB" w:eastAsia="en-US"/>
        </w:rPr>
        <w:t xml:space="preserve"> for singles</w:t>
      </w:r>
      <w:r w:rsidR="00057D5A" w:rsidRPr="00057D5A">
        <w:rPr>
          <w:rFonts w:eastAsia="Cambria" w:cs="MuseoSans-300"/>
          <w:spacing w:val="0"/>
          <w:position w:val="-2"/>
          <w:szCs w:val="22"/>
          <w:lang w:val="en-GB" w:eastAsia="en-US"/>
        </w:rPr>
        <w:t>.</w:t>
      </w:r>
    </w:p>
    <w:p w:rsidR="00057D5A" w:rsidRPr="00057D5A" w:rsidRDefault="00057D5A" w:rsidP="008F4C73">
      <w:pPr>
        <w:widowControl w:val="0"/>
        <w:suppressAutoHyphens/>
        <w:autoSpaceDE w:val="0"/>
        <w:autoSpaceDN w:val="0"/>
        <w:adjustRightInd w:val="0"/>
        <w:spacing w:before="0" w:after="0" w:line="220" w:lineRule="atLeast"/>
        <w:ind w:left="284"/>
        <w:textAlignment w:val="center"/>
        <w:rPr>
          <w:rFonts w:eastAsia="Cambria" w:cs="MuseoSans-300"/>
          <w:spacing w:val="0"/>
          <w:position w:val="-2"/>
          <w:szCs w:val="22"/>
          <w:lang w:val="en-GB" w:eastAsia="en-US"/>
        </w:rPr>
      </w:pPr>
    </w:p>
    <w:p w:rsidR="008F4C73" w:rsidRDefault="00057D5A" w:rsidP="008F4C73">
      <w:pPr>
        <w:pStyle w:val="Heading3"/>
      </w:pPr>
      <w:r w:rsidRPr="00057D5A">
        <w:t>Example 4 –</w:t>
      </w:r>
      <w:r w:rsidR="00DB59FA">
        <w:t xml:space="preserve"> </w:t>
      </w:r>
      <w:r w:rsidR="00FD0AB5">
        <w:t xml:space="preserve">David </w:t>
      </w:r>
      <w:r w:rsidRPr="00057D5A">
        <w:t xml:space="preserve">is a member of a couple. </w:t>
      </w:r>
      <w:r w:rsidR="00F83CE8">
        <w:t>Davi</w:t>
      </w:r>
      <w:r w:rsidR="00FD0AB5">
        <w:t xml:space="preserve">d and his partner Deb both </w:t>
      </w:r>
      <w:r w:rsidRPr="00057D5A">
        <w:t>own an</w:t>
      </w:r>
    </w:p>
    <w:p w:rsidR="00057D5A" w:rsidRPr="00057D5A" w:rsidRDefault="00057D5A" w:rsidP="008F4C73">
      <w:pPr>
        <w:pStyle w:val="Heading3"/>
      </w:pPr>
      <w:proofErr w:type="gramStart"/>
      <w:r w:rsidRPr="00057D5A">
        <w:t>account</w:t>
      </w:r>
      <w:r w:rsidR="00FD0AB5">
        <w:t>-</w:t>
      </w:r>
      <w:r w:rsidRPr="00057D5A">
        <w:t>based</w:t>
      </w:r>
      <w:proofErr w:type="gramEnd"/>
      <w:r w:rsidRPr="00057D5A">
        <w:t xml:space="preserve"> income stream.</w:t>
      </w:r>
    </w:p>
    <w:p w:rsidR="00057D5A" w:rsidRPr="00057D5A" w:rsidRDefault="00057D5A" w:rsidP="003C7D34">
      <w:pPr>
        <w:widowControl w:val="0"/>
        <w:suppressAutoHyphens/>
        <w:autoSpaceDE w:val="0"/>
        <w:autoSpaceDN w:val="0"/>
        <w:adjustRightInd w:val="0"/>
        <w:spacing w:before="0" w:after="85" w:line="220" w:lineRule="atLeast"/>
        <w:ind w:left="284"/>
        <w:textAlignment w:val="center"/>
        <w:rPr>
          <w:rFonts w:eastAsia="Cambria" w:cs="MuseoSans-300"/>
          <w:spacing w:val="0"/>
          <w:position w:val="-2"/>
          <w:szCs w:val="22"/>
          <w:lang w:val="en-GB" w:eastAsia="en-US"/>
        </w:rPr>
      </w:pPr>
      <w:r w:rsidRPr="00057D5A">
        <w:rPr>
          <w:rFonts w:eastAsia="Cambria" w:cs="MuseoSans-300"/>
          <w:spacing w:val="0"/>
          <w:position w:val="-2"/>
          <w:szCs w:val="22"/>
          <w:lang w:val="en-GB" w:eastAsia="en-US"/>
        </w:rPr>
        <w:t xml:space="preserve">David is aged 68 and </w:t>
      </w:r>
      <w:r w:rsidR="002428F5">
        <w:rPr>
          <w:rFonts w:eastAsia="Cambria" w:cs="MuseoSans-300"/>
          <w:spacing w:val="0"/>
          <w:position w:val="-2"/>
          <w:szCs w:val="22"/>
          <w:lang w:val="en-GB" w:eastAsia="en-US"/>
        </w:rPr>
        <w:t xml:space="preserve">was </w:t>
      </w:r>
      <w:r w:rsidRPr="00057D5A">
        <w:rPr>
          <w:rFonts w:eastAsia="Cambria" w:cs="MuseoSans-300"/>
          <w:spacing w:val="0"/>
          <w:position w:val="-2"/>
          <w:szCs w:val="22"/>
          <w:lang w:val="en-GB" w:eastAsia="en-US"/>
        </w:rPr>
        <w:t xml:space="preserve">the holder of a CSHC on </w:t>
      </w:r>
      <w:r w:rsidR="00C32EE3">
        <w:rPr>
          <w:rFonts w:eastAsia="Cambria" w:cs="MuseoSans-300"/>
          <w:spacing w:val="0"/>
          <w:position w:val="-2"/>
          <w:szCs w:val="22"/>
          <w:lang w:val="en-GB" w:eastAsia="en-US"/>
        </w:rPr>
        <w:t>31 December 2014</w:t>
      </w:r>
      <w:r w:rsidRPr="00057D5A">
        <w:rPr>
          <w:rFonts w:eastAsia="Cambria" w:cs="MuseoSans-300"/>
          <w:spacing w:val="0"/>
          <w:position w:val="-2"/>
          <w:szCs w:val="22"/>
          <w:lang w:val="en-GB" w:eastAsia="en-US"/>
        </w:rPr>
        <w:t>. David has a balance of $500,000 in an account</w:t>
      </w:r>
      <w:r w:rsidR="00F83CE8">
        <w:rPr>
          <w:rFonts w:eastAsia="Cambria" w:cs="MuseoSans-300"/>
          <w:spacing w:val="0"/>
          <w:position w:val="-2"/>
          <w:szCs w:val="22"/>
          <w:lang w:val="en-GB" w:eastAsia="en-US"/>
        </w:rPr>
        <w:t>-</w:t>
      </w:r>
      <w:r w:rsidRPr="00057D5A">
        <w:rPr>
          <w:rFonts w:eastAsia="Cambria" w:cs="MuseoSans-300"/>
          <w:spacing w:val="0"/>
          <w:position w:val="-2"/>
          <w:szCs w:val="22"/>
          <w:lang w:val="en-GB" w:eastAsia="en-US"/>
        </w:rPr>
        <w:t xml:space="preserve">based income stream. He also </w:t>
      </w:r>
      <w:r w:rsidR="00E27331">
        <w:rPr>
          <w:rFonts w:eastAsia="Cambria" w:cs="MuseoSans-300"/>
          <w:spacing w:val="0"/>
          <w:position w:val="-2"/>
          <w:szCs w:val="22"/>
          <w:lang w:val="en-GB" w:eastAsia="en-US"/>
        </w:rPr>
        <w:t>has</w:t>
      </w:r>
      <w:r w:rsidR="00E27331" w:rsidRPr="00057D5A">
        <w:rPr>
          <w:rFonts w:eastAsia="Cambria" w:cs="MuseoSans-300"/>
          <w:spacing w:val="0"/>
          <w:position w:val="-2"/>
          <w:szCs w:val="22"/>
          <w:lang w:val="en-GB" w:eastAsia="en-US"/>
        </w:rPr>
        <w:t xml:space="preserve"> </w:t>
      </w:r>
      <w:r w:rsidRPr="00057D5A">
        <w:rPr>
          <w:rFonts w:eastAsia="Cambria" w:cs="MuseoSans-300"/>
          <w:spacing w:val="0"/>
          <w:position w:val="-2"/>
          <w:szCs w:val="22"/>
          <w:lang w:val="en-GB" w:eastAsia="en-US"/>
        </w:rPr>
        <w:t xml:space="preserve">$45,000 </w:t>
      </w:r>
      <w:r w:rsidR="00E27331">
        <w:rPr>
          <w:rFonts w:eastAsia="Cambria" w:cs="MuseoSans-300"/>
          <w:spacing w:val="0"/>
          <w:position w:val="-2"/>
          <w:szCs w:val="22"/>
          <w:lang w:val="en-GB" w:eastAsia="en-US"/>
        </w:rPr>
        <w:t>adjusted</w:t>
      </w:r>
      <w:r w:rsidR="00507CFD">
        <w:rPr>
          <w:rFonts w:eastAsia="Cambria" w:cs="MuseoSans-300"/>
          <w:spacing w:val="0"/>
          <w:position w:val="-2"/>
          <w:szCs w:val="22"/>
          <w:lang w:val="en-GB" w:eastAsia="en-US"/>
        </w:rPr>
        <w:t xml:space="preserve"> </w:t>
      </w:r>
      <w:r w:rsidRPr="00057D5A">
        <w:rPr>
          <w:rFonts w:eastAsia="Cambria" w:cs="MuseoSans-300"/>
          <w:spacing w:val="0"/>
          <w:position w:val="-2"/>
          <w:szCs w:val="22"/>
          <w:lang w:val="en-GB" w:eastAsia="en-US"/>
        </w:rPr>
        <w:t xml:space="preserve">income. Under the CSHC income test from 1 January 2015, David’s income stream </w:t>
      </w:r>
      <w:r w:rsidR="00F83CE8">
        <w:rPr>
          <w:rFonts w:eastAsia="Cambria" w:cs="MuseoSans-300"/>
          <w:spacing w:val="0"/>
          <w:position w:val="-2"/>
          <w:szCs w:val="22"/>
          <w:lang w:val="en-GB" w:eastAsia="en-US"/>
        </w:rPr>
        <w:t xml:space="preserve">is </w:t>
      </w:r>
      <w:r w:rsidR="00221C2D">
        <w:rPr>
          <w:rFonts w:eastAsia="Cambria" w:cs="MuseoSans-300"/>
          <w:spacing w:val="0"/>
          <w:position w:val="-2"/>
          <w:szCs w:val="22"/>
          <w:lang w:val="en-GB" w:eastAsia="en-US"/>
        </w:rPr>
        <w:t xml:space="preserve">grandfathered and is </w:t>
      </w:r>
      <w:r w:rsidR="00F83CE8">
        <w:rPr>
          <w:rFonts w:eastAsia="Cambria" w:cs="MuseoSans-300"/>
          <w:spacing w:val="0"/>
          <w:position w:val="-2"/>
          <w:szCs w:val="22"/>
          <w:lang w:val="en-GB" w:eastAsia="en-US"/>
        </w:rPr>
        <w:t xml:space="preserve">not </w:t>
      </w:r>
      <w:r w:rsidRPr="00057D5A">
        <w:rPr>
          <w:rFonts w:eastAsia="Cambria" w:cs="MuseoSans-300"/>
          <w:spacing w:val="0"/>
          <w:position w:val="-2"/>
          <w:szCs w:val="22"/>
          <w:lang w:val="en-GB" w:eastAsia="en-US"/>
        </w:rPr>
        <w:t>assessed. </w:t>
      </w:r>
      <w:r w:rsidR="00221C2D">
        <w:rPr>
          <w:rFonts w:eastAsia="Cambria" w:cs="MuseoSans-300"/>
          <w:spacing w:val="0"/>
          <w:position w:val="-2"/>
          <w:szCs w:val="22"/>
          <w:lang w:val="en-GB" w:eastAsia="en-US"/>
        </w:rPr>
        <w:t>His</w:t>
      </w:r>
      <w:r w:rsidRPr="00057D5A">
        <w:rPr>
          <w:rFonts w:eastAsia="Cambria" w:cs="MuseoSans-300"/>
          <w:spacing w:val="0"/>
          <w:position w:val="-2"/>
          <w:szCs w:val="22"/>
          <w:lang w:val="en-GB" w:eastAsia="en-US"/>
        </w:rPr>
        <w:t xml:space="preserve"> partner Deb </w:t>
      </w:r>
      <w:r w:rsidR="00221C2D">
        <w:rPr>
          <w:rFonts w:eastAsia="Cambria" w:cs="MuseoSans-300"/>
          <w:spacing w:val="0"/>
          <w:position w:val="-2"/>
          <w:szCs w:val="22"/>
          <w:lang w:val="en-GB" w:eastAsia="en-US"/>
        </w:rPr>
        <w:t>turned</w:t>
      </w:r>
      <w:r w:rsidRPr="00057D5A">
        <w:rPr>
          <w:rFonts w:eastAsia="Cambria" w:cs="MuseoSans-300"/>
          <w:spacing w:val="0"/>
          <w:position w:val="-2"/>
          <w:szCs w:val="22"/>
          <w:lang w:val="en-GB" w:eastAsia="en-US"/>
        </w:rPr>
        <w:t xml:space="preserve"> 65 in </w:t>
      </w:r>
      <w:r w:rsidR="00CE4F57">
        <w:rPr>
          <w:rFonts w:eastAsia="Cambria" w:cs="MuseoSans-300"/>
          <w:spacing w:val="0"/>
          <w:position w:val="-2"/>
          <w:szCs w:val="22"/>
          <w:lang w:val="en-GB" w:eastAsia="en-US"/>
        </w:rPr>
        <w:t>September</w:t>
      </w:r>
      <w:r w:rsidR="00221C2D" w:rsidRPr="00057D5A">
        <w:rPr>
          <w:rFonts w:eastAsia="Cambria" w:cs="MuseoSans-300"/>
          <w:spacing w:val="0"/>
          <w:position w:val="-2"/>
          <w:szCs w:val="22"/>
          <w:lang w:val="en-GB" w:eastAsia="en-US"/>
        </w:rPr>
        <w:t xml:space="preserve"> </w:t>
      </w:r>
      <w:r w:rsidRPr="00057D5A">
        <w:rPr>
          <w:rFonts w:eastAsia="Cambria" w:cs="MuseoSans-300"/>
          <w:spacing w:val="0"/>
          <w:position w:val="-2"/>
          <w:szCs w:val="22"/>
          <w:lang w:val="en-GB" w:eastAsia="en-US"/>
        </w:rPr>
        <w:t xml:space="preserve">2015 </w:t>
      </w:r>
      <w:r w:rsidR="008F4C73">
        <w:rPr>
          <w:rFonts w:eastAsia="Cambria" w:cs="MuseoSans-300"/>
          <w:spacing w:val="0"/>
          <w:position w:val="-2"/>
          <w:szCs w:val="22"/>
          <w:lang w:val="en-GB" w:eastAsia="en-US"/>
        </w:rPr>
        <w:t xml:space="preserve">and </w:t>
      </w:r>
      <w:r w:rsidRPr="00057D5A">
        <w:rPr>
          <w:rFonts w:eastAsia="Cambria" w:cs="MuseoSans-300"/>
          <w:spacing w:val="0"/>
          <w:position w:val="-2"/>
          <w:szCs w:val="22"/>
          <w:lang w:val="en-GB" w:eastAsia="en-US"/>
        </w:rPr>
        <w:t>has an account</w:t>
      </w:r>
      <w:r w:rsidR="00F83CE8">
        <w:rPr>
          <w:rFonts w:eastAsia="Cambria" w:cs="MuseoSans-300"/>
          <w:spacing w:val="0"/>
          <w:position w:val="-2"/>
          <w:szCs w:val="22"/>
          <w:lang w:val="en-GB" w:eastAsia="en-US"/>
        </w:rPr>
        <w:t>-</w:t>
      </w:r>
      <w:r w:rsidRPr="00057D5A">
        <w:rPr>
          <w:rFonts w:eastAsia="Cambria" w:cs="MuseoSans-300"/>
          <w:spacing w:val="0"/>
          <w:position w:val="-2"/>
          <w:szCs w:val="22"/>
          <w:lang w:val="en-GB" w:eastAsia="en-US"/>
        </w:rPr>
        <w:t>based income stream deemed to earn $30,000</w:t>
      </w:r>
      <w:r w:rsidR="00A463AA">
        <w:rPr>
          <w:rFonts w:eastAsia="Cambria" w:cs="MuseoSans-300"/>
          <w:spacing w:val="0"/>
          <w:position w:val="-2"/>
          <w:szCs w:val="22"/>
          <w:lang w:val="en-GB" w:eastAsia="en-US"/>
        </w:rPr>
        <w:t xml:space="preserve"> </w:t>
      </w:r>
      <w:r w:rsidR="00F83CE8">
        <w:rPr>
          <w:rFonts w:eastAsia="Cambria" w:cs="MuseoSans-300"/>
          <w:spacing w:val="0"/>
          <w:position w:val="-2"/>
          <w:szCs w:val="22"/>
          <w:lang w:val="en-GB" w:eastAsia="en-US"/>
        </w:rPr>
        <w:t>annually</w:t>
      </w:r>
      <w:r w:rsidRPr="00057D5A">
        <w:rPr>
          <w:rFonts w:eastAsia="Cambria" w:cs="MuseoSans-300"/>
          <w:spacing w:val="0"/>
          <w:position w:val="-2"/>
          <w:szCs w:val="22"/>
          <w:lang w:val="en-GB" w:eastAsia="en-US"/>
        </w:rPr>
        <w:t xml:space="preserve">. The combined income of David and Deb is assessed to be $75,000 </w:t>
      </w:r>
      <w:r w:rsidR="00F83CE8">
        <w:rPr>
          <w:rFonts w:eastAsia="Cambria" w:cs="MuseoSans-300"/>
          <w:spacing w:val="0"/>
          <w:position w:val="-2"/>
          <w:szCs w:val="22"/>
          <w:lang w:val="en-GB" w:eastAsia="en-US"/>
        </w:rPr>
        <w:t xml:space="preserve">annually </w:t>
      </w:r>
      <w:r w:rsidRPr="00057D5A">
        <w:rPr>
          <w:rFonts w:eastAsia="Cambria" w:cs="MuseoSans-300"/>
          <w:spacing w:val="0"/>
          <w:position w:val="-2"/>
          <w:szCs w:val="22"/>
          <w:lang w:val="en-GB" w:eastAsia="en-US"/>
        </w:rPr>
        <w:t>($45,000 + $30,000), which is still below the CSHC income threshold of $</w:t>
      </w:r>
      <w:r w:rsidR="002F331B">
        <w:rPr>
          <w:rFonts w:eastAsia="Cambria" w:cs="MuseoSans-300"/>
          <w:spacing w:val="0"/>
          <w:position w:val="-2"/>
          <w:szCs w:val="22"/>
          <w:lang w:val="en-GB" w:eastAsia="en-US"/>
        </w:rPr>
        <w:t>83,636</w:t>
      </w:r>
      <w:r w:rsidR="00037963">
        <w:rPr>
          <w:rFonts w:eastAsia="Cambria" w:cs="MuseoSans-300"/>
          <w:spacing w:val="0"/>
          <w:position w:val="-2"/>
          <w:szCs w:val="22"/>
          <w:lang w:val="en-GB" w:eastAsia="en-US"/>
        </w:rPr>
        <w:t xml:space="preserve"> for couples.</w:t>
      </w:r>
      <w:r w:rsidR="003C7D34">
        <w:rPr>
          <w:rFonts w:eastAsia="Cambria" w:cs="MuseoSans-300"/>
          <w:spacing w:val="0"/>
          <w:position w:val="-2"/>
          <w:szCs w:val="22"/>
          <w:lang w:val="en-GB" w:eastAsia="en-US"/>
        </w:rPr>
        <w:t xml:space="preserve">  </w:t>
      </w:r>
      <w:r w:rsidRPr="00057D5A">
        <w:rPr>
          <w:rFonts w:eastAsia="Cambria" w:cs="MuseoSans-300"/>
          <w:spacing w:val="0"/>
          <w:position w:val="-2"/>
          <w:szCs w:val="22"/>
          <w:lang w:val="en-GB" w:eastAsia="en-US"/>
        </w:rPr>
        <w:t xml:space="preserve">David </w:t>
      </w:r>
      <w:r w:rsidR="00F83CE8">
        <w:rPr>
          <w:rFonts w:eastAsia="Cambria" w:cs="MuseoSans-300"/>
          <w:spacing w:val="0"/>
          <w:position w:val="-2"/>
          <w:szCs w:val="22"/>
          <w:lang w:val="en-GB" w:eastAsia="en-US"/>
        </w:rPr>
        <w:t xml:space="preserve">therefore </w:t>
      </w:r>
      <w:r w:rsidRPr="00057D5A">
        <w:rPr>
          <w:rFonts w:eastAsia="Cambria" w:cs="MuseoSans-300"/>
          <w:spacing w:val="0"/>
          <w:position w:val="-2"/>
          <w:szCs w:val="22"/>
          <w:lang w:val="en-GB" w:eastAsia="en-US"/>
        </w:rPr>
        <w:t>retain</w:t>
      </w:r>
      <w:r w:rsidR="00221C2D">
        <w:rPr>
          <w:rFonts w:eastAsia="Cambria" w:cs="MuseoSans-300"/>
          <w:spacing w:val="0"/>
          <w:position w:val="-2"/>
          <w:szCs w:val="22"/>
          <w:lang w:val="en-GB" w:eastAsia="en-US"/>
        </w:rPr>
        <w:t>ed</w:t>
      </w:r>
      <w:r w:rsidRPr="00057D5A">
        <w:rPr>
          <w:rFonts w:eastAsia="Cambria" w:cs="MuseoSans-300"/>
          <w:spacing w:val="0"/>
          <w:position w:val="-2"/>
          <w:szCs w:val="22"/>
          <w:lang w:val="en-GB" w:eastAsia="en-US"/>
        </w:rPr>
        <w:t xml:space="preserve"> his CSHC.</w:t>
      </w:r>
    </w:p>
    <w:p w:rsidR="00057D5A" w:rsidRPr="00057D5A" w:rsidRDefault="00057D5A" w:rsidP="008F4C73">
      <w:pPr>
        <w:widowControl w:val="0"/>
        <w:suppressAutoHyphens/>
        <w:autoSpaceDE w:val="0"/>
        <w:autoSpaceDN w:val="0"/>
        <w:adjustRightInd w:val="0"/>
        <w:spacing w:before="0" w:after="0" w:line="220" w:lineRule="atLeast"/>
        <w:ind w:left="284"/>
        <w:textAlignment w:val="center"/>
        <w:rPr>
          <w:rFonts w:eastAsia="Cambria" w:cs="MuseoSans-300"/>
          <w:spacing w:val="0"/>
          <w:position w:val="-2"/>
          <w:szCs w:val="22"/>
          <w:lang w:val="en-GB" w:eastAsia="en-US"/>
        </w:rPr>
      </w:pPr>
    </w:p>
    <w:p w:rsidR="00057D5A" w:rsidRPr="00057D5A" w:rsidRDefault="00F83CE8" w:rsidP="00057D5A">
      <w:pPr>
        <w:widowControl w:val="0"/>
        <w:shd w:val="clear" w:color="auto" w:fill="FFFFFF"/>
        <w:suppressAutoHyphens/>
        <w:autoSpaceDE w:val="0"/>
        <w:autoSpaceDN w:val="0"/>
        <w:adjustRightInd w:val="0"/>
        <w:spacing w:before="0" w:after="85" w:line="220" w:lineRule="atLeast"/>
        <w:ind w:left="284"/>
        <w:textAlignment w:val="center"/>
        <w:rPr>
          <w:rFonts w:eastAsia="Cambria" w:cs="MuseoSans-300"/>
          <w:spacing w:val="0"/>
          <w:position w:val="-2"/>
          <w:szCs w:val="22"/>
          <w:lang w:val="en-GB" w:eastAsia="en-US"/>
        </w:rPr>
      </w:pPr>
      <w:r>
        <w:rPr>
          <w:rFonts w:eastAsia="Cambria" w:cs="MuseoSans-300"/>
          <w:spacing w:val="0"/>
          <w:position w:val="-2"/>
          <w:szCs w:val="22"/>
          <w:lang w:val="en-GB" w:eastAsia="en-US"/>
        </w:rPr>
        <w:t>Additionally, i</w:t>
      </w:r>
      <w:r w:rsidR="00057D5A" w:rsidRPr="00057D5A">
        <w:rPr>
          <w:rFonts w:eastAsia="Cambria" w:cs="MuseoSans-300"/>
          <w:spacing w:val="0"/>
          <w:position w:val="-2"/>
          <w:szCs w:val="22"/>
          <w:lang w:val="en-GB" w:eastAsia="en-US"/>
        </w:rPr>
        <w:t xml:space="preserve">f Deb </w:t>
      </w:r>
      <w:r w:rsidR="00221C2D">
        <w:rPr>
          <w:rFonts w:eastAsia="Cambria" w:cs="MuseoSans-300"/>
          <w:spacing w:val="0"/>
          <w:position w:val="-2"/>
          <w:szCs w:val="22"/>
          <w:lang w:val="en-GB" w:eastAsia="en-US"/>
        </w:rPr>
        <w:t>applied</w:t>
      </w:r>
      <w:r w:rsidR="00221C2D" w:rsidRPr="00057D5A">
        <w:rPr>
          <w:rFonts w:eastAsia="Cambria" w:cs="MuseoSans-300"/>
          <w:spacing w:val="0"/>
          <w:position w:val="-2"/>
          <w:szCs w:val="22"/>
          <w:lang w:val="en-GB" w:eastAsia="en-US"/>
        </w:rPr>
        <w:t xml:space="preserve"> </w:t>
      </w:r>
      <w:r w:rsidR="00057D5A" w:rsidRPr="00057D5A">
        <w:rPr>
          <w:rFonts w:eastAsia="Cambria" w:cs="MuseoSans-300"/>
          <w:spacing w:val="0"/>
          <w:position w:val="-2"/>
          <w:szCs w:val="22"/>
          <w:lang w:val="en-GB" w:eastAsia="en-US"/>
        </w:rPr>
        <w:t xml:space="preserve">for a CSHC when she </w:t>
      </w:r>
      <w:r w:rsidR="00221C2D" w:rsidRPr="00057D5A">
        <w:rPr>
          <w:rFonts w:eastAsia="Cambria" w:cs="MuseoSans-300"/>
          <w:spacing w:val="0"/>
          <w:position w:val="-2"/>
          <w:szCs w:val="22"/>
          <w:lang w:val="en-GB" w:eastAsia="en-US"/>
        </w:rPr>
        <w:t>turn</w:t>
      </w:r>
      <w:r w:rsidR="00221C2D">
        <w:rPr>
          <w:rFonts w:eastAsia="Cambria" w:cs="MuseoSans-300"/>
          <w:spacing w:val="0"/>
          <w:position w:val="-2"/>
          <w:szCs w:val="22"/>
          <w:lang w:val="en-GB" w:eastAsia="en-US"/>
        </w:rPr>
        <w:t>ed</w:t>
      </w:r>
      <w:r w:rsidR="00221C2D" w:rsidRPr="00057D5A">
        <w:rPr>
          <w:rFonts w:eastAsia="Cambria" w:cs="MuseoSans-300"/>
          <w:spacing w:val="0"/>
          <w:position w:val="-2"/>
          <w:szCs w:val="22"/>
          <w:lang w:val="en-GB" w:eastAsia="en-US"/>
        </w:rPr>
        <w:t xml:space="preserve"> </w:t>
      </w:r>
      <w:r w:rsidR="00057D5A" w:rsidRPr="00057D5A">
        <w:rPr>
          <w:rFonts w:eastAsia="Cambria" w:cs="MuseoSans-300"/>
          <w:spacing w:val="0"/>
          <w:position w:val="-2"/>
          <w:szCs w:val="22"/>
          <w:lang w:val="en-GB" w:eastAsia="en-US"/>
        </w:rPr>
        <w:t xml:space="preserve">65 in </w:t>
      </w:r>
      <w:r w:rsidR="002053E8">
        <w:rPr>
          <w:rFonts w:eastAsia="Cambria" w:cs="MuseoSans-300"/>
          <w:spacing w:val="0"/>
          <w:position w:val="-2"/>
          <w:szCs w:val="22"/>
          <w:lang w:val="en-GB" w:eastAsia="en-US"/>
        </w:rPr>
        <w:t>September</w:t>
      </w:r>
      <w:r w:rsidR="00221C2D" w:rsidRPr="00057D5A">
        <w:rPr>
          <w:rFonts w:eastAsia="Cambria" w:cs="MuseoSans-300"/>
          <w:spacing w:val="0"/>
          <w:position w:val="-2"/>
          <w:szCs w:val="22"/>
          <w:lang w:val="en-GB" w:eastAsia="en-US"/>
        </w:rPr>
        <w:t xml:space="preserve"> </w:t>
      </w:r>
      <w:r w:rsidR="00057D5A" w:rsidRPr="00057D5A">
        <w:rPr>
          <w:rFonts w:eastAsia="Cambria" w:cs="MuseoSans-300"/>
          <w:spacing w:val="0"/>
          <w:position w:val="-2"/>
          <w:szCs w:val="22"/>
          <w:lang w:val="en-GB" w:eastAsia="en-US"/>
        </w:rPr>
        <w:t>2015</w:t>
      </w:r>
      <w:r w:rsidR="00037963">
        <w:rPr>
          <w:rFonts w:eastAsia="Cambria" w:cs="MuseoSans-300"/>
          <w:spacing w:val="0"/>
          <w:position w:val="-2"/>
          <w:szCs w:val="22"/>
          <w:lang w:val="en-GB" w:eastAsia="en-US"/>
        </w:rPr>
        <w:t>,</w:t>
      </w:r>
      <w:r w:rsidR="00057D5A" w:rsidRPr="00057D5A">
        <w:rPr>
          <w:rFonts w:eastAsia="Cambria" w:cs="MuseoSans-300"/>
          <w:spacing w:val="0"/>
          <w:position w:val="-2"/>
          <w:szCs w:val="22"/>
          <w:lang w:val="en-GB" w:eastAsia="en-US"/>
        </w:rPr>
        <w:t xml:space="preserve"> she would also meet the combined couple income test</w:t>
      </w:r>
      <w:r w:rsidR="00EF59F6">
        <w:rPr>
          <w:rFonts w:eastAsia="Cambria" w:cs="MuseoSans-300"/>
          <w:spacing w:val="0"/>
          <w:position w:val="-2"/>
          <w:szCs w:val="22"/>
          <w:lang w:val="en-GB" w:eastAsia="en-US"/>
        </w:rPr>
        <w:t xml:space="preserve"> (</w:t>
      </w:r>
      <w:r w:rsidR="007C669B">
        <w:rPr>
          <w:rFonts w:eastAsia="Cambria" w:cs="MuseoSans-300"/>
          <w:spacing w:val="0"/>
          <w:position w:val="-2"/>
          <w:szCs w:val="22"/>
          <w:lang w:val="en-GB" w:eastAsia="en-US"/>
        </w:rPr>
        <w:t>with a combined income of $75,000</w:t>
      </w:r>
      <w:r w:rsidR="00EF59F6">
        <w:rPr>
          <w:rFonts w:eastAsia="Cambria" w:cs="MuseoSans-300"/>
          <w:spacing w:val="0"/>
          <w:position w:val="-2"/>
          <w:szCs w:val="22"/>
          <w:lang w:val="en-GB" w:eastAsia="en-US"/>
        </w:rPr>
        <w:t>)</w:t>
      </w:r>
      <w:r w:rsidR="007C669B">
        <w:rPr>
          <w:rFonts w:eastAsia="Cambria" w:cs="MuseoSans-300"/>
          <w:spacing w:val="0"/>
          <w:position w:val="-2"/>
          <w:szCs w:val="22"/>
          <w:lang w:val="en-GB" w:eastAsia="en-US"/>
        </w:rPr>
        <w:t>.</w:t>
      </w:r>
      <w:r w:rsidR="00057D5A" w:rsidRPr="00057D5A">
        <w:rPr>
          <w:rFonts w:eastAsia="Cambria" w:cs="MuseoSans-300"/>
          <w:spacing w:val="0"/>
          <w:position w:val="-2"/>
          <w:szCs w:val="22"/>
          <w:lang w:val="en-GB" w:eastAsia="en-US"/>
        </w:rPr>
        <w:t xml:space="preserve"> David’s grandfathered account</w:t>
      </w:r>
      <w:r>
        <w:rPr>
          <w:rFonts w:eastAsia="Cambria" w:cs="MuseoSans-300"/>
          <w:spacing w:val="0"/>
          <w:position w:val="-2"/>
          <w:szCs w:val="22"/>
          <w:lang w:val="en-GB" w:eastAsia="en-US"/>
        </w:rPr>
        <w:t>-</w:t>
      </w:r>
      <w:r w:rsidR="00057D5A" w:rsidRPr="00057D5A">
        <w:rPr>
          <w:rFonts w:eastAsia="Cambria" w:cs="MuseoSans-300"/>
          <w:spacing w:val="0"/>
          <w:position w:val="-2"/>
          <w:szCs w:val="22"/>
          <w:lang w:val="en-GB" w:eastAsia="en-US"/>
        </w:rPr>
        <w:t>based income stream is not included in her assessment</w:t>
      </w:r>
      <w:r w:rsidR="007C669B">
        <w:rPr>
          <w:rFonts w:eastAsia="Cambria" w:cs="MuseoSans-300"/>
          <w:spacing w:val="0"/>
          <w:position w:val="-2"/>
          <w:szCs w:val="22"/>
          <w:lang w:val="en-GB" w:eastAsia="en-US"/>
        </w:rPr>
        <w:t xml:space="preserve"> either</w:t>
      </w:r>
      <w:r w:rsidR="00057D5A" w:rsidRPr="00057D5A">
        <w:rPr>
          <w:rFonts w:eastAsia="Cambria" w:cs="MuseoSans-300"/>
          <w:spacing w:val="0"/>
          <w:position w:val="-2"/>
          <w:szCs w:val="22"/>
          <w:lang w:val="en-GB" w:eastAsia="en-US"/>
        </w:rPr>
        <w:t>.</w:t>
      </w:r>
    </w:p>
    <w:p w:rsidR="00057D5A" w:rsidRPr="00057D5A" w:rsidRDefault="00057D5A" w:rsidP="00057D5A">
      <w:pPr>
        <w:widowControl w:val="0"/>
        <w:suppressAutoHyphens/>
        <w:autoSpaceDE w:val="0"/>
        <w:autoSpaceDN w:val="0"/>
        <w:adjustRightInd w:val="0"/>
        <w:spacing w:before="0" w:after="0" w:line="220" w:lineRule="atLeast"/>
        <w:ind w:left="284"/>
        <w:textAlignment w:val="center"/>
        <w:rPr>
          <w:rFonts w:eastAsia="Cambria" w:cs="MuseoSans-300"/>
          <w:spacing w:val="0"/>
          <w:position w:val="-2"/>
          <w:szCs w:val="22"/>
          <w:lang w:val="en-GB" w:eastAsia="en-US"/>
        </w:rPr>
      </w:pPr>
    </w:p>
    <w:p w:rsidR="00A91110" w:rsidRDefault="00A91110" w:rsidP="00A91110">
      <w:pPr>
        <w:pStyle w:val="Heading3"/>
      </w:pPr>
      <w:r>
        <w:t>Example 5 –</w:t>
      </w:r>
      <w:r w:rsidR="00DB59FA">
        <w:t xml:space="preserve"> </w:t>
      </w:r>
      <w:r w:rsidR="00F83CE8">
        <w:t xml:space="preserve">Ron </w:t>
      </w:r>
      <w:r>
        <w:t>has an account</w:t>
      </w:r>
      <w:r w:rsidR="00F83CE8">
        <w:t>-</w:t>
      </w:r>
      <w:r>
        <w:t>based income stream with a reversion</w:t>
      </w:r>
      <w:r w:rsidR="006E4574">
        <w:t>ary</w:t>
      </w:r>
      <w:r>
        <w:t xml:space="preserve"> provision.</w:t>
      </w:r>
    </w:p>
    <w:p w:rsidR="00A91110" w:rsidRPr="00067D47" w:rsidRDefault="00A91110" w:rsidP="00A91110">
      <w:pPr>
        <w:widowControl w:val="0"/>
        <w:suppressAutoHyphens/>
        <w:autoSpaceDE w:val="0"/>
        <w:autoSpaceDN w:val="0"/>
        <w:adjustRightInd w:val="0"/>
        <w:spacing w:after="85" w:line="220" w:lineRule="atLeast"/>
        <w:ind w:left="284"/>
        <w:textAlignment w:val="center"/>
        <w:rPr>
          <w:rFonts w:eastAsia="Cambria" w:cs="MuseoSans-300"/>
          <w:spacing w:val="0"/>
          <w:position w:val="-2"/>
          <w:szCs w:val="22"/>
          <w:lang w:val="en-GB" w:eastAsia="en-US"/>
        </w:rPr>
      </w:pPr>
      <w:r w:rsidRPr="008F4C73">
        <w:rPr>
          <w:rFonts w:eastAsia="Cambria" w:cs="MuseoSans-300"/>
          <w:spacing w:val="0"/>
          <w:position w:val="-2"/>
          <w:szCs w:val="22"/>
          <w:lang w:val="en-GB" w:eastAsia="en-US"/>
        </w:rPr>
        <w:t>Ron is aged 85</w:t>
      </w:r>
      <w:r w:rsidR="00221C2D">
        <w:rPr>
          <w:rFonts w:eastAsia="Cambria" w:cs="MuseoSans-300"/>
          <w:spacing w:val="0"/>
          <w:position w:val="-2"/>
          <w:szCs w:val="22"/>
          <w:lang w:val="en-GB" w:eastAsia="en-US"/>
        </w:rPr>
        <w:t>.</w:t>
      </w:r>
      <w:r w:rsidRPr="008F4C73">
        <w:rPr>
          <w:rFonts w:eastAsia="Cambria" w:cs="MuseoSans-300"/>
          <w:spacing w:val="0"/>
          <w:position w:val="-2"/>
          <w:szCs w:val="22"/>
          <w:lang w:val="en-GB" w:eastAsia="en-US"/>
        </w:rPr>
        <w:t xml:space="preserve"> </w:t>
      </w:r>
      <w:r w:rsidR="00221C2D">
        <w:rPr>
          <w:rFonts w:eastAsia="Cambria" w:cs="MuseoSans-300"/>
          <w:spacing w:val="0"/>
          <w:position w:val="-2"/>
          <w:szCs w:val="22"/>
          <w:lang w:val="en-GB" w:eastAsia="en-US"/>
        </w:rPr>
        <w:t>On</w:t>
      </w:r>
      <w:r w:rsidRPr="008F4C73">
        <w:rPr>
          <w:rFonts w:eastAsia="Cambria" w:cs="MuseoSans-300"/>
          <w:spacing w:val="0"/>
          <w:position w:val="-2"/>
          <w:szCs w:val="22"/>
          <w:lang w:val="en-GB" w:eastAsia="en-US"/>
        </w:rPr>
        <w:t xml:space="preserve"> </w:t>
      </w:r>
      <w:r w:rsidR="00C32EE3" w:rsidRPr="008F4C73">
        <w:rPr>
          <w:rFonts w:eastAsia="Cambria" w:cs="MuseoSans-300"/>
          <w:spacing w:val="0"/>
          <w:position w:val="-2"/>
          <w:szCs w:val="22"/>
          <w:lang w:val="en-GB" w:eastAsia="en-US"/>
        </w:rPr>
        <w:t>31 December 2014</w:t>
      </w:r>
      <w:r w:rsidR="00221C2D">
        <w:rPr>
          <w:rFonts w:eastAsia="Cambria" w:cs="MuseoSans-300"/>
          <w:spacing w:val="0"/>
          <w:position w:val="-2"/>
          <w:szCs w:val="22"/>
          <w:lang w:val="en-GB" w:eastAsia="en-US"/>
        </w:rPr>
        <w:t xml:space="preserve"> he was the holder of a CSHC and was drawing down on his account-based income stream which had a balance of </w:t>
      </w:r>
      <w:r w:rsidR="009372E0">
        <w:rPr>
          <w:rFonts w:eastAsia="Cambria" w:cs="MuseoSans-300"/>
          <w:spacing w:val="0"/>
          <w:position w:val="-2"/>
          <w:szCs w:val="22"/>
          <w:lang w:val="en-GB" w:eastAsia="en-US"/>
        </w:rPr>
        <w:t>$1.2 million.</w:t>
      </w:r>
      <w:r w:rsidRPr="00067D47">
        <w:rPr>
          <w:rFonts w:eastAsia="Cambria" w:cs="MuseoSans-300"/>
          <w:spacing w:val="0"/>
          <w:position w:val="-2"/>
          <w:szCs w:val="22"/>
          <w:lang w:val="en-GB" w:eastAsia="en-US"/>
        </w:rPr>
        <w:t> His partner</w:t>
      </w:r>
      <w:r w:rsidR="002428F5" w:rsidRPr="00067D47">
        <w:rPr>
          <w:rFonts w:eastAsia="Cambria" w:cs="MuseoSans-300"/>
          <w:spacing w:val="0"/>
          <w:position w:val="-2"/>
          <w:szCs w:val="22"/>
          <w:lang w:val="en-GB" w:eastAsia="en-US"/>
        </w:rPr>
        <w:t>,</w:t>
      </w:r>
      <w:r w:rsidRPr="00067D47">
        <w:rPr>
          <w:rFonts w:eastAsia="Cambria" w:cs="MuseoSans-300"/>
          <w:spacing w:val="0"/>
          <w:position w:val="-2"/>
          <w:szCs w:val="22"/>
          <w:lang w:val="en-GB" w:eastAsia="en-US"/>
        </w:rPr>
        <w:t xml:space="preserve"> Julie</w:t>
      </w:r>
      <w:r w:rsidR="002428F5" w:rsidRPr="00067D47">
        <w:rPr>
          <w:rFonts w:eastAsia="Cambria" w:cs="MuseoSans-300"/>
          <w:spacing w:val="0"/>
          <w:position w:val="-2"/>
          <w:szCs w:val="22"/>
          <w:lang w:val="en-GB" w:eastAsia="en-US"/>
        </w:rPr>
        <w:t>,</w:t>
      </w:r>
      <w:r w:rsidRPr="00067D47">
        <w:rPr>
          <w:rFonts w:eastAsia="Cambria" w:cs="MuseoSans-300"/>
          <w:spacing w:val="0"/>
          <w:position w:val="-2"/>
          <w:szCs w:val="22"/>
          <w:lang w:val="en-GB" w:eastAsia="en-US"/>
        </w:rPr>
        <w:t xml:space="preserve"> is </w:t>
      </w:r>
      <w:r w:rsidR="003C7C74" w:rsidRPr="00067D47">
        <w:rPr>
          <w:rFonts w:eastAsia="Cambria" w:cs="MuseoSans-300"/>
          <w:spacing w:val="0"/>
          <w:position w:val="-2"/>
          <w:szCs w:val="22"/>
          <w:lang w:val="en-GB" w:eastAsia="en-US"/>
        </w:rPr>
        <w:t xml:space="preserve">a former public servant </w:t>
      </w:r>
      <w:r w:rsidR="00B628E7">
        <w:rPr>
          <w:rFonts w:eastAsia="Cambria" w:cs="MuseoSans-300"/>
          <w:spacing w:val="0"/>
          <w:position w:val="-2"/>
          <w:szCs w:val="22"/>
          <w:lang w:val="en-GB" w:eastAsia="en-US"/>
        </w:rPr>
        <w:t>who</w:t>
      </w:r>
      <w:r w:rsidR="00B628E7" w:rsidRPr="00067D47">
        <w:rPr>
          <w:rFonts w:eastAsia="Cambria" w:cs="MuseoSans-300"/>
          <w:spacing w:val="0"/>
          <w:position w:val="-2"/>
          <w:szCs w:val="22"/>
          <w:lang w:val="en-GB" w:eastAsia="en-US"/>
        </w:rPr>
        <w:t xml:space="preserve"> </w:t>
      </w:r>
      <w:r w:rsidR="003C7C74" w:rsidRPr="00067D47">
        <w:rPr>
          <w:rFonts w:eastAsia="Cambria" w:cs="MuseoSans-300"/>
          <w:spacing w:val="0"/>
          <w:position w:val="-2"/>
          <w:szCs w:val="22"/>
          <w:lang w:val="en-GB" w:eastAsia="en-US"/>
        </w:rPr>
        <w:t>receives a public service pension</w:t>
      </w:r>
      <w:r w:rsidR="00B628E7">
        <w:rPr>
          <w:rFonts w:eastAsia="Cambria" w:cs="MuseoSans-300"/>
          <w:spacing w:val="0"/>
          <w:position w:val="-2"/>
          <w:szCs w:val="22"/>
          <w:lang w:val="en-GB" w:eastAsia="en-US"/>
        </w:rPr>
        <w:t xml:space="preserve"> and their combined adjusted income is $80,000</w:t>
      </w:r>
      <w:r w:rsidR="00CA2C6E">
        <w:rPr>
          <w:rFonts w:eastAsia="Cambria" w:cs="MuseoSans-300"/>
          <w:spacing w:val="0"/>
          <w:position w:val="-2"/>
          <w:szCs w:val="22"/>
          <w:lang w:val="en-GB" w:eastAsia="en-US"/>
        </w:rPr>
        <w:t>.</w:t>
      </w:r>
      <w:r w:rsidR="003C7C74" w:rsidRPr="00067D47">
        <w:rPr>
          <w:rFonts w:eastAsia="Cambria" w:cs="MuseoSans-300"/>
          <w:spacing w:val="0"/>
          <w:position w:val="-2"/>
          <w:szCs w:val="22"/>
          <w:lang w:val="en-GB" w:eastAsia="en-US"/>
        </w:rPr>
        <w:t xml:space="preserve"> </w:t>
      </w:r>
      <w:r w:rsidRPr="00067D47">
        <w:rPr>
          <w:rFonts w:eastAsia="Cambria" w:cs="MuseoSans-300"/>
          <w:spacing w:val="0"/>
          <w:position w:val="-2"/>
          <w:szCs w:val="22"/>
          <w:lang w:val="en-GB" w:eastAsia="en-US"/>
        </w:rPr>
        <w:t>As Ron’s account</w:t>
      </w:r>
      <w:r w:rsidR="00F83CE8" w:rsidRPr="00067D47">
        <w:rPr>
          <w:rFonts w:eastAsia="Cambria" w:cs="MuseoSans-300"/>
          <w:spacing w:val="0"/>
          <w:position w:val="-2"/>
          <w:szCs w:val="22"/>
          <w:lang w:val="en-GB" w:eastAsia="en-US"/>
        </w:rPr>
        <w:t>-</w:t>
      </w:r>
      <w:r w:rsidRPr="00067D47">
        <w:rPr>
          <w:rFonts w:eastAsia="Cambria" w:cs="MuseoSans-300"/>
          <w:spacing w:val="0"/>
          <w:position w:val="-2"/>
          <w:szCs w:val="22"/>
          <w:lang w:val="en-GB" w:eastAsia="en-US"/>
        </w:rPr>
        <w:t>based income stream is grandfathered and not included in the CSHC income test, the total combined couple income for Ron and Julie is assessed as $</w:t>
      </w:r>
      <w:r w:rsidR="00B628E7">
        <w:rPr>
          <w:rFonts w:eastAsia="Cambria" w:cs="MuseoSans-300"/>
          <w:spacing w:val="0"/>
          <w:position w:val="-2"/>
          <w:szCs w:val="22"/>
          <w:lang w:val="en-GB" w:eastAsia="en-US"/>
        </w:rPr>
        <w:t>80</w:t>
      </w:r>
      <w:r w:rsidRPr="00067D47">
        <w:rPr>
          <w:rFonts w:eastAsia="Cambria" w:cs="MuseoSans-300"/>
          <w:spacing w:val="0"/>
          <w:position w:val="-2"/>
          <w:szCs w:val="22"/>
          <w:lang w:val="en-GB" w:eastAsia="en-US"/>
        </w:rPr>
        <w:t>,000.</w:t>
      </w:r>
    </w:p>
    <w:p w:rsidR="00A91110" w:rsidRPr="00067D47" w:rsidRDefault="00A91110" w:rsidP="00A91110">
      <w:pPr>
        <w:widowControl w:val="0"/>
        <w:suppressAutoHyphens/>
        <w:autoSpaceDE w:val="0"/>
        <w:autoSpaceDN w:val="0"/>
        <w:adjustRightInd w:val="0"/>
        <w:spacing w:after="85" w:line="220" w:lineRule="atLeast"/>
        <w:ind w:left="284"/>
        <w:textAlignment w:val="center"/>
        <w:rPr>
          <w:rFonts w:eastAsia="Cambria" w:cs="MuseoSans-300"/>
          <w:spacing w:val="0"/>
          <w:position w:val="-2"/>
          <w:szCs w:val="22"/>
          <w:lang w:val="en-GB" w:eastAsia="en-US"/>
        </w:rPr>
      </w:pPr>
      <w:r w:rsidRPr="00067D47">
        <w:rPr>
          <w:rFonts w:eastAsia="Cambria" w:cs="MuseoSans-300"/>
          <w:spacing w:val="0"/>
          <w:position w:val="-2"/>
          <w:szCs w:val="22"/>
          <w:lang w:val="en-GB" w:eastAsia="en-US"/>
        </w:rPr>
        <w:t>Ron’s account</w:t>
      </w:r>
      <w:r w:rsidR="00F83CE8" w:rsidRPr="00067D47">
        <w:rPr>
          <w:rFonts w:eastAsia="Cambria" w:cs="MuseoSans-300"/>
          <w:spacing w:val="0"/>
          <w:position w:val="-2"/>
          <w:szCs w:val="22"/>
          <w:lang w:val="en-GB" w:eastAsia="en-US"/>
        </w:rPr>
        <w:t>-</w:t>
      </w:r>
      <w:r w:rsidRPr="00067D47">
        <w:rPr>
          <w:rFonts w:eastAsia="Cambria" w:cs="MuseoSans-300"/>
          <w:spacing w:val="0"/>
          <w:position w:val="-2"/>
          <w:szCs w:val="22"/>
          <w:lang w:val="en-GB" w:eastAsia="en-US"/>
        </w:rPr>
        <w:t xml:space="preserve">based income stream has a reversionary provision, which means his </w:t>
      </w:r>
      <w:r w:rsidR="00C32EE3" w:rsidRPr="00067D47">
        <w:rPr>
          <w:rFonts w:eastAsia="Cambria" w:cs="MuseoSans-300"/>
          <w:spacing w:val="0"/>
          <w:position w:val="-2"/>
          <w:szCs w:val="22"/>
          <w:lang w:val="en-GB" w:eastAsia="en-US"/>
        </w:rPr>
        <w:t xml:space="preserve">account-based income stream </w:t>
      </w:r>
      <w:r w:rsidRPr="00067D47">
        <w:rPr>
          <w:rFonts w:eastAsia="Cambria" w:cs="MuseoSans-300"/>
          <w:spacing w:val="0"/>
          <w:position w:val="-2"/>
          <w:szCs w:val="22"/>
          <w:lang w:val="en-GB" w:eastAsia="en-US"/>
        </w:rPr>
        <w:t>will revert to Julie on his death.</w:t>
      </w:r>
      <w:r w:rsidR="009E684B" w:rsidRPr="00067D47">
        <w:rPr>
          <w:rFonts w:eastAsia="Cambria" w:cs="MuseoSans-300"/>
          <w:spacing w:val="0"/>
          <w:position w:val="-2"/>
          <w:szCs w:val="22"/>
          <w:lang w:val="en-GB" w:eastAsia="en-US"/>
        </w:rPr>
        <w:t xml:space="preserve"> If Julie is a CSHC holder at the date of reversion</w:t>
      </w:r>
      <w:r w:rsidR="00C32EE3" w:rsidRPr="00067D47">
        <w:rPr>
          <w:rFonts w:eastAsia="Cambria" w:cs="MuseoSans-300"/>
          <w:spacing w:val="0"/>
          <w:position w:val="-2"/>
          <w:szCs w:val="22"/>
          <w:lang w:val="en-GB" w:eastAsia="en-US"/>
        </w:rPr>
        <w:t>,</w:t>
      </w:r>
      <w:r w:rsidR="009E684B" w:rsidRPr="00067D47">
        <w:rPr>
          <w:rFonts w:eastAsia="Cambria" w:cs="MuseoSans-300"/>
          <w:spacing w:val="0"/>
          <w:position w:val="-2"/>
          <w:szCs w:val="22"/>
          <w:lang w:val="en-GB" w:eastAsia="en-US"/>
        </w:rPr>
        <w:t xml:space="preserve"> the</w:t>
      </w:r>
      <w:r w:rsidR="008F4C73" w:rsidRPr="00067D47">
        <w:rPr>
          <w:rFonts w:eastAsia="Cambria" w:cs="MuseoSans-300"/>
          <w:spacing w:val="0"/>
          <w:position w:val="-2"/>
          <w:szCs w:val="22"/>
          <w:lang w:val="en-GB" w:eastAsia="en-US"/>
        </w:rPr>
        <w:t> </w:t>
      </w:r>
      <w:r w:rsidR="00C32EE3" w:rsidRPr="00067D47">
        <w:rPr>
          <w:rFonts w:eastAsia="Cambria" w:cs="MuseoSans-300"/>
          <w:spacing w:val="0"/>
          <w:position w:val="-2"/>
          <w:szCs w:val="22"/>
          <w:lang w:val="en-GB" w:eastAsia="en-US"/>
        </w:rPr>
        <w:t xml:space="preserve">account-based income stream </w:t>
      </w:r>
      <w:r w:rsidR="009E684B" w:rsidRPr="00067D47">
        <w:rPr>
          <w:rFonts w:eastAsia="Cambria" w:cs="MuseoSans-300"/>
          <w:spacing w:val="0"/>
          <w:position w:val="-2"/>
          <w:szCs w:val="22"/>
          <w:lang w:val="en-GB" w:eastAsia="en-US"/>
        </w:rPr>
        <w:t>will continue to be excluded from the CSHC income test.</w:t>
      </w:r>
    </w:p>
    <w:p w:rsidR="00A91110" w:rsidRDefault="00A91110" w:rsidP="00A91110">
      <w:pPr>
        <w:widowControl w:val="0"/>
        <w:suppressAutoHyphens/>
        <w:autoSpaceDE w:val="0"/>
        <w:autoSpaceDN w:val="0"/>
        <w:adjustRightInd w:val="0"/>
        <w:spacing w:after="85" w:line="220" w:lineRule="atLeast"/>
        <w:ind w:left="284"/>
        <w:textAlignment w:val="center"/>
        <w:rPr>
          <w:rFonts w:eastAsia="Cambria" w:cs="MuseoSans-300"/>
          <w:spacing w:val="0"/>
          <w:position w:val="-2"/>
          <w:szCs w:val="22"/>
          <w:lang w:val="en-GB" w:eastAsia="en-US"/>
        </w:rPr>
      </w:pPr>
      <w:r w:rsidRPr="00067D47">
        <w:rPr>
          <w:rFonts w:eastAsia="Cambria" w:cs="MuseoSans-300"/>
          <w:spacing w:val="0"/>
          <w:position w:val="-2"/>
          <w:szCs w:val="22"/>
          <w:lang w:val="en-GB" w:eastAsia="en-US"/>
        </w:rPr>
        <w:t xml:space="preserve">When Ron passes away, his </w:t>
      </w:r>
      <w:r w:rsidR="00C32EE3" w:rsidRPr="00067D47">
        <w:rPr>
          <w:rFonts w:eastAsia="Cambria" w:cs="MuseoSans-300"/>
          <w:spacing w:val="0"/>
          <w:position w:val="-2"/>
          <w:szCs w:val="22"/>
          <w:lang w:val="en-GB" w:eastAsia="en-US"/>
        </w:rPr>
        <w:t xml:space="preserve">account-based income stream </w:t>
      </w:r>
      <w:r w:rsidRPr="00067D47">
        <w:rPr>
          <w:rFonts w:eastAsia="Cambria" w:cs="MuseoSans-300"/>
          <w:spacing w:val="0"/>
          <w:position w:val="-2"/>
          <w:szCs w:val="22"/>
          <w:lang w:val="en-GB" w:eastAsia="en-US"/>
        </w:rPr>
        <w:t>retain</w:t>
      </w:r>
      <w:r w:rsidR="00C32EE3" w:rsidRPr="00067D47">
        <w:rPr>
          <w:rFonts w:eastAsia="Cambria" w:cs="MuseoSans-300"/>
          <w:spacing w:val="0"/>
          <w:position w:val="-2"/>
          <w:szCs w:val="22"/>
          <w:lang w:val="en-GB" w:eastAsia="en-US"/>
        </w:rPr>
        <w:t>s</w:t>
      </w:r>
      <w:r w:rsidRPr="00067D47">
        <w:rPr>
          <w:rFonts w:eastAsia="Cambria" w:cs="MuseoSans-300"/>
          <w:spacing w:val="0"/>
          <w:position w:val="-2"/>
          <w:szCs w:val="22"/>
          <w:lang w:val="en-GB" w:eastAsia="en-US"/>
        </w:rPr>
        <w:t xml:space="preserve"> its grandfathered status and </w:t>
      </w:r>
      <w:r w:rsidR="00C32EE3" w:rsidRPr="00067D47">
        <w:rPr>
          <w:rFonts w:eastAsia="Cambria" w:cs="MuseoSans-300"/>
          <w:spacing w:val="0"/>
          <w:position w:val="-2"/>
          <w:szCs w:val="22"/>
          <w:lang w:val="en-GB" w:eastAsia="en-US"/>
        </w:rPr>
        <w:t xml:space="preserve">will </w:t>
      </w:r>
      <w:r w:rsidRPr="00067D47">
        <w:rPr>
          <w:rFonts w:eastAsia="Cambria" w:cs="MuseoSans-300"/>
          <w:spacing w:val="0"/>
          <w:position w:val="-2"/>
          <w:szCs w:val="22"/>
          <w:lang w:val="en-GB" w:eastAsia="en-US"/>
        </w:rPr>
        <w:t>not be counted in the CSHC income test for Julie</w:t>
      </w:r>
      <w:r w:rsidR="00134B98" w:rsidRPr="00067D47">
        <w:rPr>
          <w:rFonts w:eastAsia="Cambria" w:cs="MuseoSans-300"/>
          <w:spacing w:val="0"/>
          <w:position w:val="-2"/>
          <w:szCs w:val="22"/>
          <w:lang w:val="en-GB" w:eastAsia="en-US"/>
        </w:rPr>
        <w:t xml:space="preserve">, as long as this account-based income stream remains </w:t>
      </w:r>
      <w:r w:rsidR="00B026F2">
        <w:rPr>
          <w:rFonts w:eastAsia="Cambria" w:cs="MuseoSans-300"/>
          <w:spacing w:val="0"/>
          <w:position w:val="-2"/>
          <w:szCs w:val="22"/>
          <w:lang w:val="en-GB" w:eastAsia="en-US"/>
        </w:rPr>
        <w:t xml:space="preserve">as the same product </w:t>
      </w:r>
      <w:r w:rsidR="00134B98" w:rsidRPr="00067D47">
        <w:rPr>
          <w:rFonts w:eastAsia="Cambria" w:cs="MuseoSans-300"/>
          <w:spacing w:val="0"/>
          <w:position w:val="-2"/>
          <w:szCs w:val="22"/>
          <w:lang w:val="en-GB" w:eastAsia="en-US"/>
        </w:rPr>
        <w:t>in the same fund</w:t>
      </w:r>
      <w:r w:rsidRPr="00067D47">
        <w:rPr>
          <w:rFonts w:eastAsia="Cambria" w:cs="MuseoSans-300"/>
          <w:spacing w:val="0"/>
          <w:position w:val="-2"/>
          <w:szCs w:val="22"/>
          <w:lang w:val="en-GB" w:eastAsia="en-US"/>
        </w:rPr>
        <w:t>.</w:t>
      </w:r>
    </w:p>
    <w:p w:rsidR="00857702" w:rsidRPr="008F4C73" w:rsidRDefault="00857702" w:rsidP="00A91110">
      <w:pPr>
        <w:widowControl w:val="0"/>
        <w:suppressAutoHyphens/>
        <w:autoSpaceDE w:val="0"/>
        <w:autoSpaceDN w:val="0"/>
        <w:adjustRightInd w:val="0"/>
        <w:spacing w:after="85" w:line="220" w:lineRule="atLeast"/>
        <w:ind w:left="284"/>
        <w:textAlignment w:val="center"/>
        <w:rPr>
          <w:rFonts w:eastAsia="Cambria" w:cs="MuseoSans-300"/>
          <w:spacing w:val="0"/>
          <w:position w:val="-2"/>
          <w:szCs w:val="22"/>
          <w:lang w:val="en-GB" w:eastAsia="en-US"/>
        </w:rPr>
      </w:pPr>
    </w:p>
    <w:p w:rsidR="00057D5A" w:rsidRPr="00057D5A" w:rsidRDefault="00057D5A" w:rsidP="00093A3E">
      <w:pPr>
        <w:pStyle w:val="Heading1"/>
        <w:spacing w:before="120"/>
      </w:pPr>
      <w:r w:rsidRPr="00057D5A">
        <w:t>Increas</w:t>
      </w:r>
      <w:r w:rsidR="005B7498">
        <w:t>ed</w:t>
      </w:r>
      <w:r w:rsidRPr="00057D5A">
        <w:t xml:space="preserve"> length of time </w:t>
      </w:r>
      <w:r w:rsidR="008F4C73">
        <w:t>a person</w:t>
      </w:r>
      <w:r w:rsidR="00F83CE8">
        <w:t xml:space="preserve"> </w:t>
      </w:r>
      <w:r w:rsidRPr="00057D5A">
        <w:t xml:space="preserve">can retain their </w:t>
      </w:r>
      <w:r w:rsidR="00F83CE8">
        <w:t xml:space="preserve">CSHC </w:t>
      </w:r>
      <w:r w:rsidRPr="00057D5A">
        <w:t xml:space="preserve">if they go overseas from </w:t>
      </w:r>
      <w:r w:rsidR="00F83CE8">
        <w:t xml:space="preserve">six </w:t>
      </w:r>
      <w:r w:rsidRPr="00057D5A">
        <w:t>to 19 weeks</w:t>
      </w:r>
    </w:p>
    <w:p w:rsidR="00590409" w:rsidRDefault="003B707E" w:rsidP="00093A3E">
      <w:pPr>
        <w:widowControl w:val="0"/>
        <w:suppressAutoHyphens/>
        <w:autoSpaceDE w:val="0"/>
        <w:autoSpaceDN w:val="0"/>
        <w:adjustRightInd w:val="0"/>
        <w:spacing w:before="0" w:after="0" w:line="220" w:lineRule="atLeast"/>
        <w:textAlignment w:val="center"/>
        <w:rPr>
          <w:rFonts w:eastAsia="Cambria" w:cs="MuseoSans-300"/>
          <w:spacing w:val="0"/>
          <w:position w:val="-2"/>
          <w:szCs w:val="22"/>
          <w:lang w:val="en-GB" w:eastAsia="en-US"/>
        </w:rPr>
      </w:pPr>
      <w:r>
        <w:rPr>
          <w:rFonts w:eastAsia="Cambria" w:cs="MuseoSans-300"/>
          <w:spacing w:val="0"/>
          <w:position w:val="-2"/>
          <w:szCs w:val="22"/>
          <w:lang w:val="en-GB" w:eastAsia="en-US"/>
        </w:rPr>
        <w:t>F</w:t>
      </w:r>
      <w:r w:rsidR="00254F31">
        <w:rPr>
          <w:rFonts w:eastAsia="Cambria" w:cs="MuseoSans-300"/>
          <w:spacing w:val="0"/>
          <w:position w:val="-2"/>
          <w:szCs w:val="22"/>
          <w:lang w:val="en-GB" w:eastAsia="en-US"/>
        </w:rPr>
        <w:t>rom 1</w:t>
      </w:r>
      <w:r w:rsidR="00254F31" w:rsidRPr="00057D5A">
        <w:rPr>
          <w:rFonts w:eastAsia="Cambria" w:cs="MuseoSans-300"/>
          <w:spacing w:val="0"/>
          <w:position w:val="-2"/>
          <w:szCs w:val="22"/>
          <w:lang w:val="en-GB" w:eastAsia="en-US"/>
        </w:rPr>
        <w:t xml:space="preserve"> January 2015</w:t>
      </w:r>
      <w:r w:rsidR="008F4C73">
        <w:rPr>
          <w:rFonts w:eastAsia="Cambria" w:cs="MuseoSans-300"/>
          <w:spacing w:val="0"/>
          <w:position w:val="-2"/>
          <w:szCs w:val="22"/>
          <w:lang w:val="en-GB" w:eastAsia="en-US"/>
        </w:rPr>
        <w:t>,</w:t>
      </w:r>
      <w:r w:rsidR="00254F31">
        <w:rPr>
          <w:rFonts w:eastAsia="Cambria" w:cs="MuseoSans-300"/>
          <w:spacing w:val="0"/>
          <w:position w:val="-2"/>
          <w:szCs w:val="22"/>
          <w:lang w:val="en-GB" w:eastAsia="en-US"/>
        </w:rPr>
        <w:t xml:space="preserve"> </w:t>
      </w:r>
      <w:r w:rsidR="00FC26B7">
        <w:rPr>
          <w:rFonts w:eastAsia="Cambria" w:cs="MuseoSans-300"/>
          <w:spacing w:val="0"/>
          <w:position w:val="-2"/>
          <w:szCs w:val="22"/>
          <w:lang w:val="en-GB" w:eastAsia="en-US"/>
        </w:rPr>
        <w:t xml:space="preserve">a </w:t>
      </w:r>
      <w:r w:rsidR="00254F31">
        <w:rPr>
          <w:rFonts w:eastAsia="Cambria" w:cs="MuseoSans-300"/>
          <w:spacing w:val="0"/>
          <w:position w:val="-2"/>
          <w:szCs w:val="22"/>
          <w:lang w:val="en-GB" w:eastAsia="en-US"/>
        </w:rPr>
        <w:t>CSHC</w:t>
      </w:r>
      <w:r w:rsidR="007A14A7">
        <w:rPr>
          <w:rFonts w:eastAsia="Cambria" w:cs="MuseoSans-300"/>
          <w:spacing w:val="0"/>
          <w:position w:val="-2"/>
          <w:szCs w:val="22"/>
          <w:lang w:val="en-GB" w:eastAsia="en-US"/>
        </w:rPr>
        <w:t xml:space="preserve"> holder</w:t>
      </w:r>
      <w:r w:rsidR="00FC26B7">
        <w:rPr>
          <w:rFonts w:eastAsia="Cambria" w:cs="MuseoSans-300"/>
          <w:spacing w:val="0"/>
          <w:position w:val="-2"/>
          <w:szCs w:val="22"/>
          <w:lang w:val="en-GB" w:eastAsia="en-US"/>
        </w:rPr>
        <w:t xml:space="preserve"> </w:t>
      </w:r>
      <w:r w:rsidR="00DB59FA">
        <w:rPr>
          <w:rFonts w:eastAsia="Cambria" w:cs="MuseoSans-300"/>
          <w:spacing w:val="0"/>
          <w:position w:val="-2"/>
          <w:szCs w:val="22"/>
          <w:lang w:val="en-GB" w:eastAsia="en-US"/>
        </w:rPr>
        <w:t>can</w:t>
      </w:r>
      <w:r w:rsidR="00FC26B7">
        <w:rPr>
          <w:rFonts w:eastAsia="Cambria" w:cs="MuseoSans-300"/>
          <w:spacing w:val="0"/>
          <w:position w:val="-2"/>
          <w:szCs w:val="22"/>
          <w:lang w:val="en-GB" w:eastAsia="en-US"/>
        </w:rPr>
        <w:t xml:space="preserve"> travel overseas for up to 19 weeks before their card is cancelled</w:t>
      </w:r>
      <w:r w:rsidR="00254F31" w:rsidRPr="00057D5A">
        <w:rPr>
          <w:rFonts w:eastAsia="Cambria" w:cs="MuseoSans-300"/>
          <w:spacing w:val="0"/>
          <w:position w:val="-2"/>
          <w:szCs w:val="22"/>
          <w:lang w:val="en-GB" w:eastAsia="en-US"/>
        </w:rPr>
        <w:t>.</w:t>
      </w:r>
      <w:r w:rsidR="008F33FF">
        <w:rPr>
          <w:rFonts w:eastAsia="Cambria" w:cs="MuseoSans-300"/>
          <w:spacing w:val="0"/>
          <w:position w:val="-2"/>
          <w:szCs w:val="22"/>
          <w:lang w:val="en-GB" w:eastAsia="en-US"/>
        </w:rPr>
        <w:t xml:space="preserve"> </w:t>
      </w:r>
      <w:r w:rsidR="00DB445B">
        <w:rPr>
          <w:rFonts w:eastAsia="Cambria" w:cs="MuseoSans-300"/>
          <w:spacing w:val="0"/>
          <w:position w:val="-2"/>
          <w:szCs w:val="22"/>
          <w:lang w:val="en-GB" w:eastAsia="en-US"/>
        </w:rPr>
        <w:t xml:space="preserve">This change </w:t>
      </w:r>
      <w:r w:rsidR="00DB445B" w:rsidRPr="00057D5A">
        <w:rPr>
          <w:rFonts w:eastAsia="Cambria" w:cs="MuseoSans-300"/>
          <w:spacing w:val="0"/>
          <w:position w:val="-2"/>
          <w:szCs w:val="22"/>
          <w:lang w:val="en-GB" w:eastAsia="en-US"/>
        </w:rPr>
        <w:t>reduce</w:t>
      </w:r>
      <w:r w:rsidR="005B7498">
        <w:rPr>
          <w:rFonts w:eastAsia="Cambria" w:cs="MuseoSans-300"/>
          <w:spacing w:val="0"/>
          <w:position w:val="-2"/>
          <w:szCs w:val="22"/>
          <w:lang w:val="en-GB" w:eastAsia="en-US"/>
        </w:rPr>
        <w:t>s</w:t>
      </w:r>
      <w:r w:rsidR="00DB445B" w:rsidRPr="00057D5A">
        <w:rPr>
          <w:rFonts w:eastAsia="Cambria" w:cs="MuseoSans-300"/>
          <w:spacing w:val="0"/>
          <w:position w:val="-2"/>
          <w:szCs w:val="22"/>
          <w:lang w:val="en-GB" w:eastAsia="en-US"/>
        </w:rPr>
        <w:t xml:space="preserve"> the administrative burden on seniors</w:t>
      </w:r>
      <w:r w:rsidR="00B628E7">
        <w:rPr>
          <w:rFonts w:eastAsia="Cambria" w:cs="MuseoSans-300"/>
          <w:spacing w:val="0"/>
          <w:position w:val="-2"/>
          <w:szCs w:val="22"/>
          <w:lang w:val="en-GB" w:eastAsia="en-US"/>
        </w:rPr>
        <w:t xml:space="preserve"> and </w:t>
      </w:r>
      <w:proofErr w:type="spellStart"/>
      <w:r w:rsidR="00B628E7">
        <w:rPr>
          <w:rFonts w:eastAsia="Cambria" w:cs="MuseoSans-300"/>
          <w:spacing w:val="0"/>
          <w:position w:val="-2"/>
          <w:szCs w:val="22"/>
          <w:lang w:val="en-GB" w:eastAsia="en-US"/>
        </w:rPr>
        <w:t>Centrelink</w:t>
      </w:r>
      <w:proofErr w:type="spellEnd"/>
      <w:r w:rsidR="00DB445B">
        <w:rPr>
          <w:rFonts w:eastAsia="Cambria" w:cs="MuseoSans-300"/>
          <w:spacing w:val="0"/>
          <w:position w:val="-2"/>
          <w:szCs w:val="22"/>
          <w:lang w:val="en-GB" w:eastAsia="en-US"/>
        </w:rPr>
        <w:t>.</w:t>
      </w:r>
      <w:r w:rsidR="00B628E7">
        <w:rPr>
          <w:rFonts w:eastAsia="Cambria" w:cs="MuseoSans-300"/>
          <w:spacing w:val="0"/>
          <w:position w:val="-2"/>
          <w:szCs w:val="22"/>
          <w:lang w:val="en-GB" w:eastAsia="en-US"/>
        </w:rPr>
        <w:t xml:space="preserve"> If a CSHC holder returns to Australia after an absence of more than 19 weeks, they will need to lodge a new claim for the CSHC.</w:t>
      </w:r>
    </w:p>
    <w:p w:rsidR="00590409" w:rsidRDefault="00590409" w:rsidP="00093A3E">
      <w:pPr>
        <w:widowControl w:val="0"/>
        <w:suppressAutoHyphens/>
        <w:autoSpaceDE w:val="0"/>
        <w:autoSpaceDN w:val="0"/>
        <w:adjustRightInd w:val="0"/>
        <w:spacing w:before="0" w:after="0" w:line="220" w:lineRule="atLeast"/>
        <w:textAlignment w:val="center"/>
        <w:rPr>
          <w:rFonts w:eastAsia="Cambria" w:cs="MuseoSans-300"/>
          <w:spacing w:val="0"/>
          <w:position w:val="-2"/>
          <w:szCs w:val="22"/>
          <w:lang w:val="en-GB" w:eastAsia="en-US"/>
        </w:rPr>
      </w:pPr>
    </w:p>
    <w:p w:rsidR="00B7542A" w:rsidRDefault="00590409" w:rsidP="00093A3E">
      <w:pPr>
        <w:widowControl w:val="0"/>
        <w:suppressAutoHyphens/>
        <w:autoSpaceDE w:val="0"/>
        <w:autoSpaceDN w:val="0"/>
        <w:adjustRightInd w:val="0"/>
        <w:spacing w:before="0" w:after="0" w:line="220" w:lineRule="atLeast"/>
        <w:textAlignment w:val="center"/>
        <w:rPr>
          <w:rFonts w:eastAsia="Cambria" w:cs="MuseoSans-300"/>
          <w:spacing w:val="0"/>
          <w:position w:val="-2"/>
          <w:szCs w:val="22"/>
          <w:lang w:val="en-GB" w:eastAsia="en-US"/>
        </w:rPr>
      </w:pPr>
      <w:r>
        <w:rPr>
          <w:rFonts w:eastAsia="Cambria" w:cs="MuseoSans-300"/>
          <w:spacing w:val="0"/>
          <w:position w:val="-2"/>
          <w:szCs w:val="22"/>
          <w:lang w:val="en-GB" w:eastAsia="en-US"/>
        </w:rPr>
        <w:t xml:space="preserve">A person who </w:t>
      </w:r>
      <w:r w:rsidR="00DB59FA">
        <w:rPr>
          <w:rFonts w:eastAsia="Cambria" w:cs="MuseoSans-300"/>
          <w:spacing w:val="0"/>
          <w:position w:val="-2"/>
          <w:szCs w:val="22"/>
          <w:lang w:val="en-GB" w:eastAsia="en-US"/>
        </w:rPr>
        <w:t xml:space="preserve">was </w:t>
      </w:r>
      <w:r w:rsidR="00B7542A">
        <w:rPr>
          <w:rFonts w:eastAsia="Cambria" w:cs="MuseoSans-300"/>
          <w:spacing w:val="0"/>
          <w:position w:val="-2"/>
          <w:szCs w:val="22"/>
          <w:lang w:val="en-GB" w:eastAsia="en-US"/>
        </w:rPr>
        <w:t xml:space="preserve">absent from </w:t>
      </w:r>
      <w:r>
        <w:rPr>
          <w:rFonts w:eastAsia="Cambria" w:cs="MuseoSans-300"/>
          <w:spacing w:val="0"/>
          <w:position w:val="-2"/>
          <w:szCs w:val="22"/>
          <w:lang w:val="en-GB" w:eastAsia="en-US"/>
        </w:rPr>
        <w:t xml:space="preserve">Australia </w:t>
      </w:r>
      <w:r w:rsidR="00CA2C6E">
        <w:rPr>
          <w:rFonts w:eastAsia="Cambria" w:cs="MuseoSans-300"/>
          <w:spacing w:val="0"/>
          <w:position w:val="-2"/>
          <w:szCs w:val="22"/>
          <w:lang w:val="en-GB" w:eastAsia="en-US"/>
        </w:rPr>
        <w:t xml:space="preserve">from </w:t>
      </w:r>
      <w:r>
        <w:rPr>
          <w:rFonts w:eastAsia="Cambria" w:cs="MuseoSans-300"/>
          <w:spacing w:val="0"/>
          <w:position w:val="-2"/>
          <w:szCs w:val="22"/>
          <w:lang w:val="en-GB" w:eastAsia="en-US"/>
        </w:rPr>
        <w:t xml:space="preserve">1 January 2015 </w:t>
      </w:r>
      <w:r w:rsidR="00DD2052">
        <w:rPr>
          <w:rFonts w:eastAsia="Cambria" w:cs="MuseoSans-300"/>
          <w:spacing w:val="0"/>
          <w:position w:val="-2"/>
          <w:szCs w:val="22"/>
          <w:lang w:val="en-GB" w:eastAsia="en-US"/>
        </w:rPr>
        <w:t>when</w:t>
      </w:r>
      <w:r w:rsidR="001C26A4">
        <w:rPr>
          <w:rFonts w:eastAsia="Cambria" w:cs="MuseoSans-300"/>
          <w:spacing w:val="0"/>
          <w:position w:val="-2"/>
          <w:szCs w:val="22"/>
          <w:lang w:val="en-GB" w:eastAsia="en-US"/>
        </w:rPr>
        <w:t xml:space="preserve"> </w:t>
      </w:r>
      <w:r w:rsidR="00DD2052">
        <w:rPr>
          <w:rFonts w:eastAsia="Cambria" w:cs="MuseoSans-300"/>
          <w:spacing w:val="0"/>
          <w:position w:val="-2"/>
          <w:szCs w:val="22"/>
          <w:lang w:val="en-GB" w:eastAsia="en-US"/>
        </w:rPr>
        <w:t xml:space="preserve">the </w:t>
      </w:r>
      <w:r w:rsidR="001C26A4">
        <w:rPr>
          <w:rFonts w:eastAsia="Cambria" w:cs="MuseoSans-300"/>
          <w:spacing w:val="0"/>
          <w:position w:val="-2"/>
          <w:szCs w:val="22"/>
          <w:lang w:val="en-GB" w:eastAsia="en-US"/>
        </w:rPr>
        <w:t xml:space="preserve">new rules </w:t>
      </w:r>
      <w:r w:rsidR="00DB59FA">
        <w:rPr>
          <w:rFonts w:eastAsia="Cambria" w:cs="MuseoSans-300"/>
          <w:spacing w:val="0"/>
          <w:position w:val="-2"/>
          <w:szCs w:val="22"/>
          <w:lang w:val="en-GB" w:eastAsia="en-US"/>
        </w:rPr>
        <w:t xml:space="preserve">came </w:t>
      </w:r>
      <w:r w:rsidR="00DD2052">
        <w:rPr>
          <w:rFonts w:eastAsia="Cambria" w:cs="MuseoSans-300"/>
          <w:spacing w:val="0"/>
          <w:position w:val="-2"/>
          <w:szCs w:val="22"/>
          <w:lang w:val="en-GB" w:eastAsia="en-US"/>
        </w:rPr>
        <w:t>into effect</w:t>
      </w:r>
      <w:r w:rsidR="00DB445B">
        <w:rPr>
          <w:rFonts w:eastAsia="Cambria" w:cs="MuseoSans-300"/>
          <w:spacing w:val="0"/>
          <w:position w:val="-2"/>
          <w:szCs w:val="22"/>
          <w:lang w:val="en-GB" w:eastAsia="en-US"/>
        </w:rPr>
        <w:t>,</w:t>
      </w:r>
      <w:r w:rsidR="00DD2052">
        <w:rPr>
          <w:rFonts w:eastAsia="Cambria" w:cs="MuseoSans-300"/>
          <w:spacing w:val="0"/>
          <w:position w:val="-2"/>
          <w:szCs w:val="22"/>
          <w:lang w:val="en-GB" w:eastAsia="en-US"/>
        </w:rPr>
        <w:t xml:space="preserve"> </w:t>
      </w:r>
      <w:r w:rsidR="00B05442">
        <w:rPr>
          <w:rFonts w:eastAsia="Cambria" w:cs="MuseoSans-300"/>
          <w:spacing w:val="0"/>
          <w:position w:val="-2"/>
          <w:szCs w:val="22"/>
          <w:lang w:val="en-GB" w:eastAsia="en-US"/>
        </w:rPr>
        <w:t xml:space="preserve">and </w:t>
      </w:r>
      <w:r w:rsidR="00DB59FA">
        <w:rPr>
          <w:rFonts w:eastAsia="Cambria" w:cs="MuseoSans-300"/>
          <w:spacing w:val="0"/>
          <w:position w:val="-2"/>
          <w:szCs w:val="22"/>
          <w:lang w:val="en-GB" w:eastAsia="en-US"/>
        </w:rPr>
        <w:t xml:space="preserve">was </w:t>
      </w:r>
      <w:r w:rsidR="005B7498">
        <w:rPr>
          <w:rFonts w:eastAsia="Cambria" w:cs="MuseoSans-300"/>
          <w:spacing w:val="0"/>
          <w:position w:val="-2"/>
          <w:szCs w:val="22"/>
          <w:lang w:val="en-GB" w:eastAsia="en-US"/>
        </w:rPr>
        <w:t>a</w:t>
      </w:r>
      <w:r w:rsidR="00B05442">
        <w:rPr>
          <w:rFonts w:eastAsia="Cambria" w:cs="MuseoSans-300"/>
          <w:spacing w:val="0"/>
          <w:position w:val="-2"/>
          <w:szCs w:val="22"/>
          <w:lang w:val="en-GB" w:eastAsia="en-US"/>
        </w:rPr>
        <w:t xml:space="preserve"> holder of a CSHC</w:t>
      </w:r>
      <w:r w:rsidR="00DB445B">
        <w:rPr>
          <w:rFonts w:eastAsia="Cambria" w:cs="MuseoSans-300"/>
          <w:spacing w:val="0"/>
          <w:position w:val="-2"/>
          <w:szCs w:val="22"/>
          <w:lang w:val="en-GB" w:eastAsia="en-US"/>
        </w:rPr>
        <w:t>,</w:t>
      </w:r>
      <w:r w:rsidR="00B05442">
        <w:rPr>
          <w:rFonts w:eastAsia="Cambria" w:cs="MuseoSans-300"/>
          <w:spacing w:val="0"/>
          <w:position w:val="-2"/>
          <w:szCs w:val="22"/>
          <w:lang w:val="en-GB" w:eastAsia="en-US"/>
        </w:rPr>
        <w:t xml:space="preserve"> </w:t>
      </w:r>
      <w:r>
        <w:rPr>
          <w:rFonts w:eastAsia="Cambria" w:cs="MuseoSans-300"/>
          <w:spacing w:val="0"/>
          <w:position w:val="-2"/>
          <w:szCs w:val="22"/>
          <w:lang w:val="en-GB" w:eastAsia="en-US"/>
        </w:rPr>
        <w:t>benefit</w:t>
      </w:r>
      <w:r w:rsidR="00FF2871">
        <w:rPr>
          <w:rFonts w:eastAsia="Cambria" w:cs="MuseoSans-300"/>
          <w:spacing w:val="0"/>
          <w:position w:val="-2"/>
          <w:szCs w:val="22"/>
          <w:lang w:val="en-GB" w:eastAsia="en-US"/>
        </w:rPr>
        <w:t>s</w:t>
      </w:r>
      <w:r>
        <w:rPr>
          <w:rFonts w:eastAsia="Cambria" w:cs="MuseoSans-300"/>
          <w:spacing w:val="0"/>
          <w:position w:val="-2"/>
          <w:szCs w:val="22"/>
          <w:lang w:val="en-GB" w:eastAsia="en-US"/>
        </w:rPr>
        <w:t xml:space="preserve"> from the</w:t>
      </w:r>
      <w:r w:rsidR="001C26A4">
        <w:rPr>
          <w:rFonts w:eastAsia="Cambria" w:cs="MuseoSans-300"/>
          <w:spacing w:val="0"/>
          <w:position w:val="-2"/>
          <w:szCs w:val="22"/>
          <w:lang w:val="en-GB" w:eastAsia="en-US"/>
        </w:rPr>
        <w:t xml:space="preserve"> increase</w:t>
      </w:r>
      <w:r w:rsidR="003E52AD">
        <w:rPr>
          <w:rFonts w:eastAsia="Cambria" w:cs="MuseoSans-300"/>
          <w:spacing w:val="0"/>
          <w:position w:val="-2"/>
          <w:szCs w:val="22"/>
          <w:lang w:val="en-GB" w:eastAsia="en-US"/>
        </w:rPr>
        <w:t xml:space="preserve">d </w:t>
      </w:r>
      <w:r w:rsidR="001C26A4">
        <w:rPr>
          <w:rFonts w:eastAsia="Cambria" w:cs="MuseoSans-300"/>
          <w:spacing w:val="0"/>
          <w:position w:val="-2"/>
          <w:szCs w:val="22"/>
          <w:lang w:val="en-GB" w:eastAsia="en-US"/>
        </w:rPr>
        <w:t xml:space="preserve">portability period for the CSHC from </w:t>
      </w:r>
      <w:r w:rsidR="00735122">
        <w:rPr>
          <w:rFonts w:eastAsia="Cambria" w:cs="MuseoSans-300"/>
          <w:spacing w:val="0"/>
          <w:position w:val="-2"/>
          <w:szCs w:val="22"/>
          <w:lang w:val="en-GB" w:eastAsia="en-US"/>
        </w:rPr>
        <w:t xml:space="preserve">six </w:t>
      </w:r>
      <w:r w:rsidR="001C26A4">
        <w:rPr>
          <w:rFonts w:eastAsia="Cambria" w:cs="MuseoSans-300"/>
          <w:spacing w:val="0"/>
          <w:position w:val="-2"/>
          <w:szCs w:val="22"/>
          <w:lang w:val="en-GB" w:eastAsia="en-US"/>
        </w:rPr>
        <w:t>to 19</w:t>
      </w:r>
      <w:r w:rsidR="00456FE6">
        <w:rPr>
          <w:rFonts w:eastAsia="Cambria" w:cs="MuseoSans-300"/>
          <w:spacing w:val="0"/>
          <w:position w:val="-2"/>
          <w:szCs w:val="22"/>
          <w:lang w:val="en-GB" w:eastAsia="en-US"/>
        </w:rPr>
        <w:t> </w:t>
      </w:r>
      <w:r w:rsidR="001C26A4">
        <w:rPr>
          <w:rFonts w:eastAsia="Cambria" w:cs="MuseoSans-300"/>
          <w:spacing w:val="0"/>
          <w:position w:val="-2"/>
          <w:szCs w:val="22"/>
          <w:lang w:val="en-GB" w:eastAsia="en-US"/>
        </w:rPr>
        <w:t xml:space="preserve">weeks. </w:t>
      </w:r>
    </w:p>
    <w:p w:rsidR="00CD1679" w:rsidRDefault="00CD1679" w:rsidP="00057D5A">
      <w:pPr>
        <w:widowControl w:val="0"/>
        <w:suppressAutoHyphens/>
        <w:autoSpaceDE w:val="0"/>
        <w:autoSpaceDN w:val="0"/>
        <w:adjustRightInd w:val="0"/>
        <w:spacing w:before="0" w:after="85" w:line="220" w:lineRule="atLeast"/>
        <w:textAlignment w:val="center"/>
        <w:rPr>
          <w:rFonts w:eastAsia="Cambria" w:cs="MuseoSans-300"/>
          <w:spacing w:val="0"/>
          <w:position w:val="-2"/>
          <w:szCs w:val="22"/>
          <w:lang w:val="en-GB" w:eastAsia="en-US"/>
        </w:rPr>
      </w:pPr>
    </w:p>
    <w:p w:rsidR="00CD1679" w:rsidRDefault="00CD1679" w:rsidP="008D181E">
      <w:pPr>
        <w:widowControl w:val="0"/>
        <w:suppressAutoHyphens/>
        <w:autoSpaceDE w:val="0"/>
        <w:autoSpaceDN w:val="0"/>
        <w:adjustRightInd w:val="0"/>
        <w:spacing w:before="0" w:after="0" w:line="220" w:lineRule="atLeast"/>
        <w:textAlignment w:val="center"/>
        <w:rPr>
          <w:rFonts w:eastAsia="Cambria" w:cs="MuseoSans-300"/>
          <w:spacing w:val="0"/>
          <w:position w:val="-2"/>
          <w:szCs w:val="22"/>
          <w:lang w:val="en-GB" w:eastAsia="en-US"/>
        </w:rPr>
      </w:pPr>
      <w:r>
        <w:rPr>
          <w:rFonts w:eastAsia="Cambria" w:cs="MuseoSans-300"/>
          <w:spacing w:val="0"/>
          <w:position w:val="-2"/>
          <w:szCs w:val="22"/>
          <w:lang w:val="en-GB" w:eastAsia="en-US"/>
        </w:rPr>
        <w:t xml:space="preserve">Portability of </w:t>
      </w:r>
      <w:r w:rsidR="0098415E">
        <w:rPr>
          <w:rFonts w:eastAsia="Cambria" w:cs="MuseoSans-300"/>
          <w:spacing w:val="0"/>
          <w:position w:val="-2"/>
          <w:szCs w:val="22"/>
          <w:lang w:val="en-GB" w:eastAsia="en-US"/>
        </w:rPr>
        <w:t xml:space="preserve">the </w:t>
      </w:r>
      <w:r>
        <w:rPr>
          <w:rFonts w:eastAsia="Cambria" w:cs="MuseoSans-300"/>
          <w:spacing w:val="0"/>
          <w:position w:val="-2"/>
          <w:szCs w:val="22"/>
          <w:lang w:val="en-GB" w:eastAsia="en-US"/>
        </w:rPr>
        <w:t xml:space="preserve">Energy Supplement </w:t>
      </w:r>
      <w:r w:rsidR="00DB59FA">
        <w:rPr>
          <w:rFonts w:eastAsia="Cambria" w:cs="MuseoSans-300"/>
          <w:spacing w:val="0"/>
          <w:position w:val="-2"/>
          <w:szCs w:val="22"/>
          <w:lang w:val="en-GB" w:eastAsia="en-US"/>
        </w:rPr>
        <w:t xml:space="preserve">has </w:t>
      </w:r>
      <w:r>
        <w:rPr>
          <w:rFonts w:eastAsia="Cambria" w:cs="MuseoSans-300"/>
          <w:spacing w:val="0"/>
          <w:position w:val="-2"/>
          <w:szCs w:val="22"/>
          <w:lang w:val="en-GB" w:eastAsia="en-US"/>
        </w:rPr>
        <w:t>not change</w:t>
      </w:r>
      <w:r w:rsidR="00DB59FA">
        <w:rPr>
          <w:rFonts w:eastAsia="Cambria" w:cs="MuseoSans-300"/>
          <w:spacing w:val="0"/>
          <w:position w:val="-2"/>
          <w:szCs w:val="22"/>
          <w:lang w:val="en-GB" w:eastAsia="en-US"/>
        </w:rPr>
        <w:t>d</w:t>
      </w:r>
      <w:r>
        <w:rPr>
          <w:rFonts w:eastAsia="Cambria" w:cs="MuseoSans-300"/>
          <w:spacing w:val="0"/>
          <w:position w:val="-2"/>
          <w:szCs w:val="22"/>
          <w:lang w:val="en-GB" w:eastAsia="en-US"/>
        </w:rPr>
        <w:t xml:space="preserve"> and continue</w:t>
      </w:r>
      <w:r w:rsidR="00DB59FA">
        <w:rPr>
          <w:rFonts w:eastAsia="Cambria" w:cs="MuseoSans-300"/>
          <w:spacing w:val="0"/>
          <w:position w:val="-2"/>
          <w:szCs w:val="22"/>
          <w:lang w:val="en-GB" w:eastAsia="en-US"/>
        </w:rPr>
        <w:t>s</w:t>
      </w:r>
      <w:r>
        <w:rPr>
          <w:rFonts w:eastAsia="Cambria" w:cs="MuseoSans-300"/>
          <w:spacing w:val="0"/>
          <w:position w:val="-2"/>
          <w:szCs w:val="22"/>
          <w:lang w:val="en-GB" w:eastAsia="en-US"/>
        </w:rPr>
        <w:t xml:space="preserve"> to be payable </w:t>
      </w:r>
      <w:r w:rsidR="00735122">
        <w:rPr>
          <w:rFonts w:eastAsia="Cambria" w:cs="MuseoSans-300"/>
          <w:spacing w:val="0"/>
          <w:position w:val="-2"/>
          <w:szCs w:val="22"/>
          <w:lang w:val="en-GB" w:eastAsia="en-US"/>
        </w:rPr>
        <w:t xml:space="preserve">only </w:t>
      </w:r>
      <w:r>
        <w:rPr>
          <w:rFonts w:eastAsia="Cambria" w:cs="MuseoSans-300"/>
          <w:spacing w:val="0"/>
          <w:position w:val="-2"/>
          <w:szCs w:val="22"/>
          <w:lang w:val="en-GB" w:eastAsia="en-US"/>
        </w:rPr>
        <w:t xml:space="preserve">for a maximum </w:t>
      </w:r>
      <w:r w:rsidR="00735122">
        <w:rPr>
          <w:rFonts w:eastAsia="Cambria" w:cs="MuseoSans-300"/>
          <w:spacing w:val="0"/>
          <w:position w:val="-2"/>
          <w:szCs w:val="22"/>
          <w:lang w:val="en-GB" w:eastAsia="en-US"/>
        </w:rPr>
        <w:t>of six</w:t>
      </w:r>
      <w:r>
        <w:rPr>
          <w:rFonts w:eastAsia="Cambria" w:cs="MuseoSans-300"/>
          <w:spacing w:val="0"/>
          <w:position w:val="-2"/>
          <w:szCs w:val="22"/>
          <w:lang w:val="en-GB" w:eastAsia="en-US"/>
        </w:rPr>
        <w:t> weeks overseas.</w:t>
      </w:r>
    </w:p>
    <w:p w:rsidR="00B7542A" w:rsidRDefault="00B7542A" w:rsidP="008D181E">
      <w:pPr>
        <w:widowControl w:val="0"/>
        <w:suppressAutoHyphens/>
        <w:autoSpaceDE w:val="0"/>
        <w:autoSpaceDN w:val="0"/>
        <w:adjustRightInd w:val="0"/>
        <w:spacing w:before="0" w:after="0" w:line="220" w:lineRule="atLeast"/>
        <w:textAlignment w:val="center"/>
        <w:rPr>
          <w:rFonts w:eastAsia="Cambria" w:cs="MuseoSans-300"/>
          <w:spacing w:val="0"/>
          <w:position w:val="-2"/>
          <w:szCs w:val="22"/>
          <w:lang w:val="en-GB" w:eastAsia="en-US"/>
        </w:rPr>
      </w:pPr>
    </w:p>
    <w:p w:rsidR="001C778F" w:rsidRDefault="001C778F" w:rsidP="008D181E">
      <w:pPr>
        <w:widowControl w:val="0"/>
        <w:suppressAutoHyphens/>
        <w:autoSpaceDE w:val="0"/>
        <w:autoSpaceDN w:val="0"/>
        <w:adjustRightInd w:val="0"/>
        <w:spacing w:before="0" w:after="0" w:line="220" w:lineRule="atLeast"/>
        <w:textAlignment w:val="center"/>
        <w:rPr>
          <w:rFonts w:eastAsia="Cambria" w:cs="MuseoSans-300"/>
          <w:spacing w:val="0"/>
          <w:position w:val="-2"/>
          <w:szCs w:val="22"/>
          <w:lang w:val="en-GB" w:eastAsia="en-US"/>
        </w:rPr>
      </w:pPr>
    </w:p>
    <w:p w:rsidR="00B7542A" w:rsidRPr="00F82958" w:rsidRDefault="00B7542A" w:rsidP="008D181E">
      <w:pPr>
        <w:pStyle w:val="Heading3"/>
      </w:pPr>
      <w:r w:rsidRPr="00F82958">
        <w:t>Example 1</w:t>
      </w:r>
      <w:r w:rsidR="0086555D">
        <w:t xml:space="preserve"> – CSHC holder </w:t>
      </w:r>
      <w:r w:rsidR="009222AC">
        <w:t>overseas</w:t>
      </w:r>
      <w:r w:rsidR="00DD2052">
        <w:t xml:space="preserve"> from 1 </w:t>
      </w:r>
      <w:r w:rsidR="00B628E7">
        <w:t>January 2015</w:t>
      </w:r>
      <w:r w:rsidR="00DD2052">
        <w:t xml:space="preserve"> to 1</w:t>
      </w:r>
      <w:r w:rsidR="00942E19">
        <w:t>0</w:t>
      </w:r>
      <w:r w:rsidR="00DD2052">
        <w:t xml:space="preserve"> </w:t>
      </w:r>
      <w:r w:rsidR="00B628E7">
        <w:t xml:space="preserve">April </w:t>
      </w:r>
      <w:r w:rsidR="00DD2052">
        <w:t>2015</w:t>
      </w:r>
      <w:r w:rsidR="008F4C73">
        <w:t>.</w:t>
      </w:r>
    </w:p>
    <w:p w:rsidR="00C10B2D" w:rsidRDefault="00C44801" w:rsidP="008D181E">
      <w:pPr>
        <w:widowControl w:val="0"/>
        <w:suppressAutoHyphens/>
        <w:autoSpaceDE w:val="0"/>
        <w:autoSpaceDN w:val="0"/>
        <w:adjustRightInd w:val="0"/>
        <w:spacing w:before="0" w:after="0" w:line="220" w:lineRule="atLeast"/>
        <w:ind w:left="284"/>
        <w:textAlignment w:val="center"/>
        <w:rPr>
          <w:rFonts w:eastAsia="Cambria" w:cs="MuseoSans-300"/>
          <w:spacing w:val="0"/>
          <w:position w:val="-2"/>
          <w:szCs w:val="22"/>
          <w:lang w:val="en-GB" w:eastAsia="en-US"/>
        </w:rPr>
      </w:pPr>
      <w:r>
        <w:rPr>
          <w:rFonts w:eastAsia="Cambria" w:cs="MuseoSans-300"/>
          <w:spacing w:val="0"/>
          <w:position w:val="-2"/>
          <w:szCs w:val="22"/>
          <w:lang w:val="en-GB" w:eastAsia="en-US"/>
        </w:rPr>
        <w:t>Barry</w:t>
      </w:r>
      <w:r w:rsidR="009222AC">
        <w:rPr>
          <w:rFonts w:eastAsia="Cambria" w:cs="MuseoSans-300"/>
          <w:spacing w:val="0"/>
          <w:position w:val="-2"/>
          <w:szCs w:val="22"/>
          <w:lang w:val="en-GB" w:eastAsia="en-US"/>
        </w:rPr>
        <w:t xml:space="preserve"> </w:t>
      </w:r>
      <w:r w:rsidR="00F82958" w:rsidRPr="00C477A6">
        <w:rPr>
          <w:rFonts w:eastAsia="Cambria" w:cs="MuseoSans-300"/>
          <w:spacing w:val="0"/>
          <w:position w:val="-2"/>
          <w:szCs w:val="22"/>
          <w:lang w:val="en-GB" w:eastAsia="en-US"/>
        </w:rPr>
        <w:t xml:space="preserve">is a CSHC </w:t>
      </w:r>
      <w:r w:rsidR="00F82958">
        <w:rPr>
          <w:rFonts w:eastAsia="Cambria" w:cs="MuseoSans-300"/>
          <w:spacing w:val="0"/>
          <w:position w:val="-2"/>
          <w:szCs w:val="22"/>
          <w:lang w:val="en-GB" w:eastAsia="en-US"/>
        </w:rPr>
        <w:t xml:space="preserve">holder who </w:t>
      </w:r>
      <w:r w:rsidR="0032068B">
        <w:rPr>
          <w:rFonts w:eastAsia="Cambria" w:cs="MuseoSans-300"/>
          <w:spacing w:val="0"/>
          <w:position w:val="-2"/>
          <w:szCs w:val="22"/>
          <w:lang w:val="en-GB" w:eastAsia="en-US"/>
        </w:rPr>
        <w:t>travelled</w:t>
      </w:r>
      <w:r w:rsidR="008F4C73">
        <w:rPr>
          <w:rFonts w:eastAsia="Cambria" w:cs="MuseoSans-300"/>
          <w:spacing w:val="0"/>
          <w:position w:val="-2"/>
          <w:szCs w:val="22"/>
          <w:lang w:val="en-GB" w:eastAsia="en-US"/>
        </w:rPr>
        <w:t xml:space="preserve"> </w:t>
      </w:r>
      <w:r>
        <w:rPr>
          <w:rFonts w:eastAsia="Cambria" w:cs="MuseoSans-300"/>
          <w:spacing w:val="0"/>
          <w:position w:val="-2"/>
          <w:szCs w:val="22"/>
          <w:lang w:val="en-GB" w:eastAsia="en-US"/>
        </w:rPr>
        <w:t>overseas</w:t>
      </w:r>
      <w:r w:rsidR="00F82958">
        <w:rPr>
          <w:rFonts w:eastAsia="Cambria" w:cs="MuseoSans-300"/>
          <w:spacing w:val="0"/>
          <w:position w:val="-2"/>
          <w:szCs w:val="22"/>
          <w:lang w:val="en-GB" w:eastAsia="en-US"/>
        </w:rPr>
        <w:t xml:space="preserve"> on </w:t>
      </w:r>
      <w:r w:rsidR="002F00A4">
        <w:rPr>
          <w:rFonts w:eastAsia="Cambria" w:cs="MuseoSans-300"/>
          <w:spacing w:val="0"/>
          <w:position w:val="-2"/>
          <w:szCs w:val="22"/>
          <w:lang w:val="en-GB" w:eastAsia="en-US"/>
        </w:rPr>
        <w:t>1</w:t>
      </w:r>
      <w:r w:rsidR="00F82958">
        <w:rPr>
          <w:rFonts w:eastAsia="Cambria" w:cs="MuseoSans-300"/>
          <w:spacing w:val="0"/>
          <w:position w:val="-2"/>
          <w:szCs w:val="22"/>
          <w:lang w:val="en-GB" w:eastAsia="en-US"/>
        </w:rPr>
        <w:t xml:space="preserve"> </w:t>
      </w:r>
      <w:r w:rsidR="00B628E7">
        <w:rPr>
          <w:rFonts w:eastAsia="Cambria" w:cs="MuseoSans-300"/>
          <w:spacing w:val="0"/>
          <w:position w:val="-2"/>
          <w:szCs w:val="22"/>
          <w:lang w:val="en-GB" w:eastAsia="en-US"/>
        </w:rPr>
        <w:t>January 2015</w:t>
      </w:r>
      <w:r w:rsidR="00FD14C1">
        <w:rPr>
          <w:rFonts w:eastAsia="Cambria" w:cs="MuseoSans-300"/>
          <w:spacing w:val="0"/>
          <w:position w:val="-2"/>
          <w:szCs w:val="22"/>
          <w:lang w:val="en-GB" w:eastAsia="en-US"/>
        </w:rPr>
        <w:t>.</w:t>
      </w:r>
      <w:r w:rsidR="007836C4">
        <w:rPr>
          <w:rFonts w:eastAsia="Cambria" w:cs="MuseoSans-300"/>
          <w:spacing w:val="0"/>
          <w:position w:val="-2"/>
          <w:szCs w:val="22"/>
          <w:lang w:val="en-GB" w:eastAsia="en-US"/>
        </w:rPr>
        <w:t xml:space="preserve"> </w:t>
      </w:r>
      <w:r w:rsidR="006B3D76">
        <w:rPr>
          <w:rFonts w:eastAsia="Cambria" w:cs="MuseoSans-300"/>
          <w:spacing w:val="0"/>
          <w:position w:val="-2"/>
          <w:szCs w:val="22"/>
          <w:lang w:val="en-GB" w:eastAsia="en-US"/>
        </w:rPr>
        <w:t xml:space="preserve">Barry </w:t>
      </w:r>
      <w:r w:rsidR="00BB44A2">
        <w:rPr>
          <w:rFonts w:eastAsia="Cambria" w:cs="MuseoSans-300"/>
          <w:spacing w:val="0"/>
          <w:position w:val="-2"/>
          <w:szCs w:val="22"/>
          <w:lang w:val="en-GB" w:eastAsia="en-US"/>
        </w:rPr>
        <w:t>return</w:t>
      </w:r>
      <w:r w:rsidR="00735122">
        <w:rPr>
          <w:rFonts w:eastAsia="Cambria" w:cs="MuseoSans-300"/>
          <w:spacing w:val="0"/>
          <w:position w:val="-2"/>
          <w:szCs w:val="22"/>
          <w:lang w:val="en-GB" w:eastAsia="en-US"/>
        </w:rPr>
        <w:t>ed</w:t>
      </w:r>
      <w:r w:rsidR="00BB44A2">
        <w:rPr>
          <w:rFonts w:eastAsia="Cambria" w:cs="MuseoSans-300"/>
          <w:spacing w:val="0"/>
          <w:position w:val="-2"/>
          <w:szCs w:val="22"/>
          <w:lang w:val="en-GB" w:eastAsia="en-US"/>
        </w:rPr>
        <w:t xml:space="preserve"> to Australia on 1</w:t>
      </w:r>
      <w:r w:rsidR="00942E19">
        <w:rPr>
          <w:rFonts w:eastAsia="Cambria" w:cs="MuseoSans-300"/>
          <w:spacing w:val="0"/>
          <w:position w:val="-2"/>
          <w:szCs w:val="22"/>
          <w:lang w:val="en-GB" w:eastAsia="en-US"/>
        </w:rPr>
        <w:t>0</w:t>
      </w:r>
      <w:r w:rsidR="007836C4">
        <w:rPr>
          <w:rFonts w:eastAsia="Cambria" w:cs="MuseoSans-300"/>
          <w:spacing w:val="0"/>
          <w:position w:val="-2"/>
          <w:szCs w:val="22"/>
          <w:lang w:val="en-GB" w:eastAsia="en-US"/>
        </w:rPr>
        <w:t> </w:t>
      </w:r>
      <w:r w:rsidR="00B628E7">
        <w:rPr>
          <w:rFonts w:eastAsia="Cambria" w:cs="MuseoSans-300"/>
          <w:spacing w:val="0"/>
          <w:position w:val="-2"/>
          <w:szCs w:val="22"/>
          <w:lang w:val="en-GB" w:eastAsia="en-US"/>
        </w:rPr>
        <w:t xml:space="preserve">April </w:t>
      </w:r>
      <w:r w:rsidR="00BB44A2">
        <w:rPr>
          <w:rFonts w:eastAsia="Cambria" w:cs="MuseoSans-300"/>
          <w:spacing w:val="0"/>
          <w:position w:val="-2"/>
          <w:szCs w:val="22"/>
          <w:lang w:val="en-GB" w:eastAsia="en-US"/>
        </w:rPr>
        <w:t>2015</w:t>
      </w:r>
      <w:r w:rsidR="00B55B58">
        <w:rPr>
          <w:rFonts w:eastAsia="Cambria" w:cs="MuseoSans-300"/>
          <w:spacing w:val="0"/>
          <w:position w:val="-2"/>
          <w:szCs w:val="22"/>
          <w:lang w:val="en-GB" w:eastAsia="en-US"/>
        </w:rPr>
        <w:t>,</w:t>
      </w:r>
      <w:r w:rsidR="00B55B58" w:rsidRPr="00B55B58">
        <w:rPr>
          <w:rFonts w:eastAsia="Cambria" w:cs="MuseoSans-300"/>
          <w:spacing w:val="0"/>
          <w:position w:val="-2"/>
          <w:szCs w:val="22"/>
          <w:lang w:val="en-GB" w:eastAsia="en-US"/>
        </w:rPr>
        <w:t xml:space="preserve"> </w:t>
      </w:r>
      <w:r w:rsidR="00B55B58">
        <w:rPr>
          <w:rFonts w:eastAsia="Cambria" w:cs="MuseoSans-300"/>
          <w:spacing w:val="0"/>
          <w:position w:val="-2"/>
          <w:szCs w:val="22"/>
          <w:lang w:val="en-GB" w:eastAsia="en-US"/>
        </w:rPr>
        <w:t xml:space="preserve">remaining outside of Australia for the whole of this period. </w:t>
      </w:r>
      <w:r w:rsidR="00C10B2D">
        <w:rPr>
          <w:rFonts w:eastAsia="Cambria" w:cs="MuseoSans-300"/>
          <w:spacing w:val="0"/>
          <w:position w:val="-2"/>
          <w:szCs w:val="22"/>
          <w:lang w:val="en-GB" w:eastAsia="en-US"/>
        </w:rPr>
        <w:t xml:space="preserve">Because </w:t>
      </w:r>
      <w:r w:rsidR="006B3D76">
        <w:rPr>
          <w:rFonts w:eastAsia="Cambria" w:cs="MuseoSans-300"/>
          <w:spacing w:val="0"/>
          <w:position w:val="-2"/>
          <w:szCs w:val="22"/>
          <w:lang w:val="en-GB" w:eastAsia="en-US"/>
        </w:rPr>
        <w:t>Barry</w:t>
      </w:r>
      <w:r w:rsidR="00FD14C1">
        <w:rPr>
          <w:rFonts w:eastAsia="Cambria" w:cs="MuseoSans-300"/>
          <w:spacing w:val="0"/>
          <w:position w:val="-2"/>
          <w:szCs w:val="22"/>
          <w:lang w:val="en-GB" w:eastAsia="en-US"/>
        </w:rPr>
        <w:t>’</w:t>
      </w:r>
      <w:r w:rsidR="00C10B2D">
        <w:rPr>
          <w:rFonts w:eastAsia="Cambria" w:cs="MuseoSans-300"/>
          <w:spacing w:val="0"/>
          <w:position w:val="-2"/>
          <w:szCs w:val="22"/>
          <w:lang w:val="en-GB" w:eastAsia="en-US"/>
        </w:rPr>
        <w:t xml:space="preserve">s </w:t>
      </w:r>
      <w:r w:rsidR="00FD14C1">
        <w:rPr>
          <w:rFonts w:eastAsia="Cambria" w:cs="MuseoSans-300"/>
          <w:spacing w:val="0"/>
          <w:position w:val="-2"/>
          <w:szCs w:val="22"/>
          <w:lang w:val="en-GB" w:eastAsia="en-US"/>
        </w:rPr>
        <w:t xml:space="preserve">absence from Australia </w:t>
      </w:r>
      <w:r w:rsidR="00B026F2">
        <w:rPr>
          <w:rFonts w:eastAsia="Cambria" w:cs="MuseoSans-300"/>
          <w:spacing w:val="0"/>
          <w:position w:val="-2"/>
          <w:szCs w:val="22"/>
          <w:lang w:val="en-GB" w:eastAsia="en-US"/>
        </w:rPr>
        <w:t xml:space="preserve">was </w:t>
      </w:r>
      <w:r w:rsidR="00FD14C1">
        <w:rPr>
          <w:rFonts w:eastAsia="Cambria" w:cs="MuseoSans-300"/>
          <w:spacing w:val="0"/>
          <w:position w:val="-2"/>
          <w:szCs w:val="22"/>
          <w:lang w:val="en-GB" w:eastAsia="en-US"/>
        </w:rPr>
        <w:t>less than 19</w:t>
      </w:r>
      <w:r w:rsidR="00DB445B">
        <w:rPr>
          <w:rFonts w:eastAsia="Cambria" w:cs="MuseoSans-300"/>
          <w:spacing w:val="0"/>
          <w:position w:val="-2"/>
          <w:szCs w:val="22"/>
          <w:lang w:val="en-GB" w:eastAsia="en-US"/>
        </w:rPr>
        <w:t xml:space="preserve"> </w:t>
      </w:r>
      <w:r w:rsidR="00FD14C1">
        <w:rPr>
          <w:rFonts w:eastAsia="Cambria" w:cs="MuseoSans-300"/>
          <w:spacing w:val="0"/>
          <w:position w:val="-2"/>
          <w:szCs w:val="22"/>
          <w:lang w:val="en-GB" w:eastAsia="en-US"/>
        </w:rPr>
        <w:t>weeks</w:t>
      </w:r>
      <w:r w:rsidR="0098415E">
        <w:rPr>
          <w:rFonts w:eastAsia="Cambria" w:cs="MuseoSans-300"/>
          <w:spacing w:val="0"/>
          <w:position w:val="-2"/>
          <w:szCs w:val="22"/>
          <w:lang w:val="en-GB" w:eastAsia="en-US"/>
        </w:rPr>
        <w:t>,</w:t>
      </w:r>
      <w:r w:rsidR="00FD14C1">
        <w:rPr>
          <w:rFonts w:eastAsia="Cambria" w:cs="MuseoSans-300"/>
          <w:spacing w:val="0"/>
          <w:position w:val="-2"/>
          <w:szCs w:val="22"/>
          <w:lang w:val="en-GB" w:eastAsia="en-US"/>
        </w:rPr>
        <w:t xml:space="preserve"> his </w:t>
      </w:r>
      <w:r w:rsidR="0026727D">
        <w:rPr>
          <w:rFonts w:eastAsia="Cambria" w:cs="MuseoSans-300"/>
          <w:spacing w:val="0"/>
          <w:position w:val="-2"/>
          <w:szCs w:val="22"/>
          <w:lang w:val="en-GB" w:eastAsia="en-US"/>
        </w:rPr>
        <w:t xml:space="preserve">card </w:t>
      </w:r>
      <w:r w:rsidR="00DB59FA">
        <w:rPr>
          <w:rFonts w:eastAsia="Cambria" w:cs="MuseoSans-300"/>
          <w:spacing w:val="0"/>
          <w:position w:val="-2"/>
          <w:szCs w:val="22"/>
          <w:lang w:val="en-GB" w:eastAsia="en-US"/>
        </w:rPr>
        <w:t>was</w:t>
      </w:r>
      <w:r w:rsidR="0026727D">
        <w:rPr>
          <w:rFonts w:eastAsia="Cambria" w:cs="MuseoSans-300"/>
          <w:spacing w:val="0"/>
          <w:position w:val="-2"/>
          <w:szCs w:val="22"/>
          <w:lang w:val="en-GB" w:eastAsia="en-US"/>
        </w:rPr>
        <w:t xml:space="preserve"> </w:t>
      </w:r>
      <w:r w:rsidR="00CA2C6E">
        <w:rPr>
          <w:rFonts w:eastAsia="Cambria" w:cs="MuseoSans-300"/>
          <w:spacing w:val="0"/>
          <w:position w:val="-2"/>
          <w:szCs w:val="22"/>
          <w:lang w:val="en-GB" w:eastAsia="en-US"/>
        </w:rPr>
        <w:t>still valid</w:t>
      </w:r>
      <w:r w:rsidR="0026727D">
        <w:rPr>
          <w:rFonts w:eastAsia="Cambria" w:cs="MuseoSans-300"/>
          <w:spacing w:val="0"/>
          <w:position w:val="-2"/>
          <w:szCs w:val="22"/>
          <w:lang w:val="en-GB" w:eastAsia="en-US"/>
        </w:rPr>
        <w:t xml:space="preserve"> when he </w:t>
      </w:r>
      <w:r w:rsidR="00DB59FA">
        <w:rPr>
          <w:rFonts w:eastAsia="Cambria" w:cs="MuseoSans-300"/>
          <w:spacing w:val="0"/>
          <w:position w:val="-2"/>
          <w:szCs w:val="22"/>
          <w:lang w:val="en-GB" w:eastAsia="en-US"/>
        </w:rPr>
        <w:t xml:space="preserve">returned </w:t>
      </w:r>
      <w:r w:rsidR="0026727D">
        <w:rPr>
          <w:rFonts w:eastAsia="Cambria" w:cs="MuseoSans-300"/>
          <w:spacing w:val="0"/>
          <w:position w:val="-2"/>
          <w:szCs w:val="22"/>
          <w:lang w:val="en-GB" w:eastAsia="en-US"/>
        </w:rPr>
        <w:t>to Australia</w:t>
      </w:r>
      <w:r w:rsidR="00B55B58">
        <w:rPr>
          <w:rFonts w:eastAsia="Cambria" w:cs="MuseoSans-300"/>
          <w:spacing w:val="0"/>
          <w:position w:val="-2"/>
          <w:szCs w:val="22"/>
          <w:lang w:val="en-GB" w:eastAsia="en-US"/>
        </w:rPr>
        <w:t xml:space="preserve">. </w:t>
      </w:r>
      <w:r w:rsidR="006B3D76">
        <w:rPr>
          <w:rFonts w:eastAsia="Cambria" w:cs="MuseoSans-300"/>
          <w:spacing w:val="0"/>
          <w:position w:val="-2"/>
          <w:szCs w:val="22"/>
          <w:lang w:val="en-GB" w:eastAsia="en-US"/>
        </w:rPr>
        <w:t>Barry</w:t>
      </w:r>
      <w:r w:rsidR="00B55B58">
        <w:rPr>
          <w:rFonts w:eastAsia="Cambria" w:cs="MuseoSans-300"/>
          <w:spacing w:val="0"/>
          <w:position w:val="-2"/>
          <w:szCs w:val="22"/>
          <w:lang w:val="en-GB" w:eastAsia="en-US"/>
        </w:rPr>
        <w:t xml:space="preserve"> </w:t>
      </w:r>
      <w:r w:rsidR="00DB59FA">
        <w:rPr>
          <w:rFonts w:eastAsia="Cambria" w:cs="MuseoSans-300"/>
          <w:spacing w:val="0"/>
          <w:position w:val="-2"/>
          <w:szCs w:val="22"/>
          <w:lang w:val="en-GB" w:eastAsia="en-US"/>
        </w:rPr>
        <w:t xml:space="preserve">did </w:t>
      </w:r>
      <w:r w:rsidR="00CD1679">
        <w:rPr>
          <w:rFonts w:eastAsia="Cambria" w:cs="MuseoSans-300"/>
          <w:spacing w:val="0"/>
          <w:position w:val="-2"/>
          <w:szCs w:val="22"/>
          <w:lang w:val="en-GB" w:eastAsia="en-US"/>
        </w:rPr>
        <w:t>not need to claim a new CSHC</w:t>
      </w:r>
      <w:r w:rsidR="00CB0D9E">
        <w:rPr>
          <w:rFonts w:eastAsia="Cambria" w:cs="MuseoSans-300"/>
          <w:spacing w:val="0"/>
          <w:position w:val="-2"/>
          <w:szCs w:val="22"/>
          <w:lang w:val="en-GB" w:eastAsia="en-US"/>
        </w:rPr>
        <w:t xml:space="preserve"> and retain</w:t>
      </w:r>
      <w:r w:rsidR="00DB59FA">
        <w:rPr>
          <w:rFonts w:eastAsia="Cambria" w:cs="MuseoSans-300"/>
          <w:spacing w:val="0"/>
          <w:position w:val="-2"/>
          <w:szCs w:val="22"/>
          <w:lang w:val="en-GB" w:eastAsia="en-US"/>
        </w:rPr>
        <w:t>ed</w:t>
      </w:r>
      <w:r w:rsidR="00CB0D9E">
        <w:rPr>
          <w:rFonts w:eastAsia="Cambria" w:cs="MuseoSans-300"/>
          <w:spacing w:val="0"/>
          <w:position w:val="-2"/>
          <w:szCs w:val="22"/>
          <w:lang w:val="en-GB" w:eastAsia="en-US"/>
        </w:rPr>
        <w:t xml:space="preserve"> his grandfathering status on any account</w:t>
      </w:r>
      <w:r w:rsidR="00735122">
        <w:rPr>
          <w:rFonts w:eastAsia="Cambria" w:cs="MuseoSans-300"/>
          <w:spacing w:val="0"/>
          <w:position w:val="-2"/>
          <w:szCs w:val="22"/>
          <w:lang w:val="en-GB" w:eastAsia="en-US"/>
        </w:rPr>
        <w:t>-</w:t>
      </w:r>
      <w:r w:rsidR="00CB0D9E">
        <w:rPr>
          <w:rFonts w:eastAsia="Cambria" w:cs="MuseoSans-300"/>
          <w:spacing w:val="0"/>
          <w:position w:val="-2"/>
          <w:szCs w:val="22"/>
          <w:lang w:val="en-GB" w:eastAsia="en-US"/>
        </w:rPr>
        <w:t>based income stream</w:t>
      </w:r>
      <w:r w:rsidR="00942E19">
        <w:rPr>
          <w:rFonts w:eastAsia="Cambria" w:cs="MuseoSans-300"/>
          <w:spacing w:val="0"/>
          <w:position w:val="-2"/>
          <w:szCs w:val="22"/>
          <w:lang w:val="en-GB" w:eastAsia="en-US"/>
        </w:rPr>
        <w:t>s</w:t>
      </w:r>
      <w:r w:rsidR="00CB0D9E">
        <w:rPr>
          <w:rFonts w:eastAsia="Cambria" w:cs="MuseoSans-300"/>
          <w:spacing w:val="0"/>
          <w:position w:val="-2"/>
          <w:szCs w:val="22"/>
          <w:lang w:val="en-GB" w:eastAsia="en-US"/>
        </w:rPr>
        <w:t xml:space="preserve"> he held before 1 January 2015</w:t>
      </w:r>
      <w:r w:rsidR="00FD14C1">
        <w:rPr>
          <w:rFonts w:eastAsia="Cambria" w:cs="MuseoSans-300"/>
          <w:spacing w:val="0"/>
          <w:position w:val="-2"/>
          <w:szCs w:val="22"/>
          <w:lang w:val="en-GB" w:eastAsia="en-US"/>
        </w:rPr>
        <w:t>.</w:t>
      </w:r>
    </w:p>
    <w:p w:rsidR="00173534" w:rsidRDefault="00173534" w:rsidP="008D181E">
      <w:pPr>
        <w:spacing w:before="0" w:after="0"/>
      </w:pPr>
    </w:p>
    <w:p w:rsidR="007F5F26" w:rsidRDefault="007F5F26" w:rsidP="007F5F26">
      <w:pPr>
        <w:pStyle w:val="Heading3"/>
      </w:pPr>
      <w:r w:rsidRPr="00F82958">
        <w:t xml:space="preserve">Example </w:t>
      </w:r>
      <w:r w:rsidR="00EF59F6">
        <w:t xml:space="preserve">2 </w:t>
      </w:r>
      <w:r>
        <w:t xml:space="preserve">– CSHC holder absent from Australia from 1 </w:t>
      </w:r>
      <w:r w:rsidR="00942E19">
        <w:t>January 2015</w:t>
      </w:r>
      <w:r>
        <w:t xml:space="preserve"> to </w:t>
      </w:r>
      <w:r w:rsidR="00942E19">
        <w:t>16 July</w:t>
      </w:r>
      <w:r>
        <w:t xml:space="preserve"> 2015</w:t>
      </w:r>
      <w:r w:rsidR="008D181E">
        <w:t>.</w:t>
      </w:r>
    </w:p>
    <w:p w:rsidR="007F5F26" w:rsidRPr="00241886" w:rsidRDefault="006B3D76" w:rsidP="00ED5FC3">
      <w:pPr>
        <w:widowControl w:val="0"/>
        <w:suppressAutoHyphens/>
        <w:autoSpaceDE w:val="0"/>
        <w:autoSpaceDN w:val="0"/>
        <w:adjustRightInd w:val="0"/>
        <w:spacing w:before="0" w:after="85" w:line="220" w:lineRule="atLeast"/>
        <w:ind w:left="284"/>
        <w:textAlignment w:val="center"/>
        <w:rPr>
          <w:szCs w:val="22"/>
        </w:rPr>
      </w:pPr>
      <w:r>
        <w:rPr>
          <w:rFonts w:eastAsia="Cambria" w:cs="MuseoSans-300"/>
          <w:spacing w:val="0"/>
          <w:position w:val="-2"/>
          <w:szCs w:val="22"/>
          <w:lang w:val="en-GB" w:eastAsia="en-US"/>
        </w:rPr>
        <w:t xml:space="preserve">Kylie </w:t>
      </w:r>
      <w:r w:rsidR="007F5F26" w:rsidRPr="00ED5FC3">
        <w:rPr>
          <w:rFonts w:eastAsia="Cambria" w:cs="MuseoSans-300"/>
          <w:spacing w:val="0"/>
          <w:position w:val="-2"/>
          <w:szCs w:val="22"/>
          <w:lang w:val="en-GB" w:eastAsia="en-US"/>
        </w:rPr>
        <w:t xml:space="preserve">is a CSHC holder who left Australia on 1 </w:t>
      </w:r>
      <w:r w:rsidR="00942E19">
        <w:rPr>
          <w:rFonts w:eastAsia="Cambria" w:cs="MuseoSans-300"/>
          <w:spacing w:val="0"/>
          <w:position w:val="-2"/>
          <w:szCs w:val="22"/>
          <w:lang w:val="en-GB" w:eastAsia="en-US"/>
        </w:rPr>
        <w:t>January 2015</w:t>
      </w:r>
      <w:r w:rsidR="0098415E">
        <w:rPr>
          <w:rFonts w:eastAsia="Cambria" w:cs="MuseoSans-300"/>
          <w:spacing w:val="0"/>
          <w:position w:val="-2"/>
          <w:szCs w:val="22"/>
          <w:lang w:val="en-GB" w:eastAsia="en-US"/>
        </w:rPr>
        <w:t xml:space="preserve"> and return</w:t>
      </w:r>
      <w:r w:rsidR="00DB59FA">
        <w:rPr>
          <w:rFonts w:eastAsia="Cambria" w:cs="MuseoSans-300"/>
          <w:spacing w:val="0"/>
          <w:position w:val="-2"/>
          <w:szCs w:val="22"/>
          <w:lang w:val="en-GB" w:eastAsia="en-US"/>
        </w:rPr>
        <w:t>ed</w:t>
      </w:r>
      <w:r w:rsidR="007F5F26" w:rsidRPr="00ED5FC3">
        <w:rPr>
          <w:rFonts w:eastAsia="Cambria" w:cs="MuseoSans-300"/>
          <w:spacing w:val="0"/>
          <w:position w:val="-2"/>
          <w:szCs w:val="22"/>
          <w:lang w:val="en-GB" w:eastAsia="en-US"/>
        </w:rPr>
        <w:t xml:space="preserve"> to Australia on </w:t>
      </w:r>
      <w:r w:rsidR="00942E19">
        <w:rPr>
          <w:rFonts w:eastAsia="Cambria" w:cs="MuseoSans-300"/>
          <w:spacing w:val="0"/>
          <w:position w:val="-2"/>
          <w:szCs w:val="22"/>
          <w:lang w:val="en-GB" w:eastAsia="en-US"/>
        </w:rPr>
        <w:t>16</w:t>
      </w:r>
      <w:r w:rsidR="003C7D34">
        <w:rPr>
          <w:rFonts w:eastAsia="Cambria" w:cs="MuseoSans-300"/>
          <w:spacing w:val="0"/>
          <w:position w:val="-2"/>
          <w:szCs w:val="22"/>
          <w:lang w:val="en-GB" w:eastAsia="en-US"/>
        </w:rPr>
        <w:t> </w:t>
      </w:r>
      <w:r w:rsidR="00942E19">
        <w:rPr>
          <w:rFonts w:eastAsia="Cambria" w:cs="MuseoSans-300"/>
          <w:spacing w:val="0"/>
          <w:position w:val="-2"/>
          <w:szCs w:val="22"/>
          <w:lang w:val="en-GB" w:eastAsia="en-US"/>
        </w:rPr>
        <w:t>July</w:t>
      </w:r>
      <w:r w:rsidR="003C7D34">
        <w:rPr>
          <w:rFonts w:eastAsia="Cambria" w:cs="MuseoSans-300"/>
          <w:spacing w:val="0"/>
          <w:position w:val="-2"/>
          <w:szCs w:val="22"/>
          <w:lang w:val="en-GB" w:eastAsia="en-US"/>
        </w:rPr>
        <w:t> </w:t>
      </w:r>
      <w:r w:rsidR="007F5F26" w:rsidRPr="00ED5FC3">
        <w:rPr>
          <w:rFonts w:eastAsia="Cambria" w:cs="MuseoSans-300"/>
          <w:spacing w:val="0"/>
          <w:position w:val="-2"/>
          <w:szCs w:val="22"/>
          <w:lang w:val="en-GB" w:eastAsia="en-US"/>
        </w:rPr>
        <w:t>2015.</w:t>
      </w:r>
      <w:r w:rsidR="0098415E">
        <w:rPr>
          <w:rFonts w:eastAsia="Cambria" w:cs="MuseoSans-300"/>
          <w:spacing w:val="0"/>
          <w:position w:val="-2"/>
          <w:szCs w:val="22"/>
          <w:lang w:val="en-GB" w:eastAsia="en-US"/>
        </w:rPr>
        <w:t xml:space="preserve"> </w:t>
      </w:r>
      <w:r w:rsidR="00AC38D8">
        <w:rPr>
          <w:rFonts w:eastAsia="Cambria" w:cs="MuseoSans-300"/>
          <w:spacing w:val="0"/>
          <w:position w:val="-2"/>
          <w:szCs w:val="22"/>
          <w:lang w:val="en-GB" w:eastAsia="en-US"/>
        </w:rPr>
        <w:t xml:space="preserve">Because </w:t>
      </w:r>
      <w:r>
        <w:rPr>
          <w:rFonts w:eastAsia="Cambria" w:cs="MuseoSans-300"/>
          <w:spacing w:val="0"/>
          <w:position w:val="-2"/>
          <w:szCs w:val="22"/>
          <w:lang w:val="en-GB" w:eastAsia="en-US"/>
        </w:rPr>
        <w:t>s</w:t>
      </w:r>
      <w:r w:rsidR="0098415E">
        <w:rPr>
          <w:rFonts w:eastAsia="Cambria" w:cs="MuseoSans-300"/>
          <w:spacing w:val="0"/>
          <w:position w:val="-2"/>
          <w:szCs w:val="22"/>
          <w:lang w:val="en-GB" w:eastAsia="en-US"/>
        </w:rPr>
        <w:t xml:space="preserve">he was </w:t>
      </w:r>
      <w:r w:rsidR="00C107FD" w:rsidRPr="00ED5FC3">
        <w:rPr>
          <w:rFonts w:eastAsia="Cambria" w:cs="MuseoSans-300"/>
          <w:spacing w:val="0"/>
          <w:position w:val="-2"/>
          <w:szCs w:val="22"/>
          <w:lang w:val="en-GB" w:eastAsia="en-US"/>
        </w:rPr>
        <w:t>outside Australia</w:t>
      </w:r>
      <w:r w:rsidR="00C25EED">
        <w:rPr>
          <w:rFonts w:eastAsia="Cambria" w:cs="MuseoSans-300"/>
          <w:spacing w:val="0"/>
          <w:position w:val="-2"/>
          <w:szCs w:val="22"/>
          <w:lang w:val="en-GB" w:eastAsia="en-US"/>
        </w:rPr>
        <w:t xml:space="preserve"> </w:t>
      </w:r>
      <w:r w:rsidR="007F5F26" w:rsidRPr="00ED5FC3">
        <w:rPr>
          <w:rFonts w:eastAsia="Cambria" w:cs="MuseoSans-300"/>
          <w:spacing w:val="0"/>
          <w:position w:val="-2"/>
          <w:szCs w:val="22"/>
          <w:lang w:val="en-GB" w:eastAsia="en-US"/>
        </w:rPr>
        <w:t>more than 19 weeks</w:t>
      </w:r>
      <w:r w:rsidR="0098415E">
        <w:rPr>
          <w:rFonts w:eastAsia="Cambria" w:cs="MuseoSans-300"/>
          <w:spacing w:val="0"/>
          <w:position w:val="-2"/>
          <w:szCs w:val="22"/>
          <w:lang w:val="en-GB" w:eastAsia="en-US"/>
        </w:rPr>
        <w:t>,</w:t>
      </w:r>
      <w:r w:rsidR="007F5F26" w:rsidRPr="00ED5FC3">
        <w:rPr>
          <w:rFonts w:eastAsia="Cambria" w:cs="MuseoSans-300"/>
          <w:spacing w:val="0"/>
          <w:position w:val="-2"/>
          <w:szCs w:val="22"/>
          <w:lang w:val="en-GB" w:eastAsia="en-US"/>
        </w:rPr>
        <w:t xml:space="preserve"> </w:t>
      </w:r>
      <w:r w:rsidR="00942E19">
        <w:rPr>
          <w:rFonts w:eastAsia="Cambria" w:cs="MuseoSans-300"/>
          <w:spacing w:val="0"/>
          <w:position w:val="-2"/>
          <w:szCs w:val="22"/>
          <w:lang w:val="en-GB" w:eastAsia="en-US"/>
        </w:rPr>
        <w:t>Kylie’</w:t>
      </w:r>
      <w:r w:rsidR="00942E19" w:rsidRPr="00ED5FC3">
        <w:rPr>
          <w:rFonts w:eastAsia="Cambria" w:cs="MuseoSans-300"/>
          <w:spacing w:val="0"/>
          <w:position w:val="-2"/>
          <w:szCs w:val="22"/>
          <w:lang w:val="en-GB" w:eastAsia="en-US"/>
        </w:rPr>
        <w:t>s CSHC was cancelled a</w:t>
      </w:r>
      <w:r w:rsidR="00942E19">
        <w:rPr>
          <w:rFonts w:eastAsia="Cambria" w:cs="MuseoSans-300"/>
          <w:spacing w:val="0"/>
          <w:position w:val="-2"/>
          <w:szCs w:val="22"/>
          <w:lang w:val="en-GB" w:eastAsia="en-US"/>
        </w:rPr>
        <w:t xml:space="preserve">nd </w:t>
      </w:r>
      <w:r>
        <w:rPr>
          <w:rFonts w:eastAsia="Cambria" w:cs="MuseoSans-300"/>
          <w:spacing w:val="0"/>
          <w:position w:val="-2"/>
          <w:szCs w:val="22"/>
          <w:lang w:val="en-GB" w:eastAsia="en-US"/>
        </w:rPr>
        <w:t>s</w:t>
      </w:r>
      <w:r w:rsidR="007F5F26" w:rsidRPr="00ED5FC3">
        <w:rPr>
          <w:rFonts w:eastAsia="Cambria" w:cs="MuseoSans-300"/>
          <w:spacing w:val="0"/>
          <w:position w:val="-2"/>
          <w:szCs w:val="22"/>
          <w:lang w:val="en-GB" w:eastAsia="en-US"/>
        </w:rPr>
        <w:t>he need</w:t>
      </w:r>
      <w:r w:rsidR="00DB59FA">
        <w:rPr>
          <w:rFonts w:eastAsia="Cambria" w:cs="MuseoSans-300"/>
          <w:spacing w:val="0"/>
          <w:position w:val="-2"/>
          <w:szCs w:val="22"/>
          <w:lang w:val="en-GB" w:eastAsia="en-US"/>
        </w:rPr>
        <w:t>ed</w:t>
      </w:r>
      <w:r w:rsidR="007F5F26" w:rsidRPr="00ED5FC3">
        <w:rPr>
          <w:rFonts w:eastAsia="Cambria" w:cs="MuseoSans-300"/>
          <w:spacing w:val="0"/>
          <w:position w:val="-2"/>
          <w:szCs w:val="22"/>
          <w:lang w:val="en-GB" w:eastAsia="en-US"/>
        </w:rPr>
        <w:t xml:space="preserve"> to make a new claim for a CSHC on </w:t>
      </w:r>
      <w:r w:rsidR="008D181E">
        <w:rPr>
          <w:rFonts w:eastAsia="Cambria" w:cs="MuseoSans-300"/>
          <w:spacing w:val="0"/>
          <w:position w:val="-2"/>
          <w:szCs w:val="22"/>
          <w:lang w:val="en-GB" w:eastAsia="en-US"/>
        </w:rPr>
        <w:t xml:space="preserve">her </w:t>
      </w:r>
      <w:r w:rsidR="007F5F26" w:rsidRPr="00ED5FC3">
        <w:rPr>
          <w:rFonts w:eastAsia="Cambria" w:cs="MuseoSans-300"/>
          <w:spacing w:val="0"/>
          <w:position w:val="-2"/>
          <w:szCs w:val="22"/>
          <w:lang w:val="en-GB" w:eastAsia="en-US"/>
        </w:rPr>
        <w:t>return to Australia.</w:t>
      </w:r>
      <w:r w:rsidR="00C107FD" w:rsidRPr="00ED5FC3">
        <w:rPr>
          <w:rFonts w:eastAsia="Cambria" w:cs="MuseoSans-300"/>
          <w:spacing w:val="0"/>
          <w:position w:val="-2"/>
          <w:szCs w:val="22"/>
          <w:lang w:val="en-GB" w:eastAsia="en-US"/>
        </w:rPr>
        <w:t xml:space="preserve"> </w:t>
      </w:r>
      <w:r w:rsidR="00AC38D8">
        <w:rPr>
          <w:rFonts w:eastAsia="Cambria" w:cs="MuseoSans-300"/>
          <w:spacing w:val="0"/>
          <w:position w:val="-2"/>
          <w:szCs w:val="22"/>
          <w:lang w:val="en-GB" w:eastAsia="en-US"/>
        </w:rPr>
        <w:t>Kylie</w:t>
      </w:r>
      <w:r>
        <w:rPr>
          <w:rFonts w:eastAsia="Cambria" w:cs="MuseoSans-300"/>
          <w:spacing w:val="0"/>
          <w:position w:val="-2"/>
          <w:szCs w:val="22"/>
          <w:lang w:val="en-GB" w:eastAsia="en-US"/>
        </w:rPr>
        <w:t xml:space="preserve"> </w:t>
      </w:r>
      <w:r w:rsidR="00DB59FA">
        <w:rPr>
          <w:rFonts w:eastAsia="Cambria" w:cs="MuseoSans-300"/>
          <w:spacing w:val="0"/>
          <w:position w:val="-2"/>
          <w:szCs w:val="22"/>
          <w:lang w:val="en-GB" w:eastAsia="en-US"/>
        </w:rPr>
        <w:t>was no</w:t>
      </w:r>
      <w:r w:rsidR="00942E19">
        <w:rPr>
          <w:rFonts w:eastAsia="Cambria" w:cs="MuseoSans-300"/>
          <w:spacing w:val="0"/>
          <w:position w:val="-2"/>
          <w:szCs w:val="22"/>
          <w:lang w:val="en-GB" w:eastAsia="en-US"/>
        </w:rPr>
        <w:t xml:space="preserve"> longer</w:t>
      </w:r>
      <w:r w:rsidR="00241886">
        <w:rPr>
          <w:rFonts w:eastAsia="Cambria" w:cs="MuseoSans-300"/>
          <w:spacing w:val="0"/>
          <w:position w:val="-2"/>
          <w:szCs w:val="22"/>
          <w:lang w:val="en-GB" w:eastAsia="en-US"/>
        </w:rPr>
        <w:t xml:space="preserve"> covered by the </w:t>
      </w:r>
      <w:r w:rsidR="007F5F26">
        <w:rPr>
          <w:rFonts w:eastAsia="Cambria" w:cs="MuseoSans-300"/>
          <w:spacing w:val="0"/>
          <w:position w:val="-2"/>
          <w:szCs w:val="22"/>
          <w:lang w:val="en-GB" w:eastAsia="en-US"/>
        </w:rPr>
        <w:t xml:space="preserve">grandfathering </w:t>
      </w:r>
      <w:r w:rsidR="00241886">
        <w:rPr>
          <w:rFonts w:eastAsia="Cambria" w:cs="MuseoSans-300"/>
          <w:spacing w:val="0"/>
          <w:position w:val="-2"/>
          <w:szCs w:val="22"/>
          <w:lang w:val="en-GB" w:eastAsia="en-US"/>
        </w:rPr>
        <w:t>provisions</w:t>
      </w:r>
      <w:r w:rsidR="007F5F26">
        <w:rPr>
          <w:rFonts w:eastAsia="Cambria" w:cs="MuseoSans-300"/>
          <w:spacing w:val="0"/>
          <w:position w:val="-2"/>
          <w:szCs w:val="22"/>
          <w:lang w:val="en-GB" w:eastAsia="en-US"/>
        </w:rPr>
        <w:t xml:space="preserve"> </w:t>
      </w:r>
      <w:r w:rsidR="00C107FD">
        <w:rPr>
          <w:rFonts w:eastAsia="Cambria" w:cs="MuseoSans-300"/>
          <w:spacing w:val="0"/>
          <w:position w:val="-2"/>
          <w:szCs w:val="22"/>
          <w:lang w:val="en-GB" w:eastAsia="en-US"/>
        </w:rPr>
        <w:t xml:space="preserve">and </w:t>
      </w:r>
      <w:r w:rsidR="00DB445B">
        <w:rPr>
          <w:rFonts w:eastAsia="Cambria" w:cs="MuseoSans-300"/>
          <w:spacing w:val="0"/>
          <w:position w:val="-2"/>
          <w:szCs w:val="22"/>
          <w:lang w:val="en-GB" w:eastAsia="en-US"/>
        </w:rPr>
        <w:t>any</w:t>
      </w:r>
      <w:r w:rsidR="007F5F26">
        <w:rPr>
          <w:rFonts w:eastAsia="Cambria" w:cs="MuseoSans-300"/>
          <w:spacing w:val="0"/>
          <w:position w:val="-2"/>
          <w:szCs w:val="22"/>
          <w:lang w:val="en-GB" w:eastAsia="en-US"/>
        </w:rPr>
        <w:t xml:space="preserve"> account</w:t>
      </w:r>
      <w:r w:rsidR="00735122">
        <w:rPr>
          <w:rFonts w:eastAsia="Cambria" w:cs="MuseoSans-300"/>
          <w:spacing w:val="0"/>
          <w:position w:val="-2"/>
          <w:szCs w:val="22"/>
          <w:lang w:val="en-GB" w:eastAsia="en-US"/>
        </w:rPr>
        <w:t>-</w:t>
      </w:r>
      <w:r w:rsidR="007F5F26">
        <w:rPr>
          <w:rFonts w:eastAsia="Cambria" w:cs="MuseoSans-300"/>
          <w:spacing w:val="0"/>
          <w:position w:val="-2"/>
          <w:szCs w:val="22"/>
          <w:lang w:val="en-GB" w:eastAsia="en-US"/>
        </w:rPr>
        <w:t>based income stream</w:t>
      </w:r>
      <w:r w:rsidR="00486D69">
        <w:rPr>
          <w:rFonts w:eastAsia="Cambria" w:cs="MuseoSans-300"/>
          <w:spacing w:val="0"/>
          <w:position w:val="-2"/>
          <w:szCs w:val="22"/>
          <w:lang w:val="en-GB" w:eastAsia="en-US"/>
        </w:rPr>
        <w:t>s</w:t>
      </w:r>
      <w:r w:rsidR="00DB445B">
        <w:rPr>
          <w:rFonts w:eastAsia="Cambria" w:cs="MuseoSans-300"/>
          <w:spacing w:val="0"/>
          <w:position w:val="-2"/>
          <w:szCs w:val="22"/>
          <w:lang w:val="en-GB" w:eastAsia="en-US"/>
        </w:rPr>
        <w:t xml:space="preserve"> she holds</w:t>
      </w:r>
      <w:r w:rsidR="007F5F26">
        <w:rPr>
          <w:rFonts w:eastAsia="Cambria" w:cs="MuseoSans-300"/>
          <w:spacing w:val="0"/>
          <w:position w:val="-2"/>
          <w:szCs w:val="22"/>
          <w:lang w:val="en-GB" w:eastAsia="en-US"/>
        </w:rPr>
        <w:t xml:space="preserve"> </w:t>
      </w:r>
      <w:r w:rsidR="00942E19">
        <w:rPr>
          <w:rFonts w:eastAsia="Cambria" w:cs="MuseoSans-300"/>
          <w:spacing w:val="0"/>
          <w:position w:val="-2"/>
          <w:szCs w:val="22"/>
          <w:lang w:val="en-GB" w:eastAsia="en-US"/>
        </w:rPr>
        <w:t xml:space="preserve">were </w:t>
      </w:r>
      <w:r w:rsidR="007F5F26">
        <w:rPr>
          <w:rFonts w:eastAsia="Cambria" w:cs="MuseoSans-300"/>
          <w:spacing w:val="0"/>
          <w:position w:val="-2"/>
          <w:szCs w:val="22"/>
          <w:lang w:val="en-GB" w:eastAsia="en-US"/>
        </w:rPr>
        <w:t>included in the assessment for h</w:t>
      </w:r>
      <w:r w:rsidR="00AC38D8">
        <w:rPr>
          <w:rFonts w:eastAsia="Cambria" w:cs="MuseoSans-300"/>
          <w:spacing w:val="0"/>
          <w:position w:val="-2"/>
          <w:szCs w:val="22"/>
          <w:lang w:val="en-GB" w:eastAsia="en-US"/>
        </w:rPr>
        <w:t>er</w:t>
      </w:r>
      <w:r w:rsidR="007F5F26">
        <w:rPr>
          <w:rFonts w:eastAsia="Cambria" w:cs="MuseoSans-300"/>
          <w:spacing w:val="0"/>
          <w:position w:val="-2"/>
          <w:szCs w:val="22"/>
          <w:lang w:val="en-GB" w:eastAsia="en-US"/>
        </w:rPr>
        <w:t xml:space="preserve"> CSHC.</w:t>
      </w:r>
    </w:p>
    <w:p w:rsidR="007F5F26" w:rsidRPr="00241886" w:rsidRDefault="007F5F26" w:rsidP="00ED5FC3"/>
    <w:p w:rsidR="00173534" w:rsidRPr="00F82958" w:rsidRDefault="00ED442D" w:rsidP="00C477A6">
      <w:r w:rsidRPr="00E67DF6">
        <w:rPr>
          <w:rFonts w:eastAsia="Cambria" w:cs="MuseoSans-300"/>
          <w:b/>
          <w:spacing w:val="0"/>
          <w:position w:val="-2"/>
          <w:szCs w:val="22"/>
          <w:lang w:val="en-GB" w:eastAsia="en-US"/>
        </w:rPr>
        <w:t xml:space="preserve">The increase in the portability period from </w:t>
      </w:r>
      <w:r w:rsidR="00735122" w:rsidRPr="00E67DF6">
        <w:rPr>
          <w:rFonts w:eastAsia="Cambria" w:cs="MuseoSans-300"/>
          <w:b/>
          <w:spacing w:val="0"/>
          <w:position w:val="-2"/>
          <w:szCs w:val="22"/>
          <w:lang w:val="en-GB" w:eastAsia="en-US"/>
        </w:rPr>
        <w:t>six</w:t>
      </w:r>
      <w:r w:rsidRPr="00E67DF6">
        <w:rPr>
          <w:rFonts w:eastAsia="Cambria" w:cs="MuseoSans-300"/>
          <w:b/>
          <w:spacing w:val="0"/>
          <w:position w:val="-2"/>
          <w:szCs w:val="22"/>
          <w:lang w:val="en-GB" w:eastAsia="en-US"/>
        </w:rPr>
        <w:t xml:space="preserve"> to 19 weeks only applies to customers </w:t>
      </w:r>
      <w:r w:rsidR="005B10F8" w:rsidRPr="00E67DF6">
        <w:rPr>
          <w:rFonts w:eastAsia="Cambria" w:cs="MuseoSans-300"/>
          <w:b/>
          <w:spacing w:val="0"/>
          <w:position w:val="-2"/>
          <w:szCs w:val="22"/>
          <w:lang w:val="en-GB" w:eastAsia="en-US"/>
        </w:rPr>
        <w:t xml:space="preserve">who are </w:t>
      </w:r>
      <w:r w:rsidRPr="00E67DF6">
        <w:rPr>
          <w:rFonts w:eastAsia="Cambria" w:cs="MuseoSans-300"/>
          <w:b/>
          <w:spacing w:val="0"/>
          <w:position w:val="-2"/>
          <w:szCs w:val="22"/>
          <w:lang w:val="en-GB" w:eastAsia="en-US"/>
        </w:rPr>
        <w:t xml:space="preserve">issued </w:t>
      </w:r>
      <w:r w:rsidR="005B10F8" w:rsidRPr="00E67DF6">
        <w:rPr>
          <w:rFonts w:eastAsia="Cambria" w:cs="MuseoSans-300"/>
          <w:b/>
          <w:spacing w:val="0"/>
          <w:position w:val="-2"/>
          <w:szCs w:val="22"/>
          <w:lang w:val="en-GB" w:eastAsia="en-US"/>
        </w:rPr>
        <w:t>their</w:t>
      </w:r>
      <w:r w:rsidRPr="00E67DF6">
        <w:rPr>
          <w:rFonts w:eastAsia="Cambria" w:cs="MuseoSans-300"/>
          <w:b/>
          <w:spacing w:val="0"/>
          <w:position w:val="-2"/>
          <w:szCs w:val="22"/>
          <w:lang w:val="en-GB" w:eastAsia="en-US"/>
        </w:rPr>
        <w:t xml:space="preserve"> CSHC </w:t>
      </w:r>
      <w:r w:rsidR="005B10F8" w:rsidRPr="00E67DF6">
        <w:rPr>
          <w:rFonts w:eastAsia="Cambria" w:cs="MuseoSans-300"/>
          <w:b/>
          <w:spacing w:val="0"/>
          <w:position w:val="-2"/>
          <w:szCs w:val="22"/>
          <w:lang w:val="en-GB" w:eastAsia="en-US"/>
        </w:rPr>
        <w:t>by</w:t>
      </w:r>
      <w:r w:rsidRPr="00E67DF6">
        <w:rPr>
          <w:rFonts w:eastAsia="Cambria" w:cs="MuseoSans-300"/>
          <w:b/>
          <w:spacing w:val="0"/>
          <w:position w:val="-2"/>
          <w:szCs w:val="22"/>
          <w:lang w:val="en-GB" w:eastAsia="en-US"/>
        </w:rPr>
        <w:t xml:space="preserve"> </w:t>
      </w:r>
      <w:proofErr w:type="spellStart"/>
      <w:r w:rsidRPr="00E67DF6">
        <w:rPr>
          <w:rFonts w:eastAsia="Cambria" w:cs="MuseoSans-300"/>
          <w:b/>
          <w:spacing w:val="0"/>
          <w:position w:val="-2"/>
          <w:szCs w:val="22"/>
          <w:lang w:val="en-GB" w:eastAsia="en-US"/>
        </w:rPr>
        <w:t>Centrelink</w:t>
      </w:r>
      <w:proofErr w:type="spellEnd"/>
      <w:r w:rsidRPr="00E67DF6">
        <w:rPr>
          <w:rFonts w:eastAsia="Cambria" w:cs="MuseoSans-300"/>
          <w:b/>
          <w:spacing w:val="0"/>
          <w:position w:val="-2"/>
          <w:szCs w:val="22"/>
          <w:lang w:val="en-GB" w:eastAsia="en-US"/>
        </w:rPr>
        <w:t xml:space="preserve">. Different </w:t>
      </w:r>
      <w:r w:rsidR="00321B5A" w:rsidRPr="00E67DF6">
        <w:rPr>
          <w:rFonts w:eastAsia="Cambria" w:cs="MuseoSans-300"/>
          <w:b/>
          <w:spacing w:val="0"/>
          <w:position w:val="-2"/>
          <w:szCs w:val="22"/>
          <w:lang w:val="en-GB" w:eastAsia="en-US"/>
        </w:rPr>
        <w:t xml:space="preserve">portability </w:t>
      </w:r>
      <w:r w:rsidRPr="00E67DF6">
        <w:rPr>
          <w:rFonts w:eastAsia="Cambria" w:cs="MuseoSans-300"/>
          <w:b/>
          <w:spacing w:val="0"/>
          <w:position w:val="-2"/>
          <w:szCs w:val="22"/>
          <w:lang w:val="en-GB" w:eastAsia="en-US"/>
        </w:rPr>
        <w:t xml:space="preserve">rules apply to </w:t>
      </w:r>
      <w:r w:rsidR="00321B5A" w:rsidRPr="00E67DF6">
        <w:rPr>
          <w:rFonts w:eastAsia="Cambria" w:cs="MuseoSans-300"/>
          <w:b/>
          <w:spacing w:val="0"/>
          <w:position w:val="-2"/>
          <w:szCs w:val="22"/>
          <w:lang w:val="en-GB" w:eastAsia="en-US"/>
        </w:rPr>
        <w:t xml:space="preserve">customers who are issued their CSHC by the Department of Veterans’ </w:t>
      </w:r>
      <w:r w:rsidR="00735122" w:rsidRPr="00E67DF6">
        <w:rPr>
          <w:rFonts w:eastAsia="Cambria" w:cs="MuseoSans-300"/>
          <w:b/>
          <w:spacing w:val="0"/>
          <w:position w:val="-2"/>
          <w:szCs w:val="22"/>
          <w:lang w:val="en-GB" w:eastAsia="en-US"/>
        </w:rPr>
        <w:t>Affairs.</w:t>
      </w:r>
    </w:p>
    <w:sectPr w:rsidR="00173534" w:rsidRPr="00F82958" w:rsidSect="00CF553B">
      <w:footerReference w:type="default" r:id="rId10"/>
      <w:footerReference w:type="first" r:id="rId11"/>
      <w:pgSz w:w="11906" w:h="16838" w:code="9"/>
      <w:pgMar w:top="284" w:right="851"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85" w:rsidRDefault="00EE5385">
      <w:r>
        <w:separator/>
      </w:r>
    </w:p>
  </w:endnote>
  <w:endnote w:type="continuationSeparator" w:id="0">
    <w:p w:rsidR="00EE5385" w:rsidRDefault="00EE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useoSans-300">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58" w:rsidRPr="00846C1D" w:rsidRDefault="00B55B58" w:rsidP="00846C1D">
    <w:pPr>
      <w:pStyle w:val="Footer"/>
    </w:pPr>
    <w:r>
      <w:tab/>
    </w:r>
    <w:r>
      <w:fldChar w:fldCharType="begin"/>
    </w:r>
    <w:r>
      <w:instrText xml:space="preserve"> PAGE   \* MERGEFORMAT </w:instrText>
    </w:r>
    <w:r>
      <w:fldChar w:fldCharType="separate"/>
    </w:r>
    <w:r w:rsidR="00F51AC5">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010879"/>
      <w:docPartObj>
        <w:docPartGallery w:val="Page Numbers (Bottom of Page)"/>
        <w:docPartUnique/>
      </w:docPartObj>
    </w:sdtPr>
    <w:sdtEndPr>
      <w:rPr>
        <w:noProof/>
      </w:rPr>
    </w:sdtEndPr>
    <w:sdtContent>
      <w:p w:rsidR="00B55B58" w:rsidRDefault="00B55B58">
        <w:pPr>
          <w:pStyle w:val="Footer"/>
          <w:jc w:val="right"/>
        </w:pPr>
        <w:r>
          <w:fldChar w:fldCharType="begin"/>
        </w:r>
        <w:r>
          <w:instrText xml:space="preserve"> PAGE   \* MERGEFORMAT </w:instrText>
        </w:r>
        <w:r>
          <w:fldChar w:fldCharType="separate"/>
        </w:r>
        <w:r w:rsidR="00F51AC5">
          <w:rPr>
            <w:noProof/>
          </w:rPr>
          <w:t>1</w:t>
        </w:r>
        <w:r>
          <w:rPr>
            <w:noProof/>
          </w:rPr>
          <w:fldChar w:fldCharType="end"/>
        </w:r>
      </w:p>
    </w:sdtContent>
  </w:sdt>
  <w:p w:rsidR="00B55B58" w:rsidRDefault="00B55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85" w:rsidRDefault="00EE5385">
      <w:r>
        <w:separator/>
      </w:r>
    </w:p>
  </w:footnote>
  <w:footnote w:type="continuationSeparator" w:id="0">
    <w:p w:rsidR="00EE5385" w:rsidRDefault="00EE5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4E15A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0D4D51"/>
    <w:multiLevelType w:val="hybridMultilevel"/>
    <w:tmpl w:val="C2F23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8E5625"/>
    <w:multiLevelType w:val="hybridMultilevel"/>
    <w:tmpl w:val="1B6AF2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9D53ED8"/>
    <w:multiLevelType w:val="hybridMultilevel"/>
    <w:tmpl w:val="745A40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1"/>
  </w:num>
  <w:num w:numId="5">
    <w:abstractNumId w:val="15"/>
  </w:num>
  <w:num w:numId="6">
    <w:abstractNumId w:val="60"/>
  </w:num>
  <w:num w:numId="7">
    <w:abstractNumId w:val="46"/>
  </w:num>
  <w:num w:numId="8">
    <w:abstractNumId w:val="51"/>
  </w:num>
  <w:num w:numId="9">
    <w:abstractNumId w:val="7"/>
  </w:num>
  <w:num w:numId="10">
    <w:abstractNumId w:val="58"/>
  </w:num>
  <w:num w:numId="11">
    <w:abstractNumId w:val="16"/>
  </w:num>
  <w:num w:numId="12">
    <w:abstractNumId w:val="43"/>
  </w:num>
  <w:num w:numId="13">
    <w:abstractNumId w:val="53"/>
  </w:num>
  <w:num w:numId="14">
    <w:abstractNumId w:val="36"/>
  </w:num>
  <w:num w:numId="15">
    <w:abstractNumId w:val="3"/>
  </w:num>
  <w:num w:numId="16">
    <w:abstractNumId w:val="12"/>
  </w:num>
  <w:num w:numId="17">
    <w:abstractNumId w:val="57"/>
  </w:num>
  <w:num w:numId="18">
    <w:abstractNumId w:val="50"/>
  </w:num>
  <w:num w:numId="19">
    <w:abstractNumId w:val="13"/>
  </w:num>
  <w:num w:numId="20">
    <w:abstractNumId w:val="2"/>
  </w:num>
  <w:num w:numId="21">
    <w:abstractNumId w:val="5"/>
  </w:num>
  <w:num w:numId="22">
    <w:abstractNumId w:val="21"/>
  </w:num>
  <w:num w:numId="23">
    <w:abstractNumId w:val="17"/>
  </w:num>
  <w:num w:numId="24">
    <w:abstractNumId w:val="62"/>
  </w:num>
  <w:num w:numId="25">
    <w:abstractNumId w:val="35"/>
  </w:num>
  <w:num w:numId="26">
    <w:abstractNumId w:val="40"/>
  </w:num>
  <w:num w:numId="27">
    <w:abstractNumId w:val="20"/>
  </w:num>
  <w:num w:numId="28">
    <w:abstractNumId w:val="61"/>
  </w:num>
  <w:num w:numId="29">
    <w:abstractNumId w:val="49"/>
  </w:num>
  <w:num w:numId="30">
    <w:abstractNumId w:val="27"/>
  </w:num>
  <w:num w:numId="31">
    <w:abstractNumId w:val="45"/>
  </w:num>
  <w:num w:numId="32">
    <w:abstractNumId w:val="54"/>
  </w:num>
  <w:num w:numId="33">
    <w:abstractNumId w:val="56"/>
  </w:num>
  <w:num w:numId="34">
    <w:abstractNumId w:val="4"/>
  </w:num>
  <w:num w:numId="35">
    <w:abstractNumId w:val="25"/>
  </w:num>
  <w:num w:numId="36">
    <w:abstractNumId w:val="48"/>
  </w:num>
  <w:num w:numId="37">
    <w:abstractNumId w:val="8"/>
  </w:num>
  <w:num w:numId="38">
    <w:abstractNumId w:val="30"/>
  </w:num>
  <w:num w:numId="39">
    <w:abstractNumId w:val="24"/>
  </w:num>
  <w:num w:numId="40">
    <w:abstractNumId w:val="34"/>
  </w:num>
  <w:num w:numId="41">
    <w:abstractNumId w:val="38"/>
  </w:num>
  <w:num w:numId="42">
    <w:abstractNumId w:val="22"/>
  </w:num>
  <w:num w:numId="43">
    <w:abstractNumId w:val="14"/>
  </w:num>
  <w:num w:numId="44">
    <w:abstractNumId w:val="42"/>
  </w:num>
  <w:num w:numId="45">
    <w:abstractNumId w:val="47"/>
  </w:num>
  <w:num w:numId="46">
    <w:abstractNumId w:val="33"/>
  </w:num>
  <w:num w:numId="47">
    <w:abstractNumId w:val="31"/>
  </w:num>
  <w:num w:numId="48">
    <w:abstractNumId w:val="1"/>
  </w:num>
  <w:num w:numId="49">
    <w:abstractNumId w:val="44"/>
  </w:num>
  <w:num w:numId="50">
    <w:abstractNumId w:val="55"/>
  </w:num>
  <w:num w:numId="51">
    <w:abstractNumId w:val="41"/>
  </w:num>
  <w:num w:numId="52">
    <w:abstractNumId w:val="9"/>
  </w:num>
  <w:num w:numId="53">
    <w:abstractNumId w:val="52"/>
  </w:num>
  <w:num w:numId="54">
    <w:abstractNumId w:val="26"/>
  </w:num>
  <w:num w:numId="55">
    <w:abstractNumId w:val="18"/>
  </w:num>
  <w:num w:numId="56">
    <w:abstractNumId w:val="29"/>
  </w:num>
  <w:num w:numId="57">
    <w:abstractNumId w:val="28"/>
  </w:num>
  <w:num w:numId="58">
    <w:abstractNumId w:val="10"/>
  </w:num>
  <w:num w:numId="59">
    <w:abstractNumId w:val="37"/>
  </w:num>
  <w:num w:numId="60">
    <w:abstractNumId w:val="6"/>
  </w:num>
  <w:num w:numId="61">
    <w:abstractNumId w:val="32"/>
  </w:num>
  <w:num w:numId="62">
    <w:abstractNumId w:val="59"/>
  </w:num>
  <w:num w:numId="63">
    <w:abstractNumId w:val="19"/>
  </w:num>
  <w:num w:numId="64">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E2"/>
    <w:rsid w:val="00002C18"/>
    <w:rsid w:val="00010549"/>
    <w:rsid w:val="00012F84"/>
    <w:rsid w:val="00013F99"/>
    <w:rsid w:val="000232F5"/>
    <w:rsid w:val="00024718"/>
    <w:rsid w:val="00025376"/>
    <w:rsid w:val="00027B26"/>
    <w:rsid w:val="0003104E"/>
    <w:rsid w:val="00031195"/>
    <w:rsid w:val="00032861"/>
    <w:rsid w:val="00034757"/>
    <w:rsid w:val="00035CA1"/>
    <w:rsid w:val="0003679F"/>
    <w:rsid w:val="00037963"/>
    <w:rsid w:val="000435BB"/>
    <w:rsid w:val="00045CCD"/>
    <w:rsid w:val="00047524"/>
    <w:rsid w:val="00047ACD"/>
    <w:rsid w:val="000505B2"/>
    <w:rsid w:val="00050E5B"/>
    <w:rsid w:val="000547EF"/>
    <w:rsid w:val="00054B89"/>
    <w:rsid w:val="00057D5A"/>
    <w:rsid w:val="00067CD0"/>
    <w:rsid w:val="00067D47"/>
    <w:rsid w:val="00080F2E"/>
    <w:rsid w:val="00081CEB"/>
    <w:rsid w:val="00083791"/>
    <w:rsid w:val="00086E3C"/>
    <w:rsid w:val="00087B2C"/>
    <w:rsid w:val="00087DBD"/>
    <w:rsid w:val="00090570"/>
    <w:rsid w:val="00090753"/>
    <w:rsid w:val="00093A3E"/>
    <w:rsid w:val="00096F54"/>
    <w:rsid w:val="00097BFF"/>
    <w:rsid w:val="000A669D"/>
    <w:rsid w:val="000A66A8"/>
    <w:rsid w:val="000C014D"/>
    <w:rsid w:val="000D4703"/>
    <w:rsid w:val="000D693C"/>
    <w:rsid w:val="000E12D4"/>
    <w:rsid w:val="00104669"/>
    <w:rsid w:val="00110028"/>
    <w:rsid w:val="00116EDF"/>
    <w:rsid w:val="00124B26"/>
    <w:rsid w:val="00130C4E"/>
    <w:rsid w:val="00131B54"/>
    <w:rsid w:val="00134B98"/>
    <w:rsid w:val="00134C7B"/>
    <w:rsid w:val="001354B7"/>
    <w:rsid w:val="001404FA"/>
    <w:rsid w:val="001413C5"/>
    <w:rsid w:val="00142956"/>
    <w:rsid w:val="00143502"/>
    <w:rsid w:val="00144494"/>
    <w:rsid w:val="00144868"/>
    <w:rsid w:val="00147969"/>
    <w:rsid w:val="00157709"/>
    <w:rsid w:val="00167330"/>
    <w:rsid w:val="00167CF4"/>
    <w:rsid w:val="00173534"/>
    <w:rsid w:val="00176B2C"/>
    <w:rsid w:val="0018442E"/>
    <w:rsid w:val="00185F6A"/>
    <w:rsid w:val="0019312C"/>
    <w:rsid w:val="001943DD"/>
    <w:rsid w:val="00195374"/>
    <w:rsid w:val="00195BF2"/>
    <w:rsid w:val="0019791E"/>
    <w:rsid w:val="001A127F"/>
    <w:rsid w:val="001A1F53"/>
    <w:rsid w:val="001A3CA4"/>
    <w:rsid w:val="001A3EA4"/>
    <w:rsid w:val="001B3AEC"/>
    <w:rsid w:val="001B5000"/>
    <w:rsid w:val="001B6F28"/>
    <w:rsid w:val="001C26A4"/>
    <w:rsid w:val="001C778F"/>
    <w:rsid w:val="001D4585"/>
    <w:rsid w:val="001D5D54"/>
    <w:rsid w:val="001E41C8"/>
    <w:rsid w:val="001E6CC6"/>
    <w:rsid w:val="001F3AD7"/>
    <w:rsid w:val="001F45EB"/>
    <w:rsid w:val="00200FB1"/>
    <w:rsid w:val="002053E8"/>
    <w:rsid w:val="00207630"/>
    <w:rsid w:val="00213082"/>
    <w:rsid w:val="0021714E"/>
    <w:rsid w:val="00220DE5"/>
    <w:rsid w:val="00221C2D"/>
    <w:rsid w:val="00222187"/>
    <w:rsid w:val="00222C8D"/>
    <w:rsid w:val="00222E33"/>
    <w:rsid w:val="00227B95"/>
    <w:rsid w:val="0023523A"/>
    <w:rsid w:val="002353DF"/>
    <w:rsid w:val="00235F71"/>
    <w:rsid w:val="00240AB3"/>
    <w:rsid w:val="00241886"/>
    <w:rsid w:val="002428F5"/>
    <w:rsid w:val="0025272A"/>
    <w:rsid w:val="00254F31"/>
    <w:rsid w:val="0026727D"/>
    <w:rsid w:val="00271922"/>
    <w:rsid w:val="0027204E"/>
    <w:rsid w:val="00273412"/>
    <w:rsid w:val="00274ACF"/>
    <w:rsid w:val="00285F1B"/>
    <w:rsid w:val="002869DA"/>
    <w:rsid w:val="00295831"/>
    <w:rsid w:val="00296F1B"/>
    <w:rsid w:val="002A41C0"/>
    <w:rsid w:val="002A6DF5"/>
    <w:rsid w:val="002B552C"/>
    <w:rsid w:val="002D00B0"/>
    <w:rsid w:val="002D2E16"/>
    <w:rsid w:val="002D767C"/>
    <w:rsid w:val="002E0FC7"/>
    <w:rsid w:val="002F00A4"/>
    <w:rsid w:val="002F19EF"/>
    <w:rsid w:val="002F331B"/>
    <w:rsid w:val="00301C5C"/>
    <w:rsid w:val="00302415"/>
    <w:rsid w:val="00306345"/>
    <w:rsid w:val="0030693C"/>
    <w:rsid w:val="003102F6"/>
    <w:rsid w:val="00313304"/>
    <w:rsid w:val="00313C48"/>
    <w:rsid w:val="00314D15"/>
    <w:rsid w:val="003162AD"/>
    <w:rsid w:val="0032068B"/>
    <w:rsid w:val="00321148"/>
    <w:rsid w:val="00321798"/>
    <w:rsid w:val="00321B5A"/>
    <w:rsid w:val="00325C9C"/>
    <w:rsid w:val="00325F44"/>
    <w:rsid w:val="00326976"/>
    <w:rsid w:val="003311D7"/>
    <w:rsid w:val="00332B8B"/>
    <w:rsid w:val="00342476"/>
    <w:rsid w:val="003427F8"/>
    <w:rsid w:val="00347104"/>
    <w:rsid w:val="0035213F"/>
    <w:rsid w:val="003555D2"/>
    <w:rsid w:val="00363DF3"/>
    <w:rsid w:val="003656B1"/>
    <w:rsid w:val="0037056B"/>
    <w:rsid w:val="00377173"/>
    <w:rsid w:val="003774DA"/>
    <w:rsid w:val="00392557"/>
    <w:rsid w:val="003945C0"/>
    <w:rsid w:val="003A06C2"/>
    <w:rsid w:val="003A5D82"/>
    <w:rsid w:val="003B6D2E"/>
    <w:rsid w:val="003B707E"/>
    <w:rsid w:val="003C430D"/>
    <w:rsid w:val="003C7404"/>
    <w:rsid w:val="003C7C74"/>
    <w:rsid w:val="003C7D34"/>
    <w:rsid w:val="003D3C5A"/>
    <w:rsid w:val="003D404A"/>
    <w:rsid w:val="003E52AD"/>
    <w:rsid w:val="003E6FDA"/>
    <w:rsid w:val="003F19E2"/>
    <w:rsid w:val="003F3072"/>
    <w:rsid w:val="00401A2A"/>
    <w:rsid w:val="004103D7"/>
    <w:rsid w:val="0041307C"/>
    <w:rsid w:val="004167B4"/>
    <w:rsid w:val="00430D7E"/>
    <w:rsid w:val="00433B04"/>
    <w:rsid w:val="00440BD3"/>
    <w:rsid w:val="00446F93"/>
    <w:rsid w:val="00447374"/>
    <w:rsid w:val="00456FE6"/>
    <w:rsid w:val="00461F80"/>
    <w:rsid w:val="004649E2"/>
    <w:rsid w:val="00464E8C"/>
    <w:rsid w:val="00466D36"/>
    <w:rsid w:val="00467185"/>
    <w:rsid w:val="0047050C"/>
    <w:rsid w:val="00475504"/>
    <w:rsid w:val="00475D78"/>
    <w:rsid w:val="00480F21"/>
    <w:rsid w:val="00482CD3"/>
    <w:rsid w:val="00484FED"/>
    <w:rsid w:val="00486D69"/>
    <w:rsid w:val="00495AF1"/>
    <w:rsid w:val="004D44E8"/>
    <w:rsid w:val="004F775C"/>
    <w:rsid w:val="005015E4"/>
    <w:rsid w:val="0050291D"/>
    <w:rsid w:val="0050697E"/>
    <w:rsid w:val="00507CFD"/>
    <w:rsid w:val="00517DF3"/>
    <w:rsid w:val="00524B3C"/>
    <w:rsid w:val="005300B9"/>
    <w:rsid w:val="00530788"/>
    <w:rsid w:val="005315A9"/>
    <w:rsid w:val="005316BE"/>
    <w:rsid w:val="00532B56"/>
    <w:rsid w:val="00540AD0"/>
    <w:rsid w:val="0054322A"/>
    <w:rsid w:val="00543923"/>
    <w:rsid w:val="005519C9"/>
    <w:rsid w:val="005523D1"/>
    <w:rsid w:val="00554A9C"/>
    <w:rsid w:val="00557624"/>
    <w:rsid w:val="0056023E"/>
    <w:rsid w:val="0056158B"/>
    <w:rsid w:val="005658EF"/>
    <w:rsid w:val="00573FBB"/>
    <w:rsid w:val="005822A3"/>
    <w:rsid w:val="00590409"/>
    <w:rsid w:val="0059070B"/>
    <w:rsid w:val="00594445"/>
    <w:rsid w:val="005B10F8"/>
    <w:rsid w:val="005B1225"/>
    <w:rsid w:val="005B7498"/>
    <w:rsid w:val="005C09F4"/>
    <w:rsid w:val="005C561A"/>
    <w:rsid w:val="005C5B93"/>
    <w:rsid w:val="005C66FF"/>
    <w:rsid w:val="005C785A"/>
    <w:rsid w:val="005D03CA"/>
    <w:rsid w:val="005D45AB"/>
    <w:rsid w:val="005E4662"/>
    <w:rsid w:val="005E5467"/>
    <w:rsid w:val="005F093F"/>
    <w:rsid w:val="005F214A"/>
    <w:rsid w:val="005F6BD6"/>
    <w:rsid w:val="00601C99"/>
    <w:rsid w:val="00607597"/>
    <w:rsid w:val="006255E4"/>
    <w:rsid w:val="006325E2"/>
    <w:rsid w:val="00641020"/>
    <w:rsid w:val="006410C1"/>
    <w:rsid w:val="00641D4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22C7"/>
    <w:rsid w:val="006B3D76"/>
    <w:rsid w:val="006B42A0"/>
    <w:rsid w:val="006B4E59"/>
    <w:rsid w:val="006C3402"/>
    <w:rsid w:val="006C3622"/>
    <w:rsid w:val="006C395C"/>
    <w:rsid w:val="006C45D4"/>
    <w:rsid w:val="006E1F3C"/>
    <w:rsid w:val="006E4574"/>
    <w:rsid w:val="006E6073"/>
    <w:rsid w:val="006F7300"/>
    <w:rsid w:val="00703C09"/>
    <w:rsid w:val="00712300"/>
    <w:rsid w:val="00720739"/>
    <w:rsid w:val="00721695"/>
    <w:rsid w:val="007242B4"/>
    <w:rsid w:val="00725FB2"/>
    <w:rsid w:val="00730C64"/>
    <w:rsid w:val="007322AF"/>
    <w:rsid w:val="00735122"/>
    <w:rsid w:val="00735477"/>
    <w:rsid w:val="00736DCA"/>
    <w:rsid w:val="00742399"/>
    <w:rsid w:val="007457E8"/>
    <w:rsid w:val="0074640C"/>
    <w:rsid w:val="0075003D"/>
    <w:rsid w:val="00751B37"/>
    <w:rsid w:val="0075404D"/>
    <w:rsid w:val="00754D44"/>
    <w:rsid w:val="007602B2"/>
    <w:rsid w:val="00767B7E"/>
    <w:rsid w:val="007746A9"/>
    <w:rsid w:val="007836C4"/>
    <w:rsid w:val="00785465"/>
    <w:rsid w:val="00787656"/>
    <w:rsid w:val="007A14A7"/>
    <w:rsid w:val="007A67EA"/>
    <w:rsid w:val="007B15AF"/>
    <w:rsid w:val="007B7E83"/>
    <w:rsid w:val="007C1631"/>
    <w:rsid w:val="007C636F"/>
    <w:rsid w:val="007C669B"/>
    <w:rsid w:val="007D0EF8"/>
    <w:rsid w:val="007D39EB"/>
    <w:rsid w:val="007E0A9F"/>
    <w:rsid w:val="007F5F26"/>
    <w:rsid w:val="00800A4D"/>
    <w:rsid w:val="008131E7"/>
    <w:rsid w:val="00813711"/>
    <w:rsid w:val="00814279"/>
    <w:rsid w:val="0081768A"/>
    <w:rsid w:val="00822F9A"/>
    <w:rsid w:val="008263C2"/>
    <w:rsid w:val="00842959"/>
    <w:rsid w:val="008451FE"/>
    <w:rsid w:val="008466A1"/>
    <w:rsid w:val="00846C1D"/>
    <w:rsid w:val="00851758"/>
    <w:rsid w:val="00856D5A"/>
    <w:rsid w:val="00857702"/>
    <w:rsid w:val="008609EB"/>
    <w:rsid w:val="00862D6D"/>
    <w:rsid w:val="008653E0"/>
    <w:rsid w:val="0086555D"/>
    <w:rsid w:val="008657FB"/>
    <w:rsid w:val="00871D4F"/>
    <w:rsid w:val="00874FB3"/>
    <w:rsid w:val="00880BE3"/>
    <w:rsid w:val="00882588"/>
    <w:rsid w:val="00895792"/>
    <w:rsid w:val="008A3738"/>
    <w:rsid w:val="008B645B"/>
    <w:rsid w:val="008B67B8"/>
    <w:rsid w:val="008B774D"/>
    <w:rsid w:val="008C123E"/>
    <w:rsid w:val="008C3ED0"/>
    <w:rsid w:val="008C5585"/>
    <w:rsid w:val="008C5E94"/>
    <w:rsid w:val="008D181E"/>
    <w:rsid w:val="008D2D97"/>
    <w:rsid w:val="008E1E47"/>
    <w:rsid w:val="008E6E9D"/>
    <w:rsid w:val="008F1897"/>
    <w:rsid w:val="008F33FF"/>
    <w:rsid w:val="008F4C73"/>
    <w:rsid w:val="008F68F7"/>
    <w:rsid w:val="008F7480"/>
    <w:rsid w:val="00902968"/>
    <w:rsid w:val="009037B6"/>
    <w:rsid w:val="00906CBE"/>
    <w:rsid w:val="00906FFA"/>
    <w:rsid w:val="00910384"/>
    <w:rsid w:val="009139C0"/>
    <w:rsid w:val="009142DA"/>
    <w:rsid w:val="00914C2A"/>
    <w:rsid w:val="009161C8"/>
    <w:rsid w:val="009164AD"/>
    <w:rsid w:val="00922289"/>
    <w:rsid w:val="009222AC"/>
    <w:rsid w:val="00936F46"/>
    <w:rsid w:val="009372E0"/>
    <w:rsid w:val="0094271E"/>
    <w:rsid w:val="00942E19"/>
    <w:rsid w:val="00943142"/>
    <w:rsid w:val="00943A29"/>
    <w:rsid w:val="0095197E"/>
    <w:rsid w:val="00952AB2"/>
    <w:rsid w:val="009551E0"/>
    <w:rsid w:val="00955801"/>
    <w:rsid w:val="0095654E"/>
    <w:rsid w:val="00956F3C"/>
    <w:rsid w:val="0095779B"/>
    <w:rsid w:val="0096485D"/>
    <w:rsid w:val="00983950"/>
    <w:rsid w:val="0098415E"/>
    <w:rsid w:val="009900F0"/>
    <w:rsid w:val="00991769"/>
    <w:rsid w:val="00994E9F"/>
    <w:rsid w:val="00996931"/>
    <w:rsid w:val="009A0F18"/>
    <w:rsid w:val="009A4CD8"/>
    <w:rsid w:val="009B21E4"/>
    <w:rsid w:val="009B3ED1"/>
    <w:rsid w:val="009C206F"/>
    <w:rsid w:val="009C433C"/>
    <w:rsid w:val="009C454F"/>
    <w:rsid w:val="009D28B7"/>
    <w:rsid w:val="009D6BAD"/>
    <w:rsid w:val="009D7E1A"/>
    <w:rsid w:val="009E2162"/>
    <w:rsid w:val="009E684B"/>
    <w:rsid w:val="009F2F95"/>
    <w:rsid w:val="009F4C68"/>
    <w:rsid w:val="00A006EB"/>
    <w:rsid w:val="00A03709"/>
    <w:rsid w:val="00A06C77"/>
    <w:rsid w:val="00A10147"/>
    <w:rsid w:val="00A13D26"/>
    <w:rsid w:val="00A146A5"/>
    <w:rsid w:val="00A17411"/>
    <w:rsid w:val="00A2223D"/>
    <w:rsid w:val="00A223EF"/>
    <w:rsid w:val="00A34A74"/>
    <w:rsid w:val="00A35351"/>
    <w:rsid w:val="00A42ADE"/>
    <w:rsid w:val="00A463AA"/>
    <w:rsid w:val="00A47724"/>
    <w:rsid w:val="00A60693"/>
    <w:rsid w:val="00A67728"/>
    <w:rsid w:val="00A81A4F"/>
    <w:rsid w:val="00A82E14"/>
    <w:rsid w:val="00A901E9"/>
    <w:rsid w:val="00A91110"/>
    <w:rsid w:val="00A9762C"/>
    <w:rsid w:val="00AA278E"/>
    <w:rsid w:val="00AA4067"/>
    <w:rsid w:val="00AB1A5B"/>
    <w:rsid w:val="00AC0A54"/>
    <w:rsid w:val="00AC125E"/>
    <w:rsid w:val="00AC38D8"/>
    <w:rsid w:val="00AC3B06"/>
    <w:rsid w:val="00AC45DF"/>
    <w:rsid w:val="00AC474D"/>
    <w:rsid w:val="00AC4DFD"/>
    <w:rsid w:val="00AC58FD"/>
    <w:rsid w:val="00AC60CD"/>
    <w:rsid w:val="00AD60E6"/>
    <w:rsid w:val="00AD793A"/>
    <w:rsid w:val="00AE457D"/>
    <w:rsid w:val="00AE5956"/>
    <w:rsid w:val="00AE619F"/>
    <w:rsid w:val="00AF373A"/>
    <w:rsid w:val="00AF7EFE"/>
    <w:rsid w:val="00B026F2"/>
    <w:rsid w:val="00B03BEE"/>
    <w:rsid w:val="00B049AA"/>
    <w:rsid w:val="00B0517E"/>
    <w:rsid w:val="00B05442"/>
    <w:rsid w:val="00B056E2"/>
    <w:rsid w:val="00B11314"/>
    <w:rsid w:val="00B1192C"/>
    <w:rsid w:val="00B138E3"/>
    <w:rsid w:val="00B17CEB"/>
    <w:rsid w:val="00B23267"/>
    <w:rsid w:val="00B25891"/>
    <w:rsid w:val="00B27149"/>
    <w:rsid w:val="00B40D26"/>
    <w:rsid w:val="00B4451B"/>
    <w:rsid w:val="00B51316"/>
    <w:rsid w:val="00B55B58"/>
    <w:rsid w:val="00B628E7"/>
    <w:rsid w:val="00B72D62"/>
    <w:rsid w:val="00B7542A"/>
    <w:rsid w:val="00B843C8"/>
    <w:rsid w:val="00B951E2"/>
    <w:rsid w:val="00B96F37"/>
    <w:rsid w:val="00BA607C"/>
    <w:rsid w:val="00BB3E2A"/>
    <w:rsid w:val="00BB44A2"/>
    <w:rsid w:val="00BC16F5"/>
    <w:rsid w:val="00BC287D"/>
    <w:rsid w:val="00BC4A76"/>
    <w:rsid w:val="00BC5186"/>
    <w:rsid w:val="00BD32E5"/>
    <w:rsid w:val="00BD7ADD"/>
    <w:rsid w:val="00BE41C3"/>
    <w:rsid w:val="00BE6767"/>
    <w:rsid w:val="00BE68D7"/>
    <w:rsid w:val="00BF3843"/>
    <w:rsid w:val="00BF7763"/>
    <w:rsid w:val="00C04D5E"/>
    <w:rsid w:val="00C107FD"/>
    <w:rsid w:val="00C10B2D"/>
    <w:rsid w:val="00C24EA2"/>
    <w:rsid w:val="00C24F70"/>
    <w:rsid w:val="00C25D5B"/>
    <w:rsid w:val="00C25EED"/>
    <w:rsid w:val="00C3100F"/>
    <w:rsid w:val="00C32EE3"/>
    <w:rsid w:val="00C33479"/>
    <w:rsid w:val="00C44801"/>
    <w:rsid w:val="00C477A6"/>
    <w:rsid w:val="00C47BA2"/>
    <w:rsid w:val="00C60221"/>
    <w:rsid w:val="00C612DC"/>
    <w:rsid w:val="00C622CB"/>
    <w:rsid w:val="00C64D15"/>
    <w:rsid w:val="00C74F74"/>
    <w:rsid w:val="00C7554B"/>
    <w:rsid w:val="00C76FF9"/>
    <w:rsid w:val="00C80192"/>
    <w:rsid w:val="00C83E31"/>
    <w:rsid w:val="00C916A4"/>
    <w:rsid w:val="00CA1627"/>
    <w:rsid w:val="00CA2114"/>
    <w:rsid w:val="00CA2A52"/>
    <w:rsid w:val="00CA2B15"/>
    <w:rsid w:val="00CA2C6E"/>
    <w:rsid w:val="00CA6490"/>
    <w:rsid w:val="00CB0D9E"/>
    <w:rsid w:val="00CB5744"/>
    <w:rsid w:val="00CB7022"/>
    <w:rsid w:val="00CD1679"/>
    <w:rsid w:val="00CD1937"/>
    <w:rsid w:val="00CE214C"/>
    <w:rsid w:val="00CE30F9"/>
    <w:rsid w:val="00CE4F57"/>
    <w:rsid w:val="00CE6858"/>
    <w:rsid w:val="00CF50BE"/>
    <w:rsid w:val="00CF553B"/>
    <w:rsid w:val="00CF6A52"/>
    <w:rsid w:val="00D03583"/>
    <w:rsid w:val="00D117B4"/>
    <w:rsid w:val="00D13670"/>
    <w:rsid w:val="00D157D3"/>
    <w:rsid w:val="00D15B53"/>
    <w:rsid w:val="00D169F7"/>
    <w:rsid w:val="00D201E6"/>
    <w:rsid w:val="00D24925"/>
    <w:rsid w:val="00D26D01"/>
    <w:rsid w:val="00D33DA3"/>
    <w:rsid w:val="00D4723B"/>
    <w:rsid w:val="00D55EE8"/>
    <w:rsid w:val="00D5785A"/>
    <w:rsid w:val="00D64C48"/>
    <w:rsid w:val="00D731C4"/>
    <w:rsid w:val="00D76BB8"/>
    <w:rsid w:val="00D81BAA"/>
    <w:rsid w:val="00D82B6F"/>
    <w:rsid w:val="00D85BE0"/>
    <w:rsid w:val="00D87C1A"/>
    <w:rsid w:val="00D87FD7"/>
    <w:rsid w:val="00D92167"/>
    <w:rsid w:val="00D9502B"/>
    <w:rsid w:val="00D97047"/>
    <w:rsid w:val="00D97108"/>
    <w:rsid w:val="00DB445B"/>
    <w:rsid w:val="00DB59FA"/>
    <w:rsid w:val="00DC5665"/>
    <w:rsid w:val="00DC7D78"/>
    <w:rsid w:val="00DD1736"/>
    <w:rsid w:val="00DD2052"/>
    <w:rsid w:val="00DD4F44"/>
    <w:rsid w:val="00DD5D8B"/>
    <w:rsid w:val="00DE0F9E"/>
    <w:rsid w:val="00DE5D76"/>
    <w:rsid w:val="00E04C8D"/>
    <w:rsid w:val="00E128D8"/>
    <w:rsid w:val="00E24AC5"/>
    <w:rsid w:val="00E27331"/>
    <w:rsid w:val="00E30D45"/>
    <w:rsid w:val="00E32B9A"/>
    <w:rsid w:val="00E42FE4"/>
    <w:rsid w:val="00E4417A"/>
    <w:rsid w:val="00E46FAA"/>
    <w:rsid w:val="00E50FB5"/>
    <w:rsid w:val="00E5750B"/>
    <w:rsid w:val="00E60E2E"/>
    <w:rsid w:val="00E63A24"/>
    <w:rsid w:val="00E67913"/>
    <w:rsid w:val="00E67DF6"/>
    <w:rsid w:val="00E71A2D"/>
    <w:rsid w:val="00E8698A"/>
    <w:rsid w:val="00E91646"/>
    <w:rsid w:val="00E923F2"/>
    <w:rsid w:val="00E97DE4"/>
    <w:rsid w:val="00EA31CC"/>
    <w:rsid w:val="00EB14DF"/>
    <w:rsid w:val="00EB2B64"/>
    <w:rsid w:val="00EB3A07"/>
    <w:rsid w:val="00EB4143"/>
    <w:rsid w:val="00EB4728"/>
    <w:rsid w:val="00EC207A"/>
    <w:rsid w:val="00EC3F31"/>
    <w:rsid w:val="00ED3C91"/>
    <w:rsid w:val="00ED4112"/>
    <w:rsid w:val="00ED442D"/>
    <w:rsid w:val="00ED5FC3"/>
    <w:rsid w:val="00EE5385"/>
    <w:rsid w:val="00EF1347"/>
    <w:rsid w:val="00EF2BEB"/>
    <w:rsid w:val="00EF59F6"/>
    <w:rsid w:val="00F01129"/>
    <w:rsid w:val="00F03D93"/>
    <w:rsid w:val="00F03D9E"/>
    <w:rsid w:val="00F06060"/>
    <w:rsid w:val="00F2102C"/>
    <w:rsid w:val="00F227BF"/>
    <w:rsid w:val="00F374B2"/>
    <w:rsid w:val="00F40AFC"/>
    <w:rsid w:val="00F4730E"/>
    <w:rsid w:val="00F50A92"/>
    <w:rsid w:val="00F51AC5"/>
    <w:rsid w:val="00F53F24"/>
    <w:rsid w:val="00F63341"/>
    <w:rsid w:val="00F7536E"/>
    <w:rsid w:val="00F81F93"/>
    <w:rsid w:val="00F82958"/>
    <w:rsid w:val="00F839A8"/>
    <w:rsid w:val="00F83CE8"/>
    <w:rsid w:val="00F86F1B"/>
    <w:rsid w:val="00F92A21"/>
    <w:rsid w:val="00F92E9B"/>
    <w:rsid w:val="00F95814"/>
    <w:rsid w:val="00FA01D9"/>
    <w:rsid w:val="00FA031C"/>
    <w:rsid w:val="00FA0E67"/>
    <w:rsid w:val="00FB13C1"/>
    <w:rsid w:val="00FB420B"/>
    <w:rsid w:val="00FC1C5F"/>
    <w:rsid w:val="00FC26B7"/>
    <w:rsid w:val="00FC5A4D"/>
    <w:rsid w:val="00FC5C0C"/>
    <w:rsid w:val="00FC64EF"/>
    <w:rsid w:val="00FD0AB5"/>
    <w:rsid w:val="00FD14C1"/>
    <w:rsid w:val="00FD2673"/>
    <w:rsid w:val="00FE1226"/>
    <w:rsid w:val="00FE22FA"/>
    <w:rsid w:val="00FE26C9"/>
    <w:rsid w:val="00FE2A29"/>
    <w:rsid w:val="00FE5071"/>
    <w:rsid w:val="00FF2871"/>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57D"/>
    <w:pPr>
      <w:spacing w:before="120" w:after="120" w:line="280" w:lineRule="atLeast"/>
    </w:pPr>
    <w:rPr>
      <w:rFonts w:ascii="Arial" w:hAnsi="Arial"/>
      <w:spacing w:val="4"/>
      <w:sz w:val="22"/>
      <w:szCs w:val="24"/>
    </w:rPr>
  </w:style>
  <w:style w:type="paragraph" w:styleId="Heading1">
    <w:name w:val="heading 1"/>
    <w:basedOn w:val="Normal"/>
    <w:next w:val="Normal"/>
    <w:link w:val="Heading1Char"/>
    <w:uiPriority w:val="2"/>
    <w:qFormat/>
    <w:rsid w:val="005300B9"/>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6678ED"/>
    <w:pPr>
      <w:keepNext/>
      <w:keepLines/>
      <w:spacing w:before="240" w:line="240" w:lineRule="auto"/>
      <w:contextualSpacing/>
      <w:outlineLvl w:val="1"/>
    </w:pPr>
    <w:rPr>
      <w:rFonts w:ascii="Georgia" w:hAnsi="Georgia" w:cs="Arial"/>
      <w:bCs/>
      <w:iCs/>
      <w:sz w:val="26"/>
      <w:szCs w:val="28"/>
    </w:rPr>
  </w:style>
  <w:style w:type="paragraph" w:styleId="Heading3">
    <w:name w:val="heading 3"/>
    <w:basedOn w:val="Normal"/>
    <w:next w:val="Normal"/>
    <w:link w:val="Heading3Char"/>
    <w:uiPriority w:val="2"/>
    <w:qFormat/>
    <w:rsid w:val="008D2D97"/>
    <w:pPr>
      <w:widowControl w:val="0"/>
      <w:suppressAutoHyphens/>
      <w:autoSpaceDE w:val="0"/>
      <w:autoSpaceDN w:val="0"/>
      <w:adjustRightInd w:val="0"/>
      <w:spacing w:before="0" w:after="85" w:line="220" w:lineRule="atLeast"/>
      <w:ind w:left="284"/>
      <w:textAlignment w:val="center"/>
      <w:outlineLvl w:val="2"/>
    </w:pPr>
    <w:rPr>
      <w:rFonts w:asciiTheme="majorHAnsi" w:eastAsia="Cambria" w:hAnsiTheme="majorHAnsi" w:cs="MuseoSans-300"/>
      <w:b/>
      <w:spacing w:val="0"/>
      <w:position w:val="-2"/>
      <w:sz w:val="21"/>
      <w:szCs w:val="21"/>
      <w:lang w:val="en-GB" w:eastAsia="en-US"/>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50FB5"/>
    <w:pPr>
      <w:keepNext/>
      <w:keepLines/>
      <w:spacing w:before="200"/>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
    <w:semiHidden/>
    <w:unhideWhenUsed/>
    <w:rsid w:val="00F839A8"/>
    <w:pPr>
      <w:keepNext/>
      <w:keepLines/>
      <w:spacing w:before="200" w:after="0"/>
      <w:outlineLvl w:val="8"/>
    </w:pPr>
    <w:rPr>
      <w:rFonts w:asciiTheme="majorHAnsi" w:eastAsiaTheme="majorEastAsia" w:hAnsiTheme="majorHAnsi"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300B9"/>
    <w:pPr>
      <w:spacing w:before="24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342476"/>
    <w:pPr>
      <w:numPr>
        <w:numId w:val="60"/>
      </w:numPr>
      <w:tabs>
        <w:tab w:val="left" w:pos="170"/>
      </w:tabs>
      <w:spacing w:before="60"/>
      <w:ind w:left="527" w:hanging="357"/>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300B9"/>
    <w:pPr>
      <w:spacing w:before="120" w:after="120"/>
      <w:ind w:left="397"/>
      <w:contextualSpacing/>
    </w:pPr>
    <w:rPr>
      <w:rFonts w:ascii="Georgia" w:hAnsi="Georgia" w:cs="Arial"/>
      <w:bCs/>
      <w:iCs/>
      <w:color w:val="005A70"/>
      <w:sz w:val="21"/>
      <w:szCs w:val="28"/>
    </w:rPr>
  </w:style>
  <w:style w:type="character" w:customStyle="1" w:styleId="Heading2Char">
    <w:name w:val="Heading 2 Char"/>
    <w:basedOn w:val="DefaultParagraphFont"/>
    <w:link w:val="Heading2"/>
    <w:uiPriority w:val="2"/>
    <w:rsid w:val="006678ED"/>
    <w:rPr>
      <w:rFonts w:ascii="Georgia" w:hAnsi="Georgia" w:cs="Arial"/>
      <w:bCs/>
      <w:iCs/>
      <w:sz w:val="26"/>
      <w:szCs w:val="28"/>
    </w:rPr>
  </w:style>
  <w:style w:type="character" w:customStyle="1" w:styleId="PullouttextChar">
    <w:name w:val="Pullout text Char"/>
    <w:basedOn w:val="Heading2Char"/>
    <w:link w:val="Pullouttext"/>
    <w:uiPriority w:val="3"/>
    <w:rsid w:val="005300B9"/>
    <w:rPr>
      <w:rFonts w:ascii="Georgia" w:hAnsi="Georgia" w:cs="Arial"/>
      <w:bCs/>
      <w:iCs/>
      <w:color w:val="005A70"/>
      <w:sz w:val="21"/>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F839A8"/>
    <w:rPr>
      <w:rFonts w:asciiTheme="majorHAnsi" w:eastAsiaTheme="majorEastAsia" w:hAnsiTheme="majorHAnsi" w:cstheme="majorBidi"/>
      <w:iCs/>
      <w:color w:val="404040" w:themeColor="text1" w:themeTint="BF"/>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E50FB5"/>
    <w:rPr>
      <w:rFonts w:asciiTheme="majorHAnsi" w:eastAsiaTheme="majorEastAsia" w:hAnsiTheme="majorHAnsi" w:cstheme="majorBidi"/>
      <w:iCs/>
      <w:color w:val="404040" w:themeColor="text1" w:themeTint="BF"/>
      <w:szCs w:val="24"/>
    </w:rPr>
  </w:style>
  <w:style w:type="character" w:customStyle="1" w:styleId="Heading1Char">
    <w:name w:val="Heading 1 Char"/>
    <w:basedOn w:val="DefaultParagraphFont"/>
    <w:link w:val="Heading1"/>
    <w:uiPriority w:val="2"/>
    <w:rsid w:val="005300B9"/>
    <w:rPr>
      <w:rFonts w:ascii="Georgia" w:hAnsi="Georgia" w:cs="Arial"/>
      <w:bCs/>
      <w:color w:val="005A70"/>
      <w:spacing w:val="4"/>
      <w:kern w:val="32"/>
      <w:sz w:val="32"/>
      <w:szCs w:val="32"/>
    </w:rPr>
  </w:style>
  <w:style w:type="character" w:customStyle="1" w:styleId="Heading3Char">
    <w:name w:val="Heading 3 Char"/>
    <w:basedOn w:val="DefaultParagraphFont"/>
    <w:link w:val="Heading3"/>
    <w:uiPriority w:val="2"/>
    <w:rsid w:val="008D2D97"/>
    <w:rPr>
      <w:rFonts w:asciiTheme="majorHAnsi" w:eastAsia="Cambria" w:hAnsiTheme="majorHAnsi" w:cs="MuseoSans-300"/>
      <w:b/>
      <w:position w:val="-2"/>
      <w:sz w:val="21"/>
      <w:szCs w:val="21"/>
      <w:lang w:val="en-GB" w:eastAsia="en-US"/>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300B9"/>
    <w:rPr>
      <w:rFonts w:ascii="Georgia" w:hAnsi="Georgia" w:cs="Arial"/>
      <w:bCs/>
      <w:color w:val="005A70"/>
      <w:spacing w:val="-4"/>
      <w:kern w:val="28"/>
      <w:sz w:val="66"/>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6325E2"/>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6325E2"/>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character" w:styleId="CommentReference">
    <w:name w:val="annotation reference"/>
    <w:basedOn w:val="DefaultParagraphFont"/>
    <w:rsid w:val="00241886"/>
    <w:rPr>
      <w:sz w:val="16"/>
      <w:szCs w:val="16"/>
    </w:rPr>
  </w:style>
  <w:style w:type="paragraph" w:styleId="CommentText">
    <w:name w:val="annotation text"/>
    <w:basedOn w:val="Normal"/>
    <w:link w:val="CommentTextChar"/>
    <w:rsid w:val="00241886"/>
    <w:pPr>
      <w:spacing w:line="240" w:lineRule="auto"/>
    </w:pPr>
    <w:rPr>
      <w:sz w:val="20"/>
      <w:szCs w:val="20"/>
    </w:rPr>
  </w:style>
  <w:style w:type="character" w:customStyle="1" w:styleId="CommentTextChar">
    <w:name w:val="Comment Text Char"/>
    <w:basedOn w:val="DefaultParagraphFont"/>
    <w:link w:val="CommentText"/>
    <w:rsid w:val="00241886"/>
    <w:rPr>
      <w:rFonts w:ascii="Arial" w:hAnsi="Arial"/>
      <w:spacing w:val="4"/>
    </w:rPr>
  </w:style>
  <w:style w:type="paragraph" w:styleId="CommentSubject">
    <w:name w:val="annotation subject"/>
    <w:basedOn w:val="CommentText"/>
    <w:next w:val="CommentText"/>
    <w:link w:val="CommentSubjectChar"/>
    <w:rsid w:val="00241886"/>
    <w:rPr>
      <w:b/>
      <w:bCs/>
    </w:rPr>
  </w:style>
  <w:style w:type="character" w:customStyle="1" w:styleId="CommentSubjectChar">
    <w:name w:val="Comment Subject Char"/>
    <w:basedOn w:val="CommentTextChar"/>
    <w:link w:val="CommentSubject"/>
    <w:rsid w:val="00241886"/>
    <w:rPr>
      <w:rFonts w:ascii="Arial" w:hAnsi="Arial"/>
      <w:b/>
      <w:bCs/>
      <w:spacing w:val="4"/>
    </w:rPr>
  </w:style>
  <w:style w:type="character" w:styleId="BookTitle">
    <w:name w:val="Book Title"/>
    <w:uiPriority w:val="33"/>
    <w:qFormat/>
    <w:rsid w:val="0056158B"/>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57D"/>
    <w:pPr>
      <w:spacing w:before="120" w:after="120" w:line="280" w:lineRule="atLeast"/>
    </w:pPr>
    <w:rPr>
      <w:rFonts w:ascii="Arial" w:hAnsi="Arial"/>
      <w:spacing w:val="4"/>
      <w:sz w:val="22"/>
      <w:szCs w:val="24"/>
    </w:rPr>
  </w:style>
  <w:style w:type="paragraph" w:styleId="Heading1">
    <w:name w:val="heading 1"/>
    <w:basedOn w:val="Normal"/>
    <w:next w:val="Normal"/>
    <w:link w:val="Heading1Char"/>
    <w:uiPriority w:val="2"/>
    <w:qFormat/>
    <w:rsid w:val="005300B9"/>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6678ED"/>
    <w:pPr>
      <w:keepNext/>
      <w:keepLines/>
      <w:spacing w:before="240" w:line="240" w:lineRule="auto"/>
      <w:contextualSpacing/>
      <w:outlineLvl w:val="1"/>
    </w:pPr>
    <w:rPr>
      <w:rFonts w:ascii="Georgia" w:hAnsi="Georgia" w:cs="Arial"/>
      <w:bCs/>
      <w:iCs/>
      <w:sz w:val="26"/>
      <w:szCs w:val="28"/>
    </w:rPr>
  </w:style>
  <w:style w:type="paragraph" w:styleId="Heading3">
    <w:name w:val="heading 3"/>
    <w:basedOn w:val="Normal"/>
    <w:next w:val="Normal"/>
    <w:link w:val="Heading3Char"/>
    <w:uiPriority w:val="2"/>
    <w:qFormat/>
    <w:rsid w:val="008D2D97"/>
    <w:pPr>
      <w:widowControl w:val="0"/>
      <w:suppressAutoHyphens/>
      <w:autoSpaceDE w:val="0"/>
      <w:autoSpaceDN w:val="0"/>
      <w:adjustRightInd w:val="0"/>
      <w:spacing w:before="0" w:after="85" w:line="220" w:lineRule="atLeast"/>
      <w:ind w:left="284"/>
      <w:textAlignment w:val="center"/>
      <w:outlineLvl w:val="2"/>
    </w:pPr>
    <w:rPr>
      <w:rFonts w:asciiTheme="majorHAnsi" w:eastAsia="Cambria" w:hAnsiTheme="majorHAnsi" w:cs="MuseoSans-300"/>
      <w:b/>
      <w:spacing w:val="0"/>
      <w:position w:val="-2"/>
      <w:sz w:val="21"/>
      <w:szCs w:val="21"/>
      <w:lang w:val="en-GB" w:eastAsia="en-US"/>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50FB5"/>
    <w:pPr>
      <w:keepNext/>
      <w:keepLines/>
      <w:spacing w:before="200"/>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
    <w:semiHidden/>
    <w:unhideWhenUsed/>
    <w:rsid w:val="00F839A8"/>
    <w:pPr>
      <w:keepNext/>
      <w:keepLines/>
      <w:spacing w:before="200" w:after="0"/>
      <w:outlineLvl w:val="8"/>
    </w:pPr>
    <w:rPr>
      <w:rFonts w:asciiTheme="majorHAnsi" w:eastAsiaTheme="majorEastAsia" w:hAnsiTheme="majorHAnsi"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300B9"/>
    <w:pPr>
      <w:spacing w:before="24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342476"/>
    <w:pPr>
      <w:numPr>
        <w:numId w:val="60"/>
      </w:numPr>
      <w:tabs>
        <w:tab w:val="left" w:pos="170"/>
      </w:tabs>
      <w:spacing w:before="60"/>
      <w:ind w:left="527" w:hanging="357"/>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300B9"/>
    <w:pPr>
      <w:spacing w:before="120" w:after="120"/>
      <w:ind w:left="397"/>
      <w:contextualSpacing/>
    </w:pPr>
    <w:rPr>
      <w:rFonts w:ascii="Georgia" w:hAnsi="Georgia" w:cs="Arial"/>
      <w:bCs/>
      <w:iCs/>
      <w:color w:val="005A70"/>
      <w:sz w:val="21"/>
      <w:szCs w:val="28"/>
    </w:rPr>
  </w:style>
  <w:style w:type="character" w:customStyle="1" w:styleId="Heading2Char">
    <w:name w:val="Heading 2 Char"/>
    <w:basedOn w:val="DefaultParagraphFont"/>
    <w:link w:val="Heading2"/>
    <w:uiPriority w:val="2"/>
    <w:rsid w:val="006678ED"/>
    <w:rPr>
      <w:rFonts w:ascii="Georgia" w:hAnsi="Georgia" w:cs="Arial"/>
      <w:bCs/>
      <w:iCs/>
      <w:sz w:val="26"/>
      <w:szCs w:val="28"/>
    </w:rPr>
  </w:style>
  <w:style w:type="character" w:customStyle="1" w:styleId="PullouttextChar">
    <w:name w:val="Pullout text Char"/>
    <w:basedOn w:val="Heading2Char"/>
    <w:link w:val="Pullouttext"/>
    <w:uiPriority w:val="3"/>
    <w:rsid w:val="005300B9"/>
    <w:rPr>
      <w:rFonts w:ascii="Georgia" w:hAnsi="Georgia" w:cs="Arial"/>
      <w:bCs/>
      <w:iCs/>
      <w:color w:val="005A70"/>
      <w:sz w:val="21"/>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F839A8"/>
    <w:rPr>
      <w:rFonts w:asciiTheme="majorHAnsi" w:eastAsiaTheme="majorEastAsia" w:hAnsiTheme="majorHAnsi" w:cstheme="majorBidi"/>
      <w:iCs/>
      <w:color w:val="404040" w:themeColor="text1" w:themeTint="BF"/>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E50FB5"/>
    <w:rPr>
      <w:rFonts w:asciiTheme="majorHAnsi" w:eastAsiaTheme="majorEastAsia" w:hAnsiTheme="majorHAnsi" w:cstheme="majorBidi"/>
      <w:iCs/>
      <w:color w:val="404040" w:themeColor="text1" w:themeTint="BF"/>
      <w:szCs w:val="24"/>
    </w:rPr>
  </w:style>
  <w:style w:type="character" w:customStyle="1" w:styleId="Heading1Char">
    <w:name w:val="Heading 1 Char"/>
    <w:basedOn w:val="DefaultParagraphFont"/>
    <w:link w:val="Heading1"/>
    <w:uiPriority w:val="2"/>
    <w:rsid w:val="005300B9"/>
    <w:rPr>
      <w:rFonts w:ascii="Georgia" w:hAnsi="Georgia" w:cs="Arial"/>
      <w:bCs/>
      <w:color w:val="005A70"/>
      <w:spacing w:val="4"/>
      <w:kern w:val="32"/>
      <w:sz w:val="32"/>
      <w:szCs w:val="32"/>
    </w:rPr>
  </w:style>
  <w:style w:type="character" w:customStyle="1" w:styleId="Heading3Char">
    <w:name w:val="Heading 3 Char"/>
    <w:basedOn w:val="DefaultParagraphFont"/>
    <w:link w:val="Heading3"/>
    <w:uiPriority w:val="2"/>
    <w:rsid w:val="008D2D97"/>
    <w:rPr>
      <w:rFonts w:asciiTheme="majorHAnsi" w:eastAsia="Cambria" w:hAnsiTheme="majorHAnsi" w:cs="MuseoSans-300"/>
      <w:b/>
      <w:position w:val="-2"/>
      <w:sz w:val="21"/>
      <w:szCs w:val="21"/>
      <w:lang w:val="en-GB" w:eastAsia="en-US"/>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300B9"/>
    <w:rPr>
      <w:rFonts w:ascii="Georgia" w:hAnsi="Georgia" w:cs="Arial"/>
      <w:bCs/>
      <w:color w:val="005A70"/>
      <w:spacing w:val="-4"/>
      <w:kern w:val="28"/>
      <w:sz w:val="66"/>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6325E2"/>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6325E2"/>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character" w:styleId="CommentReference">
    <w:name w:val="annotation reference"/>
    <w:basedOn w:val="DefaultParagraphFont"/>
    <w:rsid w:val="00241886"/>
    <w:rPr>
      <w:sz w:val="16"/>
      <w:szCs w:val="16"/>
    </w:rPr>
  </w:style>
  <w:style w:type="paragraph" w:styleId="CommentText">
    <w:name w:val="annotation text"/>
    <w:basedOn w:val="Normal"/>
    <w:link w:val="CommentTextChar"/>
    <w:rsid w:val="00241886"/>
    <w:pPr>
      <w:spacing w:line="240" w:lineRule="auto"/>
    </w:pPr>
    <w:rPr>
      <w:sz w:val="20"/>
      <w:szCs w:val="20"/>
    </w:rPr>
  </w:style>
  <w:style w:type="character" w:customStyle="1" w:styleId="CommentTextChar">
    <w:name w:val="Comment Text Char"/>
    <w:basedOn w:val="DefaultParagraphFont"/>
    <w:link w:val="CommentText"/>
    <w:rsid w:val="00241886"/>
    <w:rPr>
      <w:rFonts w:ascii="Arial" w:hAnsi="Arial"/>
      <w:spacing w:val="4"/>
    </w:rPr>
  </w:style>
  <w:style w:type="paragraph" w:styleId="CommentSubject">
    <w:name w:val="annotation subject"/>
    <w:basedOn w:val="CommentText"/>
    <w:next w:val="CommentText"/>
    <w:link w:val="CommentSubjectChar"/>
    <w:rsid w:val="00241886"/>
    <w:rPr>
      <w:b/>
      <w:bCs/>
    </w:rPr>
  </w:style>
  <w:style w:type="character" w:customStyle="1" w:styleId="CommentSubjectChar">
    <w:name w:val="Comment Subject Char"/>
    <w:basedOn w:val="CommentTextChar"/>
    <w:link w:val="CommentSubject"/>
    <w:rsid w:val="00241886"/>
    <w:rPr>
      <w:rFonts w:ascii="Arial" w:hAnsi="Arial"/>
      <w:b/>
      <w:bCs/>
      <w:spacing w:val="4"/>
    </w:rPr>
  </w:style>
  <w:style w:type="character" w:styleId="BookTitle">
    <w:name w:val="Book Title"/>
    <w:uiPriority w:val="33"/>
    <w:qFormat/>
    <w:rsid w:val="0056158B"/>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7658">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602293686">
      <w:bodyDiv w:val="1"/>
      <w:marLeft w:val="0"/>
      <w:marRight w:val="0"/>
      <w:marTop w:val="0"/>
      <w:marBottom w:val="0"/>
      <w:divBdr>
        <w:top w:val="none" w:sz="0" w:space="0" w:color="auto"/>
        <w:left w:val="none" w:sz="0" w:space="0" w:color="auto"/>
        <w:bottom w:val="none" w:sz="0" w:space="0" w:color="auto"/>
        <w:right w:val="none" w:sz="0" w:space="0" w:color="auto"/>
      </w:divBdr>
    </w:div>
    <w:div w:id="2041198389">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E8AB-0930-4FED-B7E0-B2E6A448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2014-15 Budget - Changes to the Commonwealth Seniors Health Card (CSHC)</vt:lpstr>
    </vt:vector>
  </TitlesOfParts>
  <Company>Department of Social Services</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Budget - Changes to the Commonwealth Seniors Health Card (CSHC)</dc:title>
  <dc:creator>Department of Social Services</dc:creator>
  <cp:lastModifiedBy>DARBY, Jan</cp:lastModifiedBy>
  <cp:revision>2</cp:revision>
  <cp:lastPrinted>2015-08-26T02:20:00Z</cp:lastPrinted>
  <dcterms:created xsi:type="dcterms:W3CDTF">2015-09-22T03:15:00Z</dcterms:created>
  <dcterms:modified xsi:type="dcterms:W3CDTF">2015-09-22T03:15:00Z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