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6D" w:rsidRPr="00211B64" w:rsidRDefault="009476FF" w:rsidP="00090351">
      <w:pPr>
        <w:pStyle w:val="Title"/>
        <w:spacing w:before="0" w:after="40"/>
        <w:rPr>
          <w:color w:val="005A70"/>
          <w:sz w:val="64"/>
          <w:szCs w:val="64"/>
        </w:rPr>
      </w:pPr>
      <w:r w:rsidRPr="00211B64">
        <w:rPr>
          <w:color w:val="005A70"/>
          <w:sz w:val="64"/>
          <w:szCs w:val="64"/>
        </w:rPr>
        <w:t xml:space="preserve">National Consumer Protection Framework for Online Wagering </w:t>
      </w:r>
    </w:p>
    <w:p w:rsidR="009476FF" w:rsidRPr="009476FF" w:rsidRDefault="009476FF" w:rsidP="009476FF">
      <w:pPr>
        <w:sectPr w:rsidR="009476FF" w:rsidRPr="009476FF" w:rsidSect="000903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669" w:right="849" w:bottom="1440" w:left="851" w:header="567" w:footer="510" w:gutter="0"/>
          <w:cols w:space="708"/>
          <w:titlePg/>
          <w:docGrid w:linePitch="360"/>
        </w:sectPr>
      </w:pPr>
    </w:p>
    <w:p w:rsidR="002F5799" w:rsidRPr="002F5799" w:rsidRDefault="009476FF" w:rsidP="00003D12">
      <w:pPr>
        <w:pStyle w:val="PullOutText"/>
        <w:spacing w:before="360" w:after="240" w:line="276" w:lineRule="auto"/>
      </w:pPr>
      <w:r>
        <w:t xml:space="preserve">Australians participating in online </w:t>
      </w:r>
      <w:r w:rsidR="009E1A4D">
        <w:t xml:space="preserve">wagering </w:t>
      </w:r>
      <w:r>
        <w:t xml:space="preserve">will be </w:t>
      </w:r>
      <w:r w:rsidR="00FF17DB">
        <w:t xml:space="preserve">better </w:t>
      </w:r>
      <w:r>
        <w:t>protected by a series of strong, nationally consistent</w:t>
      </w:r>
      <w:r w:rsidR="00282E3B">
        <w:t xml:space="preserve"> consumer protection</w:t>
      </w:r>
      <w:r>
        <w:t xml:space="preserve"> measures. </w:t>
      </w:r>
    </w:p>
    <w:p w:rsidR="00AB2394" w:rsidRDefault="002806D3" w:rsidP="002806D3">
      <w:pPr>
        <w:pStyle w:val="Heading1"/>
        <w:spacing w:before="240"/>
      </w:pPr>
      <w:r>
        <w:t>A new National F</w:t>
      </w:r>
      <w:r w:rsidR="00D777F1">
        <w:t xml:space="preserve">ramework </w:t>
      </w:r>
    </w:p>
    <w:p w:rsidR="00D777F1" w:rsidRDefault="00EA7EAE" w:rsidP="002F5799">
      <w:r>
        <w:t xml:space="preserve">The Commonwealth and state and territory governments have developed a set of standard minimum protections for online gamblers, which must be adhered to by all </w:t>
      </w:r>
      <w:r w:rsidR="009E1A4D">
        <w:t>online</w:t>
      </w:r>
      <w:r w:rsidR="00F7329C">
        <w:t xml:space="preserve"> </w:t>
      </w:r>
      <w:r>
        <w:t xml:space="preserve">wagering providers. </w:t>
      </w:r>
    </w:p>
    <w:p w:rsidR="00EA7EAE" w:rsidRDefault="00090351" w:rsidP="002F5799">
      <w:r>
        <w:t>A suite of consumer protection</w:t>
      </w:r>
      <w:r w:rsidR="00EA7EAE">
        <w:t xml:space="preserve"> measures </w:t>
      </w:r>
      <w:r w:rsidR="002806D3">
        <w:t xml:space="preserve">make up the new National Consumer Protection Framework for </w:t>
      </w:r>
      <w:r w:rsidR="00D9323C">
        <w:t>o</w:t>
      </w:r>
      <w:r w:rsidR="002806D3">
        <w:t xml:space="preserve">nline </w:t>
      </w:r>
      <w:r w:rsidR="00D9323C">
        <w:t>w</w:t>
      </w:r>
      <w:r w:rsidR="002806D3">
        <w:t xml:space="preserve">agering. These </w:t>
      </w:r>
      <w:r w:rsidR="00EA7EAE">
        <w:t xml:space="preserve">will be implemented through a mix of Commonwealth, state and territory legislation and regulation, </w:t>
      </w:r>
      <w:r w:rsidR="0006250E">
        <w:t>which will align</w:t>
      </w:r>
      <w:r w:rsidR="00EA7EAE">
        <w:t xml:space="preserve"> w</w:t>
      </w:r>
      <w:r w:rsidR="00B1763C">
        <w:t>ith current regulatory responsi</w:t>
      </w:r>
      <w:r w:rsidR="00EA7EAE">
        <w:t>bi</w:t>
      </w:r>
      <w:r w:rsidR="00B1763C">
        <w:t>li</w:t>
      </w:r>
      <w:r w:rsidR="00EA7EAE">
        <w:t xml:space="preserve">ties. </w:t>
      </w:r>
    </w:p>
    <w:p w:rsidR="00D9323C" w:rsidRDefault="00003D12" w:rsidP="008E058E">
      <w:pPr>
        <w:spacing w:after="0"/>
      </w:pPr>
      <w:r>
        <w:t>The measur</w:t>
      </w:r>
      <w:r w:rsidR="00A33B5E">
        <w:t>es provide</w:t>
      </w:r>
      <w:r w:rsidR="006A3D92">
        <w:t xml:space="preserve"> consistent, </w:t>
      </w:r>
      <w:r w:rsidR="00A33B5E">
        <w:t>easy</w:t>
      </w:r>
      <w:r w:rsidR="00861A4D">
        <w:noBreakHyphen/>
      </w:r>
      <w:r w:rsidR="00A33B5E">
        <w:t>to</w:t>
      </w:r>
      <w:r w:rsidR="00861A4D">
        <w:noBreakHyphen/>
      </w:r>
      <w:r>
        <w:t xml:space="preserve">use tools and information for all Australians </w:t>
      </w:r>
      <w:r w:rsidR="009E1A4D">
        <w:t>—</w:t>
      </w:r>
      <w:r>
        <w:t xml:space="preserve"> no matter where they live</w:t>
      </w:r>
      <w:r w:rsidR="009E1A4D">
        <w:t xml:space="preserve"> —</w:t>
      </w:r>
      <w:r>
        <w:t xml:space="preserve"> </w:t>
      </w:r>
      <w:r w:rsidR="006A3D92">
        <w:br/>
      </w:r>
      <w:r>
        <w:t>to help them better control their gambling.</w:t>
      </w:r>
      <w:r w:rsidR="0019629D">
        <w:t xml:space="preserve"> </w:t>
      </w:r>
    </w:p>
    <w:p w:rsidR="00D777F1" w:rsidRDefault="00D777F1" w:rsidP="00D777F1">
      <w:pPr>
        <w:pStyle w:val="Heading1"/>
      </w:pPr>
      <w:r>
        <w:t>Measures to reduce harm</w:t>
      </w:r>
    </w:p>
    <w:p w:rsidR="000C3732" w:rsidRDefault="002F5799" w:rsidP="00365B94">
      <w:pPr>
        <w:spacing w:after="200"/>
      </w:pPr>
      <w:r w:rsidRPr="002F5799">
        <w:t>The</w:t>
      </w:r>
      <w:r w:rsidR="002806D3">
        <w:t xml:space="preserve"> National F</w:t>
      </w:r>
      <w:r w:rsidR="000C3732">
        <w:t xml:space="preserve">ramework will introduce </w:t>
      </w:r>
      <w:r w:rsidR="002806D3">
        <w:t>10</w:t>
      </w:r>
      <w:r w:rsidR="000C3732">
        <w:t xml:space="preserve"> measures to protect consumers. </w:t>
      </w:r>
      <w:r w:rsidR="004417B9">
        <w:t xml:space="preserve">These measures will be enforced across all Australian jurisdictions. </w:t>
      </w:r>
    </w:p>
    <w:p w:rsidR="0068644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 xml:space="preserve">Prohibition of lines of credit </w:t>
      </w:r>
    </w:p>
    <w:p w:rsidR="007E7875" w:rsidRDefault="00365B94" w:rsidP="00090351">
      <w:pPr>
        <w:spacing w:after="200"/>
        <w:ind w:left="357"/>
      </w:pPr>
      <w:r w:rsidRPr="00365B94">
        <w:t xml:space="preserve">Since February 2018, online </w:t>
      </w:r>
      <w:r w:rsidR="00A04BE9">
        <w:t xml:space="preserve">wagering </w:t>
      </w:r>
      <w:r w:rsidRPr="00365B94">
        <w:t>service providers have been prohibited from offering or providing credit to people who gamble on their site or app</w:t>
      </w:r>
      <w:r w:rsidR="00FF17DB">
        <w:t xml:space="preserve"> (with limited exemptions)</w:t>
      </w:r>
      <w:r w:rsidRPr="00365B94">
        <w:t xml:space="preserve">. </w:t>
      </w:r>
      <w:r w:rsidR="002806D3">
        <w:t>This measure</w:t>
      </w:r>
      <w:r>
        <w:t xml:space="preserve"> </w:t>
      </w:r>
      <w:r w:rsidR="002806D3">
        <w:t xml:space="preserve">addresses the conflict of interest in </w:t>
      </w:r>
      <w:r w:rsidR="00F15975">
        <w:t xml:space="preserve">online wagering </w:t>
      </w:r>
      <w:r w:rsidR="002806D3">
        <w:t xml:space="preserve">providers effectively acting </w:t>
      </w:r>
      <w:r w:rsidR="002806D3">
        <w:t xml:space="preserve">like a bank to offer lines of credit. </w:t>
      </w:r>
      <w:r w:rsidR="0062044F">
        <w:t xml:space="preserve">For </w:t>
      </w:r>
      <w:r w:rsidR="007B0B72" w:rsidRPr="00090351">
        <w:t>more</w:t>
      </w:r>
      <w:r w:rsidR="0062044F">
        <w:t xml:space="preserve"> information, visit the </w:t>
      </w:r>
      <w:hyperlink r:id="rId12" w:history="1">
        <w:r w:rsidR="0062044F" w:rsidRPr="0062044F">
          <w:rPr>
            <w:rStyle w:val="Hyperlink"/>
          </w:rPr>
          <w:t>ACMA website.</w:t>
        </w:r>
      </w:hyperlink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Payday lenders</w:t>
      </w:r>
    </w:p>
    <w:p w:rsidR="00945682" w:rsidRDefault="00365B94" w:rsidP="00365B94">
      <w:pPr>
        <w:spacing w:after="200"/>
        <w:ind w:left="357"/>
      </w:pPr>
      <w:r w:rsidRPr="00365B94">
        <w:t xml:space="preserve">Since February 2018, the use of small amount credit contracts, also known as payday lending, for online </w:t>
      </w:r>
      <w:r w:rsidR="00D9323C">
        <w:t xml:space="preserve">wagering </w:t>
      </w:r>
      <w:r w:rsidRPr="00365B94">
        <w:t>has been restricted to better protect consumers</w:t>
      </w:r>
      <w:r w:rsidR="00E65B5E">
        <w:t xml:space="preserve">. </w:t>
      </w:r>
      <w:r>
        <w:t>This</w:t>
      </w:r>
      <w:r w:rsidR="00F7329C">
        <w:t> </w:t>
      </w:r>
      <w:r>
        <w:t xml:space="preserve">measure stops </w:t>
      </w:r>
      <w:r w:rsidR="00E65B5E">
        <w:t>wagering service provider</w:t>
      </w:r>
      <w:r>
        <w:t>s</w:t>
      </w:r>
      <w:r w:rsidR="00223B2A">
        <w:t xml:space="preserve"> </w:t>
      </w:r>
      <w:r w:rsidR="00E65B5E">
        <w:t xml:space="preserve">from advertising </w:t>
      </w:r>
      <w:r w:rsidR="00E52FC0">
        <w:t>payday loans</w:t>
      </w:r>
      <w:r w:rsidR="00E65B5E">
        <w:t xml:space="preserve">. Potential connections between </w:t>
      </w:r>
      <w:r w:rsidR="00223B2A">
        <w:t xml:space="preserve">online wagering </w:t>
      </w:r>
      <w:r w:rsidR="00E65B5E">
        <w:t xml:space="preserve">customers and credit providers </w:t>
      </w:r>
      <w:r>
        <w:t>are also</w:t>
      </w:r>
      <w:r w:rsidR="00E65B5E">
        <w:t xml:space="preserve"> restricted</w:t>
      </w:r>
      <w:r w:rsidR="00223B2A">
        <w:t xml:space="preserve">, as </w:t>
      </w:r>
      <w:r w:rsidR="00E65B5E">
        <w:t xml:space="preserve">customers </w:t>
      </w:r>
      <w:r w:rsidR="0052762F">
        <w:t>can</w:t>
      </w:r>
      <w:r w:rsidR="00E65B5E">
        <w:t xml:space="preserve">not be referred to a </w:t>
      </w:r>
      <w:r w:rsidR="00D9323C">
        <w:t>payday lender</w:t>
      </w:r>
      <w:r w:rsidR="00E65B5E">
        <w:t xml:space="preserve">, nor can </w:t>
      </w:r>
      <w:r w:rsidR="00223B2A">
        <w:t>customer</w:t>
      </w:r>
      <w:r w:rsidR="00226422">
        <w:t xml:space="preserve"> information</w:t>
      </w:r>
      <w:r w:rsidR="00E65B5E">
        <w:t xml:space="preserve"> be </w:t>
      </w:r>
      <w:r w:rsidR="00E52FC0">
        <w:t>given</w:t>
      </w:r>
      <w:r w:rsidR="00E65B5E">
        <w:t xml:space="preserve"> to </w:t>
      </w:r>
      <w:r w:rsidR="00D9323C">
        <w:t>payday lenders</w:t>
      </w:r>
      <w:r w:rsidR="00E65B5E">
        <w:t xml:space="preserve">. </w:t>
      </w:r>
      <w:r w:rsidR="0062044F">
        <w:t xml:space="preserve">For </w:t>
      </w:r>
      <w:r w:rsidR="007B0B72" w:rsidRPr="00243513">
        <w:t>more</w:t>
      </w:r>
      <w:r w:rsidR="0062044F">
        <w:t xml:space="preserve"> information, visit the </w:t>
      </w:r>
      <w:hyperlink r:id="rId13" w:history="1">
        <w:r w:rsidR="0062044F" w:rsidRPr="0062044F">
          <w:rPr>
            <w:rStyle w:val="Hyperlink"/>
          </w:rPr>
          <w:t>ACMA</w:t>
        </w:r>
        <w:r w:rsidR="00F15975">
          <w:rPr>
            <w:rStyle w:val="Hyperlink"/>
          </w:rPr>
          <w:t xml:space="preserve"> </w:t>
        </w:r>
        <w:r w:rsidR="0062044F" w:rsidRPr="0062044F">
          <w:rPr>
            <w:rStyle w:val="Hyperlink"/>
          </w:rPr>
          <w:t>website.</w:t>
        </w:r>
      </w:hyperlink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Customer verification</w:t>
      </w:r>
    </w:p>
    <w:p w:rsidR="00365B94" w:rsidRDefault="00F15975" w:rsidP="008E058E">
      <w:pPr>
        <w:spacing w:after="200"/>
        <w:ind w:left="357"/>
      </w:pPr>
      <w:r>
        <w:t>O</w:t>
      </w:r>
      <w:r w:rsidR="009E1A4D">
        <w:t>nline</w:t>
      </w:r>
      <w:r w:rsidR="00F7329C" w:rsidRPr="00E079D5">
        <w:t xml:space="preserve"> </w:t>
      </w:r>
      <w:r w:rsidR="00F7329C">
        <w:t>wagering</w:t>
      </w:r>
      <w:r w:rsidR="00F7329C" w:rsidRPr="00E079D5">
        <w:t xml:space="preserve"> </w:t>
      </w:r>
      <w:r w:rsidR="00E079D5" w:rsidRPr="00E079D5">
        <w:t>providers will have to verify their customers’ identity within 14 days of their registration, instead of the current 90 days</w:t>
      </w:r>
      <w:r w:rsidR="00861A4D">
        <w:t>.</w:t>
      </w:r>
      <w:r w:rsidR="00E079D5" w:rsidRPr="00E079D5">
        <w:t xml:space="preserve"> </w:t>
      </w:r>
      <w:r w:rsidR="00E079D5">
        <w:t>The reduced timeframe for c</w:t>
      </w:r>
      <w:r w:rsidR="00365B94">
        <w:t xml:space="preserve">ustomer verification will help to </w:t>
      </w:r>
      <w:r w:rsidR="00E079D5" w:rsidRPr="00E079D5">
        <w:t>ensure underage and self-excluded customers, and</w:t>
      </w:r>
      <w:r w:rsidR="00F7329C">
        <w:t> </w:t>
      </w:r>
      <w:r w:rsidR="00E079D5" w:rsidRPr="00E079D5">
        <w:t>those operating under assumed names</w:t>
      </w:r>
      <w:r w:rsidR="00003D12">
        <w:t>,</w:t>
      </w:r>
      <w:r w:rsidR="00E079D5" w:rsidRPr="00E079D5">
        <w:t xml:space="preserve"> </w:t>
      </w:r>
      <w:r w:rsidR="00003D12">
        <w:t>do</w:t>
      </w:r>
      <w:r w:rsidR="00F7329C">
        <w:t> </w:t>
      </w:r>
      <w:r w:rsidR="00003D12">
        <w:t>not</w:t>
      </w:r>
      <w:r w:rsidR="00E079D5" w:rsidRPr="00E079D5">
        <w:t xml:space="preserve"> access online </w:t>
      </w:r>
      <w:r w:rsidR="00B75C0C">
        <w:t>wagering</w:t>
      </w:r>
      <w:r w:rsidR="004417B9">
        <w:t xml:space="preserve">. </w:t>
      </w: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Restrictions on inducements</w:t>
      </w:r>
    </w:p>
    <w:p w:rsidR="005F095D" w:rsidRDefault="00CC70F7" w:rsidP="008E058E">
      <w:pPr>
        <w:spacing w:after="200"/>
        <w:ind w:left="357"/>
      </w:pPr>
      <w:r>
        <w:t>O</w:t>
      </w:r>
      <w:r w:rsidR="009E1A4D">
        <w:t>nline</w:t>
      </w:r>
      <w:r w:rsidR="007B0B72">
        <w:t xml:space="preserve"> </w:t>
      </w:r>
      <w:r w:rsidR="00F7329C">
        <w:t>wagering</w:t>
      </w:r>
      <w:r w:rsidR="00E079D5" w:rsidRPr="00E079D5">
        <w:t xml:space="preserve"> providers will be prohibited from offering any credit, voucher, reward, or other benefit as an incentive to open an account or to refer another person to open an account</w:t>
      </w:r>
      <w:r w:rsidR="00E079D5">
        <w:t>. This</w:t>
      </w:r>
      <w:r w:rsidR="00F7329C">
        <w:t> </w:t>
      </w:r>
      <w:r w:rsidR="00E079D5">
        <w:t>measure is designed to</w:t>
      </w:r>
      <w:r w:rsidR="00945682">
        <w:t xml:space="preserve"> protect consumers from incentive-based marketing and strengthen standards </w:t>
      </w:r>
      <w:r w:rsidR="00E079D5">
        <w:t>for direct marketing</w:t>
      </w:r>
      <w:r w:rsidR="004417B9">
        <w:t>.</w:t>
      </w:r>
      <w:r w:rsidR="00945682">
        <w:t xml:space="preserve"> </w:t>
      </w:r>
      <w:r w:rsidR="00E079D5">
        <w:t>It</w:t>
      </w:r>
      <w:r w:rsidR="00F7329C">
        <w:t> </w:t>
      </w:r>
      <w:r w:rsidR="00E079D5">
        <w:t>also includes</w:t>
      </w:r>
      <w:r w:rsidR="00945682">
        <w:t xml:space="preserve"> preventing turnover requirements to withdrawing winnings from complementary betting credits or tokens.</w:t>
      </w:r>
      <w:r w:rsidR="00E079D5">
        <w:t xml:space="preserve"> </w:t>
      </w:r>
    </w:p>
    <w:p w:rsidR="000C3732" w:rsidRPr="005F095D" w:rsidRDefault="000C3732" w:rsidP="008E058E">
      <w:pPr>
        <w:pStyle w:val="ListParagraph"/>
        <w:keepNext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lastRenderedPageBreak/>
        <w:t>Account closure</w:t>
      </w:r>
    </w:p>
    <w:p w:rsidR="005F095D" w:rsidRDefault="00CC70F7" w:rsidP="008E058E">
      <w:pPr>
        <w:spacing w:after="200"/>
        <w:ind w:left="357"/>
      </w:pPr>
      <w:r>
        <w:t>O</w:t>
      </w:r>
      <w:r w:rsidR="009E1A4D">
        <w:t>nline</w:t>
      </w:r>
      <w:r w:rsidR="00F7329C">
        <w:t xml:space="preserve"> wagering</w:t>
      </w:r>
      <w:r w:rsidR="00E079D5" w:rsidRPr="00E079D5">
        <w:t xml:space="preserve"> providers will have to give </w:t>
      </w:r>
      <w:r w:rsidR="00003D12">
        <w:t>their Australian</w:t>
      </w:r>
      <w:r w:rsidR="00E079D5" w:rsidRPr="00E079D5">
        <w:t xml:space="preserve"> customers a simple, easy</w:t>
      </w:r>
      <w:r w:rsidR="00E079D5" w:rsidRPr="00E079D5">
        <w:noBreakHyphen/>
        <w:t>to</w:t>
      </w:r>
      <w:r w:rsidR="00E079D5" w:rsidRPr="00E079D5">
        <w:noBreakHyphen/>
        <w:t xml:space="preserve">find, and readily accessible way of closing or cancelling their online </w:t>
      </w:r>
      <w:r w:rsidR="00B75C0C">
        <w:t>wagering</w:t>
      </w:r>
      <w:r w:rsidR="00B75C0C" w:rsidRPr="00E079D5">
        <w:t xml:space="preserve"> </w:t>
      </w:r>
      <w:r w:rsidR="00E079D5" w:rsidRPr="00E079D5">
        <w:t>account</w:t>
      </w:r>
      <w:r w:rsidR="00861A4D">
        <w:t>.</w:t>
      </w:r>
      <w:r w:rsidR="00E079D5" w:rsidRPr="00E079D5">
        <w:t xml:space="preserve"> </w:t>
      </w:r>
      <w:r w:rsidR="00003D12">
        <w:t>P</w:t>
      </w:r>
      <w:r w:rsidR="00226422">
        <w:t>roviders</w:t>
      </w:r>
      <w:r w:rsidR="00E079D5">
        <w:t xml:space="preserve"> will be required to</w:t>
      </w:r>
      <w:r w:rsidR="00226422">
        <w:t xml:space="preserve"> </w:t>
      </w:r>
      <w:r w:rsidR="00223B2A">
        <w:t xml:space="preserve">prominently display </w:t>
      </w:r>
      <w:r w:rsidR="00226422">
        <w:t xml:space="preserve">account closure information, </w:t>
      </w:r>
      <w:r w:rsidR="00E079D5">
        <w:t xml:space="preserve">and ensure </w:t>
      </w:r>
      <w:r w:rsidR="00226422">
        <w:t xml:space="preserve">customers can close an account </w:t>
      </w:r>
      <w:r w:rsidR="00E079D5">
        <w:t>in the same channel as they bet.</w:t>
      </w:r>
      <w:r w:rsidR="00226422">
        <w:t xml:space="preserve"> </w:t>
      </w:r>
      <w:r w:rsidR="00E079D5" w:rsidRPr="00E079D5">
        <w:t>The account closure process must start as soon as the request is received</w:t>
      </w:r>
      <w:r w:rsidR="00003D12">
        <w:t>,</w:t>
      </w:r>
      <w:r w:rsidR="00E079D5">
        <w:t xml:space="preserve"> and</w:t>
      </w:r>
      <w:r w:rsidR="00F7329C">
        <w:t> </w:t>
      </w:r>
      <w:r w:rsidR="00E079D5">
        <w:t>consumers</w:t>
      </w:r>
      <w:r w:rsidR="00226422">
        <w:t xml:space="preserve"> cannot be enticed to keep an account open. </w:t>
      </w: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Voluntary opt-out pre-commitment scheme</w:t>
      </w:r>
    </w:p>
    <w:p w:rsidR="005F095D" w:rsidRDefault="00CC70F7" w:rsidP="008E058E">
      <w:pPr>
        <w:spacing w:after="200"/>
        <w:ind w:left="357"/>
      </w:pPr>
      <w:r>
        <w:t>C</w:t>
      </w:r>
      <w:r w:rsidR="00E079D5" w:rsidRPr="00E079D5">
        <w:t>onsumers will be able to easily monitor and manage their gambling, by</w:t>
      </w:r>
      <w:r w:rsidR="00F7329C">
        <w:t> </w:t>
      </w:r>
      <w:r w:rsidR="00E079D5" w:rsidRPr="00E079D5">
        <w:t>setting deposit limits before they start gambling</w:t>
      </w:r>
      <w:r w:rsidR="00E079D5">
        <w:t>.</w:t>
      </w:r>
      <w:r w:rsidR="00861A4D">
        <w:t xml:space="preserve"> </w:t>
      </w:r>
      <w:r>
        <w:t>Customers</w:t>
      </w:r>
      <w:r w:rsidR="00945682">
        <w:t xml:space="preserve"> will be given a tool to pre-commit to their own limits, which cannot be increased on the spot, as part of a voluntary opt-out pre-commitment scheme. Every </w:t>
      </w:r>
      <w:r w:rsidR="00D9323C">
        <w:t xml:space="preserve">online </w:t>
      </w:r>
      <w:r w:rsidR="00945682">
        <w:t>wagering provider will be required to offer deposit limits to their Australian customers</w:t>
      </w:r>
      <w:r w:rsidR="004C20E1">
        <w:t xml:space="preserve">. This measure will be </w:t>
      </w:r>
      <w:r w:rsidR="007B0B72">
        <w:t xml:space="preserve">further </w:t>
      </w:r>
      <w:r w:rsidR="004C20E1">
        <w:t xml:space="preserve">refined through trialling and </w:t>
      </w:r>
      <w:r w:rsidR="007B0B72">
        <w:t>testing</w:t>
      </w:r>
      <w:r w:rsidR="00090351">
        <w:t>.</w:t>
      </w: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Activity statements</w:t>
      </w:r>
    </w:p>
    <w:p w:rsidR="0019629D" w:rsidRDefault="00CC70F7" w:rsidP="008E058E">
      <w:pPr>
        <w:spacing w:after="200"/>
        <w:ind w:left="357"/>
        <w:rPr>
          <w:b/>
        </w:rPr>
      </w:pPr>
      <w:r>
        <w:t>O</w:t>
      </w:r>
      <w:r w:rsidR="009E1A4D">
        <w:t>nline</w:t>
      </w:r>
      <w:r w:rsidR="00F7329C">
        <w:t xml:space="preserve"> wagering</w:t>
      </w:r>
      <w:r w:rsidR="00804500" w:rsidRPr="00804500">
        <w:t xml:space="preserve"> providers will be required to send consumers meaningful activity statements so that they can easily track and monitor their online </w:t>
      </w:r>
      <w:r>
        <w:t xml:space="preserve">wagering </w:t>
      </w:r>
      <w:r w:rsidR="00804500" w:rsidRPr="00804500">
        <w:t>spending and behaviour</w:t>
      </w:r>
      <w:r w:rsidR="00861A4D">
        <w:t>.</w:t>
      </w:r>
      <w:r w:rsidR="00804500" w:rsidRPr="00804500">
        <w:t xml:space="preserve"> </w:t>
      </w:r>
      <w:r w:rsidR="00003D12">
        <w:t>Activity s</w:t>
      </w:r>
      <w:r w:rsidR="00E079D5">
        <w:t xml:space="preserve">tatements will </w:t>
      </w:r>
      <w:r w:rsidR="00FA26C9">
        <w:t>increase</w:t>
      </w:r>
      <w:r w:rsidR="00E079D5">
        <w:t xml:space="preserve"> consumers’</w:t>
      </w:r>
      <w:r w:rsidR="00FA26C9">
        <w:t xml:space="preserve"> awareness of their spending, wins, and losses</w:t>
      </w:r>
      <w:r w:rsidR="004417B9">
        <w:t xml:space="preserve">. </w:t>
      </w:r>
      <w:r w:rsidR="00804500" w:rsidRPr="00804500">
        <w:t>The use of activity statements will be trialled over 12 months before full implementation</w:t>
      </w:r>
      <w:r w:rsidR="00804500">
        <w:t>,</w:t>
      </w:r>
      <w:r w:rsidR="00003D12">
        <w:t xml:space="preserve"> to ensure the design of a</w:t>
      </w:r>
      <w:r w:rsidR="00E079D5">
        <w:t>ct</w:t>
      </w:r>
      <w:r w:rsidR="00003D12">
        <w:t>ivity s</w:t>
      </w:r>
      <w:r w:rsidR="00E079D5">
        <w:t>tatements meet</w:t>
      </w:r>
      <w:r w:rsidR="00804500">
        <w:t>s</w:t>
      </w:r>
      <w:r w:rsidR="00E079D5">
        <w:t xml:space="preserve"> </w:t>
      </w:r>
      <w:r w:rsidR="00003D12">
        <w:t>user</w:t>
      </w:r>
      <w:r w:rsidR="00E079D5">
        <w:t xml:space="preserve"> needs.</w:t>
      </w:r>
      <w:r w:rsidR="0019629D" w:rsidRPr="005F095D">
        <w:rPr>
          <w:b/>
        </w:rPr>
        <w:t xml:space="preserve"> </w:t>
      </w:r>
    </w:p>
    <w:p w:rsidR="000C3732" w:rsidRPr="005F095D" w:rsidRDefault="000C3732" w:rsidP="0019629D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Consistent gambling messaging</w:t>
      </w:r>
    </w:p>
    <w:p w:rsidR="005F095D" w:rsidRDefault="00CC70F7" w:rsidP="008E058E">
      <w:pPr>
        <w:spacing w:after="200"/>
        <w:ind w:left="357"/>
      </w:pPr>
      <w:r>
        <w:t>O</w:t>
      </w:r>
      <w:r w:rsidR="009E1A4D">
        <w:t>nline</w:t>
      </w:r>
      <w:r w:rsidR="00F7329C">
        <w:t xml:space="preserve"> wagering</w:t>
      </w:r>
      <w:r w:rsidR="00804500" w:rsidRPr="00804500">
        <w:t xml:space="preserve"> providers will all have to use the same messaging about the risks and potential harm of gambling in their advertising, direct marketing, websites, and other direct communications to their customers</w:t>
      </w:r>
      <w:r w:rsidR="00804500">
        <w:t>. This will help to avoid</w:t>
      </w:r>
      <w:r w:rsidR="004401ED">
        <w:t xml:space="preserve"> inconsistent </w:t>
      </w:r>
      <w:r w:rsidR="00804500">
        <w:t xml:space="preserve">or ineffective </w:t>
      </w:r>
      <w:r w:rsidR="004401ED">
        <w:t xml:space="preserve">messages </w:t>
      </w:r>
      <w:r w:rsidR="00804500">
        <w:t xml:space="preserve">about responsible gambling, </w:t>
      </w:r>
      <w:r w:rsidR="004401ED">
        <w:t>and</w:t>
      </w:r>
      <w:r w:rsidR="00F7329C">
        <w:t> </w:t>
      </w:r>
      <w:r w:rsidR="00804500">
        <w:t>make sure messages reach</w:t>
      </w:r>
      <w:r w:rsidR="004401ED">
        <w:t xml:space="preserve"> people as </w:t>
      </w:r>
      <w:r w:rsidR="00ED1298">
        <w:t xml:space="preserve">they are </w:t>
      </w:r>
      <w:r w:rsidR="004401ED">
        <w:t xml:space="preserve">making </w:t>
      </w:r>
      <w:r w:rsidR="00255E54">
        <w:t xml:space="preserve">gambling </w:t>
      </w:r>
      <w:r w:rsidR="00804500">
        <w:t>decision</w:t>
      </w:r>
      <w:r w:rsidR="00F7329C">
        <w:t>s</w:t>
      </w:r>
      <w:r w:rsidR="00804500">
        <w:t>.</w:t>
      </w:r>
      <w:r w:rsidR="004401ED">
        <w:t xml:space="preserve"> </w:t>
      </w:r>
      <w:r w:rsidR="00804500">
        <w:t>The</w:t>
      </w:r>
      <w:r w:rsidR="00F7329C">
        <w:t> </w:t>
      </w:r>
      <w:r w:rsidR="00FA26C9">
        <w:t xml:space="preserve">evidence-based, consistent messaging will be </w:t>
      </w:r>
      <w:r w:rsidR="00255E54">
        <w:t xml:space="preserve">extensively </w:t>
      </w:r>
      <w:r w:rsidR="00FA26C9">
        <w:t xml:space="preserve">trialled and user-tested. </w:t>
      </w:r>
    </w:p>
    <w:p w:rsidR="000C3732" w:rsidRPr="005F095D" w:rsidRDefault="000C3732" w:rsidP="00B26798">
      <w:pPr>
        <w:pStyle w:val="ListParagraph"/>
        <w:keepNext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Staff training</w:t>
      </w:r>
    </w:p>
    <w:p w:rsidR="005F095D" w:rsidRDefault="004F65D2" w:rsidP="008E058E">
      <w:pPr>
        <w:spacing w:after="200"/>
        <w:ind w:left="357"/>
      </w:pPr>
      <w:r>
        <w:t>S</w:t>
      </w:r>
      <w:r w:rsidR="00804500" w:rsidRPr="00804500">
        <w:t xml:space="preserve">taff involved in providing </w:t>
      </w:r>
      <w:r w:rsidR="009E1A4D">
        <w:t>online</w:t>
      </w:r>
      <w:r w:rsidR="00F7329C">
        <w:t xml:space="preserve"> wagering</w:t>
      </w:r>
      <w:r w:rsidR="00804500" w:rsidRPr="00804500">
        <w:t xml:space="preserve"> services, or with the capacity to influence the service, will be trained in the responsible service of online </w:t>
      </w:r>
      <w:r w:rsidR="00090351">
        <w:t>wagering</w:t>
      </w:r>
      <w:r w:rsidR="00804500">
        <w:t>. This will help to</w:t>
      </w:r>
      <w:r w:rsidR="002A1340">
        <w:t xml:space="preserve"> </w:t>
      </w:r>
      <w:r w:rsidR="00804500">
        <w:t xml:space="preserve">reduce </w:t>
      </w:r>
      <w:r w:rsidR="00F7329C">
        <w:t>h</w:t>
      </w:r>
      <w:r w:rsidR="00804500">
        <w:t>arm by creating</w:t>
      </w:r>
      <w:r w:rsidR="002A1340">
        <w:t xml:space="preserve"> a culture of responsible gambling within wagering organis</w:t>
      </w:r>
      <w:r w:rsidR="00804500">
        <w:t>ations nationally</w:t>
      </w:r>
      <w:r w:rsidR="004417B9">
        <w:t xml:space="preserve">. </w:t>
      </w:r>
    </w:p>
    <w:p w:rsidR="000C3732" w:rsidRPr="005F095D" w:rsidRDefault="000C3732" w:rsidP="00E52FC0">
      <w:pPr>
        <w:pStyle w:val="ListParagraph"/>
        <w:numPr>
          <w:ilvl w:val="0"/>
          <w:numId w:val="6"/>
        </w:numPr>
        <w:spacing w:after="0"/>
        <w:ind w:left="357" w:hanging="357"/>
        <w:rPr>
          <w:b/>
        </w:rPr>
      </w:pPr>
      <w:r w:rsidRPr="005F095D">
        <w:rPr>
          <w:b/>
        </w:rPr>
        <w:t>National self-exclusion register</w:t>
      </w:r>
    </w:p>
    <w:p w:rsidR="004421E4" w:rsidRDefault="004F65D2" w:rsidP="008E058E">
      <w:pPr>
        <w:spacing w:after="200"/>
        <w:ind w:left="357"/>
      </w:pPr>
      <w:r>
        <w:t>T</w:t>
      </w:r>
      <w:r w:rsidR="00255E54">
        <w:t>hose experiencing gambling harm will be able to exclude themselves from all interactive wagering services via</w:t>
      </w:r>
      <w:r w:rsidR="002A1340">
        <w:t xml:space="preserve"> a</w:t>
      </w:r>
      <w:r w:rsidR="004417B9">
        <w:t xml:space="preserve"> simple online registration process</w:t>
      </w:r>
      <w:r w:rsidR="00BD6C60">
        <w:t>, meeting a critical gap in consumer protection</w:t>
      </w:r>
      <w:r w:rsidR="003068AF">
        <w:t>s</w:t>
      </w:r>
      <w:r w:rsidR="00BD6C60">
        <w:t xml:space="preserve"> in Australia.</w:t>
      </w:r>
    </w:p>
    <w:p w:rsidR="006D69F6" w:rsidRPr="006D69F6" w:rsidRDefault="00D777F1" w:rsidP="00F8336D">
      <w:pPr>
        <w:pStyle w:val="Heading1"/>
      </w:pPr>
      <w:r>
        <w:t>When will the measures be implemented?</w:t>
      </w:r>
    </w:p>
    <w:p w:rsidR="005F095D" w:rsidRDefault="005F095D" w:rsidP="002F5799">
      <w:r>
        <w:t xml:space="preserve">Beginning from </w:t>
      </w:r>
      <w:r w:rsidR="00D92717" w:rsidRPr="0019629D">
        <w:t>26 November 2018</w:t>
      </w:r>
      <w:r>
        <w:t xml:space="preserve">, the measures within the National Framework </w:t>
      </w:r>
      <w:r w:rsidR="00B26798">
        <w:t xml:space="preserve">have been implemented progressively. </w:t>
      </w:r>
      <w:r w:rsidR="00003D12">
        <w:t xml:space="preserve">Some measures are already in place through the </w:t>
      </w:r>
      <w:r w:rsidR="00003D12" w:rsidRPr="00003D12">
        <w:t xml:space="preserve">Commonwealth’s </w:t>
      </w:r>
      <w:r w:rsidR="00003D12" w:rsidRPr="00003D12">
        <w:rPr>
          <w:i/>
        </w:rPr>
        <w:t>Interactive Gambling Amendment Act 2017</w:t>
      </w:r>
      <w:r w:rsidR="00B26798">
        <w:rPr>
          <w:i/>
        </w:rPr>
        <w:t xml:space="preserve"> </w:t>
      </w:r>
      <w:r w:rsidR="00B26798" w:rsidRPr="00B26798">
        <w:t xml:space="preserve">and </w:t>
      </w:r>
      <w:r w:rsidR="00B26798">
        <w:t xml:space="preserve">state and territory regulations. </w:t>
      </w:r>
    </w:p>
    <w:p w:rsidR="005F095D" w:rsidRPr="002F5799" w:rsidDel="00496DD0" w:rsidRDefault="005F095D" w:rsidP="002F5799">
      <w:r>
        <w:t>Commonwealth, state and territory governments are committed to working together to ensure these measures provide the greatest protection for Australians who gamble online. During the implementation process</w:t>
      </w:r>
      <w:r w:rsidR="00243513">
        <w:t>,</w:t>
      </w:r>
      <w:r>
        <w:t xml:space="preserve"> </w:t>
      </w:r>
      <w:r w:rsidR="0006250E">
        <w:t>governments</w:t>
      </w:r>
      <w:r>
        <w:t xml:space="preserve"> will monitor the measures and continue to build on and refine them in line with </w:t>
      </w:r>
      <w:r w:rsidR="004F65D2">
        <w:t xml:space="preserve">the </w:t>
      </w:r>
      <w:r>
        <w:t xml:space="preserve">latest evidence. </w:t>
      </w:r>
    </w:p>
    <w:p w:rsidR="00B77D94" w:rsidRPr="00B77D94" w:rsidRDefault="00F8336D" w:rsidP="001F33AF">
      <w:pPr>
        <w:pStyle w:val="Heading2"/>
      </w:pPr>
      <w:r>
        <w:t>More information</w:t>
      </w:r>
    </w:p>
    <w:p w:rsidR="009476FF" w:rsidRDefault="001F33AF" w:rsidP="001F33AF">
      <w:r w:rsidRPr="00C25E01">
        <w:t xml:space="preserve">For more information about </w:t>
      </w:r>
      <w:r w:rsidR="000C3732">
        <w:t>these</w:t>
      </w:r>
      <w:r w:rsidRPr="00C25E01">
        <w:t xml:space="preserve"> measure</w:t>
      </w:r>
      <w:r w:rsidR="000C3732">
        <w:t>s</w:t>
      </w:r>
      <w:r w:rsidRPr="00C25E01">
        <w:t xml:space="preserve"> and other Department of Social Services’ </w:t>
      </w:r>
      <w:r w:rsidR="000C3732">
        <w:t>gambling reform</w:t>
      </w:r>
      <w:r w:rsidRPr="00C25E01">
        <w:t xml:space="preserve">, </w:t>
      </w:r>
      <w:r>
        <w:t xml:space="preserve">visit </w:t>
      </w:r>
      <w:bookmarkStart w:id="0" w:name="_GoBack"/>
      <w:bookmarkEnd w:id="0"/>
      <w:r w:rsidR="00B43EC0">
        <w:fldChar w:fldCharType="begin"/>
      </w:r>
      <w:r w:rsidR="00B43EC0">
        <w:instrText xml:space="preserve"> HYPERLINK "https://www.dss.gov.au/communities-and-vulnerable-people/programmes-services/gambling" </w:instrText>
      </w:r>
      <w:r w:rsidR="00B43EC0">
        <w:fldChar w:fldCharType="separate"/>
      </w:r>
      <w:r w:rsidRPr="0019629D">
        <w:rPr>
          <w:rStyle w:val="Hyperlink"/>
          <w:rFonts w:eastAsiaTheme="majorEastAsia"/>
        </w:rPr>
        <w:t>Departm</w:t>
      </w:r>
      <w:r w:rsidRPr="0019629D">
        <w:rPr>
          <w:rStyle w:val="Hyperlink"/>
          <w:rFonts w:eastAsiaTheme="majorEastAsia"/>
        </w:rPr>
        <w:t>e</w:t>
      </w:r>
      <w:r w:rsidRPr="0019629D">
        <w:rPr>
          <w:rStyle w:val="Hyperlink"/>
          <w:rFonts w:eastAsiaTheme="majorEastAsia"/>
        </w:rPr>
        <w:t>nt of Social Services</w:t>
      </w:r>
      <w:r w:rsidR="00B43EC0">
        <w:rPr>
          <w:rStyle w:val="Hyperlink"/>
          <w:rFonts w:eastAsiaTheme="majorEastAsia"/>
        </w:rPr>
        <w:fldChar w:fldCharType="end"/>
      </w:r>
      <w:r w:rsidRPr="00D22A8A">
        <w:t xml:space="preserve"> </w:t>
      </w:r>
      <w:r w:rsidR="00D92717">
        <w:t>website.</w:t>
      </w:r>
    </w:p>
    <w:sectPr w:rsidR="009476FF" w:rsidSect="008E058E">
      <w:headerReference w:type="default" r:id="rId14"/>
      <w:footerReference w:type="default" r:id="rId15"/>
      <w:type w:val="continuous"/>
      <w:pgSz w:w="11906" w:h="16838"/>
      <w:pgMar w:top="1102" w:right="849" w:bottom="754" w:left="851" w:header="426" w:footer="490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C0" w:rsidRDefault="00B43EC0" w:rsidP="00410EB6">
      <w:pPr>
        <w:spacing w:after="0" w:line="240" w:lineRule="auto"/>
      </w:pPr>
      <w:r>
        <w:separator/>
      </w:r>
    </w:p>
  </w:endnote>
  <w:endnote w:type="continuationSeparator" w:id="0">
    <w:p w:rsidR="00B43EC0" w:rsidRDefault="00B43EC0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69" w:rsidRDefault="00804E69" w:rsidP="00804E69">
    <w:pPr>
      <w:pStyle w:val="Footer"/>
      <w:jc w:val="center"/>
    </w:pPr>
  </w:p>
  <w:p w:rsidR="00D87486" w:rsidRDefault="00D87486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7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164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94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E69" w:rsidRDefault="00560A0B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C0" w:rsidRDefault="00B43EC0" w:rsidP="00410EB6">
      <w:pPr>
        <w:spacing w:after="0" w:line="240" w:lineRule="auto"/>
      </w:pPr>
      <w:r>
        <w:separator/>
      </w:r>
    </w:p>
  </w:footnote>
  <w:footnote w:type="continuationSeparator" w:id="0">
    <w:p w:rsidR="00B43EC0" w:rsidRDefault="00B43EC0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3612B4">
    <w:pPr>
      <w:ind w:left="-7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B4" w:rsidRPr="003612B4" w:rsidRDefault="003612B4" w:rsidP="00AF34BE">
    <w:pPr>
      <w:spacing w:before="2000" w:after="0"/>
      <w:ind w:left="-850"/>
      <w:jc w:val="center"/>
    </w:pPr>
    <w:r w:rsidRPr="00AF34BE">
      <w:rPr>
        <w:noProof/>
        <w:lang w:eastAsia="en-AU"/>
      </w:rPr>
      <w:drawing>
        <wp:inline distT="0" distB="0" distL="0" distR="0" wp14:anchorId="3CC9C779" wp14:editId="23F63EC8">
          <wp:extent cx="7559900" cy="1443599"/>
          <wp:effectExtent l="0" t="0" r="3175" b="4445"/>
          <wp:docPr id="4" name="Picture 4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00" cy="144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06A" w:rsidRPr="003612B4" w:rsidRDefault="00D1206A" w:rsidP="003612B4">
    <w:pPr>
      <w:ind w:left="-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38C8"/>
    <w:rsid w:val="00003D12"/>
    <w:rsid w:val="0006250E"/>
    <w:rsid w:val="000758AC"/>
    <w:rsid w:val="00081610"/>
    <w:rsid w:val="00090351"/>
    <w:rsid w:val="000A1BDB"/>
    <w:rsid w:val="000B74EA"/>
    <w:rsid w:val="000C350D"/>
    <w:rsid w:val="000C3732"/>
    <w:rsid w:val="00120A46"/>
    <w:rsid w:val="00144DF7"/>
    <w:rsid w:val="00164938"/>
    <w:rsid w:val="00187623"/>
    <w:rsid w:val="0019629D"/>
    <w:rsid w:val="001E630D"/>
    <w:rsid w:val="001F33AF"/>
    <w:rsid w:val="002003A0"/>
    <w:rsid w:val="00211B64"/>
    <w:rsid w:val="00223B2A"/>
    <w:rsid w:val="00226422"/>
    <w:rsid w:val="00243513"/>
    <w:rsid w:val="00255E54"/>
    <w:rsid w:val="00262E1C"/>
    <w:rsid w:val="002806D3"/>
    <w:rsid w:val="00282E3B"/>
    <w:rsid w:val="002A1340"/>
    <w:rsid w:val="002A2866"/>
    <w:rsid w:val="002D088C"/>
    <w:rsid w:val="002F5799"/>
    <w:rsid w:val="003068AF"/>
    <w:rsid w:val="00345B22"/>
    <w:rsid w:val="003612B4"/>
    <w:rsid w:val="00365B94"/>
    <w:rsid w:val="003B2BB8"/>
    <w:rsid w:val="003D34FF"/>
    <w:rsid w:val="003E25A5"/>
    <w:rsid w:val="003F4A5C"/>
    <w:rsid w:val="00410EB6"/>
    <w:rsid w:val="004368E6"/>
    <w:rsid w:val="004401ED"/>
    <w:rsid w:val="004417B9"/>
    <w:rsid w:val="004421E4"/>
    <w:rsid w:val="0046059B"/>
    <w:rsid w:val="004927C6"/>
    <w:rsid w:val="004B54CA"/>
    <w:rsid w:val="004C20E1"/>
    <w:rsid w:val="004E5CBF"/>
    <w:rsid w:val="004E7175"/>
    <w:rsid w:val="004F65D2"/>
    <w:rsid w:val="0050270F"/>
    <w:rsid w:val="0051645A"/>
    <w:rsid w:val="0052762F"/>
    <w:rsid w:val="00534B22"/>
    <w:rsid w:val="00545286"/>
    <w:rsid w:val="00560A0B"/>
    <w:rsid w:val="005705AB"/>
    <w:rsid w:val="00572301"/>
    <w:rsid w:val="00581858"/>
    <w:rsid w:val="005B3935"/>
    <w:rsid w:val="005C3AA9"/>
    <w:rsid w:val="005D1E3D"/>
    <w:rsid w:val="005D6182"/>
    <w:rsid w:val="005F095D"/>
    <w:rsid w:val="0062044F"/>
    <w:rsid w:val="00631BA0"/>
    <w:rsid w:val="006500C5"/>
    <w:rsid w:val="00686442"/>
    <w:rsid w:val="00687D18"/>
    <w:rsid w:val="006A3D92"/>
    <w:rsid w:val="006A4CE7"/>
    <w:rsid w:val="006D69F6"/>
    <w:rsid w:val="007039BA"/>
    <w:rsid w:val="00764571"/>
    <w:rsid w:val="00774C46"/>
    <w:rsid w:val="00785261"/>
    <w:rsid w:val="007866DB"/>
    <w:rsid w:val="007A72AB"/>
    <w:rsid w:val="007B0256"/>
    <w:rsid w:val="007B0B72"/>
    <w:rsid w:val="007D0AC9"/>
    <w:rsid w:val="007E7875"/>
    <w:rsid w:val="007F107A"/>
    <w:rsid w:val="00804500"/>
    <w:rsid w:val="00804E69"/>
    <w:rsid w:val="008565DF"/>
    <w:rsid w:val="00861A4D"/>
    <w:rsid w:val="00871642"/>
    <w:rsid w:val="008B2CDA"/>
    <w:rsid w:val="008C3B29"/>
    <w:rsid w:val="008D6B06"/>
    <w:rsid w:val="008E058E"/>
    <w:rsid w:val="009225F0"/>
    <w:rsid w:val="00945682"/>
    <w:rsid w:val="009476FF"/>
    <w:rsid w:val="00966FDA"/>
    <w:rsid w:val="00994FD8"/>
    <w:rsid w:val="009A0DF6"/>
    <w:rsid w:val="009C1F00"/>
    <w:rsid w:val="009E1A4D"/>
    <w:rsid w:val="009E2EA1"/>
    <w:rsid w:val="009F3949"/>
    <w:rsid w:val="009F5167"/>
    <w:rsid w:val="00A04BE9"/>
    <w:rsid w:val="00A33B5E"/>
    <w:rsid w:val="00AB2394"/>
    <w:rsid w:val="00AF34BE"/>
    <w:rsid w:val="00B1763C"/>
    <w:rsid w:val="00B26798"/>
    <w:rsid w:val="00B30E3B"/>
    <w:rsid w:val="00B3337C"/>
    <w:rsid w:val="00B40A78"/>
    <w:rsid w:val="00B43EC0"/>
    <w:rsid w:val="00B75C0C"/>
    <w:rsid w:val="00B76D68"/>
    <w:rsid w:val="00B77D94"/>
    <w:rsid w:val="00BA2DB9"/>
    <w:rsid w:val="00BB4747"/>
    <w:rsid w:val="00BC3DF3"/>
    <w:rsid w:val="00BD6C60"/>
    <w:rsid w:val="00BE7148"/>
    <w:rsid w:val="00BF320C"/>
    <w:rsid w:val="00BF6142"/>
    <w:rsid w:val="00C444EA"/>
    <w:rsid w:val="00C458B4"/>
    <w:rsid w:val="00C57F9B"/>
    <w:rsid w:val="00C7007A"/>
    <w:rsid w:val="00CC70F7"/>
    <w:rsid w:val="00CD368D"/>
    <w:rsid w:val="00D03CE0"/>
    <w:rsid w:val="00D1206A"/>
    <w:rsid w:val="00D316B8"/>
    <w:rsid w:val="00D777F1"/>
    <w:rsid w:val="00D87486"/>
    <w:rsid w:val="00D92717"/>
    <w:rsid w:val="00D9323C"/>
    <w:rsid w:val="00D933D7"/>
    <w:rsid w:val="00DA021C"/>
    <w:rsid w:val="00DA6B12"/>
    <w:rsid w:val="00DD0A56"/>
    <w:rsid w:val="00DF32B4"/>
    <w:rsid w:val="00E079D5"/>
    <w:rsid w:val="00E16BF7"/>
    <w:rsid w:val="00E52FC0"/>
    <w:rsid w:val="00E65B5E"/>
    <w:rsid w:val="00E77390"/>
    <w:rsid w:val="00EA2142"/>
    <w:rsid w:val="00EA7EAE"/>
    <w:rsid w:val="00ED1298"/>
    <w:rsid w:val="00EF4224"/>
    <w:rsid w:val="00F15975"/>
    <w:rsid w:val="00F6281C"/>
    <w:rsid w:val="00F671B0"/>
    <w:rsid w:val="00F7329C"/>
    <w:rsid w:val="00F8336D"/>
    <w:rsid w:val="00FA26C9"/>
    <w:rsid w:val="00FB4BCB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A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C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CD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cma.gov.au/Industry/Internet/Internet-content/Interactive-gambling/interactive-gambling-act-refor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ma.gov.au/Industry/Internet/Internet-content/Interactive-gambling/interactive-gambling-act-reform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9E19-A746-4B29-8F21-8B246442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2020-08-27T00:42:00Z</dcterms:created>
  <dcterms:modified xsi:type="dcterms:W3CDTF">2020-08-27T01:32:00Z</dcterms:modified>
</cp:coreProperties>
</file>