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ACBF" w14:textId="625615C2" w:rsidR="00152B4F" w:rsidRDefault="00152B4F" w:rsidP="00152B4F">
      <w:pPr>
        <w:jc w:val="center"/>
      </w:pPr>
      <w:bookmarkStart w:id="0" w:name="_Toc266886219"/>
      <w:bookmarkStart w:id="1" w:name="_GoBack"/>
      <w:bookmarkEnd w:id="1"/>
      <w:r w:rsidRPr="009E0333">
        <w:rPr>
          <w:noProof/>
          <w:lang w:eastAsia="en-AU"/>
        </w:rPr>
        <w:drawing>
          <wp:inline distT="0" distB="0" distL="0" distR="0" wp14:anchorId="1B4AEE5B" wp14:editId="2339253B">
            <wp:extent cx="3922776" cy="2723388"/>
            <wp:effectExtent l="0" t="0" r="1905" b="1270"/>
            <wp:docPr id="6" name="Picture 6"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Employment Services Log with Australian Crest " title="Disability Employment Services Log with Australian Cres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2395" cy="2722880"/>
                    </a:xfrm>
                    <a:prstGeom prst="rect">
                      <a:avLst/>
                    </a:prstGeom>
                    <a:noFill/>
                    <a:ln>
                      <a:noFill/>
                    </a:ln>
                  </pic:spPr>
                </pic:pic>
              </a:graphicData>
            </a:graphic>
          </wp:inline>
        </w:drawing>
      </w:r>
    </w:p>
    <w:p w14:paraId="31E70AA8" w14:textId="77777777" w:rsidR="00152B4F" w:rsidRPr="00D0344A" w:rsidRDefault="00152B4F" w:rsidP="00152B4F">
      <w:pPr>
        <w:spacing w:before="1320" w:after="240"/>
        <w:jc w:val="center"/>
        <w:rPr>
          <w:b/>
          <w:sz w:val="52"/>
          <w:szCs w:val="52"/>
        </w:rPr>
      </w:pPr>
      <w:bookmarkStart w:id="2" w:name="_Toc517863459"/>
      <w:bookmarkStart w:id="3" w:name="_Toc266886221"/>
      <w:bookmarkEnd w:id="0"/>
      <w:r w:rsidRPr="00D0344A">
        <w:rPr>
          <w:b/>
          <w:sz w:val="52"/>
          <w:szCs w:val="52"/>
        </w:rPr>
        <w:t>DES Star Ratings</w:t>
      </w:r>
      <w:bookmarkEnd w:id="2"/>
      <w:r>
        <w:rPr>
          <w:b/>
          <w:sz w:val="52"/>
          <w:szCs w:val="52"/>
        </w:rPr>
        <w:br/>
        <w:t xml:space="preserve"> Methodology Advice</w:t>
      </w:r>
    </w:p>
    <w:p w14:paraId="07909EC2" w14:textId="763DB622" w:rsidR="00152B4F" w:rsidRPr="00D0344A" w:rsidRDefault="00152B4F" w:rsidP="00152B4F">
      <w:pPr>
        <w:spacing w:after="240"/>
        <w:contextualSpacing/>
        <w:jc w:val="center"/>
        <w:rPr>
          <w:b/>
          <w:sz w:val="36"/>
          <w:szCs w:val="36"/>
        </w:rPr>
      </w:pPr>
      <w:bookmarkStart w:id="4" w:name="_Toc517863460"/>
      <w:r w:rsidRPr="00D0344A">
        <w:rPr>
          <w:b/>
          <w:sz w:val="36"/>
          <w:szCs w:val="36"/>
        </w:rPr>
        <w:t xml:space="preserve">V </w:t>
      </w:r>
      <w:bookmarkEnd w:id="4"/>
      <w:r w:rsidR="00BD2CA5">
        <w:rPr>
          <w:b/>
          <w:sz w:val="36"/>
          <w:szCs w:val="36"/>
        </w:rPr>
        <w:t>1.2</w:t>
      </w:r>
    </w:p>
    <w:p w14:paraId="52273624" w14:textId="77777777" w:rsidR="00152B4F" w:rsidRDefault="00152B4F" w:rsidP="00152B4F">
      <w:pPr>
        <w:pStyle w:val="Disclaimer"/>
        <w:pBdr>
          <w:top w:val="single" w:sz="4" w:space="1" w:color="auto"/>
          <w:left w:val="single" w:sz="4" w:space="4" w:color="auto"/>
          <w:bottom w:val="single" w:sz="4" w:space="1" w:color="auto"/>
          <w:right w:val="single" w:sz="4" w:space="4" w:color="auto"/>
        </w:pBdr>
        <w:spacing w:before="46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4554EFB9" w14:textId="77777777" w:rsidR="00152B4F" w:rsidRPr="004D780F" w:rsidRDefault="00152B4F" w:rsidP="00152B4F">
      <w:pPr>
        <w:rPr>
          <w:b/>
          <w:sz w:val="24"/>
        </w:rPr>
      </w:pPr>
      <w:r>
        <w:br w:type="page"/>
      </w:r>
      <w:r w:rsidRPr="004D780F">
        <w:rPr>
          <w:b/>
          <w:sz w:val="24"/>
        </w:rPr>
        <w:lastRenderedPageBreak/>
        <w:t>Table of Contents</w:t>
      </w:r>
      <w:bookmarkEnd w:id="3"/>
      <w:r w:rsidRPr="004D780F">
        <w:rPr>
          <w:b/>
          <w:sz w:val="24"/>
        </w:rPr>
        <w:t xml:space="preserve"> </w:t>
      </w:r>
    </w:p>
    <w:p w14:paraId="667D7495" w14:textId="77777777" w:rsidR="00152B4F" w:rsidRDefault="00152B4F" w:rsidP="00152B4F">
      <w:pPr>
        <w:pStyle w:val="TOC2"/>
        <w:rPr>
          <w:rFonts w:cs="Times New Roman"/>
          <w:i w:val="0"/>
          <w:iCs w:val="0"/>
          <w:noProof/>
          <w:sz w:val="22"/>
          <w:szCs w:val="22"/>
        </w:rPr>
      </w:pPr>
      <w:r>
        <w:rPr>
          <w:rFonts w:cs="Times New Roman"/>
          <w:sz w:val="22"/>
          <w:szCs w:val="24"/>
        </w:rPr>
        <w:fldChar w:fldCharType="begin"/>
      </w:r>
      <w:r>
        <w:rPr>
          <w:rFonts w:cs="Times New Roman"/>
          <w:sz w:val="22"/>
          <w:szCs w:val="24"/>
        </w:rPr>
        <w:instrText xml:space="preserve"> TOC \o "1-3" \h \z \u </w:instrText>
      </w:r>
      <w:r>
        <w:rPr>
          <w:rFonts w:cs="Times New Roman"/>
          <w:sz w:val="22"/>
          <w:szCs w:val="24"/>
        </w:rPr>
        <w:fldChar w:fldCharType="separate"/>
      </w:r>
      <w:hyperlink w:anchor="_Toc47098265" w:history="1">
        <w:r w:rsidRPr="00272CDD">
          <w:rPr>
            <w:rStyle w:val="Hyperlink"/>
            <w:rFonts w:cs="Cambria"/>
            <w:noProof/>
          </w:rPr>
          <w:t>DES Star Ratings Methodology Advice</w:t>
        </w:r>
        <w:r>
          <w:rPr>
            <w:noProof/>
            <w:webHidden/>
          </w:rPr>
          <w:tab/>
        </w:r>
        <w:r>
          <w:rPr>
            <w:noProof/>
            <w:webHidden/>
          </w:rPr>
          <w:fldChar w:fldCharType="begin"/>
        </w:r>
        <w:r>
          <w:rPr>
            <w:noProof/>
            <w:webHidden/>
          </w:rPr>
          <w:instrText xml:space="preserve"> PAGEREF _Toc47098265 \h </w:instrText>
        </w:r>
        <w:r>
          <w:rPr>
            <w:noProof/>
            <w:webHidden/>
          </w:rPr>
        </w:r>
        <w:r>
          <w:rPr>
            <w:noProof/>
            <w:webHidden/>
          </w:rPr>
          <w:fldChar w:fldCharType="separate"/>
        </w:r>
        <w:r>
          <w:rPr>
            <w:noProof/>
            <w:webHidden/>
          </w:rPr>
          <w:t>3</w:t>
        </w:r>
        <w:r>
          <w:rPr>
            <w:noProof/>
            <w:webHidden/>
          </w:rPr>
          <w:fldChar w:fldCharType="end"/>
        </w:r>
      </w:hyperlink>
    </w:p>
    <w:p w14:paraId="75EE52F0" w14:textId="77777777" w:rsidR="00152B4F" w:rsidRDefault="006F6048" w:rsidP="00152B4F">
      <w:pPr>
        <w:pStyle w:val="TOC2"/>
        <w:rPr>
          <w:rFonts w:cs="Times New Roman"/>
          <w:i w:val="0"/>
          <w:iCs w:val="0"/>
          <w:noProof/>
          <w:sz w:val="22"/>
          <w:szCs w:val="22"/>
        </w:rPr>
      </w:pPr>
      <w:hyperlink w:anchor="_Toc47098266" w:history="1">
        <w:r w:rsidR="00152B4F" w:rsidRPr="00272CDD">
          <w:rPr>
            <w:rStyle w:val="Hyperlink"/>
            <w:rFonts w:cs="Cambria"/>
            <w:noProof/>
          </w:rPr>
          <w:t>Introduction</w:t>
        </w:r>
        <w:r w:rsidR="00152B4F">
          <w:rPr>
            <w:noProof/>
            <w:webHidden/>
          </w:rPr>
          <w:tab/>
        </w:r>
        <w:r w:rsidR="00152B4F">
          <w:rPr>
            <w:noProof/>
            <w:webHidden/>
          </w:rPr>
          <w:fldChar w:fldCharType="begin"/>
        </w:r>
        <w:r w:rsidR="00152B4F">
          <w:rPr>
            <w:noProof/>
            <w:webHidden/>
          </w:rPr>
          <w:instrText xml:space="preserve"> PAGEREF _Toc47098266 \h </w:instrText>
        </w:r>
        <w:r w:rsidR="00152B4F">
          <w:rPr>
            <w:noProof/>
            <w:webHidden/>
          </w:rPr>
        </w:r>
        <w:r w:rsidR="00152B4F">
          <w:rPr>
            <w:noProof/>
            <w:webHidden/>
          </w:rPr>
          <w:fldChar w:fldCharType="separate"/>
        </w:r>
        <w:r w:rsidR="00152B4F">
          <w:rPr>
            <w:noProof/>
            <w:webHidden/>
          </w:rPr>
          <w:t>4</w:t>
        </w:r>
        <w:r w:rsidR="00152B4F">
          <w:rPr>
            <w:noProof/>
            <w:webHidden/>
          </w:rPr>
          <w:fldChar w:fldCharType="end"/>
        </w:r>
      </w:hyperlink>
    </w:p>
    <w:p w14:paraId="52F0C715" w14:textId="77777777" w:rsidR="00152B4F" w:rsidRDefault="006F6048" w:rsidP="00152B4F">
      <w:pPr>
        <w:pStyle w:val="TOC2"/>
        <w:rPr>
          <w:rFonts w:cs="Times New Roman"/>
          <w:i w:val="0"/>
          <w:iCs w:val="0"/>
          <w:noProof/>
          <w:sz w:val="22"/>
          <w:szCs w:val="22"/>
        </w:rPr>
      </w:pPr>
      <w:hyperlink w:anchor="_Toc47098267" w:history="1">
        <w:r w:rsidR="00152B4F" w:rsidRPr="00272CDD">
          <w:rPr>
            <w:rStyle w:val="Hyperlink"/>
            <w:rFonts w:cs="Cambria"/>
            <w:noProof/>
          </w:rPr>
          <w:t>What do Star Ratings Assess?</w:t>
        </w:r>
        <w:r w:rsidR="00152B4F">
          <w:rPr>
            <w:noProof/>
            <w:webHidden/>
          </w:rPr>
          <w:tab/>
        </w:r>
        <w:r w:rsidR="00152B4F">
          <w:rPr>
            <w:noProof/>
            <w:webHidden/>
          </w:rPr>
          <w:fldChar w:fldCharType="begin"/>
        </w:r>
        <w:r w:rsidR="00152B4F">
          <w:rPr>
            <w:noProof/>
            <w:webHidden/>
          </w:rPr>
          <w:instrText xml:space="preserve"> PAGEREF _Toc47098267 \h </w:instrText>
        </w:r>
        <w:r w:rsidR="00152B4F">
          <w:rPr>
            <w:noProof/>
            <w:webHidden/>
          </w:rPr>
        </w:r>
        <w:r w:rsidR="00152B4F">
          <w:rPr>
            <w:noProof/>
            <w:webHidden/>
          </w:rPr>
          <w:fldChar w:fldCharType="separate"/>
        </w:r>
        <w:r w:rsidR="00152B4F">
          <w:rPr>
            <w:noProof/>
            <w:webHidden/>
          </w:rPr>
          <w:t>5</w:t>
        </w:r>
        <w:r w:rsidR="00152B4F">
          <w:rPr>
            <w:noProof/>
            <w:webHidden/>
          </w:rPr>
          <w:fldChar w:fldCharType="end"/>
        </w:r>
      </w:hyperlink>
    </w:p>
    <w:p w14:paraId="7A12613E" w14:textId="77777777" w:rsidR="00152B4F" w:rsidRDefault="006F6048" w:rsidP="00152B4F">
      <w:pPr>
        <w:pStyle w:val="TOC3"/>
        <w:tabs>
          <w:tab w:val="right" w:pos="8296"/>
        </w:tabs>
        <w:rPr>
          <w:rFonts w:cs="Times New Roman"/>
          <w:noProof/>
          <w:sz w:val="22"/>
          <w:szCs w:val="22"/>
        </w:rPr>
      </w:pPr>
      <w:hyperlink w:anchor="_Toc47098268" w:history="1">
        <w:r w:rsidR="00152B4F" w:rsidRPr="00272CDD">
          <w:rPr>
            <w:rStyle w:val="Hyperlink"/>
            <w:noProof/>
          </w:rPr>
          <w:t>Key Performance Indicators</w:t>
        </w:r>
        <w:r w:rsidR="00152B4F">
          <w:rPr>
            <w:noProof/>
            <w:webHidden/>
          </w:rPr>
          <w:tab/>
        </w:r>
        <w:r w:rsidR="00152B4F">
          <w:rPr>
            <w:noProof/>
            <w:webHidden/>
          </w:rPr>
          <w:fldChar w:fldCharType="begin"/>
        </w:r>
        <w:r w:rsidR="00152B4F">
          <w:rPr>
            <w:noProof/>
            <w:webHidden/>
          </w:rPr>
          <w:instrText xml:space="preserve"> PAGEREF _Toc47098268 \h </w:instrText>
        </w:r>
        <w:r w:rsidR="00152B4F">
          <w:rPr>
            <w:noProof/>
            <w:webHidden/>
          </w:rPr>
        </w:r>
        <w:r w:rsidR="00152B4F">
          <w:rPr>
            <w:noProof/>
            <w:webHidden/>
          </w:rPr>
          <w:fldChar w:fldCharType="separate"/>
        </w:r>
        <w:r w:rsidR="00152B4F">
          <w:rPr>
            <w:noProof/>
            <w:webHidden/>
          </w:rPr>
          <w:t>5</w:t>
        </w:r>
        <w:r w:rsidR="00152B4F">
          <w:rPr>
            <w:noProof/>
            <w:webHidden/>
          </w:rPr>
          <w:fldChar w:fldCharType="end"/>
        </w:r>
      </w:hyperlink>
    </w:p>
    <w:p w14:paraId="2E2987F4" w14:textId="77777777" w:rsidR="00152B4F" w:rsidRDefault="006F6048" w:rsidP="00152B4F">
      <w:pPr>
        <w:pStyle w:val="TOC3"/>
        <w:tabs>
          <w:tab w:val="right" w:pos="8296"/>
        </w:tabs>
        <w:rPr>
          <w:rFonts w:cs="Times New Roman"/>
          <w:noProof/>
          <w:sz w:val="22"/>
          <w:szCs w:val="22"/>
        </w:rPr>
      </w:pPr>
      <w:hyperlink w:anchor="_Toc47098269" w:history="1">
        <w:r w:rsidR="00152B4F" w:rsidRPr="00272CDD">
          <w:rPr>
            <w:rStyle w:val="Hyperlink"/>
            <w:noProof/>
          </w:rPr>
          <w:t>Performance Measures and their weightings</w:t>
        </w:r>
        <w:r w:rsidR="00152B4F">
          <w:rPr>
            <w:noProof/>
            <w:webHidden/>
          </w:rPr>
          <w:tab/>
        </w:r>
        <w:r w:rsidR="00152B4F">
          <w:rPr>
            <w:noProof/>
            <w:webHidden/>
          </w:rPr>
          <w:fldChar w:fldCharType="begin"/>
        </w:r>
        <w:r w:rsidR="00152B4F">
          <w:rPr>
            <w:noProof/>
            <w:webHidden/>
          </w:rPr>
          <w:instrText xml:space="preserve"> PAGEREF _Toc47098269 \h </w:instrText>
        </w:r>
        <w:r w:rsidR="00152B4F">
          <w:rPr>
            <w:noProof/>
            <w:webHidden/>
          </w:rPr>
        </w:r>
        <w:r w:rsidR="00152B4F">
          <w:rPr>
            <w:noProof/>
            <w:webHidden/>
          </w:rPr>
          <w:fldChar w:fldCharType="separate"/>
        </w:r>
        <w:r w:rsidR="00152B4F">
          <w:rPr>
            <w:noProof/>
            <w:webHidden/>
          </w:rPr>
          <w:t>5</w:t>
        </w:r>
        <w:r w:rsidR="00152B4F">
          <w:rPr>
            <w:noProof/>
            <w:webHidden/>
          </w:rPr>
          <w:fldChar w:fldCharType="end"/>
        </w:r>
      </w:hyperlink>
    </w:p>
    <w:p w14:paraId="0A515C02" w14:textId="77777777" w:rsidR="00152B4F" w:rsidRDefault="006F6048" w:rsidP="00152B4F">
      <w:pPr>
        <w:pStyle w:val="TOC3"/>
        <w:tabs>
          <w:tab w:val="right" w:pos="8296"/>
        </w:tabs>
        <w:rPr>
          <w:rFonts w:cs="Times New Roman"/>
          <w:noProof/>
          <w:sz w:val="22"/>
          <w:szCs w:val="22"/>
        </w:rPr>
      </w:pPr>
      <w:hyperlink w:anchor="_Toc47098270" w:history="1">
        <w:r w:rsidR="00152B4F" w:rsidRPr="00272CDD">
          <w:rPr>
            <w:rStyle w:val="Hyperlink"/>
            <w:noProof/>
          </w:rPr>
          <w:t>Performance Measures Numerator and Denominator Definitions</w:t>
        </w:r>
        <w:r w:rsidR="00152B4F">
          <w:rPr>
            <w:noProof/>
            <w:webHidden/>
          </w:rPr>
          <w:tab/>
        </w:r>
        <w:r w:rsidR="00152B4F">
          <w:rPr>
            <w:noProof/>
            <w:webHidden/>
          </w:rPr>
          <w:fldChar w:fldCharType="begin"/>
        </w:r>
        <w:r w:rsidR="00152B4F">
          <w:rPr>
            <w:noProof/>
            <w:webHidden/>
          </w:rPr>
          <w:instrText xml:space="preserve"> PAGEREF _Toc47098270 \h </w:instrText>
        </w:r>
        <w:r w:rsidR="00152B4F">
          <w:rPr>
            <w:noProof/>
            <w:webHidden/>
          </w:rPr>
        </w:r>
        <w:r w:rsidR="00152B4F">
          <w:rPr>
            <w:noProof/>
            <w:webHidden/>
          </w:rPr>
          <w:fldChar w:fldCharType="separate"/>
        </w:r>
        <w:r w:rsidR="00152B4F">
          <w:rPr>
            <w:noProof/>
            <w:webHidden/>
          </w:rPr>
          <w:t>7</w:t>
        </w:r>
        <w:r w:rsidR="00152B4F">
          <w:rPr>
            <w:noProof/>
            <w:webHidden/>
          </w:rPr>
          <w:fldChar w:fldCharType="end"/>
        </w:r>
      </w:hyperlink>
    </w:p>
    <w:p w14:paraId="6E436D53" w14:textId="77777777" w:rsidR="00152B4F" w:rsidRDefault="006F6048" w:rsidP="00152B4F">
      <w:pPr>
        <w:pStyle w:val="TOC3"/>
        <w:tabs>
          <w:tab w:val="right" w:pos="8296"/>
        </w:tabs>
        <w:rPr>
          <w:rFonts w:cs="Times New Roman"/>
          <w:noProof/>
          <w:sz w:val="22"/>
          <w:szCs w:val="22"/>
        </w:rPr>
      </w:pPr>
      <w:hyperlink w:anchor="_Toc47098271" w:history="1">
        <w:r w:rsidR="00152B4F" w:rsidRPr="00272CDD">
          <w:rPr>
            <w:rStyle w:val="Hyperlink"/>
            <w:rFonts w:cs="Cambria"/>
            <w:noProof/>
          </w:rPr>
          <w:t>Education Outcomes excluded from DES Star Ratings calculations</w:t>
        </w:r>
        <w:r w:rsidR="00152B4F">
          <w:rPr>
            <w:noProof/>
            <w:webHidden/>
          </w:rPr>
          <w:tab/>
        </w:r>
        <w:r w:rsidR="00152B4F">
          <w:rPr>
            <w:noProof/>
            <w:webHidden/>
          </w:rPr>
          <w:fldChar w:fldCharType="begin"/>
        </w:r>
        <w:r w:rsidR="00152B4F">
          <w:rPr>
            <w:noProof/>
            <w:webHidden/>
          </w:rPr>
          <w:instrText xml:space="preserve"> PAGEREF _Toc47098271 \h </w:instrText>
        </w:r>
        <w:r w:rsidR="00152B4F">
          <w:rPr>
            <w:noProof/>
            <w:webHidden/>
          </w:rPr>
        </w:r>
        <w:r w:rsidR="00152B4F">
          <w:rPr>
            <w:noProof/>
            <w:webHidden/>
          </w:rPr>
          <w:fldChar w:fldCharType="separate"/>
        </w:r>
        <w:r w:rsidR="00152B4F">
          <w:rPr>
            <w:noProof/>
            <w:webHidden/>
          </w:rPr>
          <w:t>7</w:t>
        </w:r>
        <w:r w:rsidR="00152B4F">
          <w:rPr>
            <w:noProof/>
            <w:webHidden/>
          </w:rPr>
          <w:fldChar w:fldCharType="end"/>
        </w:r>
      </w:hyperlink>
    </w:p>
    <w:p w14:paraId="2BC5F6A0" w14:textId="77777777" w:rsidR="00152B4F" w:rsidRDefault="006F6048" w:rsidP="00152B4F">
      <w:pPr>
        <w:pStyle w:val="TOC3"/>
        <w:tabs>
          <w:tab w:val="right" w:pos="8296"/>
        </w:tabs>
        <w:rPr>
          <w:rFonts w:cs="Times New Roman"/>
          <w:noProof/>
          <w:sz w:val="22"/>
          <w:szCs w:val="22"/>
        </w:rPr>
      </w:pPr>
      <w:hyperlink w:anchor="_Toc47098272" w:history="1">
        <w:r w:rsidR="00152B4F" w:rsidRPr="00272CDD">
          <w:rPr>
            <w:rStyle w:val="Hyperlink"/>
            <w:noProof/>
          </w:rPr>
          <w:t>Performance Measures</w:t>
        </w:r>
        <w:r w:rsidR="00152B4F">
          <w:rPr>
            <w:noProof/>
            <w:webHidden/>
          </w:rPr>
          <w:tab/>
        </w:r>
        <w:r w:rsidR="00152B4F">
          <w:rPr>
            <w:noProof/>
            <w:webHidden/>
          </w:rPr>
          <w:fldChar w:fldCharType="begin"/>
        </w:r>
        <w:r w:rsidR="00152B4F">
          <w:rPr>
            <w:noProof/>
            <w:webHidden/>
          </w:rPr>
          <w:instrText xml:space="preserve"> PAGEREF _Toc47098272 \h </w:instrText>
        </w:r>
        <w:r w:rsidR="00152B4F">
          <w:rPr>
            <w:noProof/>
            <w:webHidden/>
          </w:rPr>
        </w:r>
        <w:r w:rsidR="00152B4F">
          <w:rPr>
            <w:noProof/>
            <w:webHidden/>
          </w:rPr>
          <w:fldChar w:fldCharType="separate"/>
        </w:r>
        <w:r w:rsidR="00152B4F">
          <w:rPr>
            <w:noProof/>
            <w:webHidden/>
          </w:rPr>
          <w:t>10</w:t>
        </w:r>
        <w:r w:rsidR="00152B4F">
          <w:rPr>
            <w:noProof/>
            <w:webHidden/>
          </w:rPr>
          <w:fldChar w:fldCharType="end"/>
        </w:r>
      </w:hyperlink>
    </w:p>
    <w:p w14:paraId="64931A23" w14:textId="77777777" w:rsidR="00152B4F" w:rsidRDefault="006F6048" w:rsidP="00152B4F">
      <w:pPr>
        <w:pStyle w:val="TOC2"/>
        <w:rPr>
          <w:rFonts w:cs="Times New Roman"/>
          <w:i w:val="0"/>
          <w:iCs w:val="0"/>
          <w:noProof/>
          <w:sz w:val="22"/>
          <w:szCs w:val="22"/>
        </w:rPr>
      </w:pPr>
      <w:hyperlink w:anchor="_Toc47098273" w:history="1">
        <w:r w:rsidR="00152B4F" w:rsidRPr="00272CDD">
          <w:rPr>
            <w:rStyle w:val="Hyperlink"/>
            <w:rFonts w:cs="Cambria"/>
            <w:noProof/>
          </w:rPr>
          <w:t>What data is used to calculate Star Ratings?</w:t>
        </w:r>
        <w:r w:rsidR="00152B4F">
          <w:rPr>
            <w:noProof/>
            <w:webHidden/>
          </w:rPr>
          <w:tab/>
        </w:r>
        <w:r w:rsidR="00152B4F">
          <w:rPr>
            <w:noProof/>
            <w:webHidden/>
          </w:rPr>
          <w:fldChar w:fldCharType="begin"/>
        </w:r>
        <w:r w:rsidR="00152B4F">
          <w:rPr>
            <w:noProof/>
            <w:webHidden/>
          </w:rPr>
          <w:instrText xml:space="preserve"> PAGEREF _Toc47098273 \h </w:instrText>
        </w:r>
        <w:r w:rsidR="00152B4F">
          <w:rPr>
            <w:noProof/>
            <w:webHidden/>
          </w:rPr>
        </w:r>
        <w:r w:rsidR="00152B4F">
          <w:rPr>
            <w:noProof/>
            <w:webHidden/>
          </w:rPr>
          <w:fldChar w:fldCharType="separate"/>
        </w:r>
        <w:r w:rsidR="00152B4F">
          <w:rPr>
            <w:noProof/>
            <w:webHidden/>
          </w:rPr>
          <w:t>12</w:t>
        </w:r>
        <w:r w:rsidR="00152B4F">
          <w:rPr>
            <w:noProof/>
            <w:webHidden/>
          </w:rPr>
          <w:fldChar w:fldCharType="end"/>
        </w:r>
      </w:hyperlink>
    </w:p>
    <w:p w14:paraId="7A5E8B86" w14:textId="77777777" w:rsidR="00152B4F" w:rsidRDefault="006F6048" w:rsidP="00152B4F">
      <w:pPr>
        <w:pStyle w:val="TOC3"/>
        <w:tabs>
          <w:tab w:val="right" w:pos="8296"/>
        </w:tabs>
        <w:rPr>
          <w:rFonts w:cs="Times New Roman"/>
          <w:noProof/>
          <w:sz w:val="22"/>
          <w:szCs w:val="22"/>
        </w:rPr>
      </w:pPr>
      <w:hyperlink w:anchor="_Toc47098274" w:history="1">
        <w:r w:rsidR="00152B4F" w:rsidRPr="00272CDD">
          <w:rPr>
            <w:rStyle w:val="Hyperlink"/>
            <w:noProof/>
          </w:rPr>
          <w:t>Two Year Rolling Assessment Period</w:t>
        </w:r>
        <w:r w:rsidR="00152B4F">
          <w:rPr>
            <w:noProof/>
            <w:webHidden/>
          </w:rPr>
          <w:tab/>
        </w:r>
        <w:r w:rsidR="00152B4F">
          <w:rPr>
            <w:noProof/>
            <w:webHidden/>
          </w:rPr>
          <w:fldChar w:fldCharType="begin"/>
        </w:r>
        <w:r w:rsidR="00152B4F">
          <w:rPr>
            <w:noProof/>
            <w:webHidden/>
          </w:rPr>
          <w:instrText xml:space="preserve"> PAGEREF _Toc47098274 \h </w:instrText>
        </w:r>
        <w:r w:rsidR="00152B4F">
          <w:rPr>
            <w:noProof/>
            <w:webHidden/>
          </w:rPr>
        </w:r>
        <w:r w:rsidR="00152B4F">
          <w:rPr>
            <w:noProof/>
            <w:webHidden/>
          </w:rPr>
          <w:fldChar w:fldCharType="separate"/>
        </w:r>
        <w:r w:rsidR="00152B4F">
          <w:rPr>
            <w:noProof/>
            <w:webHidden/>
          </w:rPr>
          <w:t>12</w:t>
        </w:r>
        <w:r w:rsidR="00152B4F">
          <w:rPr>
            <w:noProof/>
            <w:webHidden/>
          </w:rPr>
          <w:fldChar w:fldCharType="end"/>
        </w:r>
      </w:hyperlink>
    </w:p>
    <w:p w14:paraId="181B9994" w14:textId="77777777" w:rsidR="00152B4F" w:rsidRDefault="006F6048" w:rsidP="00152B4F">
      <w:pPr>
        <w:pStyle w:val="TOC3"/>
        <w:tabs>
          <w:tab w:val="right" w:pos="8296"/>
        </w:tabs>
        <w:rPr>
          <w:rFonts w:cs="Times New Roman"/>
          <w:noProof/>
          <w:sz w:val="22"/>
          <w:szCs w:val="22"/>
        </w:rPr>
      </w:pPr>
      <w:hyperlink w:anchor="_Toc47098275" w:history="1">
        <w:r w:rsidR="00152B4F" w:rsidRPr="00272CDD">
          <w:rPr>
            <w:rStyle w:val="Hyperlink"/>
            <w:noProof/>
          </w:rPr>
          <w:t>Claim cut-off date for Star Ratings period</w:t>
        </w:r>
        <w:r w:rsidR="00152B4F">
          <w:rPr>
            <w:noProof/>
            <w:webHidden/>
          </w:rPr>
          <w:tab/>
        </w:r>
        <w:r w:rsidR="00152B4F">
          <w:rPr>
            <w:noProof/>
            <w:webHidden/>
          </w:rPr>
          <w:fldChar w:fldCharType="begin"/>
        </w:r>
        <w:r w:rsidR="00152B4F">
          <w:rPr>
            <w:noProof/>
            <w:webHidden/>
          </w:rPr>
          <w:instrText xml:space="preserve"> PAGEREF _Toc47098275 \h </w:instrText>
        </w:r>
        <w:r w:rsidR="00152B4F">
          <w:rPr>
            <w:noProof/>
            <w:webHidden/>
          </w:rPr>
        </w:r>
        <w:r w:rsidR="00152B4F">
          <w:rPr>
            <w:noProof/>
            <w:webHidden/>
          </w:rPr>
          <w:fldChar w:fldCharType="separate"/>
        </w:r>
        <w:r w:rsidR="00152B4F">
          <w:rPr>
            <w:noProof/>
            <w:webHidden/>
          </w:rPr>
          <w:t>12</w:t>
        </w:r>
        <w:r w:rsidR="00152B4F">
          <w:rPr>
            <w:noProof/>
            <w:webHidden/>
          </w:rPr>
          <w:fldChar w:fldCharType="end"/>
        </w:r>
      </w:hyperlink>
    </w:p>
    <w:p w14:paraId="75DF8D04" w14:textId="77777777" w:rsidR="00152B4F" w:rsidRDefault="006F6048" w:rsidP="00152B4F">
      <w:pPr>
        <w:pStyle w:val="TOC2"/>
        <w:rPr>
          <w:rFonts w:cs="Times New Roman"/>
          <w:i w:val="0"/>
          <w:iCs w:val="0"/>
          <w:noProof/>
          <w:sz w:val="22"/>
          <w:szCs w:val="22"/>
        </w:rPr>
      </w:pPr>
      <w:hyperlink w:anchor="_Toc47098276" w:history="1">
        <w:r w:rsidR="00152B4F" w:rsidRPr="00272CDD">
          <w:rPr>
            <w:rStyle w:val="Hyperlink"/>
            <w:rFonts w:cs="Cambria"/>
            <w:noProof/>
          </w:rPr>
          <w:t>How are star ratings calculated?</w:t>
        </w:r>
        <w:r w:rsidR="00152B4F">
          <w:rPr>
            <w:noProof/>
            <w:webHidden/>
          </w:rPr>
          <w:tab/>
        </w:r>
        <w:r w:rsidR="00152B4F">
          <w:rPr>
            <w:noProof/>
            <w:webHidden/>
          </w:rPr>
          <w:fldChar w:fldCharType="begin"/>
        </w:r>
        <w:r w:rsidR="00152B4F">
          <w:rPr>
            <w:noProof/>
            <w:webHidden/>
          </w:rPr>
          <w:instrText xml:space="preserve"> PAGEREF _Toc47098276 \h </w:instrText>
        </w:r>
        <w:r w:rsidR="00152B4F">
          <w:rPr>
            <w:noProof/>
            <w:webHidden/>
          </w:rPr>
        </w:r>
        <w:r w:rsidR="00152B4F">
          <w:rPr>
            <w:noProof/>
            <w:webHidden/>
          </w:rPr>
          <w:fldChar w:fldCharType="separate"/>
        </w:r>
        <w:r w:rsidR="00152B4F">
          <w:rPr>
            <w:noProof/>
            <w:webHidden/>
          </w:rPr>
          <w:t>14</w:t>
        </w:r>
        <w:r w:rsidR="00152B4F">
          <w:rPr>
            <w:noProof/>
            <w:webHidden/>
          </w:rPr>
          <w:fldChar w:fldCharType="end"/>
        </w:r>
      </w:hyperlink>
    </w:p>
    <w:p w14:paraId="1C31D2E2" w14:textId="77777777" w:rsidR="00152B4F" w:rsidRDefault="006F6048" w:rsidP="00152B4F">
      <w:pPr>
        <w:pStyle w:val="TOC3"/>
        <w:tabs>
          <w:tab w:val="right" w:pos="8296"/>
        </w:tabs>
        <w:rPr>
          <w:rFonts w:cs="Times New Roman"/>
          <w:noProof/>
          <w:sz w:val="22"/>
          <w:szCs w:val="22"/>
        </w:rPr>
      </w:pPr>
      <w:hyperlink w:anchor="_Toc47098277" w:history="1">
        <w:r w:rsidR="00152B4F" w:rsidRPr="00272CDD">
          <w:rPr>
            <w:rStyle w:val="Hyperlink"/>
            <w:rFonts w:cs="Cambria"/>
            <w:noProof/>
          </w:rPr>
          <w:t>Actual Performance</w:t>
        </w:r>
        <w:r w:rsidR="00152B4F">
          <w:rPr>
            <w:noProof/>
            <w:webHidden/>
          </w:rPr>
          <w:tab/>
        </w:r>
        <w:r w:rsidR="00152B4F">
          <w:rPr>
            <w:noProof/>
            <w:webHidden/>
          </w:rPr>
          <w:fldChar w:fldCharType="begin"/>
        </w:r>
        <w:r w:rsidR="00152B4F">
          <w:rPr>
            <w:noProof/>
            <w:webHidden/>
          </w:rPr>
          <w:instrText xml:space="preserve"> PAGEREF _Toc47098277 \h </w:instrText>
        </w:r>
        <w:r w:rsidR="00152B4F">
          <w:rPr>
            <w:noProof/>
            <w:webHidden/>
          </w:rPr>
        </w:r>
        <w:r w:rsidR="00152B4F">
          <w:rPr>
            <w:noProof/>
            <w:webHidden/>
          </w:rPr>
          <w:fldChar w:fldCharType="separate"/>
        </w:r>
        <w:r w:rsidR="00152B4F">
          <w:rPr>
            <w:noProof/>
            <w:webHidden/>
          </w:rPr>
          <w:t>14</w:t>
        </w:r>
        <w:r w:rsidR="00152B4F">
          <w:rPr>
            <w:noProof/>
            <w:webHidden/>
          </w:rPr>
          <w:fldChar w:fldCharType="end"/>
        </w:r>
      </w:hyperlink>
    </w:p>
    <w:p w14:paraId="3E73E877" w14:textId="77777777" w:rsidR="00152B4F" w:rsidRDefault="006F6048" w:rsidP="00152B4F">
      <w:pPr>
        <w:pStyle w:val="TOC3"/>
        <w:tabs>
          <w:tab w:val="right" w:pos="8296"/>
        </w:tabs>
        <w:rPr>
          <w:rFonts w:cs="Times New Roman"/>
          <w:noProof/>
          <w:sz w:val="22"/>
          <w:szCs w:val="22"/>
        </w:rPr>
      </w:pPr>
      <w:hyperlink w:anchor="_Toc47098278" w:history="1">
        <w:r w:rsidR="00152B4F" w:rsidRPr="00272CDD">
          <w:rPr>
            <w:rStyle w:val="Hyperlink"/>
            <w:rFonts w:cs="Cambria"/>
            <w:noProof/>
          </w:rPr>
          <w:t>Expected Performance and Statistical Regression</w:t>
        </w:r>
        <w:r w:rsidR="00152B4F">
          <w:rPr>
            <w:noProof/>
            <w:webHidden/>
          </w:rPr>
          <w:tab/>
        </w:r>
        <w:r w:rsidR="00152B4F">
          <w:rPr>
            <w:noProof/>
            <w:webHidden/>
          </w:rPr>
          <w:fldChar w:fldCharType="begin"/>
        </w:r>
        <w:r w:rsidR="00152B4F">
          <w:rPr>
            <w:noProof/>
            <w:webHidden/>
          </w:rPr>
          <w:instrText xml:space="preserve"> PAGEREF _Toc47098278 \h </w:instrText>
        </w:r>
        <w:r w:rsidR="00152B4F">
          <w:rPr>
            <w:noProof/>
            <w:webHidden/>
          </w:rPr>
        </w:r>
        <w:r w:rsidR="00152B4F">
          <w:rPr>
            <w:noProof/>
            <w:webHidden/>
          </w:rPr>
          <w:fldChar w:fldCharType="separate"/>
        </w:r>
        <w:r w:rsidR="00152B4F">
          <w:rPr>
            <w:noProof/>
            <w:webHidden/>
          </w:rPr>
          <w:t>14</w:t>
        </w:r>
        <w:r w:rsidR="00152B4F">
          <w:rPr>
            <w:noProof/>
            <w:webHidden/>
          </w:rPr>
          <w:fldChar w:fldCharType="end"/>
        </w:r>
      </w:hyperlink>
    </w:p>
    <w:p w14:paraId="7FA9F831" w14:textId="77777777" w:rsidR="00152B4F" w:rsidRDefault="006F6048" w:rsidP="00152B4F">
      <w:pPr>
        <w:pStyle w:val="TOC3"/>
        <w:tabs>
          <w:tab w:val="right" w:pos="8296"/>
        </w:tabs>
        <w:rPr>
          <w:rFonts w:cs="Times New Roman"/>
          <w:noProof/>
          <w:sz w:val="22"/>
          <w:szCs w:val="22"/>
        </w:rPr>
      </w:pPr>
      <w:hyperlink w:anchor="_Toc47098279" w:history="1">
        <w:r w:rsidR="00152B4F" w:rsidRPr="00272CDD">
          <w:rPr>
            <w:rStyle w:val="Hyperlink"/>
            <w:rFonts w:cs="Cambria"/>
            <w:noProof/>
          </w:rPr>
          <w:t>Example calculation of Actual to Expected Ratio</w:t>
        </w:r>
        <w:r w:rsidR="00152B4F">
          <w:rPr>
            <w:noProof/>
            <w:webHidden/>
          </w:rPr>
          <w:tab/>
        </w:r>
        <w:r w:rsidR="00152B4F">
          <w:rPr>
            <w:noProof/>
            <w:webHidden/>
          </w:rPr>
          <w:fldChar w:fldCharType="begin"/>
        </w:r>
        <w:r w:rsidR="00152B4F">
          <w:rPr>
            <w:noProof/>
            <w:webHidden/>
          </w:rPr>
          <w:instrText xml:space="preserve"> PAGEREF _Toc47098279 \h </w:instrText>
        </w:r>
        <w:r w:rsidR="00152B4F">
          <w:rPr>
            <w:noProof/>
            <w:webHidden/>
          </w:rPr>
        </w:r>
        <w:r w:rsidR="00152B4F">
          <w:rPr>
            <w:noProof/>
            <w:webHidden/>
          </w:rPr>
          <w:fldChar w:fldCharType="separate"/>
        </w:r>
        <w:r w:rsidR="00152B4F">
          <w:rPr>
            <w:noProof/>
            <w:webHidden/>
          </w:rPr>
          <w:t>18</w:t>
        </w:r>
        <w:r w:rsidR="00152B4F">
          <w:rPr>
            <w:noProof/>
            <w:webHidden/>
          </w:rPr>
          <w:fldChar w:fldCharType="end"/>
        </w:r>
      </w:hyperlink>
    </w:p>
    <w:p w14:paraId="36A35D46" w14:textId="77777777" w:rsidR="00152B4F" w:rsidRDefault="006F6048" w:rsidP="00152B4F">
      <w:pPr>
        <w:pStyle w:val="TOC3"/>
        <w:tabs>
          <w:tab w:val="right" w:pos="8296"/>
        </w:tabs>
        <w:rPr>
          <w:rFonts w:cs="Times New Roman"/>
          <w:noProof/>
          <w:sz w:val="22"/>
          <w:szCs w:val="22"/>
        </w:rPr>
      </w:pPr>
      <w:hyperlink w:anchor="_Toc47098280" w:history="1">
        <w:r w:rsidR="00152B4F" w:rsidRPr="00272CDD">
          <w:rPr>
            <w:rStyle w:val="Hyperlink"/>
            <w:rFonts w:cs="Cambria"/>
            <w:noProof/>
          </w:rPr>
          <w:t>Distribution of DES Star Ratings</w:t>
        </w:r>
        <w:r w:rsidR="00152B4F">
          <w:rPr>
            <w:noProof/>
            <w:webHidden/>
          </w:rPr>
          <w:tab/>
        </w:r>
        <w:r w:rsidR="00152B4F">
          <w:rPr>
            <w:noProof/>
            <w:webHidden/>
          </w:rPr>
          <w:fldChar w:fldCharType="begin"/>
        </w:r>
        <w:r w:rsidR="00152B4F">
          <w:rPr>
            <w:noProof/>
            <w:webHidden/>
          </w:rPr>
          <w:instrText xml:space="preserve"> PAGEREF _Toc47098280 \h </w:instrText>
        </w:r>
        <w:r w:rsidR="00152B4F">
          <w:rPr>
            <w:noProof/>
            <w:webHidden/>
          </w:rPr>
        </w:r>
        <w:r w:rsidR="00152B4F">
          <w:rPr>
            <w:noProof/>
            <w:webHidden/>
          </w:rPr>
          <w:fldChar w:fldCharType="separate"/>
        </w:r>
        <w:r w:rsidR="00152B4F">
          <w:rPr>
            <w:noProof/>
            <w:webHidden/>
          </w:rPr>
          <w:t>19</w:t>
        </w:r>
        <w:r w:rsidR="00152B4F">
          <w:rPr>
            <w:noProof/>
            <w:webHidden/>
          </w:rPr>
          <w:fldChar w:fldCharType="end"/>
        </w:r>
      </w:hyperlink>
    </w:p>
    <w:p w14:paraId="343E0871" w14:textId="77777777" w:rsidR="00152B4F" w:rsidRDefault="006F6048" w:rsidP="00152B4F">
      <w:pPr>
        <w:pStyle w:val="TOC2"/>
        <w:rPr>
          <w:rFonts w:cs="Times New Roman"/>
          <w:i w:val="0"/>
          <w:iCs w:val="0"/>
          <w:noProof/>
          <w:sz w:val="22"/>
          <w:szCs w:val="22"/>
        </w:rPr>
      </w:pPr>
      <w:hyperlink w:anchor="_Toc47098281" w:history="1">
        <w:r w:rsidR="00152B4F" w:rsidRPr="00272CDD">
          <w:rPr>
            <w:rStyle w:val="Hyperlink"/>
            <w:rFonts w:cs="Cambria"/>
            <w:noProof/>
          </w:rPr>
          <w:t>Star Ratings Model Six Steps –</w:t>
        </w:r>
        <w:r w:rsidR="00152B4F">
          <w:rPr>
            <w:noProof/>
            <w:webHidden/>
          </w:rPr>
          <w:tab/>
        </w:r>
        <w:r w:rsidR="00152B4F">
          <w:rPr>
            <w:noProof/>
            <w:webHidden/>
          </w:rPr>
          <w:fldChar w:fldCharType="begin"/>
        </w:r>
        <w:r w:rsidR="00152B4F">
          <w:rPr>
            <w:noProof/>
            <w:webHidden/>
          </w:rPr>
          <w:instrText xml:space="preserve"> PAGEREF _Toc47098281 \h </w:instrText>
        </w:r>
        <w:r w:rsidR="00152B4F">
          <w:rPr>
            <w:noProof/>
            <w:webHidden/>
          </w:rPr>
        </w:r>
        <w:r w:rsidR="00152B4F">
          <w:rPr>
            <w:noProof/>
            <w:webHidden/>
          </w:rPr>
          <w:fldChar w:fldCharType="separate"/>
        </w:r>
        <w:r w:rsidR="00152B4F">
          <w:rPr>
            <w:noProof/>
            <w:webHidden/>
          </w:rPr>
          <w:t>20</w:t>
        </w:r>
        <w:r w:rsidR="00152B4F">
          <w:rPr>
            <w:noProof/>
            <w:webHidden/>
          </w:rPr>
          <w:fldChar w:fldCharType="end"/>
        </w:r>
      </w:hyperlink>
    </w:p>
    <w:p w14:paraId="4AD6B1DD" w14:textId="77777777" w:rsidR="00152B4F" w:rsidRDefault="006F6048" w:rsidP="00152B4F">
      <w:pPr>
        <w:pStyle w:val="TOC3"/>
        <w:tabs>
          <w:tab w:val="right" w:pos="8296"/>
        </w:tabs>
        <w:rPr>
          <w:rFonts w:cs="Times New Roman"/>
          <w:noProof/>
          <w:sz w:val="22"/>
          <w:szCs w:val="22"/>
        </w:rPr>
      </w:pPr>
      <w:hyperlink w:anchor="_Toc47098282" w:history="1">
        <w:r w:rsidR="00152B4F" w:rsidRPr="00272CDD">
          <w:rPr>
            <w:rStyle w:val="Hyperlink"/>
            <w:rFonts w:cs="Cambria"/>
            <w:noProof/>
          </w:rPr>
          <w:t>Summary of the Six Steps</w:t>
        </w:r>
        <w:r w:rsidR="00152B4F">
          <w:rPr>
            <w:noProof/>
            <w:webHidden/>
          </w:rPr>
          <w:tab/>
        </w:r>
        <w:r w:rsidR="00152B4F">
          <w:rPr>
            <w:noProof/>
            <w:webHidden/>
          </w:rPr>
          <w:fldChar w:fldCharType="begin"/>
        </w:r>
        <w:r w:rsidR="00152B4F">
          <w:rPr>
            <w:noProof/>
            <w:webHidden/>
          </w:rPr>
          <w:instrText xml:space="preserve"> PAGEREF _Toc47098282 \h </w:instrText>
        </w:r>
        <w:r w:rsidR="00152B4F">
          <w:rPr>
            <w:noProof/>
            <w:webHidden/>
          </w:rPr>
        </w:r>
        <w:r w:rsidR="00152B4F">
          <w:rPr>
            <w:noProof/>
            <w:webHidden/>
          </w:rPr>
          <w:fldChar w:fldCharType="separate"/>
        </w:r>
        <w:r w:rsidR="00152B4F">
          <w:rPr>
            <w:noProof/>
            <w:webHidden/>
          </w:rPr>
          <w:t>20</w:t>
        </w:r>
        <w:r w:rsidR="00152B4F">
          <w:rPr>
            <w:noProof/>
            <w:webHidden/>
          </w:rPr>
          <w:fldChar w:fldCharType="end"/>
        </w:r>
      </w:hyperlink>
    </w:p>
    <w:p w14:paraId="29724AD2" w14:textId="77777777" w:rsidR="00152B4F" w:rsidRDefault="006F6048" w:rsidP="00152B4F">
      <w:pPr>
        <w:pStyle w:val="TOC3"/>
        <w:tabs>
          <w:tab w:val="right" w:pos="8296"/>
        </w:tabs>
        <w:rPr>
          <w:rFonts w:cs="Times New Roman"/>
          <w:noProof/>
          <w:sz w:val="22"/>
          <w:szCs w:val="22"/>
        </w:rPr>
      </w:pPr>
      <w:hyperlink w:anchor="_Toc47098283" w:history="1">
        <w:r w:rsidR="00152B4F" w:rsidRPr="00272CDD">
          <w:rPr>
            <w:rStyle w:val="Hyperlink"/>
            <w:rFonts w:cs="Cambria"/>
            <w:noProof/>
          </w:rPr>
          <w:t>The Star Ratings Model Six Steps In Detail</w:t>
        </w:r>
        <w:r w:rsidR="00152B4F">
          <w:rPr>
            <w:noProof/>
            <w:webHidden/>
          </w:rPr>
          <w:tab/>
        </w:r>
        <w:r w:rsidR="00152B4F">
          <w:rPr>
            <w:noProof/>
            <w:webHidden/>
          </w:rPr>
          <w:fldChar w:fldCharType="begin"/>
        </w:r>
        <w:r w:rsidR="00152B4F">
          <w:rPr>
            <w:noProof/>
            <w:webHidden/>
          </w:rPr>
          <w:instrText xml:space="preserve"> PAGEREF _Toc47098283 \h </w:instrText>
        </w:r>
        <w:r w:rsidR="00152B4F">
          <w:rPr>
            <w:noProof/>
            <w:webHidden/>
          </w:rPr>
        </w:r>
        <w:r w:rsidR="00152B4F">
          <w:rPr>
            <w:noProof/>
            <w:webHidden/>
          </w:rPr>
          <w:fldChar w:fldCharType="separate"/>
        </w:r>
        <w:r w:rsidR="00152B4F">
          <w:rPr>
            <w:noProof/>
            <w:webHidden/>
          </w:rPr>
          <w:t>21</w:t>
        </w:r>
        <w:r w:rsidR="00152B4F">
          <w:rPr>
            <w:noProof/>
            <w:webHidden/>
          </w:rPr>
          <w:fldChar w:fldCharType="end"/>
        </w:r>
      </w:hyperlink>
    </w:p>
    <w:p w14:paraId="20AD2478" w14:textId="77777777" w:rsidR="00152B4F" w:rsidRDefault="006F6048" w:rsidP="00152B4F">
      <w:pPr>
        <w:pStyle w:val="TOC3"/>
        <w:tabs>
          <w:tab w:val="right" w:pos="8296"/>
        </w:tabs>
        <w:rPr>
          <w:rFonts w:cs="Times New Roman"/>
          <w:noProof/>
          <w:sz w:val="22"/>
          <w:szCs w:val="22"/>
        </w:rPr>
      </w:pPr>
      <w:hyperlink w:anchor="_Toc47098284" w:history="1">
        <w:r w:rsidR="00152B4F" w:rsidRPr="00272CDD">
          <w:rPr>
            <w:rStyle w:val="Hyperlink"/>
            <w:rFonts w:cs="Cambria"/>
            <w:noProof/>
          </w:rPr>
          <w:t>Additional Business Rules</w:t>
        </w:r>
        <w:r w:rsidR="00152B4F">
          <w:rPr>
            <w:noProof/>
            <w:webHidden/>
          </w:rPr>
          <w:tab/>
        </w:r>
        <w:r w:rsidR="00152B4F">
          <w:rPr>
            <w:noProof/>
            <w:webHidden/>
          </w:rPr>
          <w:fldChar w:fldCharType="begin"/>
        </w:r>
        <w:r w:rsidR="00152B4F">
          <w:rPr>
            <w:noProof/>
            <w:webHidden/>
          </w:rPr>
          <w:instrText xml:space="preserve"> PAGEREF _Toc47098284 \h </w:instrText>
        </w:r>
        <w:r w:rsidR="00152B4F">
          <w:rPr>
            <w:noProof/>
            <w:webHidden/>
          </w:rPr>
        </w:r>
        <w:r w:rsidR="00152B4F">
          <w:rPr>
            <w:noProof/>
            <w:webHidden/>
          </w:rPr>
          <w:fldChar w:fldCharType="separate"/>
        </w:r>
        <w:r w:rsidR="00152B4F">
          <w:rPr>
            <w:noProof/>
            <w:webHidden/>
          </w:rPr>
          <w:t>27</w:t>
        </w:r>
        <w:r w:rsidR="00152B4F">
          <w:rPr>
            <w:noProof/>
            <w:webHidden/>
          </w:rPr>
          <w:fldChar w:fldCharType="end"/>
        </w:r>
      </w:hyperlink>
    </w:p>
    <w:p w14:paraId="2D5CE2B1" w14:textId="77777777" w:rsidR="00152B4F" w:rsidRDefault="006F6048" w:rsidP="00152B4F">
      <w:pPr>
        <w:pStyle w:val="TOC2"/>
        <w:rPr>
          <w:rFonts w:cs="Times New Roman"/>
          <w:i w:val="0"/>
          <w:iCs w:val="0"/>
          <w:noProof/>
          <w:sz w:val="22"/>
          <w:szCs w:val="22"/>
        </w:rPr>
      </w:pPr>
      <w:hyperlink w:anchor="_Toc47098285" w:history="1">
        <w:r w:rsidR="00152B4F" w:rsidRPr="00272CDD">
          <w:rPr>
            <w:rStyle w:val="Hyperlink"/>
            <w:rFonts w:cs="Cambria"/>
            <w:noProof/>
          </w:rPr>
          <w:t>When and how DES Star Ratings are published</w:t>
        </w:r>
        <w:r w:rsidR="00152B4F">
          <w:rPr>
            <w:noProof/>
            <w:webHidden/>
          </w:rPr>
          <w:tab/>
        </w:r>
        <w:r w:rsidR="00152B4F">
          <w:rPr>
            <w:noProof/>
            <w:webHidden/>
          </w:rPr>
          <w:fldChar w:fldCharType="begin"/>
        </w:r>
        <w:r w:rsidR="00152B4F">
          <w:rPr>
            <w:noProof/>
            <w:webHidden/>
          </w:rPr>
          <w:instrText xml:space="preserve"> PAGEREF _Toc47098285 \h </w:instrText>
        </w:r>
        <w:r w:rsidR="00152B4F">
          <w:rPr>
            <w:noProof/>
            <w:webHidden/>
          </w:rPr>
        </w:r>
        <w:r w:rsidR="00152B4F">
          <w:rPr>
            <w:noProof/>
            <w:webHidden/>
          </w:rPr>
          <w:fldChar w:fldCharType="separate"/>
        </w:r>
        <w:r w:rsidR="00152B4F">
          <w:rPr>
            <w:noProof/>
            <w:webHidden/>
          </w:rPr>
          <w:t>32</w:t>
        </w:r>
        <w:r w:rsidR="00152B4F">
          <w:rPr>
            <w:noProof/>
            <w:webHidden/>
          </w:rPr>
          <w:fldChar w:fldCharType="end"/>
        </w:r>
      </w:hyperlink>
    </w:p>
    <w:p w14:paraId="5F7164A2" w14:textId="77777777" w:rsidR="00152B4F" w:rsidRDefault="006F6048" w:rsidP="00152B4F">
      <w:pPr>
        <w:pStyle w:val="TOC3"/>
        <w:tabs>
          <w:tab w:val="right" w:pos="8296"/>
        </w:tabs>
        <w:rPr>
          <w:rFonts w:cs="Times New Roman"/>
          <w:noProof/>
          <w:sz w:val="22"/>
          <w:szCs w:val="22"/>
        </w:rPr>
      </w:pPr>
      <w:hyperlink w:anchor="_Toc47098286" w:history="1">
        <w:r w:rsidR="00152B4F" w:rsidRPr="00272CDD">
          <w:rPr>
            <w:rStyle w:val="Hyperlink"/>
            <w:rFonts w:cs="Cambria"/>
            <w:noProof/>
          </w:rPr>
          <w:t>Timing of 2018 DES Star Rating releases</w:t>
        </w:r>
        <w:r w:rsidR="00152B4F">
          <w:rPr>
            <w:noProof/>
            <w:webHidden/>
          </w:rPr>
          <w:tab/>
        </w:r>
        <w:r w:rsidR="00152B4F">
          <w:rPr>
            <w:noProof/>
            <w:webHidden/>
          </w:rPr>
          <w:fldChar w:fldCharType="begin"/>
        </w:r>
        <w:r w:rsidR="00152B4F">
          <w:rPr>
            <w:noProof/>
            <w:webHidden/>
          </w:rPr>
          <w:instrText xml:space="preserve"> PAGEREF _Toc47098286 \h </w:instrText>
        </w:r>
        <w:r w:rsidR="00152B4F">
          <w:rPr>
            <w:noProof/>
            <w:webHidden/>
          </w:rPr>
        </w:r>
        <w:r w:rsidR="00152B4F">
          <w:rPr>
            <w:noProof/>
            <w:webHidden/>
          </w:rPr>
          <w:fldChar w:fldCharType="separate"/>
        </w:r>
        <w:r w:rsidR="00152B4F">
          <w:rPr>
            <w:noProof/>
            <w:webHidden/>
          </w:rPr>
          <w:t>32</w:t>
        </w:r>
        <w:r w:rsidR="00152B4F">
          <w:rPr>
            <w:noProof/>
            <w:webHidden/>
          </w:rPr>
          <w:fldChar w:fldCharType="end"/>
        </w:r>
      </w:hyperlink>
    </w:p>
    <w:p w14:paraId="1C2E8DDE" w14:textId="77777777" w:rsidR="00152B4F" w:rsidRDefault="006F6048" w:rsidP="00152B4F">
      <w:pPr>
        <w:pStyle w:val="TOC3"/>
        <w:tabs>
          <w:tab w:val="right" w:pos="8296"/>
        </w:tabs>
        <w:rPr>
          <w:rFonts w:cs="Times New Roman"/>
          <w:noProof/>
          <w:sz w:val="22"/>
          <w:szCs w:val="22"/>
        </w:rPr>
      </w:pPr>
      <w:hyperlink w:anchor="_Toc47098287" w:history="1">
        <w:r w:rsidR="00152B4F" w:rsidRPr="00272CDD">
          <w:rPr>
            <w:rStyle w:val="Hyperlink"/>
            <w:rFonts w:cs="Cambria"/>
            <w:noProof/>
          </w:rPr>
          <w:t>Publication of DES Star Ratings</w:t>
        </w:r>
        <w:r w:rsidR="00152B4F">
          <w:rPr>
            <w:noProof/>
            <w:webHidden/>
          </w:rPr>
          <w:tab/>
        </w:r>
        <w:r w:rsidR="00152B4F">
          <w:rPr>
            <w:noProof/>
            <w:webHidden/>
          </w:rPr>
          <w:fldChar w:fldCharType="begin"/>
        </w:r>
        <w:r w:rsidR="00152B4F">
          <w:rPr>
            <w:noProof/>
            <w:webHidden/>
          </w:rPr>
          <w:instrText xml:space="preserve"> PAGEREF _Toc47098287 \h </w:instrText>
        </w:r>
        <w:r w:rsidR="00152B4F">
          <w:rPr>
            <w:noProof/>
            <w:webHidden/>
          </w:rPr>
        </w:r>
        <w:r w:rsidR="00152B4F">
          <w:rPr>
            <w:noProof/>
            <w:webHidden/>
          </w:rPr>
          <w:fldChar w:fldCharType="separate"/>
        </w:r>
        <w:r w:rsidR="00152B4F">
          <w:rPr>
            <w:noProof/>
            <w:webHidden/>
          </w:rPr>
          <w:t>32</w:t>
        </w:r>
        <w:r w:rsidR="00152B4F">
          <w:rPr>
            <w:noProof/>
            <w:webHidden/>
          </w:rPr>
          <w:fldChar w:fldCharType="end"/>
        </w:r>
      </w:hyperlink>
    </w:p>
    <w:p w14:paraId="41055085" w14:textId="77777777" w:rsidR="00152B4F" w:rsidRDefault="006F6048" w:rsidP="00152B4F">
      <w:pPr>
        <w:pStyle w:val="TOC3"/>
        <w:tabs>
          <w:tab w:val="right" w:pos="8296"/>
        </w:tabs>
        <w:rPr>
          <w:rFonts w:cs="Times New Roman"/>
          <w:noProof/>
          <w:sz w:val="22"/>
          <w:szCs w:val="22"/>
        </w:rPr>
      </w:pPr>
      <w:hyperlink w:anchor="_Toc47098288" w:history="1">
        <w:r w:rsidR="00152B4F" w:rsidRPr="00272CDD">
          <w:rPr>
            <w:rStyle w:val="Hyperlink"/>
            <w:rFonts w:cs="Cambria"/>
            <w:noProof/>
          </w:rPr>
          <w:t>DES provider level Star Ratings</w:t>
        </w:r>
        <w:r w:rsidR="00152B4F">
          <w:rPr>
            <w:noProof/>
            <w:webHidden/>
          </w:rPr>
          <w:tab/>
        </w:r>
        <w:r w:rsidR="00152B4F">
          <w:rPr>
            <w:noProof/>
            <w:webHidden/>
          </w:rPr>
          <w:fldChar w:fldCharType="begin"/>
        </w:r>
        <w:r w:rsidR="00152B4F">
          <w:rPr>
            <w:noProof/>
            <w:webHidden/>
          </w:rPr>
          <w:instrText xml:space="preserve"> PAGEREF _Toc47098288 \h </w:instrText>
        </w:r>
        <w:r w:rsidR="00152B4F">
          <w:rPr>
            <w:noProof/>
            <w:webHidden/>
          </w:rPr>
        </w:r>
        <w:r w:rsidR="00152B4F">
          <w:rPr>
            <w:noProof/>
            <w:webHidden/>
          </w:rPr>
          <w:fldChar w:fldCharType="separate"/>
        </w:r>
        <w:r w:rsidR="00152B4F">
          <w:rPr>
            <w:noProof/>
            <w:webHidden/>
          </w:rPr>
          <w:t>32</w:t>
        </w:r>
        <w:r w:rsidR="00152B4F">
          <w:rPr>
            <w:noProof/>
            <w:webHidden/>
          </w:rPr>
          <w:fldChar w:fldCharType="end"/>
        </w:r>
      </w:hyperlink>
    </w:p>
    <w:p w14:paraId="03EED41D" w14:textId="77777777" w:rsidR="00152B4F" w:rsidRDefault="006F6048" w:rsidP="00152B4F">
      <w:pPr>
        <w:pStyle w:val="TOC3"/>
        <w:tabs>
          <w:tab w:val="right" w:pos="8296"/>
        </w:tabs>
        <w:rPr>
          <w:rFonts w:cs="Times New Roman"/>
          <w:noProof/>
          <w:sz w:val="22"/>
          <w:szCs w:val="22"/>
        </w:rPr>
      </w:pPr>
      <w:hyperlink w:anchor="_Toc47098289" w:history="1">
        <w:r w:rsidR="00152B4F" w:rsidRPr="00272CDD">
          <w:rPr>
            <w:rStyle w:val="Hyperlink"/>
            <w:rFonts w:cs="Cambria"/>
            <w:noProof/>
          </w:rPr>
          <w:t>DES Site publishing arrangements</w:t>
        </w:r>
        <w:r w:rsidR="00152B4F">
          <w:rPr>
            <w:noProof/>
            <w:webHidden/>
          </w:rPr>
          <w:tab/>
        </w:r>
        <w:r w:rsidR="00152B4F">
          <w:rPr>
            <w:noProof/>
            <w:webHidden/>
          </w:rPr>
          <w:fldChar w:fldCharType="begin"/>
        </w:r>
        <w:r w:rsidR="00152B4F">
          <w:rPr>
            <w:noProof/>
            <w:webHidden/>
          </w:rPr>
          <w:instrText xml:space="preserve"> PAGEREF _Toc47098289 \h </w:instrText>
        </w:r>
        <w:r w:rsidR="00152B4F">
          <w:rPr>
            <w:noProof/>
            <w:webHidden/>
          </w:rPr>
        </w:r>
        <w:r w:rsidR="00152B4F">
          <w:rPr>
            <w:noProof/>
            <w:webHidden/>
          </w:rPr>
          <w:fldChar w:fldCharType="separate"/>
        </w:r>
        <w:r w:rsidR="00152B4F">
          <w:rPr>
            <w:noProof/>
            <w:webHidden/>
          </w:rPr>
          <w:t>32</w:t>
        </w:r>
        <w:r w:rsidR="00152B4F">
          <w:rPr>
            <w:noProof/>
            <w:webHidden/>
          </w:rPr>
          <w:fldChar w:fldCharType="end"/>
        </w:r>
      </w:hyperlink>
    </w:p>
    <w:p w14:paraId="7C4C0F2F" w14:textId="77777777" w:rsidR="00152B4F" w:rsidRDefault="006F6048" w:rsidP="00152B4F">
      <w:pPr>
        <w:pStyle w:val="TOC2"/>
        <w:rPr>
          <w:rFonts w:cs="Times New Roman"/>
          <w:i w:val="0"/>
          <w:iCs w:val="0"/>
          <w:noProof/>
          <w:sz w:val="22"/>
          <w:szCs w:val="22"/>
        </w:rPr>
      </w:pPr>
      <w:hyperlink w:anchor="_Toc47098290" w:history="1">
        <w:r w:rsidR="00152B4F" w:rsidRPr="00272CDD">
          <w:rPr>
            <w:rStyle w:val="Hyperlink"/>
            <w:rFonts w:cs="Cambria"/>
            <w:noProof/>
          </w:rPr>
          <w:t>DES performance reports</w:t>
        </w:r>
        <w:r w:rsidR="00152B4F">
          <w:rPr>
            <w:noProof/>
            <w:webHidden/>
          </w:rPr>
          <w:tab/>
        </w:r>
        <w:r w:rsidR="00152B4F">
          <w:rPr>
            <w:noProof/>
            <w:webHidden/>
          </w:rPr>
          <w:fldChar w:fldCharType="begin"/>
        </w:r>
        <w:r w:rsidR="00152B4F">
          <w:rPr>
            <w:noProof/>
            <w:webHidden/>
          </w:rPr>
          <w:instrText xml:space="preserve"> PAGEREF _Toc47098290 \h </w:instrText>
        </w:r>
        <w:r w:rsidR="00152B4F">
          <w:rPr>
            <w:noProof/>
            <w:webHidden/>
          </w:rPr>
        </w:r>
        <w:r w:rsidR="00152B4F">
          <w:rPr>
            <w:noProof/>
            <w:webHidden/>
          </w:rPr>
          <w:fldChar w:fldCharType="separate"/>
        </w:r>
        <w:r w:rsidR="00152B4F">
          <w:rPr>
            <w:noProof/>
            <w:webHidden/>
          </w:rPr>
          <w:t>33</w:t>
        </w:r>
        <w:r w:rsidR="00152B4F">
          <w:rPr>
            <w:noProof/>
            <w:webHidden/>
          </w:rPr>
          <w:fldChar w:fldCharType="end"/>
        </w:r>
      </w:hyperlink>
    </w:p>
    <w:p w14:paraId="0CEF7630" w14:textId="77777777" w:rsidR="00152B4F" w:rsidRDefault="006F6048" w:rsidP="00152B4F">
      <w:pPr>
        <w:pStyle w:val="TOC2"/>
        <w:rPr>
          <w:rFonts w:cs="Times New Roman"/>
          <w:i w:val="0"/>
          <w:iCs w:val="0"/>
          <w:noProof/>
          <w:sz w:val="22"/>
          <w:szCs w:val="22"/>
        </w:rPr>
      </w:pPr>
      <w:hyperlink w:anchor="_Toc47098291" w:history="1">
        <w:r w:rsidR="00152B4F" w:rsidRPr="00272CDD">
          <w:rPr>
            <w:rStyle w:val="Hyperlink"/>
            <w:rFonts w:cs="Cambria"/>
            <w:noProof/>
          </w:rPr>
          <w:t>Further information</w:t>
        </w:r>
        <w:r w:rsidR="00152B4F">
          <w:rPr>
            <w:noProof/>
            <w:webHidden/>
          </w:rPr>
          <w:tab/>
        </w:r>
        <w:r w:rsidR="00152B4F">
          <w:rPr>
            <w:noProof/>
            <w:webHidden/>
          </w:rPr>
          <w:fldChar w:fldCharType="begin"/>
        </w:r>
        <w:r w:rsidR="00152B4F">
          <w:rPr>
            <w:noProof/>
            <w:webHidden/>
          </w:rPr>
          <w:instrText xml:space="preserve"> PAGEREF _Toc47098291 \h </w:instrText>
        </w:r>
        <w:r w:rsidR="00152B4F">
          <w:rPr>
            <w:noProof/>
            <w:webHidden/>
          </w:rPr>
        </w:r>
        <w:r w:rsidR="00152B4F">
          <w:rPr>
            <w:noProof/>
            <w:webHidden/>
          </w:rPr>
          <w:fldChar w:fldCharType="separate"/>
        </w:r>
        <w:r w:rsidR="00152B4F">
          <w:rPr>
            <w:noProof/>
            <w:webHidden/>
          </w:rPr>
          <w:t>33</w:t>
        </w:r>
        <w:r w:rsidR="00152B4F">
          <w:rPr>
            <w:noProof/>
            <w:webHidden/>
          </w:rPr>
          <w:fldChar w:fldCharType="end"/>
        </w:r>
      </w:hyperlink>
    </w:p>
    <w:p w14:paraId="5995C981" w14:textId="77777777" w:rsidR="00152B4F" w:rsidRDefault="006F6048" w:rsidP="00152B4F">
      <w:pPr>
        <w:pStyle w:val="TOC2"/>
        <w:rPr>
          <w:rFonts w:cs="Times New Roman"/>
          <w:i w:val="0"/>
          <w:iCs w:val="0"/>
          <w:noProof/>
          <w:sz w:val="22"/>
          <w:szCs w:val="22"/>
        </w:rPr>
      </w:pPr>
      <w:hyperlink w:anchor="_Toc47098292" w:history="1">
        <w:r w:rsidR="00152B4F" w:rsidRPr="00272CDD">
          <w:rPr>
            <w:rStyle w:val="Hyperlink"/>
            <w:rFonts w:cs="Cambria"/>
            <w:noProof/>
          </w:rPr>
          <w:t>ATTACHMENT A</w:t>
        </w:r>
        <w:r w:rsidR="00152B4F">
          <w:rPr>
            <w:noProof/>
            <w:webHidden/>
          </w:rPr>
          <w:tab/>
        </w:r>
        <w:r w:rsidR="00152B4F">
          <w:rPr>
            <w:noProof/>
            <w:webHidden/>
          </w:rPr>
          <w:fldChar w:fldCharType="begin"/>
        </w:r>
        <w:r w:rsidR="00152B4F">
          <w:rPr>
            <w:noProof/>
            <w:webHidden/>
          </w:rPr>
          <w:instrText xml:space="preserve"> PAGEREF _Toc47098292 \h </w:instrText>
        </w:r>
        <w:r w:rsidR="00152B4F">
          <w:rPr>
            <w:noProof/>
            <w:webHidden/>
          </w:rPr>
        </w:r>
        <w:r w:rsidR="00152B4F">
          <w:rPr>
            <w:noProof/>
            <w:webHidden/>
          </w:rPr>
          <w:fldChar w:fldCharType="separate"/>
        </w:r>
        <w:r w:rsidR="00152B4F">
          <w:rPr>
            <w:noProof/>
            <w:webHidden/>
          </w:rPr>
          <w:t>34</w:t>
        </w:r>
        <w:r w:rsidR="00152B4F">
          <w:rPr>
            <w:noProof/>
            <w:webHidden/>
          </w:rPr>
          <w:fldChar w:fldCharType="end"/>
        </w:r>
      </w:hyperlink>
    </w:p>
    <w:p w14:paraId="6260514C" w14:textId="77777777" w:rsidR="00152B4F" w:rsidRDefault="006F6048" w:rsidP="00152B4F">
      <w:pPr>
        <w:pStyle w:val="TOC3"/>
        <w:tabs>
          <w:tab w:val="right" w:pos="8296"/>
        </w:tabs>
        <w:rPr>
          <w:rFonts w:cs="Times New Roman"/>
          <w:noProof/>
          <w:sz w:val="22"/>
          <w:szCs w:val="22"/>
        </w:rPr>
      </w:pPr>
      <w:hyperlink w:anchor="_Toc47098293" w:history="1">
        <w:r w:rsidR="00152B4F" w:rsidRPr="00272CDD">
          <w:rPr>
            <w:rStyle w:val="Hyperlink"/>
            <w:rFonts w:cs="Cambria"/>
            <w:noProof/>
          </w:rPr>
          <w:t>Overarching Rules</w:t>
        </w:r>
        <w:r w:rsidR="00152B4F">
          <w:rPr>
            <w:noProof/>
            <w:webHidden/>
          </w:rPr>
          <w:tab/>
        </w:r>
        <w:r w:rsidR="00152B4F">
          <w:rPr>
            <w:noProof/>
            <w:webHidden/>
          </w:rPr>
          <w:fldChar w:fldCharType="begin"/>
        </w:r>
        <w:r w:rsidR="00152B4F">
          <w:rPr>
            <w:noProof/>
            <w:webHidden/>
          </w:rPr>
          <w:instrText xml:space="preserve"> PAGEREF _Toc47098293 \h </w:instrText>
        </w:r>
        <w:r w:rsidR="00152B4F">
          <w:rPr>
            <w:noProof/>
            <w:webHidden/>
          </w:rPr>
        </w:r>
        <w:r w:rsidR="00152B4F">
          <w:rPr>
            <w:noProof/>
            <w:webHidden/>
          </w:rPr>
          <w:fldChar w:fldCharType="separate"/>
        </w:r>
        <w:r w:rsidR="00152B4F">
          <w:rPr>
            <w:noProof/>
            <w:webHidden/>
          </w:rPr>
          <w:t>34</w:t>
        </w:r>
        <w:r w:rsidR="00152B4F">
          <w:rPr>
            <w:noProof/>
            <w:webHidden/>
          </w:rPr>
          <w:fldChar w:fldCharType="end"/>
        </w:r>
      </w:hyperlink>
    </w:p>
    <w:p w14:paraId="241BBEFB" w14:textId="77777777" w:rsidR="00152B4F" w:rsidRDefault="006F6048" w:rsidP="00152B4F">
      <w:pPr>
        <w:pStyle w:val="TOC3"/>
        <w:tabs>
          <w:tab w:val="right" w:pos="8296"/>
        </w:tabs>
        <w:rPr>
          <w:rFonts w:cs="Times New Roman"/>
          <w:noProof/>
          <w:sz w:val="22"/>
          <w:szCs w:val="22"/>
        </w:rPr>
      </w:pPr>
      <w:hyperlink w:anchor="_Toc47098294" w:history="1">
        <w:r w:rsidR="00152B4F" w:rsidRPr="00272CDD">
          <w:rPr>
            <w:rStyle w:val="Hyperlink"/>
            <w:rFonts w:cs="Cambria"/>
            <w:noProof/>
          </w:rPr>
          <w:t>Performance Measure Denominator Rules</w:t>
        </w:r>
        <w:r w:rsidR="00152B4F">
          <w:rPr>
            <w:noProof/>
            <w:webHidden/>
          </w:rPr>
          <w:tab/>
        </w:r>
        <w:r w:rsidR="00152B4F">
          <w:rPr>
            <w:noProof/>
            <w:webHidden/>
          </w:rPr>
          <w:fldChar w:fldCharType="begin"/>
        </w:r>
        <w:r w:rsidR="00152B4F">
          <w:rPr>
            <w:noProof/>
            <w:webHidden/>
          </w:rPr>
          <w:instrText xml:space="preserve"> PAGEREF _Toc47098294 \h </w:instrText>
        </w:r>
        <w:r w:rsidR="00152B4F">
          <w:rPr>
            <w:noProof/>
            <w:webHidden/>
          </w:rPr>
        </w:r>
        <w:r w:rsidR="00152B4F">
          <w:rPr>
            <w:noProof/>
            <w:webHidden/>
          </w:rPr>
          <w:fldChar w:fldCharType="separate"/>
        </w:r>
        <w:r w:rsidR="00152B4F">
          <w:rPr>
            <w:noProof/>
            <w:webHidden/>
          </w:rPr>
          <w:t>34</w:t>
        </w:r>
        <w:r w:rsidR="00152B4F">
          <w:rPr>
            <w:noProof/>
            <w:webHidden/>
          </w:rPr>
          <w:fldChar w:fldCharType="end"/>
        </w:r>
      </w:hyperlink>
    </w:p>
    <w:p w14:paraId="577A6C03" w14:textId="77777777" w:rsidR="00152B4F" w:rsidRDefault="006F6048" w:rsidP="00152B4F">
      <w:pPr>
        <w:pStyle w:val="TOC2"/>
        <w:rPr>
          <w:rFonts w:cs="Times New Roman"/>
          <w:i w:val="0"/>
          <w:iCs w:val="0"/>
          <w:noProof/>
          <w:sz w:val="22"/>
          <w:szCs w:val="22"/>
        </w:rPr>
      </w:pPr>
      <w:hyperlink w:anchor="_Toc47098295" w:history="1">
        <w:r w:rsidR="00152B4F" w:rsidRPr="00272CDD">
          <w:rPr>
            <w:rStyle w:val="Hyperlink"/>
            <w:rFonts w:cs="Cambria"/>
            <w:noProof/>
          </w:rPr>
          <w:t>ATTACHMENT B</w:t>
        </w:r>
        <w:r w:rsidR="00152B4F">
          <w:rPr>
            <w:noProof/>
            <w:webHidden/>
          </w:rPr>
          <w:tab/>
        </w:r>
        <w:r w:rsidR="00152B4F">
          <w:rPr>
            <w:noProof/>
            <w:webHidden/>
          </w:rPr>
          <w:fldChar w:fldCharType="begin"/>
        </w:r>
        <w:r w:rsidR="00152B4F">
          <w:rPr>
            <w:noProof/>
            <w:webHidden/>
          </w:rPr>
          <w:instrText xml:space="preserve"> PAGEREF _Toc47098295 \h </w:instrText>
        </w:r>
        <w:r w:rsidR="00152B4F">
          <w:rPr>
            <w:noProof/>
            <w:webHidden/>
          </w:rPr>
        </w:r>
        <w:r w:rsidR="00152B4F">
          <w:rPr>
            <w:noProof/>
            <w:webHidden/>
          </w:rPr>
          <w:fldChar w:fldCharType="separate"/>
        </w:r>
        <w:r w:rsidR="00152B4F">
          <w:rPr>
            <w:noProof/>
            <w:webHidden/>
          </w:rPr>
          <w:t>37</w:t>
        </w:r>
        <w:r w:rsidR="00152B4F">
          <w:rPr>
            <w:noProof/>
            <w:webHidden/>
          </w:rPr>
          <w:fldChar w:fldCharType="end"/>
        </w:r>
      </w:hyperlink>
    </w:p>
    <w:p w14:paraId="0E8E9E36" w14:textId="77777777" w:rsidR="00152B4F" w:rsidRDefault="006F6048" w:rsidP="00152B4F">
      <w:pPr>
        <w:pStyle w:val="TOC3"/>
        <w:tabs>
          <w:tab w:val="right" w:pos="8296"/>
        </w:tabs>
        <w:rPr>
          <w:rFonts w:cs="Times New Roman"/>
          <w:noProof/>
          <w:sz w:val="22"/>
          <w:szCs w:val="22"/>
        </w:rPr>
      </w:pPr>
      <w:hyperlink w:anchor="_Toc47098296" w:history="1">
        <w:r w:rsidR="00152B4F" w:rsidRPr="00272CDD">
          <w:rPr>
            <w:rStyle w:val="Hyperlink"/>
            <w:rFonts w:cs="Cambria"/>
            <w:noProof/>
          </w:rPr>
          <w:t>How the 26 Week Outcome performance measures are combined in Step 3 –</w:t>
        </w:r>
        <w:r w:rsidR="00152B4F">
          <w:rPr>
            <w:noProof/>
            <w:webHidden/>
          </w:rPr>
          <w:tab/>
        </w:r>
        <w:r w:rsidR="00152B4F">
          <w:rPr>
            <w:noProof/>
            <w:webHidden/>
          </w:rPr>
          <w:fldChar w:fldCharType="begin"/>
        </w:r>
        <w:r w:rsidR="00152B4F">
          <w:rPr>
            <w:noProof/>
            <w:webHidden/>
          </w:rPr>
          <w:instrText xml:space="preserve"> PAGEREF _Toc47098296 \h </w:instrText>
        </w:r>
        <w:r w:rsidR="00152B4F">
          <w:rPr>
            <w:noProof/>
            <w:webHidden/>
          </w:rPr>
        </w:r>
        <w:r w:rsidR="00152B4F">
          <w:rPr>
            <w:noProof/>
            <w:webHidden/>
          </w:rPr>
          <w:fldChar w:fldCharType="separate"/>
        </w:r>
        <w:r w:rsidR="00152B4F">
          <w:rPr>
            <w:noProof/>
            <w:webHidden/>
          </w:rPr>
          <w:t>37</w:t>
        </w:r>
        <w:r w:rsidR="00152B4F">
          <w:rPr>
            <w:noProof/>
            <w:webHidden/>
          </w:rPr>
          <w:fldChar w:fldCharType="end"/>
        </w:r>
      </w:hyperlink>
    </w:p>
    <w:p w14:paraId="10583F68" w14:textId="77777777" w:rsidR="00152B4F" w:rsidRDefault="006F6048" w:rsidP="00152B4F">
      <w:pPr>
        <w:pStyle w:val="TOC2"/>
        <w:rPr>
          <w:rFonts w:cs="Times New Roman"/>
          <w:i w:val="0"/>
          <w:iCs w:val="0"/>
          <w:noProof/>
          <w:sz w:val="22"/>
          <w:szCs w:val="22"/>
        </w:rPr>
      </w:pPr>
      <w:hyperlink w:anchor="_Toc47098297" w:history="1">
        <w:r w:rsidR="00152B4F" w:rsidRPr="00272CDD">
          <w:rPr>
            <w:rStyle w:val="Hyperlink"/>
            <w:rFonts w:cs="Cambria"/>
            <w:noProof/>
          </w:rPr>
          <w:t>ATTACHMENT C</w:t>
        </w:r>
        <w:r w:rsidR="00152B4F">
          <w:rPr>
            <w:noProof/>
            <w:webHidden/>
          </w:rPr>
          <w:tab/>
        </w:r>
        <w:r w:rsidR="00152B4F">
          <w:rPr>
            <w:noProof/>
            <w:webHidden/>
          </w:rPr>
          <w:fldChar w:fldCharType="begin"/>
        </w:r>
        <w:r w:rsidR="00152B4F">
          <w:rPr>
            <w:noProof/>
            <w:webHidden/>
          </w:rPr>
          <w:instrText xml:space="preserve"> PAGEREF _Toc47098297 \h </w:instrText>
        </w:r>
        <w:r w:rsidR="00152B4F">
          <w:rPr>
            <w:noProof/>
            <w:webHidden/>
          </w:rPr>
        </w:r>
        <w:r w:rsidR="00152B4F">
          <w:rPr>
            <w:noProof/>
            <w:webHidden/>
          </w:rPr>
          <w:fldChar w:fldCharType="separate"/>
        </w:r>
        <w:r w:rsidR="00152B4F">
          <w:rPr>
            <w:noProof/>
            <w:webHidden/>
          </w:rPr>
          <w:t>38</w:t>
        </w:r>
        <w:r w:rsidR="00152B4F">
          <w:rPr>
            <w:noProof/>
            <w:webHidden/>
          </w:rPr>
          <w:fldChar w:fldCharType="end"/>
        </w:r>
      </w:hyperlink>
    </w:p>
    <w:p w14:paraId="24853EB1" w14:textId="77777777" w:rsidR="00152B4F" w:rsidRDefault="006F6048" w:rsidP="00152B4F">
      <w:pPr>
        <w:pStyle w:val="TOC3"/>
        <w:tabs>
          <w:tab w:val="right" w:pos="8296"/>
        </w:tabs>
        <w:rPr>
          <w:rFonts w:cs="Times New Roman"/>
          <w:noProof/>
          <w:sz w:val="22"/>
          <w:szCs w:val="22"/>
        </w:rPr>
      </w:pPr>
      <w:hyperlink w:anchor="_Toc47098298" w:history="1">
        <w:r w:rsidR="00152B4F" w:rsidRPr="00272CDD">
          <w:rPr>
            <w:rStyle w:val="Hyperlink"/>
            <w:rFonts w:asciiTheme="majorHAnsi" w:hAnsiTheme="majorHAnsi" w:cs="Calibri"/>
            <w:noProof/>
          </w:rPr>
          <w:t>What happens if there are zero Participants in scope for the 26 Week Pathway Outcome Fee or 26 Week Bonus Outcome/Work Assist fee performance measures?</w:t>
        </w:r>
        <w:r w:rsidR="00152B4F">
          <w:rPr>
            <w:noProof/>
            <w:webHidden/>
          </w:rPr>
          <w:tab/>
        </w:r>
        <w:r w:rsidR="00152B4F">
          <w:rPr>
            <w:noProof/>
            <w:webHidden/>
          </w:rPr>
          <w:fldChar w:fldCharType="begin"/>
        </w:r>
        <w:r w:rsidR="00152B4F">
          <w:rPr>
            <w:noProof/>
            <w:webHidden/>
          </w:rPr>
          <w:instrText xml:space="preserve"> PAGEREF _Toc47098298 \h </w:instrText>
        </w:r>
        <w:r w:rsidR="00152B4F">
          <w:rPr>
            <w:noProof/>
            <w:webHidden/>
          </w:rPr>
        </w:r>
        <w:r w:rsidR="00152B4F">
          <w:rPr>
            <w:noProof/>
            <w:webHidden/>
          </w:rPr>
          <w:fldChar w:fldCharType="separate"/>
        </w:r>
        <w:r w:rsidR="00152B4F">
          <w:rPr>
            <w:noProof/>
            <w:webHidden/>
          </w:rPr>
          <w:t>38</w:t>
        </w:r>
        <w:r w:rsidR="00152B4F">
          <w:rPr>
            <w:noProof/>
            <w:webHidden/>
          </w:rPr>
          <w:fldChar w:fldCharType="end"/>
        </w:r>
      </w:hyperlink>
    </w:p>
    <w:p w14:paraId="26C2D1D6" w14:textId="77777777" w:rsidR="00152B4F" w:rsidRDefault="00152B4F" w:rsidP="00152B4F">
      <w:pPr>
        <w:pStyle w:val="TOC1"/>
      </w:pPr>
      <w:r>
        <w:rPr>
          <w:rFonts w:cs="Times New Roman"/>
          <w:sz w:val="22"/>
          <w:szCs w:val="24"/>
        </w:rPr>
        <w:fldChar w:fldCharType="end"/>
      </w:r>
    </w:p>
    <w:p w14:paraId="1AF8C7CD" w14:textId="77777777" w:rsidR="00152B4F" w:rsidRDefault="00152B4F" w:rsidP="00152B4F">
      <w:pPr>
        <w:rPr>
          <w:rFonts w:asciiTheme="minorHAnsi" w:hAnsiTheme="minorHAnsi" w:cs="Cambria"/>
          <w:b/>
          <w:bCs/>
          <w:sz w:val="20"/>
          <w:szCs w:val="20"/>
          <w:lang w:eastAsia="en-AU"/>
        </w:rPr>
      </w:pPr>
      <w:r>
        <w:br w:type="page"/>
      </w:r>
    </w:p>
    <w:p w14:paraId="5515BAC5" w14:textId="77777777" w:rsidR="00152B4F" w:rsidRDefault="00152B4F" w:rsidP="00152B4F">
      <w:pPr>
        <w:pStyle w:val="Heading2"/>
        <w:rPr>
          <w:rStyle w:val="Heading2Char"/>
          <w:b/>
        </w:rPr>
      </w:pPr>
      <w:bookmarkStart w:id="5" w:name="_Toc47098265"/>
      <w:r>
        <w:rPr>
          <w:rStyle w:val="Heading2Char"/>
        </w:rPr>
        <w:t>DES Star Ratings Methodology Advice</w:t>
      </w:r>
      <w:bookmarkEnd w:id="5"/>
    </w:p>
    <w:p w14:paraId="3DAAF35B" w14:textId="77777777" w:rsidR="00152B4F" w:rsidRPr="004D780F" w:rsidRDefault="00152B4F" w:rsidP="00152B4F">
      <w:pPr>
        <w:rPr>
          <w:b/>
          <w:sz w:val="24"/>
        </w:rPr>
      </w:pPr>
      <w:r w:rsidRPr="004D780F">
        <w:rPr>
          <w:b/>
          <w:sz w:val="24"/>
        </w:rPr>
        <w:t>Document Change History</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633"/>
        <w:gridCol w:w="1701"/>
        <w:gridCol w:w="4171"/>
      </w:tblGrid>
      <w:tr w:rsidR="00152B4F" w:rsidRPr="004E324C" w14:paraId="54F89DDA" w14:textId="77777777" w:rsidTr="009039E0">
        <w:trPr>
          <w:jc w:val="center"/>
        </w:trPr>
        <w:tc>
          <w:tcPr>
            <w:tcW w:w="0" w:type="auto"/>
            <w:vAlign w:val="center"/>
          </w:tcPr>
          <w:p w14:paraId="6246B117" w14:textId="77777777" w:rsidR="00152B4F" w:rsidRPr="003707FC" w:rsidRDefault="00152B4F" w:rsidP="009039E0">
            <w:pPr>
              <w:pStyle w:val="TableTextCentred"/>
              <w:contextualSpacing w:val="0"/>
              <w:rPr>
                <w:b/>
                <w:sz w:val="22"/>
                <w:szCs w:val="22"/>
              </w:rPr>
            </w:pPr>
            <w:r>
              <w:rPr>
                <w:b/>
                <w:sz w:val="22"/>
                <w:szCs w:val="22"/>
              </w:rPr>
              <w:t>Version</w:t>
            </w:r>
          </w:p>
        </w:tc>
        <w:tc>
          <w:tcPr>
            <w:tcW w:w="1633" w:type="dxa"/>
            <w:vAlign w:val="center"/>
          </w:tcPr>
          <w:p w14:paraId="4D04A0B0" w14:textId="77777777" w:rsidR="00152B4F" w:rsidRPr="003707FC" w:rsidRDefault="00152B4F" w:rsidP="009039E0">
            <w:pPr>
              <w:pStyle w:val="TableTextCentred"/>
              <w:contextualSpacing w:val="0"/>
              <w:rPr>
                <w:b/>
                <w:sz w:val="22"/>
                <w:szCs w:val="22"/>
              </w:rPr>
            </w:pPr>
            <w:r>
              <w:rPr>
                <w:b/>
                <w:sz w:val="22"/>
                <w:szCs w:val="22"/>
              </w:rPr>
              <w:t>Effective Date</w:t>
            </w:r>
          </w:p>
        </w:tc>
        <w:tc>
          <w:tcPr>
            <w:tcW w:w="1701" w:type="dxa"/>
            <w:vAlign w:val="center"/>
          </w:tcPr>
          <w:p w14:paraId="459557E7" w14:textId="77777777" w:rsidR="00152B4F" w:rsidRPr="003707FC" w:rsidRDefault="00152B4F" w:rsidP="009039E0">
            <w:pPr>
              <w:pStyle w:val="TableTextCentred"/>
              <w:contextualSpacing w:val="0"/>
              <w:rPr>
                <w:b/>
                <w:sz w:val="22"/>
                <w:szCs w:val="22"/>
              </w:rPr>
            </w:pPr>
            <w:r>
              <w:rPr>
                <w:b/>
                <w:sz w:val="22"/>
                <w:szCs w:val="22"/>
              </w:rPr>
              <w:t>End Date</w:t>
            </w:r>
          </w:p>
        </w:tc>
        <w:tc>
          <w:tcPr>
            <w:tcW w:w="4171" w:type="dxa"/>
            <w:vAlign w:val="center"/>
          </w:tcPr>
          <w:p w14:paraId="0D5A1C34" w14:textId="77777777" w:rsidR="00152B4F" w:rsidRPr="003707FC" w:rsidRDefault="00152B4F" w:rsidP="009039E0">
            <w:pPr>
              <w:pStyle w:val="TableText0"/>
              <w:spacing w:before="60" w:after="60"/>
            </w:pPr>
            <w:r>
              <w:t>Change &amp; Location</w:t>
            </w:r>
          </w:p>
        </w:tc>
      </w:tr>
      <w:tr w:rsidR="00152B4F" w:rsidRPr="004E324C" w14:paraId="13DD10A8" w14:textId="77777777" w:rsidTr="009039E0">
        <w:trPr>
          <w:jc w:val="center"/>
        </w:trPr>
        <w:tc>
          <w:tcPr>
            <w:tcW w:w="0" w:type="auto"/>
            <w:vAlign w:val="center"/>
          </w:tcPr>
          <w:p w14:paraId="60CC9F6B" w14:textId="352A37BC" w:rsidR="00152B4F" w:rsidRPr="00E82ACA" w:rsidRDefault="00152B4F" w:rsidP="00BD2CA5">
            <w:pPr>
              <w:pStyle w:val="TableTextCentred"/>
              <w:rPr>
                <w:sz w:val="22"/>
                <w:szCs w:val="22"/>
              </w:rPr>
            </w:pPr>
            <w:r>
              <w:rPr>
                <w:sz w:val="22"/>
                <w:szCs w:val="22"/>
              </w:rPr>
              <w:t>1.</w:t>
            </w:r>
            <w:r w:rsidR="00BD2CA5">
              <w:rPr>
                <w:sz w:val="22"/>
                <w:szCs w:val="22"/>
              </w:rPr>
              <w:t>2</w:t>
            </w:r>
          </w:p>
        </w:tc>
        <w:tc>
          <w:tcPr>
            <w:tcW w:w="1633" w:type="dxa"/>
            <w:vAlign w:val="center"/>
          </w:tcPr>
          <w:p w14:paraId="250CA2F1" w14:textId="7D3F9256" w:rsidR="00152B4F" w:rsidRPr="00E82ACA" w:rsidRDefault="00152B4F" w:rsidP="00BD2CA5">
            <w:pPr>
              <w:pStyle w:val="TableTextCentred"/>
              <w:rPr>
                <w:sz w:val="22"/>
                <w:szCs w:val="22"/>
              </w:rPr>
            </w:pPr>
            <w:r>
              <w:rPr>
                <w:sz w:val="22"/>
                <w:szCs w:val="22"/>
              </w:rPr>
              <w:t>1</w:t>
            </w:r>
            <w:r w:rsidR="00BD2CA5">
              <w:rPr>
                <w:sz w:val="22"/>
                <w:szCs w:val="22"/>
              </w:rPr>
              <w:t>8</w:t>
            </w:r>
            <w:r>
              <w:rPr>
                <w:sz w:val="22"/>
                <w:szCs w:val="22"/>
              </w:rPr>
              <w:t xml:space="preserve"> August 2020</w:t>
            </w:r>
          </w:p>
        </w:tc>
        <w:tc>
          <w:tcPr>
            <w:tcW w:w="1701" w:type="dxa"/>
            <w:vAlign w:val="center"/>
          </w:tcPr>
          <w:p w14:paraId="70D3AD92" w14:textId="77777777" w:rsidR="00152B4F" w:rsidRPr="00E82ACA" w:rsidRDefault="00152B4F" w:rsidP="009039E0">
            <w:pPr>
              <w:pStyle w:val="TableTextCentred"/>
              <w:rPr>
                <w:sz w:val="22"/>
                <w:szCs w:val="22"/>
              </w:rPr>
            </w:pPr>
          </w:p>
        </w:tc>
        <w:tc>
          <w:tcPr>
            <w:tcW w:w="4171" w:type="dxa"/>
            <w:vAlign w:val="center"/>
          </w:tcPr>
          <w:p w14:paraId="03B6B8D2" w14:textId="77777777" w:rsidR="00152B4F" w:rsidRPr="00E525BC" w:rsidRDefault="00152B4F" w:rsidP="009039E0">
            <w:pPr>
              <w:pStyle w:val="TableText0"/>
              <w:spacing w:before="60" w:after="60"/>
              <w:rPr>
                <w:rFonts w:cs="Calibri"/>
                <w:b w:val="0"/>
                <w:sz w:val="22"/>
                <w:szCs w:val="22"/>
              </w:rPr>
            </w:pPr>
            <w:r w:rsidRPr="00843E58">
              <w:rPr>
                <w:sz w:val="22"/>
                <w:szCs w:val="22"/>
              </w:rPr>
              <w:t xml:space="preserve">Policy: </w:t>
            </w:r>
            <w:r w:rsidRPr="00843E58">
              <w:rPr>
                <w:b w:val="0"/>
                <w:sz w:val="22"/>
                <w:szCs w:val="22"/>
              </w:rPr>
              <w:t>For the 13</w:t>
            </w:r>
            <w:r>
              <w:rPr>
                <w:b w:val="0"/>
                <w:sz w:val="22"/>
                <w:szCs w:val="22"/>
              </w:rPr>
              <w:t>-w</w:t>
            </w:r>
            <w:r w:rsidRPr="00843E58">
              <w:rPr>
                <w:b w:val="0"/>
                <w:sz w:val="22"/>
                <w:szCs w:val="22"/>
              </w:rPr>
              <w:t>eek Full, 26</w:t>
            </w:r>
            <w:r>
              <w:rPr>
                <w:b w:val="0"/>
                <w:sz w:val="22"/>
                <w:szCs w:val="22"/>
              </w:rPr>
              <w:t>-w</w:t>
            </w:r>
            <w:r w:rsidRPr="00843E58">
              <w:rPr>
                <w:b w:val="0"/>
                <w:sz w:val="22"/>
                <w:szCs w:val="22"/>
              </w:rPr>
              <w:t>eek Full and Pathway performance</w:t>
            </w:r>
            <w:r>
              <w:rPr>
                <w:b w:val="0"/>
                <w:sz w:val="22"/>
                <w:szCs w:val="22"/>
              </w:rPr>
              <w:t xml:space="preserve"> measures, any Outcomes achieved for these measures </w:t>
            </w:r>
            <w:r w:rsidRPr="00B20661">
              <w:rPr>
                <w:rFonts w:cs="Calibri"/>
                <w:b w:val="0"/>
                <w:sz w:val="22"/>
                <w:szCs w:val="22"/>
              </w:rPr>
              <w:t xml:space="preserve">associated with an </w:t>
            </w:r>
            <w:r>
              <w:rPr>
                <w:rFonts w:cs="Calibri"/>
                <w:b w:val="0"/>
                <w:sz w:val="22"/>
                <w:szCs w:val="22"/>
              </w:rPr>
              <w:t>E</w:t>
            </w:r>
            <w:r w:rsidRPr="00B20661">
              <w:rPr>
                <w:rFonts w:cs="Calibri"/>
                <w:b w:val="0"/>
                <w:sz w:val="22"/>
                <w:szCs w:val="22"/>
              </w:rPr>
              <w:t xml:space="preserve">ducation </w:t>
            </w:r>
            <w:r>
              <w:rPr>
                <w:rFonts w:cs="Calibri"/>
                <w:b w:val="0"/>
                <w:sz w:val="22"/>
                <w:szCs w:val="22"/>
              </w:rPr>
              <w:t>P</w:t>
            </w:r>
            <w:r w:rsidRPr="00B20661">
              <w:rPr>
                <w:rFonts w:cs="Calibri"/>
                <w:b w:val="0"/>
                <w:sz w:val="22"/>
                <w:szCs w:val="22"/>
              </w:rPr>
              <w:t xml:space="preserve">lacement </w:t>
            </w:r>
            <w:r>
              <w:rPr>
                <w:rFonts w:cs="Calibri"/>
                <w:b w:val="0"/>
                <w:sz w:val="22"/>
                <w:szCs w:val="22"/>
              </w:rPr>
              <w:t xml:space="preserve">commencing </w:t>
            </w:r>
            <w:r w:rsidRPr="00B20661">
              <w:rPr>
                <w:rFonts w:cs="Calibri"/>
                <w:b w:val="0"/>
                <w:sz w:val="22"/>
                <w:szCs w:val="22"/>
              </w:rPr>
              <w:t>on or after 17 </w:t>
            </w:r>
            <w:r w:rsidRPr="00843E58">
              <w:rPr>
                <w:rFonts w:cs="Calibri"/>
                <w:b w:val="0"/>
                <w:sz w:val="22"/>
                <w:szCs w:val="22"/>
              </w:rPr>
              <w:t>August </w:t>
            </w:r>
            <w:r w:rsidRPr="00B20661">
              <w:rPr>
                <w:rFonts w:cs="Calibri"/>
                <w:b w:val="0"/>
                <w:sz w:val="22"/>
                <w:szCs w:val="22"/>
              </w:rPr>
              <w:t>2020</w:t>
            </w:r>
            <w:r w:rsidRPr="00843E58">
              <w:rPr>
                <w:rFonts w:cs="Calibri"/>
                <w:b w:val="0"/>
                <w:sz w:val="22"/>
                <w:szCs w:val="22"/>
              </w:rPr>
              <w:t xml:space="preserve"> will be </w:t>
            </w:r>
            <w:r>
              <w:rPr>
                <w:rFonts w:cs="Calibri"/>
                <w:b w:val="0"/>
                <w:sz w:val="22"/>
                <w:szCs w:val="22"/>
              </w:rPr>
              <w:t>excluded</w:t>
            </w:r>
            <w:r w:rsidRPr="00843E58">
              <w:rPr>
                <w:rFonts w:cs="Calibri"/>
                <w:b w:val="0"/>
                <w:sz w:val="22"/>
                <w:szCs w:val="22"/>
              </w:rPr>
              <w:t xml:space="preserve"> </w:t>
            </w:r>
            <w:r>
              <w:rPr>
                <w:rFonts w:cs="Calibri"/>
                <w:b w:val="0"/>
                <w:sz w:val="22"/>
                <w:szCs w:val="22"/>
              </w:rPr>
              <w:t>from DES Star Rating calculations.</w:t>
            </w:r>
          </w:p>
        </w:tc>
      </w:tr>
      <w:tr w:rsidR="00BD2CA5" w:rsidRPr="004E324C" w14:paraId="25964136" w14:textId="77777777" w:rsidTr="009039E0">
        <w:trPr>
          <w:jc w:val="center"/>
        </w:trPr>
        <w:tc>
          <w:tcPr>
            <w:tcW w:w="0" w:type="auto"/>
            <w:vAlign w:val="center"/>
          </w:tcPr>
          <w:p w14:paraId="53593B3E" w14:textId="1DBDF329" w:rsidR="00BD2CA5" w:rsidRDefault="00BD2CA5" w:rsidP="009039E0">
            <w:pPr>
              <w:pStyle w:val="TableTextCentred"/>
              <w:rPr>
                <w:sz w:val="22"/>
                <w:szCs w:val="22"/>
              </w:rPr>
            </w:pPr>
            <w:r>
              <w:rPr>
                <w:sz w:val="22"/>
                <w:szCs w:val="22"/>
              </w:rPr>
              <w:t>1.1</w:t>
            </w:r>
          </w:p>
        </w:tc>
        <w:tc>
          <w:tcPr>
            <w:tcW w:w="1633" w:type="dxa"/>
            <w:vAlign w:val="center"/>
          </w:tcPr>
          <w:p w14:paraId="21429E01" w14:textId="3208D50C" w:rsidR="00BD2CA5" w:rsidRDefault="00BD2CA5" w:rsidP="009039E0">
            <w:pPr>
              <w:pStyle w:val="TableTextCentred"/>
              <w:rPr>
                <w:sz w:val="22"/>
                <w:szCs w:val="22"/>
              </w:rPr>
            </w:pPr>
            <w:r>
              <w:rPr>
                <w:sz w:val="22"/>
                <w:szCs w:val="22"/>
              </w:rPr>
              <w:t>9 March 2020</w:t>
            </w:r>
          </w:p>
        </w:tc>
        <w:tc>
          <w:tcPr>
            <w:tcW w:w="1701" w:type="dxa"/>
            <w:vAlign w:val="center"/>
          </w:tcPr>
          <w:p w14:paraId="13B45619" w14:textId="167A1F42" w:rsidR="00BD2CA5" w:rsidRPr="00E82ACA" w:rsidRDefault="00BD2CA5" w:rsidP="009039E0">
            <w:pPr>
              <w:pStyle w:val="TableTextCentred"/>
              <w:rPr>
                <w:sz w:val="22"/>
                <w:szCs w:val="22"/>
              </w:rPr>
            </w:pPr>
            <w:r>
              <w:rPr>
                <w:sz w:val="22"/>
                <w:szCs w:val="22"/>
              </w:rPr>
              <w:t>17 August 2020</w:t>
            </w:r>
          </w:p>
        </w:tc>
        <w:tc>
          <w:tcPr>
            <w:tcW w:w="4171" w:type="dxa"/>
            <w:vAlign w:val="center"/>
          </w:tcPr>
          <w:p w14:paraId="0857A65F" w14:textId="7F422B10" w:rsidR="00BD2CA5" w:rsidRPr="00843E58" w:rsidRDefault="00BD2CA5" w:rsidP="009039E0">
            <w:pPr>
              <w:pStyle w:val="TableText0"/>
              <w:spacing w:before="60" w:after="60"/>
              <w:rPr>
                <w:sz w:val="22"/>
                <w:szCs w:val="22"/>
              </w:rPr>
            </w:pPr>
            <w:r>
              <w:rPr>
                <w:sz w:val="22"/>
                <w:szCs w:val="22"/>
              </w:rPr>
              <w:t xml:space="preserve">Terminoloy: </w:t>
            </w:r>
            <w:r w:rsidRPr="00BD2CA5">
              <w:rPr>
                <w:b w:val="0"/>
                <w:sz w:val="22"/>
                <w:szCs w:val="22"/>
              </w:rPr>
              <w:t>Replace references of DHS with Services Australia</w:t>
            </w:r>
          </w:p>
        </w:tc>
      </w:tr>
      <w:tr w:rsidR="00152B4F" w:rsidRPr="004E324C" w14:paraId="07A9555F" w14:textId="77777777" w:rsidTr="009039E0">
        <w:trPr>
          <w:jc w:val="center"/>
        </w:trPr>
        <w:tc>
          <w:tcPr>
            <w:tcW w:w="0" w:type="auto"/>
            <w:vAlign w:val="center"/>
          </w:tcPr>
          <w:p w14:paraId="22D4B1A2" w14:textId="77777777" w:rsidR="00152B4F" w:rsidRPr="00E82ACA" w:rsidRDefault="00152B4F" w:rsidP="009039E0">
            <w:pPr>
              <w:pStyle w:val="TableTextCentred"/>
              <w:rPr>
                <w:sz w:val="22"/>
                <w:szCs w:val="22"/>
              </w:rPr>
            </w:pPr>
            <w:r w:rsidRPr="00E82ACA">
              <w:rPr>
                <w:sz w:val="22"/>
                <w:szCs w:val="22"/>
              </w:rPr>
              <w:t>1.0</w:t>
            </w:r>
          </w:p>
        </w:tc>
        <w:tc>
          <w:tcPr>
            <w:tcW w:w="1633" w:type="dxa"/>
            <w:vAlign w:val="center"/>
          </w:tcPr>
          <w:p w14:paraId="54AF5AF5" w14:textId="77777777" w:rsidR="00152B4F" w:rsidRPr="00E82ACA" w:rsidRDefault="00152B4F" w:rsidP="009039E0">
            <w:pPr>
              <w:pStyle w:val="TableTextCentred"/>
              <w:rPr>
                <w:sz w:val="22"/>
                <w:szCs w:val="22"/>
              </w:rPr>
            </w:pPr>
            <w:r w:rsidRPr="00E82ACA">
              <w:rPr>
                <w:sz w:val="22"/>
                <w:szCs w:val="22"/>
              </w:rPr>
              <w:t>1 July 2018</w:t>
            </w:r>
          </w:p>
        </w:tc>
        <w:tc>
          <w:tcPr>
            <w:tcW w:w="1701" w:type="dxa"/>
            <w:vAlign w:val="center"/>
          </w:tcPr>
          <w:p w14:paraId="6641514D" w14:textId="2F6F8251" w:rsidR="00152B4F" w:rsidRPr="00E82ACA" w:rsidRDefault="00BD2CA5" w:rsidP="009039E0">
            <w:pPr>
              <w:pStyle w:val="TableTextCentred"/>
              <w:rPr>
                <w:sz w:val="22"/>
                <w:szCs w:val="22"/>
              </w:rPr>
            </w:pPr>
            <w:r>
              <w:rPr>
                <w:sz w:val="22"/>
                <w:szCs w:val="22"/>
              </w:rPr>
              <w:t>8 March 2020</w:t>
            </w:r>
          </w:p>
        </w:tc>
        <w:tc>
          <w:tcPr>
            <w:tcW w:w="4171" w:type="dxa"/>
            <w:vAlign w:val="center"/>
          </w:tcPr>
          <w:p w14:paraId="72D8F12E" w14:textId="77777777" w:rsidR="00152B4F" w:rsidRPr="00E82ACA" w:rsidRDefault="00152B4F" w:rsidP="009039E0">
            <w:pPr>
              <w:pStyle w:val="TableText0"/>
              <w:spacing w:before="60" w:after="60"/>
              <w:rPr>
                <w:sz w:val="22"/>
                <w:szCs w:val="22"/>
              </w:rPr>
            </w:pPr>
            <w:r w:rsidRPr="00E82ACA">
              <w:rPr>
                <w:sz w:val="22"/>
                <w:szCs w:val="22"/>
              </w:rPr>
              <w:t>Original Document</w:t>
            </w:r>
          </w:p>
        </w:tc>
      </w:tr>
    </w:tbl>
    <w:p w14:paraId="063CC11B" w14:textId="77777777" w:rsidR="00152B4F" w:rsidRPr="009E33F4" w:rsidRDefault="00152B4F" w:rsidP="00152B4F">
      <w:pPr>
        <w:rPr>
          <w:lang w:eastAsia="en-AU"/>
        </w:rPr>
      </w:pPr>
    </w:p>
    <w:p w14:paraId="63C8E6FF" w14:textId="77777777" w:rsidR="00152B4F" w:rsidRDefault="00152B4F" w:rsidP="00152B4F">
      <w:pPr>
        <w:rPr>
          <w:rFonts w:ascii="Calibri" w:hAnsi="Calibri" w:cs="Arial"/>
          <w:b/>
          <w:bCs/>
          <w:sz w:val="24"/>
          <w:szCs w:val="26"/>
          <w:lang w:eastAsia="en-AU"/>
        </w:rPr>
      </w:pPr>
      <w:r>
        <w:br w:type="page"/>
      </w:r>
    </w:p>
    <w:p w14:paraId="2D52BBB3" w14:textId="77777777" w:rsidR="00152B4F" w:rsidRDefault="00152B4F" w:rsidP="00152B4F">
      <w:pPr>
        <w:pStyle w:val="Heading2"/>
      </w:pPr>
      <w:bookmarkStart w:id="6" w:name="_Toc47098266"/>
      <w:r>
        <w:t>Introduction</w:t>
      </w:r>
      <w:bookmarkEnd w:id="6"/>
    </w:p>
    <w:p w14:paraId="59F78D8E" w14:textId="77777777" w:rsidR="00152B4F" w:rsidRPr="00382361" w:rsidRDefault="00152B4F" w:rsidP="00152B4F">
      <w:pPr>
        <w:spacing w:after="120"/>
        <w:contextualSpacing/>
        <w:rPr>
          <w:rFonts w:ascii="Calibri" w:hAnsi="Calibri"/>
          <w:lang w:eastAsia="en-AU"/>
        </w:rPr>
      </w:pPr>
      <w:r w:rsidRPr="00382361">
        <w:rPr>
          <w:rFonts w:ascii="Calibri" w:hAnsi="Calibri"/>
          <w:lang w:eastAsia="en-AU"/>
        </w:rPr>
        <w:t>This advice describes the Disability Employment Services (DES) Star Ratings methodology used to calculate the DES Star Ratings</w:t>
      </w:r>
      <w:r>
        <w:rPr>
          <w:rFonts w:ascii="Calibri" w:hAnsi="Calibri"/>
          <w:lang w:eastAsia="en-AU"/>
        </w:rPr>
        <w:t>, herein</w:t>
      </w:r>
      <w:r w:rsidRPr="00382361">
        <w:rPr>
          <w:rFonts w:ascii="Calibri" w:hAnsi="Calibri"/>
          <w:lang w:eastAsia="en-AU"/>
        </w:rPr>
        <w:t xml:space="preserve"> referred to as “the Star Ratings”.</w:t>
      </w:r>
      <w:r>
        <w:rPr>
          <w:rFonts w:ascii="Calibri" w:hAnsi="Calibri"/>
          <w:lang w:eastAsia="en-AU"/>
        </w:rPr>
        <w:t xml:space="preserve"> It is an “other Star Ratings document” in accordance with subparagraph 1552(b)(i)  and 155.3 </w:t>
      </w:r>
      <w:r w:rsidRPr="00506BA4">
        <w:rPr>
          <w:rFonts w:ascii="Calibri" w:hAnsi="Calibri"/>
          <w:lang w:eastAsia="en-AU"/>
        </w:rPr>
        <w:t>of the DES Grant Agreement</w:t>
      </w:r>
      <w:r>
        <w:rPr>
          <w:rFonts w:ascii="Calibri" w:hAnsi="Calibri"/>
          <w:lang w:eastAsia="en-AU"/>
        </w:rPr>
        <w:t xml:space="preserve">. It details the “Star Ratings” </w:t>
      </w:r>
      <w:r w:rsidRPr="00506BA4">
        <w:rPr>
          <w:rFonts w:ascii="Calibri" w:hAnsi="Calibri"/>
          <w:lang w:eastAsia="en-AU"/>
        </w:rPr>
        <w:t>as defined by the Grant Agreement</w:t>
      </w:r>
      <w:r>
        <w:rPr>
          <w:rFonts w:ascii="Calibri" w:hAnsi="Calibri"/>
          <w:lang w:eastAsia="en-AU"/>
        </w:rPr>
        <w:t>.</w:t>
      </w:r>
    </w:p>
    <w:p w14:paraId="08FE5E06" w14:textId="77777777" w:rsidR="00152B4F" w:rsidRPr="00382361" w:rsidRDefault="00152B4F" w:rsidP="00152B4F">
      <w:pPr>
        <w:spacing w:after="120"/>
        <w:contextualSpacing/>
        <w:rPr>
          <w:rFonts w:ascii="Calibri" w:hAnsi="Calibri"/>
          <w:lang w:eastAsia="en-AU"/>
        </w:rPr>
      </w:pPr>
    </w:p>
    <w:p w14:paraId="2169D310" w14:textId="77777777" w:rsidR="00152B4F" w:rsidRDefault="00152B4F" w:rsidP="00152B4F">
      <w:pPr>
        <w:spacing w:after="120"/>
        <w:contextualSpacing/>
        <w:rPr>
          <w:rFonts w:ascii="Calibri" w:hAnsi="Calibri"/>
          <w:lang w:eastAsia="en-AU"/>
        </w:rPr>
      </w:pPr>
      <w:r w:rsidRPr="00382361">
        <w:rPr>
          <w:rFonts w:ascii="Calibri" w:hAnsi="Calibri"/>
          <w:lang w:eastAsia="en-AU"/>
        </w:rPr>
        <w:t>The DES Star Rating Model</w:t>
      </w:r>
      <w:r>
        <w:rPr>
          <w:rFonts w:ascii="Calibri" w:hAnsi="Calibri"/>
          <w:lang w:eastAsia="en-AU"/>
        </w:rPr>
        <w:t>, used for the calculations,</w:t>
      </w:r>
      <w:r w:rsidRPr="00382361">
        <w:rPr>
          <w:rFonts w:ascii="Calibri" w:hAnsi="Calibri"/>
          <w:lang w:eastAsia="en-AU"/>
        </w:rPr>
        <w:t xml:space="preserve"> is an outcome-based model.  In line with the </w:t>
      </w:r>
      <w:r>
        <w:rPr>
          <w:rFonts w:ascii="Calibri" w:hAnsi="Calibri"/>
          <w:lang w:eastAsia="en-AU"/>
        </w:rPr>
        <w:t>DES 2018</w:t>
      </w:r>
      <w:r w:rsidRPr="00B20661">
        <w:t xml:space="preserve"> Performance Framework</w:t>
      </w:r>
      <w:r w:rsidRPr="00382361">
        <w:rPr>
          <w:rFonts w:ascii="Calibri" w:hAnsi="Calibri"/>
          <w:lang w:eastAsia="en-AU"/>
        </w:rPr>
        <w:t xml:space="preserve">, it rewards DES </w:t>
      </w:r>
      <w:r>
        <w:rPr>
          <w:rFonts w:ascii="Calibri" w:hAnsi="Calibri"/>
          <w:lang w:eastAsia="en-AU"/>
        </w:rPr>
        <w:t>P</w:t>
      </w:r>
      <w:r w:rsidRPr="00382361">
        <w:rPr>
          <w:rFonts w:ascii="Calibri" w:hAnsi="Calibri"/>
          <w:lang w:eastAsia="en-AU"/>
        </w:rPr>
        <w:t>roviders who drive performance and continuous improvement</w:t>
      </w:r>
      <w:r>
        <w:rPr>
          <w:rFonts w:ascii="Calibri" w:hAnsi="Calibri"/>
          <w:lang w:eastAsia="en-AU"/>
        </w:rPr>
        <w:t>,</w:t>
      </w:r>
      <w:r w:rsidRPr="00382361">
        <w:rPr>
          <w:rFonts w:ascii="Calibri" w:hAnsi="Calibri"/>
          <w:lang w:eastAsia="en-AU"/>
        </w:rPr>
        <w:t xml:space="preserve"> in the delivery of </w:t>
      </w:r>
      <w:r>
        <w:rPr>
          <w:rFonts w:ascii="Calibri" w:hAnsi="Calibri"/>
          <w:lang w:eastAsia="en-AU"/>
        </w:rPr>
        <w:t>E</w:t>
      </w:r>
      <w:r w:rsidRPr="00382361">
        <w:rPr>
          <w:rFonts w:ascii="Calibri" w:hAnsi="Calibri"/>
          <w:lang w:eastAsia="en-AU"/>
        </w:rPr>
        <w:t xml:space="preserve">ffective </w:t>
      </w:r>
      <w:r>
        <w:rPr>
          <w:rFonts w:ascii="Calibri" w:hAnsi="Calibri"/>
          <w:lang w:eastAsia="en-AU"/>
        </w:rPr>
        <w:t>S</w:t>
      </w:r>
      <w:r w:rsidRPr="00382361">
        <w:rPr>
          <w:rFonts w:ascii="Calibri" w:hAnsi="Calibri"/>
          <w:lang w:eastAsia="en-AU"/>
        </w:rPr>
        <w:t>ervices</w:t>
      </w:r>
      <w:r>
        <w:rPr>
          <w:rFonts w:ascii="Calibri" w:hAnsi="Calibri"/>
          <w:lang w:eastAsia="en-AU"/>
        </w:rPr>
        <w:t>,</w:t>
      </w:r>
      <w:r w:rsidRPr="00382361">
        <w:rPr>
          <w:rFonts w:ascii="Calibri" w:hAnsi="Calibri"/>
          <w:lang w:eastAsia="en-AU"/>
        </w:rPr>
        <w:t xml:space="preserve"> to all </w:t>
      </w:r>
      <w:r>
        <w:rPr>
          <w:rFonts w:ascii="Calibri" w:hAnsi="Calibri"/>
          <w:lang w:eastAsia="en-AU"/>
        </w:rPr>
        <w:t>P</w:t>
      </w:r>
      <w:r w:rsidRPr="00382361">
        <w:rPr>
          <w:rFonts w:ascii="Calibri" w:hAnsi="Calibri"/>
          <w:lang w:eastAsia="en-AU"/>
        </w:rPr>
        <w:t xml:space="preserve">articipants and </w:t>
      </w:r>
      <w:r>
        <w:rPr>
          <w:rFonts w:ascii="Calibri" w:hAnsi="Calibri"/>
          <w:lang w:eastAsia="en-AU"/>
        </w:rPr>
        <w:t>E</w:t>
      </w:r>
      <w:r w:rsidRPr="00382361">
        <w:rPr>
          <w:rFonts w:ascii="Calibri" w:hAnsi="Calibri"/>
          <w:lang w:eastAsia="en-AU"/>
        </w:rPr>
        <w:t xml:space="preserve">mployers. It includes </w:t>
      </w:r>
      <w:r>
        <w:rPr>
          <w:rFonts w:ascii="Calibri" w:hAnsi="Calibri"/>
          <w:lang w:eastAsia="en-AU"/>
        </w:rPr>
        <w:t>O</w:t>
      </w:r>
      <w:r w:rsidRPr="00382361">
        <w:rPr>
          <w:rFonts w:ascii="Calibri" w:hAnsi="Calibri"/>
          <w:lang w:eastAsia="en-AU"/>
        </w:rPr>
        <w:t xml:space="preserve">utcome measures to encourage long-term sustainable </w:t>
      </w:r>
      <w:r>
        <w:rPr>
          <w:rFonts w:ascii="Calibri" w:hAnsi="Calibri"/>
          <w:lang w:eastAsia="en-AU"/>
        </w:rPr>
        <w:t>E</w:t>
      </w:r>
      <w:r w:rsidRPr="00382361">
        <w:rPr>
          <w:rFonts w:ascii="Calibri" w:hAnsi="Calibri"/>
          <w:lang w:eastAsia="en-AU"/>
        </w:rPr>
        <w:t xml:space="preserve">mployment </w:t>
      </w:r>
      <w:r>
        <w:rPr>
          <w:rFonts w:ascii="Calibri" w:hAnsi="Calibri"/>
          <w:lang w:eastAsia="en-AU"/>
        </w:rPr>
        <w:t>O</w:t>
      </w:r>
      <w:r w:rsidRPr="00382361">
        <w:rPr>
          <w:rFonts w:ascii="Calibri" w:hAnsi="Calibri"/>
          <w:lang w:eastAsia="en-AU"/>
        </w:rPr>
        <w:t xml:space="preserve">utcomes for </w:t>
      </w:r>
      <w:r>
        <w:rPr>
          <w:rFonts w:ascii="Calibri" w:hAnsi="Calibri"/>
          <w:lang w:eastAsia="en-AU"/>
        </w:rPr>
        <w:t>P</w:t>
      </w:r>
      <w:r w:rsidRPr="00382361">
        <w:rPr>
          <w:rFonts w:ascii="Calibri" w:hAnsi="Calibri"/>
          <w:lang w:eastAsia="en-AU"/>
        </w:rPr>
        <w:t>articipants</w:t>
      </w:r>
      <w:r>
        <w:rPr>
          <w:rFonts w:ascii="Calibri" w:hAnsi="Calibri"/>
          <w:lang w:eastAsia="en-AU"/>
        </w:rPr>
        <w:t xml:space="preserve"> and</w:t>
      </w:r>
      <w:r w:rsidRPr="00382361">
        <w:rPr>
          <w:rFonts w:ascii="Calibri" w:hAnsi="Calibri"/>
          <w:lang w:eastAsia="en-AU"/>
        </w:rPr>
        <w:t xml:space="preserve"> enhancements to the technical methodology, based on recommendations by the actuarial firm, Taylor Fry.</w:t>
      </w:r>
    </w:p>
    <w:p w14:paraId="73D2E034" w14:textId="77777777" w:rsidR="00152B4F" w:rsidRDefault="00152B4F" w:rsidP="00152B4F">
      <w:pPr>
        <w:spacing w:after="120"/>
        <w:contextualSpacing/>
        <w:rPr>
          <w:rFonts w:ascii="Calibri" w:hAnsi="Calibri"/>
          <w:lang w:eastAsia="en-AU"/>
        </w:rPr>
      </w:pPr>
      <w:r>
        <w:rPr>
          <w:rFonts w:ascii="Calibri" w:hAnsi="Calibri"/>
          <w:lang w:eastAsia="en-AU"/>
        </w:rPr>
        <w:br/>
      </w:r>
      <w:r w:rsidRPr="00A80EA6">
        <w:rPr>
          <w:rFonts w:ascii="Calibri" w:hAnsi="Calibri"/>
          <w:lang w:eastAsia="en-AU"/>
        </w:rPr>
        <w:t xml:space="preserve">The Star Ratings provide an indicator of DES </w:t>
      </w:r>
      <w:r>
        <w:rPr>
          <w:rFonts w:ascii="Calibri" w:hAnsi="Calibri"/>
          <w:lang w:eastAsia="en-AU"/>
        </w:rPr>
        <w:t>P</w:t>
      </w:r>
      <w:r w:rsidRPr="00A80EA6">
        <w:rPr>
          <w:rFonts w:ascii="Calibri" w:hAnsi="Calibri"/>
          <w:lang w:eastAsia="en-AU"/>
        </w:rPr>
        <w:t xml:space="preserve">roviders’ relative performance, based on their success in placing </w:t>
      </w:r>
      <w:r>
        <w:rPr>
          <w:rFonts w:ascii="Calibri" w:hAnsi="Calibri"/>
          <w:lang w:eastAsia="en-AU"/>
        </w:rPr>
        <w:t>P</w:t>
      </w:r>
      <w:r w:rsidRPr="00A80EA6">
        <w:rPr>
          <w:rFonts w:ascii="Calibri" w:hAnsi="Calibri"/>
          <w:lang w:eastAsia="en-AU"/>
        </w:rPr>
        <w:t xml:space="preserve">articipants in sustainable </w:t>
      </w:r>
      <w:r>
        <w:rPr>
          <w:rFonts w:ascii="Calibri" w:hAnsi="Calibri"/>
          <w:lang w:eastAsia="en-AU"/>
        </w:rPr>
        <w:t>E</w:t>
      </w:r>
      <w:r w:rsidRPr="00A80EA6">
        <w:rPr>
          <w:rFonts w:ascii="Calibri" w:hAnsi="Calibri"/>
          <w:lang w:eastAsia="en-AU"/>
        </w:rPr>
        <w:t>mployment</w:t>
      </w:r>
      <w:r>
        <w:rPr>
          <w:rFonts w:ascii="Calibri" w:hAnsi="Calibri"/>
          <w:lang w:eastAsia="en-AU"/>
        </w:rPr>
        <w:t xml:space="preserve"> or Education</w:t>
      </w:r>
      <w:r w:rsidRPr="00A80EA6">
        <w:rPr>
          <w:rFonts w:ascii="Calibri" w:hAnsi="Calibri"/>
          <w:lang w:eastAsia="en-AU"/>
        </w:rPr>
        <w:t xml:space="preserve">, after adjusting for differences in their client characteristics and local labour market characteristics. Because the Star Rating calculations adjust for factors outside </w:t>
      </w:r>
      <w:r>
        <w:rPr>
          <w:rFonts w:ascii="Calibri" w:hAnsi="Calibri"/>
          <w:lang w:eastAsia="en-AU"/>
        </w:rPr>
        <w:t>P</w:t>
      </w:r>
      <w:r w:rsidRPr="00A80EA6">
        <w:rPr>
          <w:rFonts w:ascii="Calibri" w:hAnsi="Calibri"/>
          <w:lang w:eastAsia="en-AU"/>
        </w:rPr>
        <w:t xml:space="preserve">roviders’ control using statistical </w:t>
      </w:r>
      <w:r>
        <w:rPr>
          <w:rFonts w:ascii="Calibri" w:hAnsi="Calibri"/>
          <w:lang w:eastAsia="en-AU"/>
        </w:rPr>
        <w:t xml:space="preserve">regression </w:t>
      </w:r>
      <w:r w:rsidRPr="00A80EA6">
        <w:rPr>
          <w:rFonts w:ascii="Calibri" w:hAnsi="Calibri"/>
          <w:lang w:eastAsia="en-AU"/>
        </w:rPr>
        <w:t xml:space="preserve">methods, they allow direct comparison of </w:t>
      </w:r>
      <w:r>
        <w:rPr>
          <w:rFonts w:ascii="Calibri" w:hAnsi="Calibri"/>
          <w:lang w:eastAsia="en-AU"/>
        </w:rPr>
        <w:t>P</w:t>
      </w:r>
      <w:r w:rsidRPr="00A80EA6">
        <w:rPr>
          <w:rFonts w:ascii="Calibri" w:hAnsi="Calibri"/>
          <w:lang w:eastAsia="en-AU"/>
        </w:rPr>
        <w:t>roviders across Australia.</w:t>
      </w:r>
      <w:r>
        <w:rPr>
          <w:rFonts w:ascii="Calibri" w:hAnsi="Calibri"/>
          <w:lang w:eastAsia="en-AU"/>
        </w:rPr>
        <w:t xml:space="preserve"> For example, t</w:t>
      </w:r>
      <w:r w:rsidRPr="00B2435D">
        <w:rPr>
          <w:rFonts w:ascii="Calibri" w:hAnsi="Calibri"/>
          <w:lang w:eastAsia="en-AU"/>
        </w:rPr>
        <w:t xml:space="preserve">his allows for a direct comparison of Star Ratings between a Provider in regional Queensland and a </w:t>
      </w:r>
      <w:r>
        <w:rPr>
          <w:rFonts w:ascii="Calibri" w:hAnsi="Calibri"/>
          <w:lang w:eastAsia="en-AU"/>
        </w:rPr>
        <w:t>Provider</w:t>
      </w:r>
      <w:r w:rsidRPr="00B2435D">
        <w:rPr>
          <w:rFonts w:ascii="Calibri" w:hAnsi="Calibri"/>
          <w:lang w:eastAsia="en-AU"/>
        </w:rPr>
        <w:t xml:space="preserve"> in inner metropolitan Melbourne</w:t>
      </w:r>
      <w:r>
        <w:rPr>
          <w:rFonts w:ascii="Calibri" w:hAnsi="Calibri"/>
          <w:lang w:eastAsia="en-AU"/>
        </w:rPr>
        <w:t>,</w:t>
      </w:r>
      <w:r w:rsidRPr="00B2435D">
        <w:rPr>
          <w:rFonts w:ascii="Calibri" w:hAnsi="Calibri"/>
          <w:lang w:eastAsia="en-AU"/>
        </w:rPr>
        <w:t xml:space="preserve"> and so on.</w:t>
      </w:r>
    </w:p>
    <w:p w14:paraId="7BF03175" w14:textId="77777777" w:rsidR="00152B4F" w:rsidRDefault="00152B4F" w:rsidP="00152B4F">
      <w:pPr>
        <w:spacing w:after="120"/>
        <w:contextualSpacing/>
        <w:rPr>
          <w:rFonts w:ascii="Calibri" w:hAnsi="Calibri"/>
          <w:lang w:eastAsia="en-AU"/>
        </w:rPr>
      </w:pPr>
    </w:p>
    <w:p w14:paraId="48A65E66" w14:textId="77777777" w:rsidR="00152B4F" w:rsidRDefault="00152B4F" w:rsidP="00152B4F">
      <w:pPr>
        <w:spacing w:after="120"/>
        <w:contextualSpacing/>
        <w:rPr>
          <w:rFonts w:ascii="Calibri" w:hAnsi="Calibri"/>
          <w:lang w:eastAsia="en-AU"/>
        </w:rPr>
      </w:pPr>
      <w:r w:rsidRPr="00576B19">
        <w:rPr>
          <w:rFonts w:ascii="Calibri" w:hAnsi="Calibri"/>
          <w:lang w:eastAsia="en-AU"/>
        </w:rPr>
        <w:t xml:space="preserve">The Star Ratings measure the relative performance of Providers in delivering </w:t>
      </w:r>
      <w:r>
        <w:rPr>
          <w:rFonts w:ascii="Calibri" w:hAnsi="Calibri"/>
          <w:lang w:eastAsia="en-AU"/>
        </w:rPr>
        <w:t>S</w:t>
      </w:r>
      <w:r w:rsidRPr="00576B19">
        <w:rPr>
          <w:rFonts w:ascii="Calibri" w:hAnsi="Calibri"/>
          <w:lang w:eastAsia="en-AU"/>
        </w:rPr>
        <w:t xml:space="preserve">ervices contributing to the objectives of the DES program, focusing on </w:t>
      </w:r>
      <w:r>
        <w:rPr>
          <w:rFonts w:ascii="Calibri" w:hAnsi="Calibri"/>
          <w:lang w:eastAsia="en-AU"/>
        </w:rPr>
        <w:t xml:space="preserve">Key Performance Indicators, </w:t>
      </w:r>
      <w:r w:rsidRPr="00576B19">
        <w:rPr>
          <w:rFonts w:ascii="Calibri" w:hAnsi="Calibri"/>
          <w:lang w:eastAsia="en-AU"/>
        </w:rPr>
        <w:t xml:space="preserve">KPI 1 Efficiency and KPI 2 Effectiveness. </w:t>
      </w:r>
    </w:p>
    <w:p w14:paraId="31804380" w14:textId="77777777" w:rsidR="00152B4F" w:rsidRDefault="00152B4F" w:rsidP="00152B4F">
      <w:pPr>
        <w:spacing w:after="120"/>
        <w:contextualSpacing/>
        <w:rPr>
          <w:rFonts w:ascii="Calibri" w:hAnsi="Calibri"/>
          <w:lang w:eastAsia="en-AU"/>
        </w:rPr>
      </w:pPr>
    </w:p>
    <w:p w14:paraId="20AA542D" w14:textId="77777777" w:rsidR="00152B4F" w:rsidRPr="00576B19" w:rsidRDefault="00152B4F" w:rsidP="00152B4F">
      <w:pPr>
        <w:spacing w:after="120"/>
        <w:contextualSpacing/>
        <w:rPr>
          <w:rFonts w:ascii="Calibri" w:hAnsi="Calibri"/>
          <w:lang w:eastAsia="en-AU"/>
        </w:rPr>
      </w:pPr>
      <w:r w:rsidRPr="00576B19">
        <w:rPr>
          <w:rFonts w:ascii="Calibri" w:hAnsi="Calibri"/>
          <w:lang w:eastAsia="en-AU"/>
        </w:rPr>
        <w:t xml:space="preserve">Each Provider receives a Star Rating ranging from 1-Star to 5-Stars. A Site performing at a level that is better than the average of </w:t>
      </w:r>
      <w:r>
        <w:rPr>
          <w:rFonts w:ascii="Calibri" w:hAnsi="Calibri"/>
          <w:lang w:eastAsia="en-AU"/>
        </w:rPr>
        <w:t>all</w:t>
      </w:r>
      <w:r w:rsidRPr="00576B19">
        <w:rPr>
          <w:rFonts w:ascii="Calibri" w:hAnsi="Calibri"/>
          <w:lang w:eastAsia="en-AU"/>
        </w:rPr>
        <w:t xml:space="preserve"> Sites will receive a high rating (4 or 5-Stars). A Site that is performing at around the average will receive 3-Stars. A Site performing at a level that is </w:t>
      </w:r>
      <w:r>
        <w:rPr>
          <w:rFonts w:ascii="Calibri" w:hAnsi="Calibri"/>
          <w:lang w:eastAsia="en-AU"/>
        </w:rPr>
        <w:t>below</w:t>
      </w:r>
      <w:r w:rsidRPr="00576B19">
        <w:rPr>
          <w:rFonts w:ascii="Calibri" w:hAnsi="Calibri"/>
          <w:lang w:eastAsia="en-AU"/>
        </w:rPr>
        <w:t xml:space="preserve"> the average will receive a lower rating (2-Stars or 1-Star).</w:t>
      </w:r>
    </w:p>
    <w:p w14:paraId="416C118C" w14:textId="77777777" w:rsidR="00152B4F" w:rsidRPr="00576B19" w:rsidRDefault="00152B4F" w:rsidP="00152B4F">
      <w:pPr>
        <w:spacing w:after="120"/>
        <w:contextualSpacing/>
        <w:rPr>
          <w:rFonts w:ascii="Calibri" w:hAnsi="Calibri"/>
          <w:lang w:eastAsia="en-AU"/>
        </w:rPr>
      </w:pPr>
    </w:p>
    <w:p w14:paraId="69EA0179" w14:textId="77777777" w:rsidR="00152B4F" w:rsidRPr="00576B19" w:rsidRDefault="00152B4F" w:rsidP="00152B4F">
      <w:pPr>
        <w:spacing w:after="120"/>
        <w:contextualSpacing/>
        <w:rPr>
          <w:rFonts w:ascii="Calibri" w:hAnsi="Calibri"/>
          <w:lang w:eastAsia="en-AU"/>
        </w:rPr>
      </w:pPr>
      <w:r w:rsidRPr="0070604D">
        <w:rPr>
          <w:rFonts w:ascii="Calibri" w:hAnsi="Calibri"/>
          <w:lang w:eastAsia="en-AU"/>
        </w:rPr>
        <w:t xml:space="preserve">The Star Ratings </w:t>
      </w:r>
      <w:r w:rsidRPr="00196C8C">
        <w:rPr>
          <w:rFonts w:ascii="Calibri" w:hAnsi="Calibri"/>
          <w:lang w:eastAsia="en-AU"/>
        </w:rPr>
        <w:t>are also used</w:t>
      </w:r>
      <w:r w:rsidRPr="0070604D">
        <w:rPr>
          <w:rFonts w:ascii="Calibri" w:hAnsi="Calibri"/>
          <w:lang w:eastAsia="en-AU"/>
        </w:rPr>
        <w:t xml:space="preserve"> by: </w:t>
      </w:r>
    </w:p>
    <w:p w14:paraId="51476216" w14:textId="77777777" w:rsidR="00152B4F" w:rsidRDefault="00152B4F" w:rsidP="00152B4F">
      <w:pPr>
        <w:pStyle w:val="ListParagraph"/>
        <w:numPr>
          <w:ilvl w:val="0"/>
          <w:numId w:val="1"/>
        </w:numPr>
        <w:tabs>
          <w:tab w:val="num" w:pos="720"/>
        </w:tabs>
        <w:ind w:left="714" w:hanging="357"/>
        <w:rPr>
          <w:rFonts w:ascii="Calibri" w:hAnsi="Calibri"/>
          <w:lang w:eastAsia="en-AU"/>
        </w:rPr>
      </w:pPr>
      <w:r w:rsidRPr="00576B19">
        <w:rPr>
          <w:rFonts w:ascii="Calibri" w:hAnsi="Calibri"/>
          <w:lang w:eastAsia="en-AU"/>
        </w:rPr>
        <w:t>Participants to assess the comparative performance of different Providers in their local area</w:t>
      </w:r>
      <w:r>
        <w:rPr>
          <w:rFonts w:ascii="Calibri" w:hAnsi="Calibri"/>
          <w:lang w:eastAsia="en-AU"/>
        </w:rPr>
        <w:t>;</w:t>
      </w:r>
    </w:p>
    <w:p w14:paraId="3A8ACBBF" w14:textId="77777777" w:rsidR="00152B4F" w:rsidRPr="00576B19" w:rsidRDefault="00152B4F" w:rsidP="00152B4F">
      <w:pPr>
        <w:pStyle w:val="ListParagraph"/>
        <w:numPr>
          <w:ilvl w:val="0"/>
          <w:numId w:val="1"/>
        </w:numPr>
        <w:tabs>
          <w:tab w:val="num" w:pos="720"/>
        </w:tabs>
        <w:ind w:left="714" w:hanging="357"/>
        <w:rPr>
          <w:rFonts w:ascii="Calibri" w:hAnsi="Calibri"/>
          <w:lang w:eastAsia="en-AU"/>
        </w:rPr>
      </w:pPr>
      <w:r>
        <w:rPr>
          <w:rFonts w:ascii="Calibri" w:hAnsi="Calibri"/>
          <w:lang w:eastAsia="en-AU"/>
        </w:rPr>
        <w:t>Employers may use them as part of their assessment for which DES Providers they might engage to make recruitment agreements with;</w:t>
      </w:r>
    </w:p>
    <w:p w14:paraId="79B72B7C" w14:textId="77777777" w:rsidR="00152B4F" w:rsidRDefault="00152B4F" w:rsidP="00152B4F">
      <w:pPr>
        <w:pStyle w:val="ListParagraph"/>
        <w:numPr>
          <w:ilvl w:val="0"/>
          <w:numId w:val="1"/>
        </w:numPr>
        <w:tabs>
          <w:tab w:val="num" w:pos="720"/>
        </w:tabs>
        <w:ind w:left="714" w:hanging="357"/>
        <w:rPr>
          <w:rFonts w:ascii="Calibri" w:hAnsi="Calibri"/>
          <w:lang w:eastAsia="en-AU"/>
        </w:rPr>
      </w:pPr>
      <w:r w:rsidRPr="00576B19">
        <w:rPr>
          <w:rFonts w:ascii="Calibri" w:hAnsi="Calibri"/>
          <w:lang w:eastAsia="en-AU"/>
        </w:rPr>
        <w:t xml:space="preserve">Providers to assess their </w:t>
      </w:r>
      <w:r>
        <w:rPr>
          <w:rFonts w:ascii="Calibri" w:hAnsi="Calibri"/>
          <w:lang w:eastAsia="en-AU"/>
        </w:rPr>
        <w:t>c</w:t>
      </w:r>
      <w:r w:rsidRPr="00576B19">
        <w:rPr>
          <w:rFonts w:ascii="Calibri" w:hAnsi="Calibri"/>
          <w:lang w:eastAsia="en-AU"/>
        </w:rPr>
        <w:t>ontractual performance</w:t>
      </w:r>
      <w:r>
        <w:rPr>
          <w:rFonts w:ascii="Calibri" w:hAnsi="Calibri"/>
          <w:lang w:eastAsia="en-AU"/>
        </w:rPr>
        <w:t>; and</w:t>
      </w:r>
    </w:p>
    <w:p w14:paraId="030C30BB" w14:textId="77777777" w:rsidR="00152B4F" w:rsidRPr="00576B19" w:rsidRDefault="00152B4F" w:rsidP="00152B4F">
      <w:pPr>
        <w:pStyle w:val="ListParagraph"/>
        <w:numPr>
          <w:ilvl w:val="0"/>
          <w:numId w:val="1"/>
        </w:numPr>
        <w:tabs>
          <w:tab w:val="num" w:pos="720"/>
        </w:tabs>
        <w:ind w:left="714" w:hanging="357"/>
        <w:rPr>
          <w:rFonts w:ascii="Calibri" w:hAnsi="Calibri"/>
          <w:lang w:eastAsia="en-AU"/>
        </w:rPr>
      </w:pPr>
      <w:r>
        <w:rPr>
          <w:rFonts w:ascii="Calibri" w:hAnsi="Calibri"/>
          <w:lang w:eastAsia="en-AU"/>
        </w:rPr>
        <w:t>T</w:t>
      </w:r>
      <w:r w:rsidRPr="00576B19">
        <w:rPr>
          <w:rFonts w:ascii="Calibri" w:hAnsi="Calibri"/>
          <w:lang w:eastAsia="en-AU"/>
        </w:rPr>
        <w:t xml:space="preserve">he </w:t>
      </w:r>
      <w:r>
        <w:rPr>
          <w:rFonts w:ascii="Calibri" w:hAnsi="Calibri"/>
          <w:lang w:eastAsia="en-AU"/>
        </w:rPr>
        <w:t>D</w:t>
      </w:r>
      <w:r w:rsidRPr="00576B19">
        <w:rPr>
          <w:rFonts w:ascii="Calibri" w:hAnsi="Calibri"/>
          <w:lang w:eastAsia="en-AU"/>
        </w:rPr>
        <w:t xml:space="preserve">epartment to drive continual improvement in performance and to inform </w:t>
      </w:r>
      <w:r>
        <w:rPr>
          <w:rFonts w:ascii="Calibri" w:hAnsi="Calibri"/>
          <w:lang w:eastAsia="en-AU"/>
        </w:rPr>
        <w:t xml:space="preserve">DES panel </w:t>
      </w:r>
      <w:r w:rsidRPr="00576B19">
        <w:rPr>
          <w:rFonts w:ascii="Calibri" w:hAnsi="Calibri"/>
          <w:lang w:eastAsia="en-AU"/>
        </w:rPr>
        <w:t xml:space="preserve">review processes. </w:t>
      </w:r>
    </w:p>
    <w:p w14:paraId="05B63301" w14:textId="77777777" w:rsidR="00152B4F" w:rsidRPr="00576B19" w:rsidRDefault="00152B4F" w:rsidP="00152B4F">
      <w:pPr>
        <w:spacing w:after="120"/>
        <w:contextualSpacing/>
        <w:rPr>
          <w:rFonts w:ascii="Calibri" w:hAnsi="Calibri"/>
          <w:lang w:eastAsia="en-AU"/>
        </w:rPr>
      </w:pPr>
    </w:p>
    <w:p w14:paraId="39CF6244" w14:textId="77777777" w:rsidR="00152B4F" w:rsidRDefault="00152B4F" w:rsidP="00152B4F">
      <w:pPr>
        <w:rPr>
          <w:rFonts w:ascii="Calibri" w:hAnsi="Calibri"/>
          <w:lang w:eastAsia="en-AU"/>
        </w:rPr>
      </w:pPr>
      <w:r>
        <w:rPr>
          <w:rFonts w:ascii="Calibri" w:hAnsi="Calibri"/>
          <w:lang w:eastAsia="en-AU"/>
        </w:rPr>
        <w:br w:type="page"/>
      </w:r>
    </w:p>
    <w:p w14:paraId="63F99E50" w14:textId="77777777" w:rsidR="00152B4F" w:rsidRPr="00196C8C" w:rsidRDefault="00152B4F" w:rsidP="00152B4F">
      <w:pPr>
        <w:spacing w:after="120"/>
        <w:contextualSpacing/>
        <w:rPr>
          <w:rFonts w:ascii="Calibri" w:hAnsi="Calibri"/>
          <w:lang w:eastAsia="en-AU"/>
        </w:rPr>
      </w:pPr>
      <w:r w:rsidRPr="00196C8C">
        <w:rPr>
          <w:rFonts w:ascii="Calibri" w:hAnsi="Calibri"/>
          <w:lang w:eastAsia="en-AU"/>
        </w:rPr>
        <w:t>This document sets out the methodology used to calculate the Star Ratings. It covers:</w:t>
      </w:r>
    </w:p>
    <w:p w14:paraId="7A3B48E3" w14:textId="77777777" w:rsidR="00152B4F" w:rsidRPr="00196C8C" w:rsidRDefault="00152B4F" w:rsidP="00152B4F">
      <w:pPr>
        <w:pStyle w:val="ListParagraph"/>
        <w:numPr>
          <w:ilvl w:val="0"/>
          <w:numId w:val="1"/>
        </w:numPr>
        <w:tabs>
          <w:tab w:val="num" w:pos="720"/>
        </w:tabs>
        <w:ind w:left="714" w:hanging="357"/>
        <w:rPr>
          <w:rFonts w:ascii="Calibri" w:hAnsi="Calibri"/>
          <w:lang w:eastAsia="en-AU"/>
        </w:rPr>
      </w:pPr>
      <w:r w:rsidRPr="00196C8C">
        <w:rPr>
          <w:rFonts w:ascii="Calibri" w:hAnsi="Calibri"/>
          <w:lang w:eastAsia="en-AU"/>
        </w:rPr>
        <w:t>What the Star Ratings assess, including detailed performance measure rules</w:t>
      </w:r>
      <w:r>
        <w:rPr>
          <w:rFonts w:ascii="Calibri" w:hAnsi="Calibri"/>
          <w:lang w:eastAsia="en-AU"/>
        </w:rPr>
        <w:t>;</w:t>
      </w:r>
    </w:p>
    <w:p w14:paraId="4F6826E6" w14:textId="77777777" w:rsidR="00152B4F" w:rsidRPr="00196C8C" w:rsidRDefault="00152B4F" w:rsidP="00152B4F">
      <w:pPr>
        <w:pStyle w:val="ListParagraph"/>
        <w:numPr>
          <w:ilvl w:val="0"/>
          <w:numId w:val="1"/>
        </w:numPr>
        <w:tabs>
          <w:tab w:val="num" w:pos="720"/>
        </w:tabs>
        <w:ind w:left="714" w:hanging="357"/>
        <w:rPr>
          <w:rFonts w:ascii="Calibri" w:hAnsi="Calibri"/>
          <w:lang w:eastAsia="en-AU"/>
        </w:rPr>
      </w:pPr>
      <w:r w:rsidRPr="00196C8C">
        <w:rPr>
          <w:rFonts w:ascii="Calibri" w:hAnsi="Calibri"/>
          <w:lang w:eastAsia="en-AU"/>
        </w:rPr>
        <w:t>The data used to calculate the Star Ratings, including a description of the two year rolling period</w:t>
      </w:r>
      <w:r>
        <w:rPr>
          <w:rFonts w:ascii="Calibri" w:hAnsi="Calibri"/>
          <w:lang w:eastAsia="en-AU"/>
        </w:rPr>
        <w:t>;</w:t>
      </w:r>
      <w:r w:rsidRPr="00196C8C">
        <w:rPr>
          <w:rFonts w:ascii="Calibri" w:hAnsi="Calibri"/>
          <w:lang w:eastAsia="en-AU"/>
        </w:rPr>
        <w:t xml:space="preserve"> </w:t>
      </w:r>
    </w:p>
    <w:p w14:paraId="69A917E6" w14:textId="77777777" w:rsidR="00152B4F" w:rsidRPr="00196C8C" w:rsidRDefault="00152B4F" w:rsidP="00152B4F">
      <w:pPr>
        <w:pStyle w:val="ListParagraph"/>
        <w:numPr>
          <w:ilvl w:val="0"/>
          <w:numId w:val="1"/>
        </w:numPr>
        <w:tabs>
          <w:tab w:val="num" w:pos="720"/>
        </w:tabs>
        <w:ind w:left="714" w:hanging="357"/>
        <w:rPr>
          <w:rFonts w:ascii="Calibri" w:hAnsi="Calibri"/>
          <w:lang w:eastAsia="en-AU"/>
        </w:rPr>
      </w:pPr>
      <w:r w:rsidRPr="00196C8C">
        <w:rPr>
          <w:rFonts w:ascii="Calibri" w:hAnsi="Calibri"/>
          <w:lang w:eastAsia="en-AU"/>
        </w:rPr>
        <w:t xml:space="preserve">The six steps that the </w:t>
      </w:r>
      <w:r>
        <w:rPr>
          <w:rFonts w:ascii="Calibri" w:hAnsi="Calibri"/>
          <w:lang w:eastAsia="en-AU"/>
        </w:rPr>
        <w:t>D</w:t>
      </w:r>
      <w:r w:rsidRPr="00196C8C">
        <w:rPr>
          <w:rFonts w:ascii="Calibri" w:hAnsi="Calibri"/>
          <w:lang w:eastAsia="en-AU"/>
        </w:rPr>
        <w:t>epartment takes to calculate a</w:t>
      </w:r>
      <w:r>
        <w:rPr>
          <w:rFonts w:ascii="Calibri" w:hAnsi="Calibri"/>
          <w:lang w:eastAsia="en-AU"/>
        </w:rPr>
        <w:t xml:space="preserve"> </w:t>
      </w:r>
      <w:r w:rsidRPr="00196C8C">
        <w:rPr>
          <w:rFonts w:ascii="Calibri" w:hAnsi="Calibri"/>
          <w:lang w:eastAsia="en-AU"/>
        </w:rPr>
        <w:t>Star Rating; and</w:t>
      </w:r>
    </w:p>
    <w:p w14:paraId="1706C44C" w14:textId="77777777" w:rsidR="00152B4F" w:rsidRDefault="00152B4F" w:rsidP="00152B4F">
      <w:pPr>
        <w:pStyle w:val="ListParagraph"/>
        <w:numPr>
          <w:ilvl w:val="0"/>
          <w:numId w:val="1"/>
        </w:numPr>
        <w:tabs>
          <w:tab w:val="num" w:pos="720"/>
        </w:tabs>
        <w:ind w:left="714" w:hanging="357"/>
        <w:rPr>
          <w:rFonts w:ascii="Calibri" w:hAnsi="Calibri"/>
          <w:lang w:eastAsia="en-AU"/>
        </w:rPr>
      </w:pPr>
      <w:r>
        <w:rPr>
          <w:rFonts w:ascii="Calibri" w:hAnsi="Calibri"/>
          <w:lang w:eastAsia="en-AU"/>
        </w:rPr>
        <w:t>F</w:t>
      </w:r>
      <w:r w:rsidRPr="00C47E6E">
        <w:rPr>
          <w:rFonts w:ascii="Calibri" w:hAnsi="Calibri"/>
          <w:lang w:eastAsia="en-AU"/>
        </w:rPr>
        <w:t>urther information available to Providers to help them manage their performance.</w:t>
      </w:r>
    </w:p>
    <w:p w14:paraId="79A5671B" w14:textId="77777777" w:rsidR="00152B4F" w:rsidRDefault="00152B4F" w:rsidP="00152B4F"/>
    <w:p w14:paraId="59716C4C" w14:textId="77777777" w:rsidR="00152B4F" w:rsidRPr="00675088" w:rsidRDefault="00152B4F" w:rsidP="00152B4F">
      <w:pPr>
        <w:pStyle w:val="Heading2"/>
        <w:rPr>
          <w:color w:val="C00000"/>
          <w:u w:val="single"/>
        </w:rPr>
      </w:pPr>
      <w:bookmarkStart w:id="7" w:name="_Toc47098267"/>
      <w:r w:rsidRPr="00220DD3">
        <w:t xml:space="preserve">What </w:t>
      </w:r>
      <w:r>
        <w:t xml:space="preserve">do </w:t>
      </w:r>
      <w:r w:rsidRPr="00220DD3">
        <w:t>Star Ratings Assess</w:t>
      </w:r>
      <w:r>
        <w:t>?</w:t>
      </w:r>
      <w:bookmarkEnd w:id="7"/>
      <w:r>
        <w:t xml:space="preserve"> </w:t>
      </w:r>
    </w:p>
    <w:p w14:paraId="6F547241" w14:textId="77777777" w:rsidR="00152B4F" w:rsidRPr="00826F4C" w:rsidRDefault="00152B4F" w:rsidP="00152B4F">
      <w:pPr>
        <w:pStyle w:val="Heading3"/>
        <w:rPr>
          <w:rFonts w:cs="Times New Roman"/>
          <w:bCs w:val="0"/>
          <w:i w:val="0"/>
          <w:szCs w:val="24"/>
        </w:rPr>
      </w:pPr>
      <w:bookmarkStart w:id="8" w:name="_Toc47098268"/>
      <w:r w:rsidRPr="00826F4C">
        <w:rPr>
          <w:rFonts w:cs="Times New Roman"/>
          <w:bCs w:val="0"/>
          <w:szCs w:val="24"/>
        </w:rPr>
        <w:t>Key Performance Indicators</w:t>
      </w:r>
      <w:bookmarkEnd w:id="8"/>
    </w:p>
    <w:p w14:paraId="15B00EDE" w14:textId="77777777" w:rsidR="00152B4F" w:rsidRPr="00EA2D90" w:rsidRDefault="00152B4F" w:rsidP="00152B4F">
      <w:pPr>
        <w:spacing w:after="120"/>
        <w:contextualSpacing/>
        <w:rPr>
          <w:rFonts w:ascii="Calibri" w:hAnsi="Calibri"/>
          <w:lang w:eastAsia="en-AU"/>
        </w:rPr>
      </w:pPr>
      <w:r w:rsidRPr="00EA2D90">
        <w:rPr>
          <w:rFonts w:ascii="Calibri" w:hAnsi="Calibri"/>
          <w:lang w:eastAsia="en-AU"/>
        </w:rPr>
        <w:t xml:space="preserve">The Star Ratings assess the performances of Providers against two of the three Key Performance Indicators that are specified in the DES </w:t>
      </w:r>
      <w:r>
        <w:rPr>
          <w:rFonts w:ascii="Calibri" w:hAnsi="Calibri"/>
          <w:lang w:eastAsia="en-AU"/>
        </w:rPr>
        <w:t>Grant Agreement</w:t>
      </w:r>
      <w:r w:rsidRPr="00EA2D90">
        <w:rPr>
          <w:rFonts w:ascii="Calibri" w:hAnsi="Calibri"/>
          <w:lang w:eastAsia="en-AU"/>
        </w:rPr>
        <w:t xml:space="preserve">. </w:t>
      </w:r>
    </w:p>
    <w:p w14:paraId="1E3719D1" w14:textId="77777777" w:rsidR="00152B4F" w:rsidRPr="00EA2D90" w:rsidRDefault="00152B4F" w:rsidP="00152B4F">
      <w:pPr>
        <w:pStyle w:val="ListParagraph"/>
        <w:numPr>
          <w:ilvl w:val="0"/>
          <w:numId w:val="1"/>
        </w:numPr>
        <w:tabs>
          <w:tab w:val="num" w:pos="720"/>
        </w:tabs>
        <w:ind w:left="714" w:hanging="357"/>
        <w:rPr>
          <w:rFonts w:ascii="Calibri" w:hAnsi="Calibri"/>
          <w:lang w:eastAsia="en-AU"/>
        </w:rPr>
      </w:pPr>
      <w:r w:rsidRPr="00EA2D90">
        <w:rPr>
          <w:rFonts w:ascii="Calibri" w:hAnsi="Calibri"/>
          <w:b/>
          <w:lang w:eastAsia="en-AU"/>
        </w:rPr>
        <w:t>KPI 1</w:t>
      </w:r>
      <w:r w:rsidRPr="00EA2D90">
        <w:rPr>
          <w:rFonts w:ascii="Calibri" w:hAnsi="Calibri"/>
          <w:lang w:eastAsia="en-AU"/>
        </w:rPr>
        <w:t xml:space="preserve">: an efficiency indicator which seeks to minimise the average times taken by Providers to achieve </w:t>
      </w:r>
      <w:r>
        <w:rPr>
          <w:rFonts w:ascii="Calibri" w:hAnsi="Calibri"/>
          <w:lang w:eastAsia="en-AU"/>
        </w:rPr>
        <w:t>E</w:t>
      </w:r>
      <w:r w:rsidRPr="00EA2D90">
        <w:rPr>
          <w:rFonts w:ascii="Calibri" w:hAnsi="Calibri"/>
          <w:lang w:eastAsia="en-AU"/>
        </w:rPr>
        <w:t xml:space="preserve">mployment </w:t>
      </w:r>
      <w:r>
        <w:rPr>
          <w:rFonts w:ascii="Calibri" w:hAnsi="Calibri"/>
          <w:lang w:eastAsia="en-AU"/>
        </w:rPr>
        <w:t>O</w:t>
      </w:r>
      <w:r w:rsidRPr="00EA2D90">
        <w:rPr>
          <w:rFonts w:ascii="Calibri" w:hAnsi="Calibri"/>
          <w:lang w:eastAsia="en-AU"/>
        </w:rPr>
        <w:t xml:space="preserve">utcomes for their Participants. Efficiency is implicitly captured by the existing </w:t>
      </w:r>
      <w:r>
        <w:rPr>
          <w:rFonts w:ascii="Calibri" w:hAnsi="Calibri"/>
          <w:lang w:eastAsia="en-AU"/>
        </w:rPr>
        <w:t>e</w:t>
      </w:r>
      <w:r w:rsidRPr="00EA2D90">
        <w:rPr>
          <w:rFonts w:ascii="Calibri" w:hAnsi="Calibri"/>
          <w:lang w:eastAsia="en-AU"/>
        </w:rPr>
        <w:t xml:space="preserve">ffectiveness </w:t>
      </w:r>
      <w:r>
        <w:rPr>
          <w:rFonts w:ascii="Calibri" w:hAnsi="Calibri"/>
          <w:lang w:eastAsia="en-AU"/>
        </w:rPr>
        <w:t>p</w:t>
      </w:r>
      <w:r w:rsidRPr="00EA2D90">
        <w:rPr>
          <w:rFonts w:ascii="Calibri" w:hAnsi="Calibri"/>
          <w:lang w:eastAsia="en-AU"/>
        </w:rPr>
        <w:t xml:space="preserve">erformance </w:t>
      </w:r>
      <w:r>
        <w:rPr>
          <w:rFonts w:ascii="Calibri" w:hAnsi="Calibri"/>
          <w:lang w:eastAsia="en-AU"/>
        </w:rPr>
        <w:t>m</w:t>
      </w:r>
      <w:r w:rsidRPr="00EA2D90">
        <w:rPr>
          <w:rFonts w:ascii="Calibri" w:hAnsi="Calibri"/>
          <w:lang w:eastAsia="en-AU"/>
        </w:rPr>
        <w:t>easures and the regression methodology.</w:t>
      </w:r>
    </w:p>
    <w:p w14:paraId="42E61F1F" w14:textId="77777777" w:rsidR="00152B4F" w:rsidRPr="00196C8C" w:rsidRDefault="00152B4F" w:rsidP="00152B4F">
      <w:pPr>
        <w:pStyle w:val="ListParagraph"/>
        <w:numPr>
          <w:ilvl w:val="0"/>
          <w:numId w:val="1"/>
        </w:numPr>
        <w:tabs>
          <w:tab w:val="num" w:pos="720"/>
        </w:tabs>
        <w:ind w:left="714" w:hanging="357"/>
        <w:rPr>
          <w:rFonts w:ascii="Calibri" w:hAnsi="Calibri"/>
          <w:lang w:eastAsia="en-AU"/>
        </w:rPr>
      </w:pPr>
      <w:r w:rsidRPr="00234F71">
        <w:rPr>
          <w:rFonts w:ascii="Calibri" w:hAnsi="Calibri"/>
          <w:b/>
          <w:lang w:eastAsia="en-AU"/>
        </w:rPr>
        <w:t>KPI 2:</w:t>
      </w:r>
      <w:r w:rsidRPr="00196C8C">
        <w:rPr>
          <w:rFonts w:ascii="Calibri" w:hAnsi="Calibri"/>
          <w:lang w:eastAsia="en-AU"/>
        </w:rPr>
        <w:t xml:space="preserve"> an effectiveness indicator which seeks to maximise the number of </w:t>
      </w:r>
      <w:r>
        <w:rPr>
          <w:rFonts w:ascii="Calibri" w:hAnsi="Calibri"/>
          <w:lang w:eastAsia="en-AU"/>
        </w:rPr>
        <w:t>O</w:t>
      </w:r>
      <w:r w:rsidRPr="00196C8C">
        <w:rPr>
          <w:rFonts w:ascii="Calibri" w:hAnsi="Calibri"/>
          <w:lang w:eastAsia="en-AU"/>
        </w:rPr>
        <w:t xml:space="preserve">utcomes achieved by Participants, as well as the number of Participants maintained in </w:t>
      </w:r>
      <w:r>
        <w:rPr>
          <w:rFonts w:ascii="Calibri" w:hAnsi="Calibri"/>
          <w:lang w:eastAsia="en-AU"/>
        </w:rPr>
        <w:t>E</w:t>
      </w:r>
      <w:r w:rsidRPr="00196C8C">
        <w:rPr>
          <w:rFonts w:ascii="Calibri" w:hAnsi="Calibri"/>
          <w:lang w:eastAsia="en-AU"/>
        </w:rPr>
        <w:t>mployment where assistance is required.</w:t>
      </w:r>
    </w:p>
    <w:p w14:paraId="1144CAF2" w14:textId="77777777" w:rsidR="00152B4F" w:rsidRPr="00063DE0" w:rsidRDefault="00152B4F" w:rsidP="00152B4F">
      <w:pPr>
        <w:tabs>
          <w:tab w:val="num" w:pos="720"/>
        </w:tabs>
        <w:rPr>
          <w:rFonts w:ascii="Calibri" w:hAnsi="Calibri"/>
          <w:lang w:eastAsia="en-AU"/>
        </w:rPr>
      </w:pPr>
    </w:p>
    <w:p w14:paraId="172A61DC" w14:textId="77777777" w:rsidR="00152B4F" w:rsidRDefault="00152B4F" w:rsidP="00152B4F">
      <w:pPr>
        <w:spacing w:after="120"/>
        <w:contextualSpacing/>
        <w:rPr>
          <w:lang w:eastAsia="en-AU"/>
        </w:rPr>
      </w:pPr>
      <w:r w:rsidRPr="00EA2D90">
        <w:rPr>
          <w:rFonts w:ascii="Calibri" w:hAnsi="Calibri"/>
          <w:lang w:eastAsia="en-AU"/>
        </w:rPr>
        <w:t xml:space="preserve">KPI 3 is a quality indicator </w:t>
      </w:r>
      <w:r>
        <w:rPr>
          <w:rFonts w:ascii="Calibri" w:hAnsi="Calibri"/>
          <w:lang w:eastAsia="en-AU"/>
        </w:rPr>
        <w:t>that</w:t>
      </w:r>
      <w:r w:rsidRPr="00EA2D90">
        <w:rPr>
          <w:rFonts w:ascii="Calibri" w:hAnsi="Calibri"/>
          <w:lang w:eastAsia="en-AU"/>
        </w:rPr>
        <w:t xml:space="preserve"> is not directly assessed in Star Rating calculations. KPI 3 –Quality under DES</w:t>
      </w:r>
      <w:r>
        <w:rPr>
          <w:rFonts w:ascii="Calibri" w:hAnsi="Calibri"/>
          <w:lang w:eastAsia="en-AU"/>
        </w:rPr>
        <w:t>,</w:t>
      </w:r>
      <w:r w:rsidRPr="00EA2D90">
        <w:rPr>
          <w:rFonts w:ascii="Calibri" w:hAnsi="Calibri"/>
          <w:lang w:eastAsia="en-AU"/>
        </w:rPr>
        <w:t xml:space="preserve"> is driven primarily by certification against the National Standards for Disability Services and the Job Plan assessment results. </w:t>
      </w:r>
      <w:r w:rsidRPr="001B606A">
        <w:rPr>
          <w:lang w:eastAsia="en-AU"/>
        </w:rPr>
        <w:t>Details about these arrangements can be found on the D</w:t>
      </w:r>
      <w:r>
        <w:rPr>
          <w:lang w:eastAsia="en-AU"/>
        </w:rPr>
        <w:t>epartment’s</w:t>
      </w:r>
      <w:r w:rsidRPr="001B606A">
        <w:rPr>
          <w:lang w:eastAsia="en-AU"/>
        </w:rPr>
        <w:t xml:space="preserve"> website and in the </w:t>
      </w:r>
      <w:hyperlink r:id="rId9" w:history="1">
        <w:r w:rsidRPr="001B606A">
          <w:rPr>
            <w:rStyle w:val="Hyperlink"/>
            <w:lang w:eastAsia="en-AU"/>
          </w:rPr>
          <w:t>Quality Assessment Instructions Measure 3.1 Individualised Job Plans document</w:t>
        </w:r>
      </w:hyperlink>
      <w:r w:rsidRPr="001B606A">
        <w:rPr>
          <w:lang w:eastAsia="en-AU"/>
        </w:rPr>
        <w:t xml:space="preserve"> on the Provider Portal</w:t>
      </w:r>
      <w:r>
        <w:rPr>
          <w:lang w:eastAsia="en-AU"/>
        </w:rPr>
        <w:t>.</w:t>
      </w:r>
    </w:p>
    <w:p w14:paraId="4FF8F463" w14:textId="77777777" w:rsidR="00152B4F" w:rsidRPr="00843DB8" w:rsidRDefault="00152B4F" w:rsidP="00152B4F">
      <w:pPr>
        <w:spacing w:after="120"/>
        <w:contextualSpacing/>
        <w:rPr>
          <w:rFonts w:ascii="Calibri" w:hAnsi="Calibri"/>
          <w:lang w:eastAsia="en-AU"/>
        </w:rPr>
      </w:pPr>
    </w:p>
    <w:p w14:paraId="1CC44E09" w14:textId="77777777" w:rsidR="00152B4F" w:rsidRPr="008C0E21" w:rsidRDefault="00152B4F" w:rsidP="00152B4F">
      <w:pPr>
        <w:pStyle w:val="Heading3"/>
        <w:rPr>
          <w:rFonts w:cs="Times New Roman"/>
          <w:bCs w:val="0"/>
          <w:i w:val="0"/>
          <w:szCs w:val="24"/>
        </w:rPr>
      </w:pPr>
      <w:bookmarkStart w:id="9" w:name="_Toc348440468"/>
      <w:bookmarkStart w:id="10" w:name="_Toc413246179"/>
      <w:bookmarkStart w:id="11" w:name="_Toc47098269"/>
      <w:r w:rsidRPr="008C0E21">
        <w:rPr>
          <w:rFonts w:cs="Times New Roman"/>
          <w:bCs w:val="0"/>
          <w:szCs w:val="24"/>
        </w:rPr>
        <w:t>Performance Measures</w:t>
      </w:r>
      <w:bookmarkEnd w:id="9"/>
      <w:r w:rsidRPr="008C0E21">
        <w:rPr>
          <w:rFonts w:cs="Times New Roman"/>
          <w:bCs w:val="0"/>
          <w:szCs w:val="24"/>
        </w:rPr>
        <w:t xml:space="preserve"> and their weightings</w:t>
      </w:r>
      <w:bookmarkEnd w:id="10"/>
      <w:bookmarkEnd w:id="11"/>
    </w:p>
    <w:p w14:paraId="31F28178" w14:textId="77777777" w:rsidR="00152B4F" w:rsidRPr="00314378" w:rsidRDefault="00152B4F" w:rsidP="00152B4F">
      <w:pPr>
        <w:spacing w:after="120"/>
        <w:contextualSpacing/>
        <w:rPr>
          <w:rFonts w:ascii="Calibri" w:hAnsi="Calibri"/>
          <w:lang w:eastAsia="en-AU"/>
        </w:rPr>
      </w:pPr>
      <w:r w:rsidRPr="00314378">
        <w:rPr>
          <w:rFonts w:ascii="Calibri" w:hAnsi="Calibri"/>
          <w:lang w:eastAsia="en-AU"/>
        </w:rPr>
        <w:t>The performance measures</w:t>
      </w:r>
      <w:r>
        <w:rPr>
          <w:rFonts w:ascii="Calibri" w:hAnsi="Calibri"/>
          <w:lang w:eastAsia="en-AU"/>
        </w:rPr>
        <w:t xml:space="preserve"> </w:t>
      </w:r>
      <w:r w:rsidRPr="00314378">
        <w:rPr>
          <w:rFonts w:ascii="Calibri" w:hAnsi="Calibri"/>
          <w:lang w:eastAsia="en-AU"/>
        </w:rPr>
        <w:t>are</w:t>
      </w:r>
      <w:r>
        <w:rPr>
          <w:rFonts w:ascii="Calibri" w:hAnsi="Calibri"/>
          <w:lang w:eastAsia="en-AU"/>
        </w:rPr>
        <w:t xml:space="preserve"> </w:t>
      </w:r>
      <w:r w:rsidRPr="00314378">
        <w:rPr>
          <w:rFonts w:ascii="Calibri" w:hAnsi="Calibri"/>
          <w:lang w:eastAsia="en-AU"/>
        </w:rPr>
        <w:t xml:space="preserve">used to assess Provider’s performance in meeting the KPIs described above. The following section describes each of the DES performance measures, their objectives, weightings and detailed business rules for </w:t>
      </w:r>
      <w:r>
        <w:rPr>
          <w:rFonts w:ascii="Calibri" w:hAnsi="Calibri"/>
          <w:lang w:eastAsia="en-AU"/>
        </w:rPr>
        <w:t>their assessment</w:t>
      </w:r>
      <w:r w:rsidRPr="00314378">
        <w:rPr>
          <w:rFonts w:ascii="Calibri" w:hAnsi="Calibri"/>
          <w:lang w:eastAsia="en-AU"/>
        </w:rPr>
        <w:t xml:space="preserve">. </w:t>
      </w:r>
    </w:p>
    <w:p w14:paraId="3F5D9609" w14:textId="77777777" w:rsidR="00152B4F" w:rsidRDefault="00152B4F" w:rsidP="00152B4F">
      <w:pPr>
        <w:spacing w:after="120"/>
        <w:contextualSpacing/>
        <w:rPr>
          <w:rFonts w:ascii="Calibri" w:hAnsi="Calibri"/>
          <w:lang w:eastAsia="en-AU"/>
        </w:rPr>
      </w:pPr>
    </w:p>
    <w:p w14:paraId="0451AF04" w14:textId="77777777" w:rsidR="00152B4F" w:rsidRPr="00314378" w:rsidRDefault="00152B4F" w:rsidP="00152B4F">
      <w:pPr>
        <w:spacing w:after="120"/>
        <w:contextualSpacing/>
        <w:rPr>
          <w:rFonts w:ascii="Calibri" w:hAnsi="Calibri"/>
          <w:lang w:eastAsia="en-AU"/>
        </w:rPr>
      </w:pPr>
      <w:r w:rsidRPr="00314378">
        <w:rPr>
          <w:rFonts w:ascii="Calibri" w:hAnsi="Calibri"/>
          <w:lang w:eastAsia="en-AU"/>
        </w:rPr>
        <w:t xml:space="preserve">Table </w:t>
      </w:r>
      <w:r>
        <w:rPr>
          <w:rFonts w:ascii="Calibri" w:hAnsi="Calibri"/>
          <w:lang w:eastAsia="en-AU"/>
        </w:rPr>
        <w:t>1</w:t>
      </w:r>
      <w:r w:rsidRPr="00314378">
        <w:rPr>
          <w:rFonts w:ascii="Calibri" w:hAnsi="Calibri"/>
          <w:lang w:eastAsia="en-AU"/>
        </w:rPr>
        <w:t xml:space="preserve"> describes the full set of performance measures that apply to the Star Ratings. Th</w:t>
      </w:r>
      <w:r>
        <w:rPr>
          <w:rFonts w:ascii="Calibri" w:hAnsi="Calibri"/>
          <w:lang w:eastAsia="en-AU"/>
        </w:rPr>
        <w:t>is</w:t>
      </w:r>
      <w:r w:rsidRPr="00314378">
        <w:rPr>
          <w:rFonts w:ascii="Calibri" w:hAnsi="Calibri"/>
          <w:lang w:eastAsia="en-AU"/>
        </w:rPr>
        <w:t xml:space="preserve"> table includes a basic description of each of the performance measures and the performance measure weightings within each </w:t>
      </w:r>
      <w:r>
        <w:rPr>
          <w:rFonts w:ascii="Calibri" w:hAnsi="Calibri"/>
          <w:lang w:eastAsia="en-AU"/>
        </w:rPr>
        <w:t xml:space="preserve">DES </w:t>
      </w:r>
      <w:r w:rsidRPr="00314378">
        <w:rPr>
          <w:rFonts w:ascii="Calibri" w:hAnsi="Calibri"/>
          <w:lang w:eastAsia="en-AU"/>
        </w:rPr>
        <w:t xml:space="preserve">program. </w:t>
      </w:r>
    </w:p>
    <w:p w14:paraId="4CB3D477" w14:textId="77777777" w:rsidR="00152B4F" w:rsidRDefault="00152B4F" w:rsidP="00152B4F">
      <w:pPr>
        <w:spacing w:after="120"/>
        <w:contextualSpacing/>
        <w:rPr>
          <w:rFonts w:ascii="Calibri" w:hAnsi="Calibri"/>
          <w:lang w:eastAsia="en-AU"/>
        </w:rPr>
      </w:pPr>
    </w:p>
    <w:p w14:paraId="29EAB2EC" w14:textId="77777777" w:rsidR="00152B4F" w:rsidRDefault="00152B4F" w:rsidP="00152B4F">
      <w:pPr>
        <w:rPr>
          <w:szCs w:val="22"/>
        </w:rPr>
      </w:pPr>
      <w:r w:rsidRPr="00826F4C">
        <w:rPr>
          <w:szCs w:val="22"/>
        </w:rPr>
        <w:t xml:space="preserve">Interim weightings will be applied until sufficient data </w:t>
      </w:r>
      <w:r>
        <w:rPr>
          <w:szCs w:val="22"/>
        </w:rPr>
        <w:t>is</w:t>
      </w:r>
      <w:r w:rsidRPr="00826F4C">
        <w:rPr>
          <w:szCs w:val="22"/>
        </w:rPr>
        <w:t xml:space="preserve"> available for all performance measures f</w:t>
      </w:r>
      <w:r>
        <w:rPr>
          <w:szCs w:val="22"/>
        </w:rPr>
        <w:t>rom</w:t>
      </w:r>
      <w:r w:rsidRPr="00826F4C">
        <w:rPr>
          <w:szCs w:val="22"/>
        </w:rPr>
        <w:t xml:space="preserve"> the March 2020</w:t>
      </w:r>
      <w:r>
        <w:rPr>
          <w:szCs w:val="22"/>
        </w:rPr>
        <w:t xml:space="preserve"> </w:t>
      </w:r>
      <w:r w:rsidRPr="001B606A">
        <w:rPr>
          <w:szCs w:val="22"/>
        </w:rPr>
        <w:t xml:space="preserve">release of the </w:t>
      </w:r>
      <w:r w:rsidRPr="00826F4C">
        <w:rPr>
          <w:szCs w:val="22"/>
        </w:rPr>
        <w:t>DES Star Ratings onwards</w:t>
      </w:r>
      <w:r>
        <w:rPr>
          <w:szCs w:val="22"/>
        </w:rPr>
        <w:t>. See the 2018 DES Star Ratings Transition Advice document, located on the DES Provider Portal, for further information about the interim weightings.</w:t>
      </w:r>
    </w:p>
    <w:p w14:paraId="2BDECB79" w14:textId="77777777" w:rsidR="00152B4F" w:rsidRDefault="00152B4F" w:rsidP="00152B4F">
      <w:pPr>
        <w:rPr>
          <w:szCs w:val="22"/>
        </w:rPr>
      </w:pPr>
      <w:r>
        <w:rPr>
          <w:szCs w:val="22"/>
        </w:rPr>
        <w:br w:type="page"/>
      </w:r>
    </w:p>
    <w:p w14:paraId="1D309C3A" w14:textId="77777777" w:rsidR="00152B4F" w:rsidRDefault="00152B4F" w:rsidP="00152B4F">
      <w:pPr>
        <w:rPr>
          <w:szCs w:val="22"/>
        </w:rPr>
      </w:pPr>
    </w:p>
    <w:p w14:paraId="6CE62A8B" w14:textId="77777777" w:rsidR="00152B4F" w:rsidRPr="00826F4C" w:rsidRDefault="00152B4F" w:rsidP="00152B4F">
      <w:pPr>
        <w:rPr>
          <w:b/>
          <w:bCs/>
          <w:szCs w:val="22"/>
        </w:rPr>
      </w:pPr>
    </w:p>
    <w:p w14:paraId="54FB0FA7" w14:textId="77777777" w:rsidR="00152B4F" w:rsidRPr="00DD7783" w:rsidRDefault="00152B4F" w:rsidP="00152B4F">
      <w:pPr>
        <w:pStyle w:val="TableText0"/>
      </w:pPr>
      <w:bookmarkStart w:id="12" w:name="_Table_1:_"/>
      <w:bookmarkEnd w:id="12"/>
      <w:r w:rsidRPr="00563E26">
        <w:t>Table 1: 2018 DES Performance Measures and Weighting</w:t>
      </w:r>
      <w:r w:rsidRPr="00DD7783">
        <w:t xml:space="preserve"> </w:t>
      </w:r>
    </w:p>
    <w:tbl>
      <w:tblPr>
        <w:tblpPr w:leftFromText="1701" w:rightFromText="1701" w:vertAnchor="text" w:tblpXSpec="center" w:tblpY="239"/>
        <w:tblOverlap w:val="never"/>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6063"/>
        <w:gridCol w:w="1156"/>
        <w:gridCol w:w="1156"/>
      </w:tblGrid>
      <w:tr w:rsidR="00152B4F" w:rsidRPr="00655EE2" w14:paraId="1AEA5C42" w14:textId="77777777" w:rsidTr="009039E0">
        <w:trPr>
          <w:tblHeader/>
        </w:trPr>
        <w:tc>
          <w:tcPr>
            <w:tcW w:w="675" w:type="dxa"/>
            <w:tcBorders>
              <w:right w:val="nil"/>
            </w:tcBorders>
            <w:shd w:val="clear" w:color="auto" w:fill="FFFFFF" w:themeFill="background1"/>
          </w:tcPr>
          <w:p w14:paraId="3E946EEE" w14:textId="77777777" w:rsidR="00152B4F" w:rsidRPr="00FF4277" w:rsidRDefault="00152B4F" w:rsidP="009039E0">
            <w:pPr>
              <w:pStyle w:val="TableHeadingCentred"/>
              <w:rPr>
                <w:rFonts w:ascii="Arial" w:hAnsi="Arial"/>
                <w:color w:val="auto"/>
                <w:sz w:val="24"/>
              </w:rPr>
            </w:pPr>
          </w:p>
        </w:tc>
        <w:tc>
          <w:tcPr>
            <w:tcW w:w="6063" w:type="dxa"/>
            <w:tcBorders>
              <w:left w:val="nil"/>
            </w:tcBorders>
            <w:shd w:val="clear" w:color="auto" w:fill="FFFFFF" w:themeFill="background1"/>
          </w:tcPr>
          <w:p w14:paraId="5F708490" w14:textId="77777777" w:rsidR="00152B4F" w:rsidRPr="00FF4277" w:rsidRDefault="00152B4F" w:rsidP="009039E0">
            <w:pPr>
              <w:autoSpaceDE w:val="0"/>
              <w:autoSpaceDN w:val="0"/>
              <w:adjustRightInd w:val="0"/>
              <w:spacing w:before="60" w:after="60"/>
              <w:contextualSpacing/>
              <w:jc w:val="center"/>
              <w:rPr>
                <w:rFonts w:ascii="Calibri" w:hAnsi="Calibri"/>
                <w:b/>
                <w:bCs/>
                <w:szCs w:val="22"/>
                <w:lang w:val="en-US" w:eastAsia="zh-CN"/>
              </w:rPr>
            </w:pPr>
            <w:r w:rsidRPr="00FF4277">
              <w:rPr>
                <w:rFonts w:ascii="Calibri" w:hAnsi="Calibri"/>
                <w:b/>
                <w:bCs/>
                <w:szCs w:val="22"/>
                <w:lang w:val="en-US" w:eastAsia="zh-CN"/>
              </w:rPr>
              <w:t>Performance Measure</w:t>
            </w:r>
          </w:p>
        </w:tc>
        <w:tc>
          <w:tcPr>
            <w:tcW w:w="1156" w:type="dxa"/>
            <w:shd w:val="clear" w:color="auto" w:fill="FFFFFF" w:themeFill="background1"/>
          </w:tcPr>
          <w:p w14:paraId="7A9A7BEC" w14:textId="77777777" w:rsidR="00152B4F" w:rsidRPr="00FF4277" w:rsidRDefault="00152B4F" w:rsidP="009039E0">
            <w:pPr>
              <w:autoSpaceDE w:val="0"/>
              <w:autoSpaceDN w:val="0"/>
              <w:adjustRightInd w:val="0"/>
              <w:spacing w:before="60" w:after="60"/>
              <w:contextualSpacing/>
              <w:jc w:val="center"/>
              <w:rPr>
                <w:rFonts w:ascii="Calibri" w:hAnsi="Calibri"/>
                <w:b/>
                <w:bCs/>
                <w:szCs w:val="22"/>
                <w:lang w:val="en-US" w:eastAsia="zh-CN"/>
              </w:rPr>
            </w:pPr>
            <w:r w:rsidRPr="00FF4277">
              <w:rPr>
                <w:rFonts w:ascii="Calibri" w:hAnsi="Calibri"/>
                <w:b/>
                <w:bCs/>
                <w:szCs w:val="22"/>
                <w:lang w:val="en-US" w:eastAsia="zh-CN"/>
              </w:rPr>
              <w:t xml:space="preserve">DMS </w:t>
            </w:r>
          </w:p>
          <w:p w14:paraId="1391175B" w14:textId="77777777" w:rsidR="00152B4F" w:rsidRPr="00FF4277" w:rsidRDefault="00152B4F" w:rsidP="009039E0">
            <w:pPr>
              <w:autoSpaceDE w:val="0"/>
              <w:autoSpaceDN w:val="0"/>
              <w:adjustRightInd w:val="0"/>
              <w:spacing w:before="60" w:after="60"/>
              <w:contextualSpacing/>
              <w:jc w:val="center"/>
              <w:rPr>
                <w:rFonts w:ascii="Calibri" w:hAnsi="Calibri"/>
                <w:b/>
                <w:bCs/>
                <w:szCs w:val="22"/>
                <w:lang w:val="en-US" w:eastAsia="zh-CN"/>
              </w:rPr>
            </w:pPr>
            <w:r w:rsidRPr="00FF4277">
              <w:rPr>
                <w:rFonts w:ascii="Calibri" w:hAnsi="Calibri"/>
                <w:b/>
                <w:bCs/>
                <w:szCs w:val="22"/>
                <w:lang w:val="en-US" w:eastAsia="zh-CN"/>
              </w:rPr>
              <w:t>Weighting</w:t>
            </w:r>
          </w:p>
        </w:tc>
        <w:tc>
          <w:tcPr>
            <w:tcW w:w="1156" w:type="dxa"/>
            <w:shd w:val="clear" w:color="auto" w:fill="FFFFFF" w:themeFill="background1"/>
          </w:tcPr>
          <w:p w14:paraId="4039B309" w14:textId="77777777" w:rsidR="00152B4F" w:rsidRPr="00FF4277" w:rsidRDefault="00152B4F" w:rsidP="009039E0">
            <w:pPr>
              <w:autoSpaceDE w:val="0"/>
              <w:autoSpaceDN w:val="0"/>
              <w:adjustRightInd w:val="0"/>
              <w:spacing w:before="60" w:after="60"/>
              <w:contextualSpacing/>
              <w:jc w:val="center"/>
              <w:rPr>
                <w:rFonts w:ascii="Calibri" w:hAnsi="Calibri"/>
                <w:b/>
                <w:bCs/>
                <w:szCs w:val="22"/>
                <w:lang w:val="en-US" w:eastAsia="zh-CN"/>
              </w:rPr>
            </w:pPr>
            <w:r w:rsidRPr="00FF4277">
              <w:rPr>
                <w:rFonts w:ascii="Calibri" w:hAnsi="Calibri"/>
                <w:b/>
                <w:bCs/>
                <w:szCs w:val="22"/>
                <w:lang w:val="en-US" w:eastAsia="zh-CN"/>
              </w:rPr>
              <w:t xml:space="preserve">ESS </w:t>
            </w:r>
          </w:p>
          <w:p w14:paraId="009623DC" w14:textId="77777777" w:rsidR="00152B4F" w:rsidRPr="00FF4277" w:rsidRDefault="00152B4F" w:rsidP="009039E0">
            <w:pPr>
              <w:autoSpaceDE w:val="0"/>
              <w:autoSpaceDN w:val="0"/>
              <w:adjustRightInd w:val="0"/>
              <w:spacing w:before="60" w:after="60"/>
              <w:contextualSpacing/>
              <w:jc w:val="center"/>
              <w:rPr>
                <w:rFonts w:ascii="Calibri" w:hAnsi="Calibri"/>
                <w:b/>
                <w:bCs/>
                <w:szCs w:val="22"/>
                <w:lang w:val="en-US" w:eastAsia="zh-CN"/>
              </w:rPr>
            </w:pPr>
            <w:r w:rsidRPr="00FF4277">
              <w:rPr>
                <w:rFonts w:ascii="Calibri" w:hAnsi="Calibri"/>
                <w:b/>
                <w:bCs/>
                <w:szCs w:val="22"/>
                <w:lang w:val="en-US" w:eastAsia="zh-CN"/>
              </w:rPr>
              <w:t>Weighting</w:t>
            </w:r>
          </w:p>
        </w:tc>
      </w:tr>
      <w:tr w:rsidR="00152B4F" w:rsidRPr="00655EE2" w14:paraId="30748A9E" w14:textId="77777777" w:rsidTr="009039E0">
        <w:tc>
          <w:tcPr>
            <w:tcW w:w="675" w:type="dxa"/>
            <w:shd w:val="clear" w:color="auto" w:fill="FFFFFF" w:themeFill="background1"/>
          </w:tcPr>
          <w:p w14:paraId="2BE1FF55"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2.1</w:t>
            </w:r>
          </w:p>
        </w:tc>
        <w:tc>
          <w:tcPr>
            <w:tcW w:w="6063" w:type="dxa"/>
            <w:shd w:val="clear" w:color="auto" w:fill="FFFFFF" w:themeFill="background1"/>
            <w:vAlign w:val="center"/>
          </w:tcPr>
          <w:p w14:paraId="180D3D6E" w14:textId="77777777" w:rsidR="00152B4F" w:rsidRPr="00440DD7" w:rsidRDefault="00152B4F" w:rsidP="009039E0">
            <w:pPr>
              <w:pStyle w:val="Tabletext"/>
              <w:spacing w:before="120" w:after="120"/>
              <w:rPr>
                <w:rFonts w:asciiTheme="majorHAnsi" w:hAnsiTheme="majorHAnsi" w:cs="Calibri"/>
                <w:b/>
                <w:sz w:val="22"/>
                <w:szCs w:val="22"/>
              </w:rPr>
            </w:pPr>
            <w:r w:rsidRPr="00440DD7">
              <w:rPr>
                <w:rFonts w:asciiTheme="majorHAnsi" w:hAnsiTheme="majorHAnsi" w:cs="Calibri"/>
                <w:b/>
                <w:sz w:val="22"/>
                <w:szCs w:val="22"/>
              </w:rPr>
              <w:t>13</w:t>
            </w:r>
            <w:r>
              <w:rPr>
                <w:rFonts w:asciiTheme="majorHAnsi" w:hAnsiTheme="majorHAnsi" w:cs="Calibri"/>
                <w:b/>
                <w:sz w:val="22"/>
                <w:szCs w:val="22"/>
              </w:rPr>
              <w:t>-</w:t>
            </w:r>
            <w:r w:rsidRPr="00440DD7">
              <w:rPr>
                <w:rFonts w:asciiTheme="majorHAnsi" w:hAnsiTheme="majorHAnsi" w:cs="Calibri"/>
                <w:b/>
                <w:sz w:val="22"/>
                <w:szCs w:val="22"/>
              </w:rPr>
              <w:t>Week Full Outcomes</w:t>
            </w:r>
          </w:p>
          <w:p w14:paraId="4EFA631D"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Proportion of Participants who achieve a 13</w:t>
            </w:r>
            <w:r>
              <w:rPr>
                <w:rFonts w:asciiTheme="majorHAnsi" w:hAnsiTheme="majorHAnsi" w:cs="Calibri"/>
                <w:sz w:val="22"/>
                <w:szCs w:val="22"/>
              </w:rPr>
              <w:t>-</w:t>
            </w:r>
            <w:r w:rsidRPr="00440DD7">
              <w:rPr>
                <w:rFonts w:asciiTheme="majorHAnsi" w:hAnsiTheme="majorHAnsi" w:cs="Calibri"/>
                <w:sz w:val="22"/>
                <w:szCs w:val="22"/>
              </w:rPr>
              <w:t>Week Full Outcome</w:t>
            </w:r>
          </w:p>
        </w:tc>
        <w:tc>
          <w:tcPr>
            <w:tcW w:w="1156" w:type="dxa"/>
            <w:shd w:val="clear" w:color="auto" w:fill="FFFFFF" w:themeFill="background1"/>
            <w:vAlign w:val="center"/>
          </w:tcPr>
          <w:p w14:paraId="76B92FED"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25%</w:t>
            </w:r>
          </w:p>
        </w:tc>
        <w:tc>
          <w:tcPr>
            <w:tcW w:w="1156" w:type="dxa"/>
            <w:shd w:val="clear" w:color="auto" w:fill="FFFFFF" w:themeFill="background1"/>
            <w:vAlign w:val="center"/>
          </w:tcPr>
          <w:p w14:paraId="39709E45"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20%</w:t>
            </w:r>
          </w:p>
        </w:tc>
      </w:tr>
      <w:tr w:rsidR="00152B4F" w:rsidRPr="00655EE2" w14:paraId="73C0854C" w14:textId="77777777" w:rsidTr="009039E0">
        <w:tc>
          <w:tcPr>
            <w:tcW w:w="675" w:type="dxa"/>
          </w:tcPr>
          <w:p w14:paraId="01F6A92B"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2.2</w:t>
            </w:r>
          </w:p>
        </w:tc>
        <w:tc>
          <w:tcPr>
            <w:tcW w:w="6063" w:type="dxa"/>
            <w:vAlign w:val="center"/>
          </w:tcPr>
          <w:p w14:paraId="6EC47AF5" w14:textId="77777777" w:rsidR="00152B4F" w:rsidRPr="00440DD7" w:rsidRDefault="00152B4F" w:rsidP="009039E0">
            <w:pPr>
              <w:pStyle w:val="Tabletext"/>
              <w:spacing w:before="120" w:after="120"/>
              <w:rPr>
                <w:rFonts w:asciiTheme="majorHAnsi" w:hAnsiTheme="majorHAnsi" w:cs="Calibri"/>
                <w:b/>
                <w:sz w:val="22"/>
                <w:szCs w:val="22"/>
              </w:rPr>
            </w:pPr>
            <w:r w:rsidRPr="00440DD7">
              <w:rPr>
                <w:rFonts w:asciiTheme="majorHAnsi" w:hAnsiTheme="majorHAnsi" w:cs="Calibri"/>
                <w:b/>
                <w:sz w:val="22"/>
                <w:szCs w:val="22"/>
              </w:rPr>
              <w:t>26</w:t>
            </w:r>
            <w:r>
              <w:rPr>
                <w:rFonts w:asciiTheme="majorHAnsi" w:hAnsiTheme="majorHAnsi" w:cs="Calibri"/>
                <w:b/>
                <w:sz w:val="22"/>
                <w:szCs w:val="22"/>
              </w:rPr>
              <w:t>-</w:t>
            </w:r>
            <w:r w:rsidRPr="00440DD7">
              <w:rPr>
                <w:rFonts w:asciiTheme="majorHAnsi" w:hAnsiTheme="majorHAnsi" w:cs="Calibri"/>
                <w:b/>
                <w:sz w:val="22"/>
                <w:szCs w:val="22"/>
              </w:rPr>
              <w:t>Week Outcomes</w:t>
            </w:r>
          </w:p>
        </w:tc>
        <w:tc>
          <w:tcPr>
            <w:tcW w:w="1156" w:type="dxa"/>
            <w:vAlign w:val="center"/>
          </w:tcPr>
          <w:p w14:paraId="02AE0CE2"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45%</w:t>
            </w:r>
          </w:p>
        </w:tc>
        <w:tc>
          <w:tcPr>
            <w:tcW w:w="1156" w:type="dxa"/>
            <w:vAlign w:val="center"/>
          </w:tcPr>
          <w:p w14:paraId="6A30F8AA"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40%</w:t>
            </w:r>
          </w:p>
        </w:tc>
      </w:tr>
      <w:tr w:rsidR="00152B4F" w:rsidRPr="00655EE2" w14:paraId="5EF96B63" w14:textId="77777777" w:rsidTr="009039E0">
        <w:tc>
          <w:tcPr>
            <w:tcW w:w="675" w:type="dxa"/>
            <w:shd w:val="clear" w:color="auto" w:fill="D9D9D9" w:themeFill="background1" w:themeFillShade="D9"/>
          </w:tcPr>
          <w:p w14:paraId="3BC6A8E6"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2.2.1</w:t>
            </w:r>
          </w:p>
        </w:tc>
        <w:tc>
          <w:tcPr>
            <w:tcW w:w="6063" w:type="dxa"/>
            <w:shd w:val="clear" w:color="auto" w:fill="D9D9D9" w:themeFill="background1" w:themeFillShade="D9"/>
            <w:vAlign w:val="center"/>
          </w:tcPr>
          <w:p w14:paraId="4F4A55CC" w14:textId="77777777" w:rsidR="00152B4F" w:rsidRPr="00440DD7" w:rsidRDefault="00152B4F" w:rsidP="009039E0">
            <w:pPr>
              <w:pStyle w:val="Tabletext"/>
              <w:spacing w:before="120" w:after="120"/>
              <w:ind w:left="720"/>
              <w:rPr>
                <w:rFonts w:asciiTheme="majorHAnsi" w:hAnsiTheme="majorHAnsi" w:cs="Calibri"/>
                <w:b/>
                <w:sz w:val="22"/>
                <w:szCs w:val="22"/>
              </w:rPr>
            </w:pPr>
            <w:r w:rsidRPr="00440DD7">
              <w:rPr>
                <w:rFonts w:asciiTheme="majorHAnsi" w:hAnsiTheme="majorHAnsi" w:cs="Calibri"/>
                <w:b/>
                <w:sz w:val="22"/>
                <w:szCs w:val="22"/>
              </w:rPr>
              <w:t>26</w:t>
            </w:r>
            <w:r>
              <w:rPr>
                <w:rFonts w:asciiTheme="majorHAnsi" w:hAnsiTheme="majorHAnsi" w:cs="Calibri"/>
                <w:b/>
                <w:sz w:val="22"/>
                <w:szCs w:val="22"/>
              </w:rPr>
              <w:t>-</w:t>
            </w:r>
            <w:r w:rsidRPr="00440DD7">
              <w:rPr>
                <w:rFonts w:asciiTheme="majorHAnsi" w:hAnsiTheme="majorHAnsi" w:cs="Calibri"/>
                <w:b/>
                <w:sz w:val="22"/>
                <w:szCs w:val="22"/>
              </w:rPr>
              <w:t>Week Full Outcomes</w:t>
            </w:r>
          </w:p>
          <w:p w14:paraId="71CA4F91"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Proportion of Participants who achieve a 26</w:t>
            </w:r>
            <w:r>
              <w:rPr>
                <w:rFonts w:asciiTheme="majorHAnsi" w:hAnsiTheme="majorHAnsi" w:cs="Calibri"/>
                <w:sz w:val="22"/>
                <w:szCs w:val="22"/>
              </w:rPr>
              <w:t>-</w:t>
            </w:r>
            <w:r w:rsidRPr="00440DD7">
              <w:rPr>
                <w:rFonts w:asciiTheme="majorHAnsi" w:hAnsiTheme="majorHAnsi" w:cs="Calibri"/>
                <w:sz w:val="22"/>
                <w:szCs w:val="22"/>
              </w:rPr>
              <w:t>Week Full Outcome</w:t>
            </w:r>
          </w:p>
        </w:tc>
        <w:tc>
          <w:tcPr>
            <w:tcW w:w="1156" w:type="dxa"/>
            <w:shd w:val="clear" w:color="auto" w:fill="D9D9D9" w:themeFill="background1" w:themeFillShade="D9"/>
            <w:vAlign w:val="center"/>
          </w:tcPr>
          <w:p w14:paraId="795B736B"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(35%)</w:t>
            </w:r>
          </w:p>
        </w:tc>
        <w:tc>
          <w:tcPr>
            <w:tcW w:w="1156" w:type="dxa"/>
            <w:shd w:val="clear" w:color="auto" w:fill="D9D9D9" w:themeFill="background1" w:themeFillShade="D9"/>
            <w:vAlign w:val="center"/>
          </w:tcPr>
          <w:p w14:paraId="4467D8EA"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(30%)</w:t>
            </w:r>
          </w:p>
        </w:tc>
      </w:tr>
      <w:tr w:rsidR="00152B4F" w:rsidRPr="00655EE2" w14:paraId="2878910C" w14:textId="77777777" w:rsidTr="009039E0">
        <w:tc>
          <w:tcPr>
            <w:tcW w:w="675" w:type="dxa"/>
            <w:shd w:val="clear" w:color="auto" w:fill="D9D9D9" w:themeFill="background1" w:themeFillShade="D9"/>
          </w:tcPr>
          <w:p w14:paraId="2199A1C3"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2.2.2</w:t>
            </w:r>
          </w:p>
        </w:tc>
        <w:tc>
          <w:tcPr>
            <w:tcW w:w="6063" w:type="dxa"/>
            <w:shd w:val="clear" w:color="auto" w:fill="D9D9D9" w:themeFill="background1" w:themeFillShade="D9"/>
            <w:vAlign w:val="center"/>
          </w:tcPr>
          <w:p w14:paraId="1DDF85CA" w14:textId="77777777" w:rsidR="00152B4F" w:rsidRPr="00440DD7" w:rsidRDefault="00152B4F" w:rsidP="009039E0">
            <w:pPr>
              <w:pStyle w:val="Tabletext"/>
              <w:spacing w:before="120" w:after="120"/>
              <w:ind w:left="720"/>
              <w:rPr>
                <w:rFonts w:asciiTheme="majorHAnsi" w:hAnsiTheme="majorHAnsi" w:cs="Calibri"/>
                <w:b/>
                <w:sz w:val="22"/>
                <w:szCs w:val="22"/>
              </w:rPr>
            </w:pPr>
            <w:r w:rsidRPr="00440DD7">
              <w:rPr>
                <w:rFonts w:asciiTheme="majorHAnsi" w:hAnsiTheme="majorHAnsi" w:cs="Calibri"/>
                <w:b/>
                <w:sz w:val="22"/>
                <w:szCs w:val="22"/>
              </w:rPr>
              <w:t>26</w:t>
            </w:r>
            <w:r>
              <w:rPr>
                <w:rFonts w:asciiTheme="majorHAnsi" w:hAnsiTheme="majorHAnsi" w:cs="Calibri"/>
                <w:b/>
                <w:sz w:val="22"/>
                <w:szCs w:val="22"/>
              </w:rPr>
              <w:t>-</w:t>
            </w:r>
            <w:r w:rsidRPr="00440DD7">
              <w:rPr>
                <w:rFonts w:asciiTheme="majorHAnsi" w:hAnsiTheme="majorHAnsi" w:cs="Calibri"/>
                <w:b/>
                <w:sz w:val="22"/>
                <w:szCs w:val="22"/>
              </w:rPr>
              <w:t>Week Pathway Outcomes</w:t>
            </w:r>
          </w:p>
          <w:p w14:paraId="231C68F5"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Proportion of Participants who achieve a 26</w:t>
            </w:r>
            <w:r>
              <w:rPr>
                <w:rFonts w:asciiTheme="majorHAnsi" w:hAnsiTheme="majorHAnsi" w:cs="Calibri"/>
                <w:sz w:val="22"/>
                <w:szCs w:val="22"/>
              </w:rPr>
              <w:t>-</w:t>
            </w:r>
            <w:r w:rsidRPr="00440DD7">
              <w:rPr>
                <w:rFonts w:asciiTheme="majorHAnsi" w:hAnsiTheme="majorHAnsi" w:cs="Calibri"/>
                <w:sz w:val="22"/>
                <w:szCs w:val="22"/>
              </w:rPr>
              <w:t xml:space="preserve">Week Pathway Outcome </w:t>
            </w:r>
          </w:p>
        </w:tc>
        <w:tc>
          <w:tcPr>
            <w:tcW w:w="1156" w:type="dxa"/>
            <w:shd w:val="clear" w:color="auto" w:fill="D9D9D9" w:themeFill="background1" w:themeFillShade="D9"/>
            <w:vAlign w:val="center"/>
          </w:tcPr>
          <w:p w14:paraId="13F338ED"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(5%)</w:t>
            </w:r>
          </w:p>
        </w:tc>
        <w:tc>
          <w:tcPr>
            <w:tcW w:w="1156" w:type="dxa"/>
            <w:shd w:val="clear" w:color="auto" w:fill="D9D9D9" w:themeFill="background1" w:themeFillShade="D9"/>
            <w:vAlign w:val="center"/>
          </w:tcPr>
          <w:p w14:paraId="74DB9F3B"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(5%)</w:t>
            </w:r>
          </w:p>
        </w:tc>
      </w:tr>
      <w:tr w:rsidR="00152B4F" w:rsidRPr="00655EE2" w14:paraId="15F3C14D" w14:textId="77777777" w:rsidTr="009039E0">
        <w:tc>
          <w:tcPr>
            <w:tcW w:w="675" w:type="dxa"/>
            <w:shd w:val="clear" w:color="auto" w:fill="D9D9D9" w:themeFill="background1" w:themeFillShade="D9"/>
          </w:tcPr>
          <w:p w14:paraId="34614184"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2.2.3</w:t>
            </w:r>
          </w:p>
        </w:tc>
        <w:tc>
          <w:tcPr>
            <w:tcW w:w="6063" w:type="dxa"/>
            <w:shd w:val="clear" w:color="auto" w:fill="D9D9D9" w:themeFill="background1" w:themeFillShade="D9"/>
            <w:vAlign w:val="center"/>
          </w:tcPr>
          <w:p w14:paraId="121B3BB9" w14:textId="77777777" w:rsidR="00152B4F" w:rsidRPr="00440DD7" w:rsidRDefault="00152B4F" w:rsidP="009039E0">
            <w:pPr>
              <w:pStyle w:val="Tabletext"/>
              <w:spacing w:before="120" w:after="120"/>
              <w:ind w:left="720"/>
              <w:rPr>
                <w:rFonts w:asciiTheme="majorHAnsi" w:hAnsiTheme="majorHAnsi" w:cs="Calibri"/>
                <w:b/>
                <w:sz w:val="22"/>
                <w:szCs w:val="22"/>
              </w:rPr>
            </w:pPr>
            <w:r w:rsidRPr="00440DD7">
              <w:rPr>
                <w:rFonts w:asciiTheme="majorHAnsi" w:hAnsiTheme="majorHAnsi" w:cs="Calibri"/>
                <w:b/>
                <w:sz w:val="22"/>
                <w:szCs w:val="22"/>
              </w:rPr>
              <w:t>26</w:t>
            </w:r>
            <w:r>
              <w:rPr>
                <w:rFonts w:asciiTheme="majorHAnsi" w:hAnsiTheme="majorHAnsi" w:cs="Calibri"/>
                <w:b/>
                <w:sz w:val="22"/>
                <w:szCs w:val="22"/>
              </w:rPr>
              <w:t>-</w:t>
            </w:r>
            <w:r w:rsidRPr="00440DD7">
              <w:rPr>
                <w:rFonts w:asciiTheme="majorHAnsi" w:hAnsiTheme="majorHAnsi" w:cs="Calibri"/>
                <w:b/>
                <w:sz w:val="22"/>
                <w:szCs w:val="22"/>
              </w:rPr>
              <w:t>Week Bonus Outcomes/Work Assist</w:t>
            </w:r>
          </w:p>
          <w:p w14:paraId="39CEE8B9"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 xml:space="preserve">Proportion of relevant </w:t>
            </w:r>
            <w:r>
              <w:rPr>
                <w:rFonts w:asciiTheme="majorHAnsi" w:hAnsiTheme="majorHAnsi" w:cs="Calibri"/>
                <w:sz w:val="22"/>
                <w:szCs w:val="22"/>
              </w:rPr>
              <w:t>placements</w:t>
            </w:r>
            <w:r w:rsidRPr="00440DD7">
              <w:rPr>
                <w:rFonts w:asciiTheme="majorHAnsi" w:hAnsiTheme="majorHAnsi" w:cs="Calibri"/>
                <w:sz w:val="22"/>
                <w:szCs w:val="22"/>
              </w:rPr>
              <w:t xml:space="preserve"> that convert to a paid 26</w:t>
            </w:r>
            <w:r>
              <w:rPr>
                <w:rFonts w:asciiTheme="majorHAnsi" w:hAnsiTheme="majorHAnsi" w:cs="Calibri"/>
                <w:sz w:val="22"/>
                <w:szCs w:val="22"/>
              </w:rPr>
              <w:t>-</w:t>
            </w:r>
            <w:r w:rsidRPr="00440DD7">
              <w:rPr>
                <w:rFonts w:asciiTheme="majorHAnsi" w:hAnsiTheme="majorHAnsi" w:cs="Calibri"/>
                <w:sz w:val="22"/>
                <w:szCs w:val="22"/>
              </w:rPr>
              <w:t>Week Bonus Outcome or a 26</w:t>
            </w:r>
            <w:r>
              <w:rPr>
                <w:rFonts w:asciiTheme="majorHAnsi" w:hAnsiTheme="majorHAnsi" w:cs="Calibri"/>
                <w:sz w:val="22"/>
                <w:szCs w:val="22"/>
              </w:rPr>
              <w:t>-</w:t>
            </w:r>
            <w:r w:rsidRPr="00440DD7">
              <w:rPr>
                <w:rFonts w:asciiTheme="majorHAnsi" w:hAnsiTheme="majorHAnsi" w:cs="Calibri"/>
                <w:sz w:val="22"/>
                <w:szCs w:val="22"/>
              </w:rPr>
              <w:t>Week Full or Pathway Outcome for Indigenous Participants</w:t>
            </w:r>
            <w:r>
              <w:rPr>
                <w:rFonts w:asciiTheme="majorHAnsi" w:hAnsiTheme="majorHAnsi" w:cs="Calibri"/>
                <w:sz w:val="22"/>
                <w:szCs w:val="22"/>
              </w:rPr>
              <w:t>,</w:t>
            </w:r>
            <w:r w:rsidRPr="00440DD7">
              <w:rPr>
                <w:rFonts w:asciiTheme="majorHAnsi" w:hAnsiTheme="majorHAnsi" w:cs="Calibri"/>
                <w:sz w:val="22"/>
                <w:szCs w:val="22"/>
              </w:rPr>
              <w:t xml:space="preserve"> and the proportion of Work Assist </w:t>
            </w:r>
            <w:r>
              <w:rPr>
                <w:rFonts w:asciiTheme="majorHAnsi" w:hAnsiTheme="majorHAnsi" w:cs="Calibri"/>
                <w:sz w:val="22"/>
                <w:szCs w:val="22"/>
              </w:rPr>
              <w:t>placements</w:t>
            </w:r>
            <w:r w:rsidRPr="00440DD7">
              <w:rPr>
                <w:rFonts w:asciiTheme="majorHAnsi" w:hAnsiTheme="majorHAnsi" w:cs="Calibri"/>
                <w:sz w:val="22"/>
                <w:szCs w:val="22"/>
              </w:rPr>
              <w:t xml:space="preserve"> which convert to a Work Assist outcome</w:t>
            </w:r>
          </w:p>
        </w:tc>
        <w:tc>
          <w:tcPr>
            <w:tcW w:w="1156" w:type="dxa"/>
            <w:shd w:val="clear" w:color="auto" w:fill="D9D9D9" w:themeFill="background1" w:themeFillShade="D9"/>
            <w:vAlign w:val="center"/>
          </w:tcPr>
          <w:p w14:paraId="51C2C3BE"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(5%)</w:t>
            </w:r>
          </w:p>
        </w:tc>
        <w:tc>
          <w:tcPr>
            <w:tcW w:w="1156" w:type="dxa"/>
            <w:shd w:val="clear" w:color="auto" w:fill="D9D9D9" w:themeFill="background1" w:themeFillShade="D9"/>
            <w:vAlign w:val="center"/>
          </w:tcPr>
          <w:p w14:paraId="37DC3541"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(5%)</w:t>
            </w:r>
          </w:p>
        </w:tc>
      </w:tr>
      <w:tr w:rsidR="00152B4F" w:rsidRPr="00655EE2" w14:paraId="7279C64D" w14:textId="77777777" w:rsidTr="009039E0">
        <w:trPr>
          <w:trHeight w:val="431"/>
        </w:trPr>
        <w:tc>
          <w:tcPr>
            <w:tcW w:w="675" w:type="dxa"/>
          </w:tcPr>
          <w:p w14:paraId="434B73C6"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2.3</w:t>
            </w:r>
          </w:p>
        </w:tc>
        <w:tc>
          <w:tcPr>
            <w:tcW w:w="6063" w:type="dxa"/>
            <w:vAlign w:val="center"/>
          </w:tcPr>
          <w:p w14:paraId="40A553BD" w14:textId="77777777" w:rsidR="00152B4F" w:rsidRPr="00440DD7" w:rsidRDefault="00152B4F" w:rsidP="009039E0">
            <w:pPr>
              <w:pStyle w:val="Tabletext"/>
              <w:spacing w:before="120" w:after="120"/>
              <w:rPr>
                <w:rFonts w:asciiTheme="majorHAnsi" w:hAnsiTheme="majorHAnsi" w:cs="Calibri"/>
                <w:b/>
                <w:sz w:val="22"/>
                <w:szCs w:val="22"/>
              </w:rPr>
            </w:pPr>
            <w:r w:rsidRPr="00440DD7">
              <w:rPr>
                <w:rFonts w:asciiTheme="majorHAnsi" w:hAnsiTheme="majorHAnsi" w:cs="Calibri"/>
                <w:b/>
                <w:sz w:val="22"/>
                <w:szCs w:val="22"/>
              </w:rPr>
              <w:t>52</w:t>
            </w:r>
            <w:r>
              <w:rPr>
                <w:rFonts w:asciiTheme="majorHAnsi" w:hAnsiTheme="majorHAnsi" w:cs="Calibri"/>
                <w:b/>
                <w:sz w:val="22"/>
                <w:szCs w:val="22"/>
              </w:rPr>
              <w:t>-</w:t>
            </w:r>
            <w:r w:rsidRPr="00440DD7">
              <w:rPr>
                <w:rFonts w:asciiTheme="majorHAnsi" w:hAnsiTheme="majorHAnsi" w:cs="Calibri"/>
                <w:b/>
                <w:sz w:val="22"/>
                <w:szCs w:val="22"/>
              </w:rPr>
              <w:t>Week Outcomes</w:t>
            </w:r>
          </w:p>
        </w:tc>
        <w:tc>
          <w:tcPr>
            <w:tcW w:w="1156" w:type="dxa"/>
            <w:vAlign w:val="center"/>
          </w:tcPr>
          <w:p w14:paraId="218A4737"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30%</w:t>
            </w:r>
          </w:p>
        </w:tc>
        <w:tc>
          <w:tcPr>
            <w:tcW w:w="1156" w:type="dxa"/>
            <w:vAlign w:val="center"/>
          </w:tcPr>
          <w:p w14:paraId="50DABC61"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25%</w:t>
            </w:r>
          </w:p>
        </w:tc>
      </w:tr>
      <w:tr w:rsidR="00152B4F" w:rsidRPr="00655EE2" w14:paraId="287A1115" w14:textId="77777777" w:rsidTr="009039E0">
        <w:tc>
          <w:tcPr>
            <w:tcW w:w="675" w:type="dxa"/>
            <w:shd w:val="clear" w:color="auto" w:fill="D9D9D9" w:themeFill="background1" w:themeFillShade="D9"/>
          </w:tcPr>
          <w:p w14:paraId="44B97BD9"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2.3.1</w:t>
            </w:r>
          </w:p>
        </w:tc>
        <w:tc>
          <w:tcPr>
            <w:tcW w:w="6063" w:type="dxa"/>
            <w:shd w:val="clear" w:color="auto" w:fill="D9D9D9" w:themeFill="background1" w:themeFillShade="D9"/>
            <w:vAlign w:val="center"/>
          </w:tcPr>
          <w:p w14:paraId="1AD101AF" w14:textId="77777777" w:rsidR="00152B4F" w:rsidRPr="00440DD7" w:rsidRDefault="00152B4F" w:rsidP="009039E0">
            <w:pPr>
              <w:pStyle w:val="Tabletext"/>
              <w:spacing w:before="120" w:after="120"/>
              <w:ind w:left="720"/>
              <w:rPr>
                <w:rFonts w:asciiTheme="majorHAnsi" w:hAnsiTheme="majorHAnsi" w:cs="Calibri"/>
                <w:b/>
                <w:sz w:val="22"/>
                <w:szCs w:val="22"/>
              </w:rPr>
            </w:pPr>
            <w:r w:rsidRPr="00440DD7">
              <w:rPr>
                <w:rFonts w:asciiTheme="majorHAnsi" w:hAnsiTheme="majorHAnsi" w:cs="Calibri"/>
                <w:b/>
                <w:sz w:val="22"/>
                <w:szCs w:val="22"/>
              </w:rPr>
              <w:t>52</w:t>
            </w:r>
            <w:r>
              <w:rPr>
                <w:rFonts w:asciiTheme="majorHAnsi" w:hAnsiTheme="majorHAnsi" w:cs="Calibri"/>
                <w:b/>
                <w:sz w:val="22"/>
                <w:szCs w:val="22"/>
              </w:rPr>
              <w:t>-</w:t>
            </w:r>
            <w:r w:rsidRPr="00440DD7">
              <w:rPr>
                <w:rFonts w:asciiTheme="majorHAnsi" w:hAnsiTheme="majorHAnsi" w:cs="Calibri"/>
                <w:b/>
                <w:sz w:val="22"/>
                <w:szCs w:val="22"/>
              </w:rPr>
              <w:t>Week Full Outcomes</w:t>
            </w:r>
          </w:p>
          <w:p w14:paraId="5F3A65D9"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Proportion of Participants who achieve a 52</w:t>
            </w:r>
            <w:r>
              <w:rPr>
                <w:rFonts w:asciiTheme="majorHAnsi" w:hAnsiTheme="majorHAnsi" w:cs="Calibri"/>
                <w:sz w:val="22"/>
                <w:szCs w:val="22"/>
              </w:rPr>
              <w:t>-</w:t>
            </w:r>
            <w:r w:rsidRPr="00440DD7">
              <w:rPr>
                <w:rFonts w:asciiTheme="majorHAnsi" w:hAnsiTheme="majorHAnsi" w:cs="Calibri"/>
                <w:sz w:val="22"/>
                <w:szCs w:val="22"/>
              </w:rPr>
              <w:t>Week Full Outcome</w:t>
            </w:r>
          </w:p>
        </w:tc>
        <w:tc>
          <w:tcPr>
            <w:tcW w:w="1156" w:type="dxa"/>
            <w:shd w:val="clear" w:color="auto" w:fill="D9D9D9" w:themeFill="background1" w:themeFillShade="D9"/>
            <w:vAlign w:val="center"/>
          </w:tcPr>
          <w:p w14:paraId="5E62166A"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(25%)</w:t>
            </w:r>
          </w:p>
        </w:tc>
        <w:tc>
          <w:tcPr>
            <w:tcW w:w="1156" w:type="dxa"/>
            <w:shd w:val="clear" w:color="auto" w:fill="D9D9D9" w:themeFill="background1" w:themeFillShade="D9"/>
            <w:vAlign w:val="center"/>
          </w:tcPr>
          <w:p w14:paraId="7402BF84"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(20%)</w:t>
            </w:r>
          </w:p>
        </w:tc>
      </w:tr>
      <w:tr w:rsidR="00152B4F" w:rsidRPr="00655EE2" w14:paraId="2D692C75" w14:textId="77777777" w:rsidTr="009039E0">
        <w:tc>
          <w:tcPr>
            <w:tcW w:w="675" w:type="dxa"/>
            <w:shd w:val="clear" w:color="auto" w:fill="D9D9D9" w:themeFill="background1" w:themeFillShade="D9"/>
          </w:tcPr>
          <w:p w14:paraId="6DEE1C48"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2.3.2</w:t>
            </w:r>
          </w:p>
        </w:tc>
        <w:tc>
          <w:tcPr>
            <w:tcW w:w="6063" w:type="dxa"/>
            <w:shd w:val="clear" w:color="auto" w:fill="D9D9D9" w:themeFill="background1" w:themeFillShade="D9"/>
            <w:vAlign w:val="center"/>
          </w:tcPr>
          <w:p w14:paraId="62BFE533" w14:textId="77777777" w:rsidR="00152B4F" w:rsidRPr="00440DD7" w:rsidRDefault="00152B4F" w:rsidP="009039E0">
            <w:pPr>
              <w:pStyle w:val="Tabletext"/>
              <w:spacing w:before="120" w:after="120"/>
              <w:ind w:left="720"/>
              <w:rPr>
                <w:rFonts w:asciiTheme="majorHAnsi" w:hAnsiTheme="majorHAnsi" w:cs="Calibri"/>
                <w:b/>
                <w:sz w:val="22"/>
                <w:szCs w:val="22"/>
              </w:rPr>
            </w:pPr>
            <w:r w:rsidRPr="00440DD7">
              <w:rPr>
                <w:rFonts w:asciiTheme="majorHAnsi" w:hAnsiTheme="majorHAnsi" w:cs="Calibri"/>
                <w:b/>
                <w:sz w:val="22"/>
                <w:szCs w:val="22"/>
              </w:rPr>
              <w:t>52</w:t>
            </w:r>
            <w:r>
              <w:rPr>
                <w:rFonts w:asciiTheme="majorHAnsi" w:hAnsiTheme="majorHAnsi" w:cs="Calibri"/>
                <w:b/>
                <w:sz w:val="22"/>
                <w:szCs w:val="22"/>
              </w:rPr>
              <w:t>-</w:t>
            </w:r>
            <w:r w:rsidRPr="00440DD7">
              <w:rPr>
                <w:rFonts w:asciiTheme="majorHAnsi" w:hAnsiTheme="majorHAnsi" w:cs="Calibri"/>
                <w:b/>
                <w:sz w:val="22"/>
                <w:szCs w:val="22"/>
              </w:rPr>
              <w:t>Week Pathway Outcomes</w:t>
            </w:r>
          </w:p>
          <w:p w14:paraId="76C8B6DB"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Proportion of Participants who achieve a 52</w:t>
            </w:r>
            <w:r>
              <w:rPr>
                <w:rFonts w:asciiTheme="majorHAnsi" w:hAnsiTheme="majorHAnsi" w:cs="Calibri"/>
                <w:sz w:val="22"/>
                <w:szCs w:val="22"/>
              </w:rPr>
              <w:t>-</w:t>
            </w:r>
            <w:r w:rsidRPr="00440DD7">
              <w:rPr>
                <w:rFonts w:asciiTheme="majorHAnsi" w:hAnsiTheme="majorHAnsi" w:cs="Calibri"/>
                <w:sz w:val="22"/>
                <w:szCs w:val="22"/>
              </w:rPr>
              <w:t>Week Pathway Outcome</w:t>
            </w:r>
          </w:p>
        </w:tc>
        <w:tc>
          <w:tcPr>
            <w:tcW w:w="1156" w:type="dxa"/>
            <w:shd w:val="clear" w:color="auto" w:fill="D9D9D9" w:themeFill="background1" w:themeFillShade="D9"/>
            <w:vAlign w:val="center"/>
          </w:tcPr>
          <w:p w14:paraId="0D1BEDE4"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(5%)</w:t>
            </w:r>
          </w:p>
        </w:tc>
        <w:tc>
          <w:tcPr>
            <w:tcW w:w="1156" w:type="dxa"/>
            <w:shd w:val="clear" w:color="auto" w:fill="D9D9D9" w:themeFill="background1" w:themeFillShade="D9"/>
            <w:vAlign w:val="center"/>
          </w:tcPr>
          <w:p w14:paraId="038200E6"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(5%)</w:t>
            </w:r>
          </w:p>
        </w:tc>
      </w:tr>
      <w:tr w:rsidR="00152B4F" w:rsidRPr="00655EE2" w14:paraId="6BC6BEB3" w14:textId="77777777" w:rsidTr="009039E0">
        <w:tc>
          <w:tcPr>
            <w:tcW w:w="675" w:type="dxa"/>
          </w:tcPr>
          <w:p w14:paraId="36DB411F" w14:textId="77777777" w:rsidR="00152B4F" w:rsidRPr="00440DD7" w:rsidRDefault="00152B4F" w:rsidP="009039E0">
            <w:pPr>
              <w:pStyle w:val="Tabletext"/>
              <w:spacing w:before="120" w:after="120"/>
              <w:jc w:val="center"/>
              <w:rPr>
                <w:rFonts w:asciiTheme="majorHAnsi" w:hAnsiTheme="majorHAnsi" w:cs="Calibri"/>
                <w:sz w:val="22"/>
                <w:szCs w:val="22"/>
              </w:rPr>
            </w:pPr>
            <w:r w:rsidRPr="00440DD7">
              <w:rPr>
                <w:rFonts w:asciiTheme="majorHAnsi" w:hAnsiTheme="majorHAnsi" w:cs="Calibri"/>
                <w:sz w:val="22"/>
                <w:szCs w:val="22"/>
              </w:rPr>
              <w:t>2.4</w:t>
            </w:r>
          </w:p>
        </w:tc>
        <w:tc>
          <w:tcPr>
            <w:tcW w:w="6063" w:type="dxa"/>
            <w:vAlign w:val="center"/>
          </w:tcPr>
          <w:p w14:paraId="145E1A15" w14:textId="77777777" w:rsidR="00152B4F" w:rsidRPr="00440DD7" w:rsidRDefault="00152B4F" w:rsidP="009039E0">
            <w:pPr>
              <w:pStyle w:val="Tabletext"/>
              <w:spacing w:before="120" w:after="120"/>
              <w:rPr>
                <w:rFonts w:asciiTheme="majorHAnsi" w:hAnsiTheme="majorHAnsi" w:cs="Calibri"/>
                <w:b/>
                <w:sz w:val="22"/>
                <w:szCs w:val="22"/>
              </w:rPr>
            </w:pPr>
            <w:r w:rsidRPr="00440DD7">
              <w:rPr>
                <w:rFonts w:asciiTheme="majorHAnsi" w:hAnsiTheme="majorHAnsi" w:cs="Calibri"/>
                <w:b/>
                <w:sz w:val="22"/>
                <w:szCs w:val="22"/>
              </w:rPr>
              <w:t>Ongoing Support</w:t>
            </w:r>
          </w:p>
          <w:p w14:paraId="791B469B" w14:textId="77777777" w:rsidR="00152B4F" w:rsidRPr="00440DD7" w:rsidRDefault="00152B4F" w:rsidP="009039E0">
            <w:pPr>
              <w:pStyle w:val="Tabletext"/>
              <w:spacing w:before="120" w:after="120"/>
              <w:ind w:left="720"/>
              <w:rPr>
                <w:rFonts w:asciiTheme="majorHAnsi" w:hAnsiTheme="majorHAnsi" w:cs="Calibri"/>
                <w:sz w:val="22"/>
                <w:szCs w:val="22"/>
              </w:rPr>
            </w:pPr>
            <w:r w:rsidRPr="00440DD7">
              <w:rPr>
                <w:rFonts w:asciiTheme="majorHAnsi" w:hAnsiTheme="majorHAnsi" w:cs="Calibri"/>
                <w:sz w:val="22"/>
                <w:szCs w:val="22"/>
              </w:rPr>
              <w:t xml:space="preserve">Proportion of Ongoing Support Participants who remain in employment or exit </w:t>
            </w:r>
            <w:r>
              <w:rPr>
                <w:rFonts w:asciiTheme="majorHAnsi" w:hAnsiTheme="majorHAnsi" w:cs="Calibri"/>
                <w:sz w:val="22"/>
                <w:szCs w:val="22"/>
              </w:rPr>
              <w:t>O</w:t>
            </w:r>
            <w:r w:rsidRPr="00440DD7">
              <w:rPr>
                <w:rFonts w:asciiTheme="majorHAnsi" w:hAnsiTheme="majorHAnsi" w:cs="Calibri"/>
                <w:sz w:val="22"/>
                <w:szCs w:val="22"/>
              </w:rPr>
              <w:t xml:space="preserve">ngoing </w:t>
            </w:r>
            <w:r>
              <w:rPr>
                <w:rFonts w:asciiTheme="majorHAnsi" w:hAnsiTheme="majorHAnsi" w:cs="Calibri"/>
                <w:sz w:val="22"/>
                <w:szCs w:val="22"/>
              </w:rPr>
              <w:t>S</w:t>
            </w:r>
            <w:r w:rsidRPr="00440DD7">
              <w:rPr>
                <w:rFonts w:asciiTheme="majorHAnsi" w:hAnsiTheme="majorHAnsi" w:cs="Calibri"/>
                <w:sz w:val="22"/>
                <w:szCs w:val="22"/>
              </w:rPr>
              <w:t>upport as an Independent Worker and have their employment verified</w:t>
            </w:r>
          </w:p>
        </w:tc>
        <w:tc>
          <w:tcPr>
            <w:tcW w:w="1156" w:type="dxa"/>
            <w:vAlign w:val="center"/>
          </w:tcPr>
          <w:p w14:paraId="2670A43E" w14:textId="77777777" w:rsidR="00152B4F" w:rsidRPr="00440DD7" w:rsidRDefault="00152B4F" w:rsidP="009039E0">
            <w:pPr>
              <w:pStyle w:val="TableTextCentred"/>
              <w:spacing w:before="120" w:after="120"/>
              <w:rPr>
                <w:rFonts w:asciiTheme="majorHAnsi" w:hAnsiTheme="majorHAnsi" w:cs="Calibri"/>
                <w:sz w:val="22"/>
                <w:szCs w:val="22"/>
              </w:rPr>
            </w:pPr>
            <w:r w:rsidRPr="00440DD7">
              <w:rPr>
                <w:rFonts w:asciiTheme="majorHAnsi" w:hAnsiTheme="majorHAnsi" w:cs="Calibri"/>
                <w:sz w:val="22"/>
                <w:szCs w:val="22"/>
              </w:rPr>
              <w:t>-</w:t>
            </w:r>
          </w:p>
        </w:tc>
        <w:tc>
          <w:tcPr>
            <w:tcW w:w="1156" w:type="dxa"/>
            <w:vAlign w:val="center"/>
          </w:tcPr>
          <w:p w14:paraId="4A59A2C8" w14:textId="77777777" w:rsidR="00152B4F" w:rsidRPr="00440DD7" w:rsidRDefault="00152B4F" w:rsidP="009039E0">
            <w:pPr>
              <w:pStyle w:val="TableTextRightAligned"/>
              <w:spacing w:before="120" w:after="120"/>
              <w:jc w:val="center"/>
              <w:rPr>
                <w:rFonts w:asciiTheme="majorHAnsi" w:hAnsiTheme="majorHAnsi" w:cs="Calibri"/>
                <w:sz w:val="22"/>
                <w:szCs w:val="22"/>
              </w:rPr>
            </w:pPr>
            <w:r w:rsidRPr="00440DD7">
              <w:rPr>
                <w:rFonts w:asciiTheme="majorHAnsi" w:hAnsiTheme="majorHAnsi" w:cs="Calibri"/>
                <w:sz w:val="22"/>
                <w:szCs w:val="22"/>
              </w:rPr>
              <w:t>15%</w:t>
            </w:r>
          </w:p>
        </w:tc>
      </w:tr>
    </w:tbl>
    <w:p w14:paraId="428ED662" w14:textId="77777777" w:rsidR="00152B4F" w:rsidRPr="00E601C0" w:rsidRDefault="00152B4F" w:rsidP="00152B4F">
      <w:pPr>
        <w:keepNext/>
      </w:pPr>
      <w:bookmarkStart w:id="13" w:name="_Toc413246180"/>
      <w:r w:rsidRPr="00E601C0">
        <w:t xml:space="preserve">Notes: </w:t>
      </w:r>
    </w:p>
    <w:p w14:paraId="7CC34317" w14:textId="77777777" w:rsidR="00152B4F" w:rsidRPr="00545F36" w:rsidRDefault="00152B4F" w:rsidP="00152B4F">
      <w:pPr>
        <w:pStyle w:val="ListParagraph"/>
        <w:keepLines/>
        <w:numPr>
          <w:ilvl w:val="0"/>
          <w:numId w:val="27"/>
        </w:numPr>
        <w:rPr>
          <w:rFonts w:cs="Calibri"/>
          <w:sz w:val="18"/>
          <w:szCs w:val="18"/>
        </w:rPr>
      </w:pPr>
      <w:r w:rsidRPr="00545F36">
        <w:rPr>
          <w:rFonts w:cs="Calibri"/>
          <w:sz w:val="18"/>
          <w:szCs w:val="18"/>
        </w:rPr>
        <w:t>The 52 Week Outcomes performance measures will not form part of the Star Ratings calculations until December 2019, to allow for a minimum of six months of performance data to be included in the calculations for a robust measure.  Up to this period, the weighting for these measures will be redistributed among the other key performance measures.</w:t>
      </w:r>
    </w:p>
    <w:p w14:paraId="69F1D339" w14:textId="77777777" w:rsidR="00152B4F" w:rsidRPr="00B20661" w:rsidRDefault="00152B4F" w:rsidP="00152B4F">
      <w:pPr>
        <w:pStyle w:val="ListParagraph"/>
        <w:keepLines/>
        <w:numPr>
          <w:ilvl w:val="0"/>
          <w:numId w:val="27"/>
        </w:numPr>
        <w:spacing w:after="120"/>
        <w:rPr>
          <w:rFonts w:eastAsia="Times New Roman" w:cs="Calibri"/>
          <w:i/>
          <w:szCs w:val="22"/>
          <w:u w:val="single"/>
          <w:lang w:eastAsia="en-AU"/>
        </w:rPr>
      </w:pPr>
      <w:r w:rsidRPr="00545F36">
        <w:rPr>
          <w:rFonts w:ascii="Calibri" w:hAnsi="Calibri"/>
          <w:sz w:val="18"/>
          <w:szCs w:val="18"/>
          <w:lang w:eastAsia="en-AU"/>
        </w:rPr>
        <w:t xml:space="preserve">Only DES </w:t>
      </w:r>
      <w:r>
        <w:rPr>
          <w:rFonts w:ascii="Calibri" w:hAnsi="Calibri"/>
          <w:sz w:val="18"/>
          <w:szCs w:val="18"/>
          <w:lang w:eastAsia="en-AU"/>
        </w:rPr>
        <w:t>P</w:t>
      </w:r>
      <w:r w:rsidRPr="00545F36">
        <w:rPr>
          <w:rFonts w:ascii="Calibri" w:hAnsi="Calibri"/>
          <w:sz w:val="18"/>
          <w:szCs w:val="18"/>
          <w:lang w:eastAsia="en-AU"/>
        </w:rPr>
        <w:t xml:space="preserve">articipants </w:t>
      </w:r>
      <w:r>
        <w:rPr>
          <w:rFonts w:ascii="Calibri" w:hAnsi="Calibri"/>
          <w:sz w:val="18"/>
          <w:szCs w:val="18"/>
          <w:lang w:eastAsia="en-AU"/>
        </w:rPr>
        <w:t xml:space="preserve">that have already commenced an </w:t>
      </w:r>
      <w:r w:rsidRPr="00545F36">
        <w:rPr>
          <w:rFonts w:ascii="Calibri" w:hAnsi="Calibri"/>
          <w:sz w:val="18"/>
          <w:szCs w:val="18"/>
          <w:lang w:eastAsia="en-AU"/>
        </w:rPr>
        <w:t xml:space="preserve"> </w:t>
      </w:r>
      <w:r>
        <w:rPr>
          <w:rFonts w:ascii="Calibri" w:hAnsi="Calibri"/>
          <w:sz w:val="18"/>
          <w:szCs w:val="18"/>
          <w:lang w:eastAsia="en-AU"/>
        </w:rPr>
        <w:t>E</w:t>
      </w:r>
      <w:r w:rsidRPr="00545F36">
        <w:rPr>
          <w:rFonts w:ascii="Calibri" w:hAnsi="Calibri"/>
          <w:sz w:val="18"/>
          <w:szCs w:val="18"/>
          <w:lang w:eastAsia="en-AU"/>
        </w:rPr>
        <w:t>mployment</w:t>
      </w:r>
      <w:r>
        <w:rPr>
          <w:rFonts w:ascii="Calibri" w:hAnsi="Calibri"/>
          <w:sz w:val="18"/>
          <w:szCs w:val="18"/>
          <w:lang w:eastAsia="en-AU"/>
        </w:rPr>
        <w:t xml:space="preserve"> Placement</w:t>
      </w:r>
      <w:r w:rsidRPr="00545F36">
        <w:rPr>
          <w:rFonts w:ascii="Calibri" w:hAnsi="Calibri"/>
          <w:sz w:val="18"/>
          <w:szCs w:val="18"/>
          <w:lang w:eastAsia="en-AU"/>
        </w:rPr>
        <w:t xml:space="preserve"> or </w:t>
      </w:r>
      <w:r>
        <w:rPr>
          <w:rFonts w:ascii="Calibri" w:hAnsi="Calibri"/>
          <w:sz w:val="18"/>
          <w:szCs w:val="18"/>
          <w:lang w:eastAsia="en-AU"/>
        </w:rPr>
        <w:t>E</w:t>
      </w:r>
      <w:r w:rsidRPr="00545F36">
        <w:rPr>
          <w:rFonts w:ascii="Calibri" w:hAnsi="Calibri"/>
          <w:sz w:val="18"/>
          <w:szCs w:val="18"/>
          <w:lang w:eastAsia="en-AU"/>
        </w:rPr>
        <w:t xml:space="preserve">ducation </w:t>
      </w:r>
      <w:r>
        <w:rPr>
          <w:rFonts w:ascii="Calibri" w:hAnsi="Calibri"/>
          <w:sz w:val="18"/>
          <w:szCs w:val="18"/>
          <w:lang w:eastAsia="en-AU"/>
        </w:rPr>
        <w:t xml:space="preserve">Placement </w:t>
      </w:r>
      <w:r w:rsidRPr="00545F36">
        <w:rPr>
          <w:rFonts w:ascii="Calibri" w:hAnsi="Calibri"/>
          <w:sz w:val="18"/>
          <w:szCs w:val="18"/>
          <w:lang w:eastAsia="en-AU"/>
        </w:rPr>
        <w:t xml:space="preserve">on or after 1 July 2018 will have their </w:t>
      </w:r>
      <w:r w:rsidRPr="00545F36">
        <w:rPr>
          <w:rFonts w:cs="Calibri"/>
          <w:sz w:val="18"/>
          <w:szCs w:val="18"/>
        </w:rPr>
        <w:t>subsequent</w:t>
      </w:r>
      <w:r w:rsidRPr="00545F36">
        <w:rPr>
          <w:rFonts w:ascii="Calibri" w:hAnsi="Calibri"/>
          <w:sz w:val="18"/>
          <w:szCs w:val="18"/>
          <w:lang w:eastAsia="en-AU"/>
        </w:rPr>
        <w:t xml:space="preserve"> outcomes counted in the DES Star Ratings </w:t>
      </w:r>
      <w:r>
        <w:rPr>
          <w:rFonts w:ascii="Calibri" w:hAnsi="Calibri"/>
          <w:sz w:val="18"/>
          <w:szCs w:val="18"/>
          <w:lang w:eastAsia="en-AU"/>
        </w:rPr>
        <w:t>calculations</w:t>
      </w:r>
      <w:r w:rsidRPr="00545F36">
        <w:rPr>
          <w:rFonts w:ascii="Calibri" w:hAnsi="Calibri"/>
          <w:sz w:val="18"/>
          <w:szCs w:val="18"/>
          <w:lang w:eastAsia="en-AU"/>
        </w:rPr>
        <w:t xml:space="preserve">.  This ensures that the performance reported is performance under the new arrangements, and that it is comparable across all </w:t>
      </w:r>
      <w:r>
        <w:rPr>
          <w:rFonts w:ascii="Calibri" w:hAnsi="Calibri"/>
          <w:sz w:val="18"/>
          <w:szCs w:val="18"/>
          <w:lang w:eastAsia="en-AU"/>
        </w:rPr>
        <w:t>P</w:t>
      </w:r>
      <w:r w:rsidRPr="00545F36">
        <w:rPr>
          <w:rFonts w:ascii="Calibri" w:hAnsi="Calibri"/>
          <w:sz w:val="18"/>
          <w:szCs w:val="18"/>
          <w:lang w:eastAsia="en-AU"/>
        </w:rPr>
        <w:t>roviders under the new arrangements.</w:t>
      </w:r>
    </w:p>
    <w:p w14:paraId="7D4113EF" w14:textId="77777777" w:rsidR="00152B4F" w:rsidRPr="00545F36" w:rsidRDefault="00152B4F" w:rsidP="00152B4F">
      <w:pPr>
        <w:pStyle w:val="ListParagraph"/>
        <w:keepLines/>
        <w:numPr>
          <w:ilvl w:val="0"/>
          <w:numId w:val="27"/>
        </w:numPr>
        <w:spacing w:after="120"/>
        <w:rPr>
          <w:rFonts w:eastAsia="Times New Roman" w:cs="Calibri"/>
          <w:i/>
          <w:szCs w:val="22"/>
          <w:u w:val="single"/>
          <w:lang w:eastAsia="en-AU"/>
        </w:rPr>
      </w:pPr>
      <w:r>
        <w:rPr>
          <w:rFonts w:ascii="Calibri" w:hAnsi="Calibri"/>
          <w:sz w:val="18"/>
          <w:szCs w:val="18"/>
          <w:lang w:eastAsia="en-AU"/>
        </w:rPr>
        <w:t>See Table 2 for information regarding the exclusion of 13-Week Full, 26-Week Pathway and 26-Week Full Outcomes for education where the Education Placement commenced on or after 17 August 2020.</w:t>
      </w:r>
      <w:r w:rsidRPr="00545F36">
        <w:rPr>
          <w:rFonts w:eastAsia="Times New Roman" w:cs="Calibri"/>
          <w:i/>
          <w:szCs w:val="22"/>
          <w:u w:val="single"/>
          <w:lang w:eastAsia="en-AU"/>
        </w:rPr>
        <w:br w:type="page"/>
      </w:r>
    </w:p>
    <w:p w14:paraId="44A6BD0C" w14:textId="77777777" w:rsidR="00152B4F" w:rsidRDefault="00152B4F" w:rsidP="00152B4F">
      <w:pPr>
        <w:pStyle w:val="Heading3"/>
        <w:rPr>
          <w:rFonts w:cs="Times New Roman"/>
          <w:bCs w:val="0"/>
          <w:szCs w:val="24"/>
        </w:rPr>
      </w:pPr>
      <w:bookmarkStart w:id="14" w:name="_Toc47098270"/>
      <w:r w:rsidRPr="00F60CCA">
        <w:rPr>
          <w:rFonts w:cs="Times New Roman"/>
          <w:bCs w:val="0"/>
          <w:szCs w:val="24"/>
        </w:rPr>
        <w:t>Performance Measures Numerator and Denominator Definitions</w:t>
      </w:r>
      <w:bookmarkEnd w:id="13"/>
      <w:bookmarkEnd w:id="14"/>
      <w:r w:rsidRPr="00F60CCA">
        <w:rPr>
          <w:rFonts w:cs="Times New Roman"/>
          <w:bCs w:val="0"/>
          <w:szCs w:val="24"/>
        </w:rPr>
        <w:t xml:space="preserve"> </w:t>
      </w:r>
    </w:p>
    <w:p w14:paraId="4BAF4DB3" w14:textId="77777777" w:rsidR="00152B4F" w:rsidRPr="00606DE4" w:rsidRDefault="00152B4F" w:rsidP="00152B4F">
      <w:pPr>
        <w:spacing w:after="120"/>
        <w:contextualSpacing/>
        <w:rPr>
          <w:rFonts w:ascii="Calibri" w:hAnsi="Calibri"/>
          <w:lang w:eastAsia="en-AU"/>
        </w:rPr>
      </w:pPr>
      <w:r w:rsidRPr="00606DE4">
        <w:rPr>
          <w:rFonts w:ascii="Calibri" w:hAnsi="Calibri"/>
          <w:lang w:eastAsia="en-AU"/>
        </w:rPr>
        <w:t xml:space="preserve">The detailed numerator and denominator definitions for each of the individual performance measures are set out in Table </w:t>
      </w:r>
      <w:r>
        <w:rPr>
          <w:rFonts w:ascii="Calibri" w:hAnsi="Calibri"/>
          <w:lang w:eastAsia="en-AU"/>
        </w:rPr>
        <w:t>2</w:t>
      </w:r>
      <w:r w:rsidRPr="00606DE4">
        <w:rPr>
          <w:rFonts w:ascii="Calibri" w:hAnsi="Calibri"/>
          <w:lang w:eastAsia="en-AU"/>
        </w:rPr>
        <w:t>. T</w:t>
      </w:r>
      <w:r>
        <w:rPr>
          <w:rFonts w:ascii="Calibri" w:hAnsi="Calibri"/>
          <w:lang w:eastAsia="en-AU"/>
        </w:rPr>
        <w:t xml:space="preserve">here are also overarching rules </w:t>
      </w:r>
      <w:r w:rsidRPr="00606DE4">
        <w:rPr>
          <w:rFonts w:ascii="Calibri" w:hAnsi="Calibri"/>
          <w:lang w:eastAsia="en-AU"/>
        </w:rPr>
        <w:t xml:space="preserve">which apply to all of the measures or multiple measures. </w:t>
      </w:r>
    </w:p>
    <w:p w14:paraId="1F44ABCA" w14:textId="77777777" w:rsidR="00152B4F" w:rsidRPr="00606DE4" w:rsidRDefault="00152B4F" w:rsidP="00152B4F">
      <w:pPr>
        <w:spacing w:after="120"/>
        <w:contextualSpacing/>
        <w:rPr>
          <w:rFonts w:ascii="Calibri" w:hAnsi="Calibri"/>
          <w:lang w:eastAsia="en-AU"/>
        </w:rPr>
      </w:pPr>
    </w:p>
    <w:p w14:paraId="287F1D1B" w14:textId="77777777" w:rsidR="00152B4F" w:rsidRPr="00606DE4" w:rsidRDefault="00152B4F" w:rsidP="00152B4F">
      <w:pPr>
        <w:spacing w:after="120"/>
        <w:contextualSpacing/>
        <w:rPr>
          <w:rFonts w:ascii="Calibri" w:hAnsi="Calibri"/>
          <w:lang w:eastAsia="en-AU"/>
        </w:rPr>
      </w:pPr>
      <w:r w:rsidRPr="00606DE4">
        <w:rPr>
          <w:rFonts w:ascii="Calibri" w:hAnsi="Calibri"/>
          <w:lang w:eastAsia="en-AU"/>
        </w:rPr>
        <w:t xml:space="preserve">The </w:t>
      </w:r>
      <w:r>
        <w:rPr>
          <w:rFonts w:ascii="Calibri" w:hAnsi="Calibri"/>
          <w:lang w:eastAsia="en-AU"/>
        </w:rPr>
        <w:t>principal</w:t>
      </w:r>
      <w:r w:rsidRPr="00606DE4">
        <w:rPr>
          <w:rFonts w:ascii="Calibri" w:hAnsi="Calibri"/>
          <w:lang w:eastAsia="en-AU"/>
        </w:rPr>
        <w:t xml:space="preserve"> performance measure rules to be applied against each measure are:</w:t>
      </w:r>
    </w:p>
    <w:p w14:paraId="2F8C5B8B" w14:textId="77777777" w:rsidR="00152B4F" w:rsidRPr="00670589" w:rsidRDefault="00152B4F" w:rsidP="00152B4F">
      <w:pPr>
        <w:pStyle w:val="ListParagraph"/>
        <w:numPr>
          <w:ilvl w:val="0"/>
          <w:numId w:val="1"/>
        </w:numPr>
        <w:tabs>
          <w:tab w:val="num" w:pos="720"/>
        </w:tabs>
        <w:ind w:left="714" w:hanging="357"/>
        <w:rPr>
          <w:rFonts w:ascii="Calibri" w:hAnsi="Calibri"/>
          <w:i/>
          <w:lang w:eastAsia="en-AU"/>
        </w:rPr>
      </w:pPr>
      <w:r w:rsidRPr="00670589">
        <w:rPr>
          <w:rFonts w:ascii="Calibri" w:hAnsi="Calibri"/>
          <w:i/>
          <w:lang w:eastAsia="en-AU"/>
        </w:rPr>
        <w:t>13</w:t>
      </w:r>
      <w:r>
        <w:rPr>
          <w:rFonts w:ascii="Calibri" w:hAnsi="Calibri"/>
          <w:i/>
          <w:lang w:eastAsia="en-AU"/>
        </w:rPr>
        <w:t>-</w:t>
      </w:r>
      <w:r w:rsidRPr="00670589">
        <w:rPr>
          <w:rFonts w:ascii="Calibri" w:hAnsi="Calibri"/>
          <w:i/>
          <w:lang w:eastAsia="en-AU"/>
        </w:rPr>
        <w:t>Week Full Outcome, 26</w:t>
      </w:r>
      <w:r>
        <w:rPr>
          <w:rFonts w:ascii="Calibri" w:hAnsi="Calibri"/>
          <w:i/>
          <w:lang w:eastAsia="en-AU"/>
        </w:rPr>
        <w:t>-</w:t>
      </w:r>
      <w:r w:rsidRPr="00670589">
        <w:rPr>
          <w:rFonts w:ascii="Calibri" w:hAnsi="Calibri"/>
          <w:i/>
          <w:lang w:eastAsia="en-AU"/>
        </w:rPr>
        <w:t>Week Full Outcome,  26</w:t>
      </w:r>
      <w:r>
        <w:rPr>
          <w:rFonts w:ascii="Calibri" w:hAnsi="Calibri"/>
          <w:i/>
          <w:lang w:eastAsia="en-AU"/>
        </w:rPr>
        <w:t>-</w:t>
      </w:r>
      <w:r w:rsidRPr="00670589">
        <w:rPr>
          <w:rFonts w:ascii="Calibri" w:hAnsi="Calibri"/>
          <w:i/>
          <w:lang w:eastAsia="en-AU"/>
        </w:rPr>
        <w:t xml:space="preserve">Week Pathway Outcome, </w:t>
      </w:r>
      <w:r w:rsidRPr="003B2A23">
        <w:rPr>
          <w:rFonts w:ascii="Calibri" w:hAnsi="Calibri"/>
          <w:i/>
          <w:lang w:eastAsia="en-AU"/>
        </w:rPr>
        <w:t>52</w:t>
      </w:r>
      <w:r>
        <w:rPr>
          <w:rFonts w:ascii="Calibri" w:hAnsi="Calibri"/>
          <w:i/>
          <w:lang w:eastAsia="en-AU"/>
        </w:rPr>
        <w:t>-</w:t>
      </w:r>
      <w:r w:rsidRPr="003B2A23">
        <w:rPr>
          <w:rFonts w:ascii="Calibri" w:hAnsi="Calibri"/>
          <w:i/>
          <w:lang w:eastAsia="en-AU"/>
        </w:rPr>
        <w:t>Week Full Outcome and 52</w:t>
      </w:r>
      <w:r>
        <w:rPr>
          <w:rFonts w:ascii="Calibri" w:hAnsi="Calibri"/>
          <w:i/>
          <w:lang w:eastAsia="en-AU"/>
        </w:rPr>
        <w:t>-</w:t>
      </w:r>
      <w:r w:rsidRPr="003B2A23">
        <w:rPr>
          <w:rFonts w:ascii="Calibri" w:hAnsi="Calibri"/>
          <w:i/>
          <w:lang w:eastAsia="en-AU"/>
        </w:rPr>
        <w:t>Week Pathway Outcome</w:t>
      </w:r>
      <w:r w:rsidRPr="00670589">
        <w:rPr>
          <w:rFonts w:ascii="Calibri" w:hAnsi="Calibri"/>
          <w:i/>
          <w:lang w:eastAsia="en-AU"/>
        </w:rPr>
        <w:t xml:space="preserve"> performance measures, </w:t>
      </w:r>
      <w:r>
        <w:rPr>
          <w:rFonts w:ascii="Calibri" w:hAnsi="Calibri"/>
          <w:i/>
          <w:lang w:eastAsia="en-AU"/>
        </w:rPr>
        <w:t xml:space="preserve">- </w:t>
      </w:r>
      <w:r w:rsidRPr="003B2A23">
        <w:rPr>
          <w:rFonts w:ascii="Calibri" w:hAnsi="Calibri"/>
          <w:lang w:eastAsia="en-AU"/>
        </w:rPr>
        <w:t xml:space="preserve">Participants will only be included in the denominator where the </w:t>
      </w:r>
      <w:r>
        <w:rPr>
          <w:rFonts w:ascii="Calibri" w:hAnsi="Calibri"/>
          <w:lang w:eastAsia="en-AU"/>
        </w:rPr>
        <w:t>Provider</w:t>
      </w:r>
      <w:r w:rsidRPr="003B2A23">
        <w:rPr>
          <w:rFonts w:ascii="Calibri" w:hAnsi="Calibri"/>
          <w:lang w:eastAsia="en-AU"/>
        </w:rPr>
        <w:t xml:space="preserve"> has claimed a</w:t>
      </w:r>
      <w:r>
        <w:rPr>
          <w:rFonts w:ascii="Calibri" w:hAnsi="Calibri"/>
          <w:lang w:eastAsia="en-AU"/>
        </w:rPr>
        <w:t>n Employment Assistance S</w:t>
      </w:r>
      <w:r w:rsidRPr="003B2A23">
        <w:rPr>
          <w:rFonts w:ascii="Calibri" w:hAnsi="Calibri"/>
          <w:lang w:eastAsia="en-AU"/>
        </w:rPr>
        <w:t xml:space="preserve">ervice </w:t>
      </w:r>
      <w:r>
        <w:rPr>
          <w:rFonts w:ascii="Calibri" w:hAnsi="Calibri"/>
          <w:lang w:eastAsia="en-AU"/>
        </w:rPr>
        <w:t>F</w:t>
      </w:r>
      <w:r w:rsidRPr="003B2A23">
        <w:rPr>
          <w:rFonts w:ascii="Calibri" w:hAnsi="Calibri"/>
          <w:lang w:eastAsia="en-AU"/>
        </w:rPr>
        <w:t>ee</w:t>
      </w:r>
      <w:r>
        <w:rPr>
          <w:rFonts w:ascii="Calibri" w:hAnsi="Calibri"/>
          <w:lang w:eastAsia="en-AU"/>
        </w:rPr>
        <w:t xml:space="preserve"> (with a current status of pending or approved) for the Participant.</w:t>
      </w:r>
      <w:r w:rsidRPr="00670589">
        <w:rPr>
          <w:rFonts w:ascii="Calibri" w:hAnsi="Calibri"/>
          <w:i/>
          <w:lang w:eastAsia="en-AU"/>
        </w:rPr>
        <w:t xml:space="preserve"> </w:t>
      </w:r>
    </w:p>
    <w:p w14:paraId="36A0A8F5" w14:textId="77777777" w:rsidR="00152B4F" w:rsidRPr="00606DE4" w:rsidRDefault="00152B4F" w:rsidP="00152B4F">
      <w:pPr>
        <w:pStyle w:val="ListParagraph"/>
        <w:numPr>
          <w:ilvl w:val="0"/>
          <w:numId w:val="1"/>
        </w:numPr>
        <w:tabs>
          <w:tab w:val="num" w:pos="720"/>
        </w:tabs>
        <w:ind w:left="714" w:hanging="357"/>
        <w:rPr>
          <w:rFonts w:ascii="Calibri" w:hAnsi="Calibri"/>
          <w:lang w:eastAsia="en-AU"/>
        </w:rPr>
      </w:pPr>
      <w:r w:rsidRPr="00606DE4">
        <w:rPr>
          <w:rFonts w:ascii="Calibri" w:hAnsi="Calibri"/>
          <w:lang w:eastAsia="en-AU"/>
        </w:rPr>
        <w:t>Participants who do not meet the</w:t>
      </w:r>
      <w:r>
        <w:rPr>
          <w:rFonts w:ascii="Calibri" w:hAnsi="Calibri"/>
          <w:lang w:eastAsia="en-AU"/>
        </w:rPr>
        <w:t xml:space="preserve"> standard</w:t>
      </w:r>
      <w:r w:rsidRPr="00606DE4">
        <w:rPr>
          <w:rFonts w:ascii="Calibri" w:hAnsi="Calibri"/>
          <w:lang w:eastAsia="en-AU"/>
        </w:rPr>
        <w:t xml:space="preserve"> criteria for inclusion in the denominator are included </w:t>
      </w:r>
      <w:r>
        <w:rPr>
          <w:rFonts w:ascii="Calibri" w:hAnsi="Calibri"/>
          <w:lang w:eastAsia="en-AU"/>
        </w:rPr>
        <w:t xml:space="preserve">in the denominator </w:t>
      </w:r>
      <w:r w:rsidRPr="00606DE4">
        <w:rPr>
          <w:rFonts w:ascii="Calibri" w:hAnsi="Calibri"/>
          <w:lang w:eastAsia="en-AU"/>
        </w:rPr>
        <w:t xml:space="preserve">if an </w:t>
      </w:r>
      <w:r>
        <w:rPr>
          <w:rFonts w:ascii="Calibri" w:hAnsi="Calibri"/>
          <w:lang w:eastAsia="en-AU"/>
        </w:rPr>
        <w:t>O</w:t>
      </w:r>
      <w:r w:rsidRPr="00606DE4">
        <w:rPr>
          <w:rFonts w:ascii="Calibri" w:hAnsi="Calibri"/>
          <w:lang w:eastAsia="en-AU"/>
        </w:rPr>
        <w:t xml:space="preserve">utcome </w:t>
      </w:r>
      <w:r>
        <w:rPr>
          <w:rFonts w:ascii="Calibri" w:hAnsi="Calibri"/>
          <w:lang w:eastAsia="en-AU"/>
        </w:rPr>
        <w:t xml:space="preserve">(other than an Education Outcome – see below) </w:t>
      </w:r>
      <w:r w:rsidRPr="00606DE4">
        <w:rPr>
          <w:rFonts w:ascii="Calibri" w:hAnsi="Calibri"/>
          <w:lang w:eastAsia="en-AU"/>
        </w:rPr>
        <w:t>for the measure has been achieved</w:t>
      </w:r>
      <w:r>
        <w:rPr>
          <w:rFonts w:ascii="Calibri" w:hAnsi="Calibri"/>
          <w:lang w:eastAsia="en-AU"/>
        </w:rPr>
        <w:t>.</w:t>
      </w:r>
    </w:p>
    <w:p w14:paraId="4C7E8117" w14:textId="77777777" w:rsidR="00152B4F" w:rsidRPr="003B2A23" w:rsidRDefault="00152B4F" w:rsidP="00152B4F">
      <w:pPr>
        <w:pStyle w:val="ListParagraph"/>
        <w:numPr>
          <w:ilvl w:val="0"/>
          <w:numId w:val="1"/>
        </w:numPr>
        <w:tabs>
          <w:tab w:val="num" w:pos="720"/>
        </w:tabs>
        <w:ind w:left="714" w:hanging="357"/>
        <w:rPr>
          <w:rFonts w:ascii="Calibri" w:hAnsi="Calibri"/>
          <w:lang w:eastAsia="en-AU"/>
        </w:rPr>
      </w:pPr>
      <w:r w:rsidRPr="003B2A23">
        <w:rPr>
          <w:rFonts w:ascii="Calibri" w:hAnsi="Calibri"/>
          <w:lang w:eastAsia="en-AU"/>
        </w:rPr>
        <w:t>The Participant is included in the applicable numerator</w:t>
      </w:r>
      <w:r>
        <w:rPr>
          <w:rFonts w:ascii="Calibri" w:hAnsi="Calibri"/>
          <w:lang w:eastAsia="en-AU"/>
        </w:rPr>
        <w:t>s</w:t>
      </w:r>
      <w:r w:rsidRPr="003B2A23">
        <w:rPr>
          <w:rFonts w:ascii="Calibri" w:hAnsi="Calibri"/>
          <w:lang w:eastAsia="en-AU"/>
        </w:rPr>
        <w:t xml:space="preserve"> and denominators if they meet the conditions of the two-year rolling period. Further information on the two</w:t>
      </w:r>
      <w:r>
        <w:rPr>
          <w:rFonts w:ascii="Calibri" w:hAnsi="Calibri"/>
          <w:lang w:eastAsia="en-AU"/>
        </w:rPr>
        <w:t>-</w:t>
      </w:r>
      <w:r w:rsidRPr="003B2A23">
        <w:rPr>
          <w:rFonts w:ascii="Calibri" w:hAnsi="Calibri"/>
          <w:lang w:eastAsia="en-AU"/>
        </w:rPr>
        <w:t>year rolling period is available in the ‘Two Year Rolling Assessment Period’ section of this document</w:t>
      </w:r>
      <w:r>
        <w:rPr>
          <w:rFonts w:ascii="Calibri" w:hAnsi="Calibri"/>
          <w:lang w:eastAsia="en-AU"/>
        </w:rPr>
        <w:t xml:space="preserve">. </w:t>
      </w:r>
    </w:p>
    <w:p w14:paraId="2C2B3123" w14:textId="77777777" w:rsidR="00152B4F" w:rsidRPr="00606DE4" w:rsidRDefault="00152B4F" w:rsidP="00152B4F">
      <w:pPr>
        <w:pStyle w:val="ListParagraph"/>
        <w:numPr>
          <w:ilvl w:val="0"/>
          <w:numId w:val="1"/>
        </w:numPr>
        <w:tabs>
          <w:tab w:val="num" w:pos="720"/>
        </w:tabs>
        <w:ind w:left="714" w:hanging="357"/>
        <w:rPr>
          <w:rFonts w:ascii="Calibri" w:hAnsi="Calibri"/>
          <w:lang w:eastAsia="en-AU"/>
        </w:rPr>
      </w:pPr>
      <w:r>
        <w:rPr>
          <w:rFonts w:ascii="Calibri" w:hAnsi="Calibri"/>
          <w:lang w:eastAsia="en-AU"/>
        </w:rPr>
        <w:t>T</w:t>
      </w:r>
      <w:r w:rsidRPr="00606DE4">
        <w:rPr>
          <w:rFonts w:ascii="Calibri" w:hAnsi="Calibri"/>
          <w:lang w:eastAsia="en-AU"/>
        </w:rPr>
        <w:t xml:space="preserve">he duration in assistance for a Participant starts from when they commence with the Site. It includes the total time spent in both the Employment Assistance and Post Placement Support phases combined and excludes all periods of </w:t>
      </w:r>
      <w:r>
        <w:rPr>
          <w:rFonts w:ascii="Calibri" w:hAnsi="Calibri"/>
          <w:lang w:eastAsia="en-AU"/>
        </w:rPr>
        <w:t>S</w:t>
      </w:r>
      <w:r w:rsidRPr="00606DE4">
        <w:rPr>
          <w:rFonts w:ascii="Calibri" w:hAnsi="Calibri"/>
          <w:lang w:eastAsia="en-AU"/>
        </w:rPr>
        <w:t xml:space="preserve">uspension after commencement. </w:t>
      </w:r>
      <w:r>
        <w:rPr>
          <w:rFonts w:ascii="Calibri" w:hAnsi="Calibri"/>
          <w:lang w:eastAsia="en-AU"/>
        </w:rPr>
        <w:t>For each new Period of Service, as defined in the Grant Agreement, participants start a new duration of assistance period.</w:t>
      </w:r>
    </w:p>
    <w:p w14:paraId="1008E721" w14:textId="77777777" w:rsidR="00152B4F" w:rsidRPr="00606DE4" w:rsidRDefault="00152B4F" w:rsidP="00152B4F">
      <w:pPr>
        <w:pStyle w:val="ListParagraph"/>
        <w:numPr>
          <w:ilvl w:val="0"/>
          <w:numId w:val="1"/>
        </w:numPr>
        <w:tabs>
          <w:tab w:val="num" w:pos="720"/>
        </w:tabs>
        <w:ind w:left="714" w:hanging="357"/>
        <w:rPr>
          <w:rFonts w:ascii="Calibri" w:hAnsi="Calibri"/>
          <w:lang w:eastAsia="en-AU"/>
        </w:rPr>
      </w:pPr>
      <w:r w:rsidRPr="00606DE4">
        <w:rPr>
          <w:rFonts w:ascii="Calibri" w:hAnsi="Calibri"/>
          <w:lang w:eastAsia="en-AU"/>
        </w:rPr>
        <w:t xml:space="preserve">DES </w:t>
      </w:r>
      <w:r>
        <w:rPr>
          <w:rFonts w:ascii="Calibri" w:hAnsi="Calibri"/>
          <w:lang w:eastAsia="en-AU"/>
        </w:rPr>
        <w:t>O</w:t>
      </w:r>
      <w:r w:rsidRPr="00606DE4">
        <w:rPr>
          <w:rFonts w:ascii="Calibri" w:hAnsi="Calibri"/>
          <w:lang w:eastAsia="en-AU"/>
        </w:rPr>
        <w:t xml:space="preserve">utcome and </w:t>
      </w:r>
      <w:r>
        <w:rPr>
          <w:rFonts w:ascii="Calibri" w:hAnsi="Calibri"/>
          <w:lang w:eastAsia="en-AU"/>
        </w:rPr>
        <w:t>S</w:t>
      </w:r>
      <w:r w:rsidRPr="00606DE4">
        <w:rPr>
          <w:rFonts w:ascii="Calibri" w:hAnsi="Calibri"/>
          <w:lang w:eastAsia="en-AU"/>
        </w:rPr>
        <w:t xml:space="preserve">ervice </w:t>
      </w:r>
      <w:r>
        <w:rPr>
          <w:rFonts w:ascii="Calibri" w:hAnsi="Calibri"/>
          <w:lang w:eastAsia="en-AU"/>
        </w:rPr>
        <w:t>F</w:t>
      </w:r>
      <w:r w:rsidRPr="00606DE4">
        <w:rPr>
          <w:rFonts w:ascii="Calibri" w:hAnsi="Calibri"/>
          <w:lang w:eastAsia="en-AU"/>
        </w:rPr>
        <w:t>ee claims that are less than one dollar, including zero dollar claims, are excluded from the numerator and denominator calculations</w:t>
      </w:r>
      <w:r>
        <w:rPr>
          <w:rFonts w:ascii="Calibri" w:hAnsi="Calibri"/>
          <w:lang w:eastAsia="en-AU"/>
        </w:rPr>
        <w:t>,</w:t>
      </w:r>
      <w:r w:rsidRPr="00606DE4">
        <w:rPr>
          <w:rFonts w:ascii="Calibri" w:hAnsi="Calibri"/>
          <w:lang w:eastAsia="en-AU"/>
        </w:rPr>
        <w:t xml:space="preserve"> regardless of the claim status</w:t>
      </w:r>
      <w:r>
        <w:rPr>
          <w:rFonts w:ascii="Calibri" w:hAnsi="Calibri"/>
          <w:lang w:eastAsia="en-AU"/>
        </w:rPr>
        <w:t>.</w:t>
      </w:r>
      <w:r w:rsidRPr="00606DE4">
        <w:rPr>
          <w:rFonts w:ascii="Calibri" w:hAnsi="Calibri"/>
          <w:lang w:eastAsia="en-AU"/>
        </w:rPr>
        <w:t xml:space="preserve"> </w:t>
      </w:r>
    </w:p>
    <w:p w14:paraId="4097A78B" w14:textId="77777777" w:rsidR="00152B4F" w:rsidRPr="00606DE4" w:rsidRDefault="00152B4F" w:rsidP="00152B4F">
      <w:pPr>
        <w:pStyle w:val="ListParagraph"/>
        <w:numPr>
          <w:ilvl w:val="0"/>
          <w:numId w:val="1"/>
        </w:numPr>
        <w:tabs>
          <w:tab w:val="num" w:pos="720"/>
        </w:tabs>
        <w:ind w:left="714" w:hanging="357"/>
        <w:rPr>
          <w:rFonts w:ascii="Calibri" w:hAnsi="Calibri"/>
          <w:lang w:eastAsia="en-AU"/>
        </w:rPr>
      </w:pPr>
      <w:r>
        <w:rPr>
          <w:rFonts w:ascii="Calibri" w:hAnsi="Calibri"/>
          <w:lang w:eastAsia="en-AU"/>
        </w:rPr>
        <w:t>C</w:t>
      </w:r>
      <w:r w:rsidRPr="00606DE4">
        <w:rPr>
          <w:rFonts w:ascii="Calibri" w:hAnsi="Calibri"/>
          <w:lang w:eastAsia="en-AU"/>
        </w:rPr>
        <w:t xml:space="preserve">laim(s) that have been identified and confirmed for recovery by the </w:t>
      </w:r>
      <w:r>
        <w:rPr>
          <w:rFonts w:ascii="Calibri" w:hAnsi="Calibri"/>
          <w:lang w:eastAsia="en-AU"/>
        </w:rPr>
        <w:t>Department</w:t>
      </w:r>
      <w:r w:rsidRPr="00606DE4">
        <w:rPr>
          <w:rFonts w:ascii="Calibri" w:hAnsi="Calibri"/>
          <w:lang w:eastAsia="en-AU"/>
        </w:rPr>
        <w:t xml:space="preserve">, will immediately be removed from the numerator </w:t>
      </w:r>
      <w:r>
        <w:rPr>
          <w:rFonts w:ascii="Calibri" w:hAnsi="Calibri"/>
          <w:lang w:eastAsia="en-AU"/>
        </w:rPr>
        <w:t>of</w:t>
      </w:r>
      <w:r w:rsidRPr="00606DE4">
        <w:rPr>
          <w:rFonts w:ascii="Calibri" w:hAnsi="Calibri"/>
          <w:lang w:eastAsia="en-AU"/>
        </w:rPr>
        <w:t xml:space="preserve"> the applicable performance measure(s). This is regardless of whether the claim has a current status of pending or approved in the IT system.</w:t>
      </w:r>
    </w:p>
    <w:p w14:paraId="15034F13" w14:textId="77777777" w:rsidR="00152B4F" w:rsidRPr="00606DE4" w:rsidRDefault="00152B4F" w:rsidP="00152B4F">
      <w:pPr>
        <w:spacing w:after="120"/>
        <w:contextualSpacing/>
        <w:rPr>
          <w:rFonts w:ascii="Calibri" w:hAnsi="Calibri"/>
          <w:lang w:eastAsia="en-AU"/>
        </w:rPr>
      </w:pPr>
    </w:p>
    <w:p w14:paraId="3AFD3BA2" w14:textId="77777777" w:rsidR="00152B4F" w:rsidRDefault="00152B4F" w:rsidP="00152B4F">
      <w:pPr>
        <w:spacing w:after="120"/>
        <w:contextualSpacing/>
        <w:rPr>
          <w:rFonts w:ascii="Calibri" w:hAnsi="Calibri"/>
          <w:lang w:eastAsia="en-AU"/>
        </w:rPr>
      </w:pPr>
      <w:r w:rsidRPr="00606DE4">
        <w:rPr>
          <w:rFonts w:ascii="Calibri" w:hAnsi="Calibri"/>
          <w:lang w:eastAsia="en-AU"/>
        </w:rPr>
        <w:t>These overarching performance measures rules will be subject to additional business rules for Participants who transfer between Sites, ESA and program (see Attachment A).</w:t>
      </w:r>
    </w:p>
    <w:p w14:paraId="1FE58461" w14:textId="77777777" w:rsidR="00152B4F" w:rsidRDefault="00152B4F" w:rsidP="00152B4F">
      <w:pPr>
        <w:spacing w:after="120"/>
        <w:contextualSpacing/>
        <w:rPr>
          <w:rFonts w:ascii="Calibri" w:hAnsi="Calibri"/>
          <w:lang w:eastAsia="en-AU"/>
        </w:rPr>
      </w:pPr>
    </w:p>
    <w:p w14:paraId="43143E80" w14:textId="77777777" w:rsidR="00152B4F" w:rsidRDefault="00152B4F" w:rsidP="00152B4F">
      <w:pPr>
        <w:pStyle w:val="Heading3"/>
      </w:pPr>
      <w:bookmarkStart w:id="15" w:name="_Toc47098271"/>
      <w:r>
        <w:t>Education Outcomes excluded from DES Star Ratings calculations</w:t>
      </w:r>
      <w:bookmarkEnd w:id="15"/>
    </w:p>
    <w:p w14:paraId="7AAE965A" w14:textId="77777777" w:rsidR="00152B4F" w:rsidRPr="00B20661" w:rsidRDefault="00152B4F" w:rsidP="00152B4F">
      <w:pPr>
        <w:shd w:val="clear" w:color="auto" w:fill="FFFFFF"/>
        <w:spacing w:before="120" w:after="120"/>
        <w:rPr>
          <w:rFonts w:cs="Calibri"/>
          <w:szCs w:val="22"/>
        </w:rPr>
      </w:pPr>
      <w:r w:rsidRPr="00B20661">
        <w:rPr>
          <w:rFonts w:cs="Calibri"/>
          <w:szCs w:val="22"/>
        </w:rPr>
        <w:t xml:space="preserve">For all </w:t>
      </w:r>
      <w:r>
        <w:rPr>
          <w:rFonts w:cs="Calibri"/>
          <w:szCs w:val="22"/>
        </w:rPr>
        <w:t>E</w:t>
      </w:r>
      <w:r w:rsidRPr="00B20661">
        <w:rPr>
          <w:rFonts w:cs="Calibri"/>
          <w:szCs w:val="22"/>
        </w:rPr>
        <w:t xml:space="preserve">ducation </w:t>
      </w:r>
      <w:r>
        <w:rPr>
          <w:rFonts w:cs="Calibri"/>
          <w:szCs w:val="22"/>
        </w:rPr>
        <w:t>P</w:t>
      </w:r>
      <w:r w:rsidRPr="00B20661">
        <w:rPr>
          <w:rFonts w:cs="Calibri"/>
          <w:szCs w:val="22"/>
        </w:rPr>
        <w:t>lacements</w:t>
      </w:r>
      <w:r>
        <w:rPr>
          <w:rFonts w:cs="Calibri"/>
          <w:szCs w:val="22"/>
        </w:rPr>
        <w:t xml:space="preserve"> </w:t>
      </w:r>
      <w:r w:rsidRPr="00B20661">
        <w:rPr>
          <w:rFonts w:cs="Calibri"/>
          <w:szCs w:val="22"/>
        </w:rPr>
        <w:t xml:space="preserve">commenced on or after </w:t>
      </w:r>
      <w:r w:rsidRPr="00B20661">
        <w:rPr>
          <w:rFonts w:cs="Calibri"/>
          <w:b/>
          <w:szCs w:val="22"/>
        </w:rPr>
        <w:t>17 August 2020,</w:t>
      </w:r>
      <w:r w:rsidRPr="00B20661">
        <w:rPr>
          <w:rFonts w:cs="Calibri"/>
          <w:szCs w:val="22"/>
        </w:rPr>
        <w:t xml:space="preserve"> their subsequent 13</w:t>
      </w:r>
      <w:r w:rsidRPr="007477C1">
        <w:rPr>
          <w:rFonts w:cs="Calibri"/>
          <w:szCs w:val="22"/>
        </w:rPr>
        <w:noBreakHyphen/>
      </w:r>
      <w:r w:rsidRPr="00B20661">
        <w:rPr>
          <w:rFonts w:cs="Calibri"/>
          <w:szCs w:val="22"/>
        </w:rPr>
        <w:t>week or 26-week Full or Pathway Education Outcomes will be excluded from all DES Star Ratings calculations.</w:t>
      </w:r>
    </w:p>
    <w:p w14:paraId="16CB0371" w14:textId="77777777" w:rsidR="00152B4F" w:rsidRPr="00B20661" w:rsidRDefault="00152B4F" w:rsidP="00152B4F">
      <w:pPr>
        <w:shd w:val="clear" w:color="auto" w:fill="FFFFFF"/>
        <w:spacing w:before="120" w:after="120"/>
        <w:rPr>
          <w:rFonts w:cs="Calibri"/>
          <w:szCs w:val="22"/>
        </w:rPr>
      </w:pPr>
      <w:r w:rsidRPr="00B20661">
        <w:rPr>
          <w:rFonts w:cs="Calibri"/>
          <w:szCs w:val="22"/>
        </w:rPr>
        <w:t xml:space="preserve">Those Education Outcomes will </w:t>
      </w:r>
      <w:r w:rsidRPr="00B20661">
        <w:rPr>
          <w:rFonts w:cs="Calibri"/>
          <w:szCs w:val="22"/>
          <w:u w:val="single"/>
        </w:rPr>
        <w:t>not</w:t>
      </w:r>
      <w:r w:rsidRPr="00B20661">
        <w:rPr>
          <w:rFonts w:cs="Calibri"/>
          <w:szCs w:val="22"/>
        </w:rPr>
        <w:t xml:space="preserve"> count in the numerators of any performance measures</w:t>
      </w:r>
      <w:r>
        <w:rPr>
          <w:rFonts w:cs="Calibri"/>
          <w:szCs w:val="22"/>
        </w:rPr>
        <w:t>. Further,</w:t>
      </w:r>
      <w:r w:rsidRPr="00B20661">
        <w:rPr>
          <w:rFonts w:cs="Calibri"/>
          <w:szCs w:val="22"/>
        </w:rPr>
        <w:t xml:space="preserve"> the achievement of a 13</w:t>
      </w:r>
      <w:r>
        <w:rPr>
          <w:rFonts w:cs="Calibri"/>
          <w:szCs w:val="22"/>
        </w:rPr>
        <w:t>-Week</w:t>
      </w:r>
      <w:r w:rsidRPr="00B20661">
        <w:rPr>
          <w:rFonts w:cs="Calibri"/>
          <w:szCs w:val="22"/>
        </w:rPr>
        <w:t xml:space="preserve"> or 26</w:t>
      </w:r>
      <w:r>
        <w:rPr>
          <w:rFonts w:cs="Calibri"/>
          <w:szCs w:val="22"/>
        </w:rPr>
        <w:t>-</w:t>
      </w:r>
      <w:r w:rsidRPr="00B20661">
        <w:rPr>
          <w:rFonts w:cs="Calibri"/>
          <w:szCs w:val="22"/>
        </w:rPr>
        <w:t xml:space="preserve">Week Pathway Education Outcome </w:t>
      </w:r>
      <w:r>
        <w:rPr>
          <w:rFonts w:cs="Calibri"/>
          <w:szCs w:val="22"/>
        </w:rPr>
        <w:t xml:space="preserve">will not </w:t>
      </w:r>
      <w:r w:rsidRPr="00B20661">
        <w:rPr>
          <w:rFonts w:cs="Calibri"/>
          <w:szCs w:val="22"/>
        </w:rPr>
        <w:t xml:space="preserve">remove that </w:t>
      </w:r>
      <w:r>
        <w:rPr>
          <w:rFonts w:cs="Calibri"/>
          <w:szCs w:val="22"/>
        </w:rPr>
        <w:t>P</w:t>
      </w:r>
      <w:r w:rsidRPr="00B20661">
        <w:rPr>
          <w:rFonts w:cs="Calibri"/>
          <w:szCs w:val="22"/>
        </w:rPr>
        <w:t>articipant from the applicable Full Outcome denominator.</w:t>
      </w:r>
    </w:p>
    <w:p w14:paraId="054FCC90" w14:textId="77777777" w:rsidR="00152B4F" w:rsidRPr="00B20661" w:rsidRDefault="00152B4F" w:rsidP="00152B4F">
      <w:pPr>
        <w:shd w:val="clear" w:color="auto" w:fill="FFFFFF"/>
        <w:spacing w:before="120" w:after="120"/>
        <w:rPr>
          <w:rFonts w:cs="Calibri"/>
          <w:szCs w:val="22"/>
        </w:rPr>
      </w:pPr>
      <w:r w:rsidRPr="00B20661">
        <w:rPr>
          <w:rFonts w:cs="Calibri"/>
          <w:szCs w:val="22"/>
        </w:rPr>
        <w:t>These changes will be reflected from the December 2020 DES Star Ratings onwards.</w:t>
      </w:r>
    </w:p>
    <w:p w14:paraId="616760DD" w14:textId="77777777" w:rsidR="00152B4F" w:rsidRDefault="00152B4F" w:rsidP="00152B4F">
      <w:pPr>
        <w:rPr>
          <w:rFonts w:ascii="Calibri" w:hAnsi="Calibri" w:cs="Arial"/>
          <w:b/>
          <w:bCs/>
          <w:szCs w:val="26"/>
          <w:lang w:eastAsia="en-AU"/>
        </w:rPr>
      </w:pPr>
      <w:r w:rsidRPr="00B20661">
        <w:rPr>
          <w:rFonts w:cs="Calibri"/>
          <w:szCs w:val="22"/>
        </w:rPr>
        <w:t xml:space="preserve">Any </w:t>
      </w:r>
      <w:r>
        <w:rPr>
          <w:rFonts w:cs="Calibri"/>
          <w:szCs w:val="22"/>
        </w:rPr>
        <w:t>E</w:t>
      </w:r>
      <w:r w:rsidRPr="00B20661">
        <w:rPr>
          <w:rFonts w:cs="Calibri"/>
          <w:szCs w:val="22"/>
        </w:rPr>
        <w:t xml:space="preserve">ducation </w:t>
      </w:r>
      <w:r>
        <w:rPr>
          <w:rFonts w:cs="Calibri"/>
          <w:szCs w:val="22"/>
        </w:rPr>
        <w:t>P</w:t>
      </w:r>
      <w:r w:rsidRPr="00B20661">
        <w:rPr>
          <w:rFonts w:cs="Calibri"/>
          <w:szCs w:val="22"/>
        </w:rPr>
        <w:t>lacements commenced on</w:t>
      </w:r>
      <w:r>
        <w:rPr>
          <w:rFonts w:cs="Calibri"/>
          <w:szCs w:val="22"/>
        </w:rPr>
        <w:t xml:space="preserve"> or before</w:t>
      </w:r>
      <w:r w:rsidRPr="00B20661">
        <w:rPr>
          <w:rFonts w:cs="Calibri"/>
          <w:szCs w:val="22"/>
        </w:rPr>
        <w:t xml:space="preserve"> 16 August 2020 and their subsequent 13</w:t>
      </w:r>
      <w:r w:rsidRPr="00B20661">
        <w:rPr>
          <w:rFonts w:cs="Calibri"/>
          <w:szCs w:val="22"/>
        </w:rPr>
        <w:noBreakHyphen/>
      </w:r>
      <w:r>
        <w:rPr>
          <w:rFonts w:cs="Calibri"/>
          <w:szCs w:val="22"/>
        </w:rPr>
        <w:t>W</w:t>
      </w:r>
      <w:r w:rsidRPr="00B20661">
        <w:rPr>
          <w:rFonts w:cs="Calibri"/>
          <w:szCs w:val="22"/>
        </w:rPr>
        <w:t>eek or 26-</w:t>
      </w:r>
      <w:r>
        <w:rPr>
          <w:rFonts w:cs="Calibri"/>
          <w:szCs w:val="22"/>
        </w:rPr>
        <w:t>W</w:t>
      </w:r>
      <w:r w:rsidRPr="00B20661">
        <w:rPr>
          <w:rFonts w:cs="Calibri"/>
          <w:szCs w:val="22"/>
        </w:rPr>
        <w:t>eek Full or Pathway Education Outcomes will be included in DES Star Ratings calculations.</w:t>
      </w:r>
      <w:r>
        <w:br w:type="page"/>
      </w:r>
    </w:p>
    <w:p w14:paraId="55FBF319" w14:textId="77777777" w:rsidR="00152B4F" w:rsidRPr="003042AA" w:rsidRDefault="00152B4F" w:rsidP="00152B4F">
      <w:pPr>
        <w:pStyle w:val="TableText0"/>
      </w:pPr>
      <w:r w:rsidRPr="00563E26">
        <w:t>Table 2</w:t>
      </w:r>
      <w:r w:rsidRPr="00685F45">
        <w:t>: Numerator and denominator definitions for performance measures</w:t>
      </w:r>
    </w:p>
    <w:tbl>
      <w:tblPr>
        <w:tblStyle w:val="TableGrid"/>
        <w:tblW w:w="9173" w:type="dxa"/>
        <w:tblInd w:w="-147" w:type="dxa"/>
        <w:tblLook w:val="04A0" w:firstRow="1" w:lastRow="0" w:firstColumn="1" w:lastColumn="0" w:noHBand="0" w:noVBand="1"/>
        <w:tblCaption w:val="Numerator and Denominator definitions"/>
        <w:tblDescription w:val="The following table describes the numerator and denominator definitions for the performance measures, up to the 26 Week Bonus Outcomes measures"/>
      </w:tblPr>
      <w:tblGrid>
        <w:gridCol w:w="2127"/>
        <w:gridCol w:w="7046"/>
      </w:tblGrid>
      <w:tr w:rsidR="00152B4F" w:rsidRPr="005514DD" w14:paraId="0AA23D3A" w14:textId="77777777" w:rsidTr="009039E0">
        <w:trPr>
          <w:tblHeader/>
        </w:trPr>
        <w:tc>
          <w:tcPr>
            <w:tcW w:w="2127" w:type="dxa"/>
            <w:shd w:val="clear" w:color="auto" w:fill="FFFFFF" w:themeFill="background1"/>
          </w:tcPr>
          <w:p w14:paraId="3DA9E6BD" w14:textId="77777777" w:rsidR="00152B4F" w:rsidRPr="00060458" w:rsidRDefault="00152B4F" w:rsidP="009039E0">
            <w:pPr>
              <w:jc w:val="center"/>
              <w:rPr>
                <w:rFonts w:cs="Calibri"/>
                <w:b/>
                <w:bCs/>
                <w:szCs w:val="22"/>
                <w:lang w:val="en-US" w:eastAsia="zh-CN"/>
              </w:rPr>
            </w:pPr>
            <w:r w:rsidRPr="00060458">
              <w:rPr>
                <w:rFonts w:cs="Calibri"/>
                <w:b/>
                <w:bCs/>
                <w:szCs w:val="22"/>
                <w:lang w:val="en-US" w:eastAsia="zh-CN"/>
              </w:rPr>
              <w:t>Performance Measure</w:t>
            </w:r>
          </w:p>
        </w:tc>
        <w:tc>
          <w:tcPr>
            <w:tcW w:w="7046" w:type="dxa"/>
            <w:shd w:val="clear" w:color="auto" w:fill="FFFFFF" w:themeFill="background1"/>
            <w:vAlign w:val="bottom"/>
          </w:tcPr>
          <w:p w14:paraId="3A05C6A3" w14:textId="77777777" w:rsidR="00152B4F" w:rsidRPr="00060458" w:rsidRDefault="00152B4F" w:rsidP="009039E0">
            <w:pPr>
              <w:jc w:val="center"/>
              <w:rPr>
                <w:rFonts w:cs="Calibri"/>
                <w:b/>
                <w:bCs/>
                <w:szCs w:val="22"/>
                <w:lang w:val="en-US" w:eastAsia="zh-CN"/>
              </w:rPr>
            </w:pPr>
            <w:r w:rsidRPr="00060458">
              <w:rPr>
                <w:rFonts w:cs="Calibri"/>
                <w:b/>
                <w:bCs/>
                <w:szCs w:val="22"/>
                <w:lang w:val="en-US" w:eastAsia="zh-CN"/>
              </w:rPr>
              <w:t>Numerator and Denominator</w:t>
            </w:r>
          </w:p>
        </w:tc>
      </w:tr>
      <w:tr w:rsidR="00152B4F" w:rsidRPr="005514DD" w14:paraId="0ED35AFA" w14:textId="77777777" w:rsidTr="009039E0">
        <w:tc>
          <w:tcPr>
            <w:tcW w:w="2127" w:type="dxa"/>
            <w:tcBorders>
              <w:bottom w:val="nil"/>
            </w:tcBorders>
            <w:shd w:val="clear" w:color="auto" w:fill="F2F2F2"/>
            <w:vAlign w:val="center"/>
          </w:tcPr>
          <w:p w14:paraId="0D137DAA" w14:textId="77777777" w:rsidR="00152B4F" w:rsidRPr="008301EE" w:rsidRDefault="00152B4F" w:rsidP="009039E0">
            <w:pPr>
              <w:pStyle w:val="Tabletext"/>
              <w:spacing w:before="120" w:after="120"/>
              <w:jc w:val="center"/>
              <w:rPr>
                <w:rFonts w:asciiTheme="majorHAnsi" w:hAnsiTheme="majorHAnsi" w:cs="Calibri"/>
                <w:b/>
                <w:bCs/>
                <w:szCs w:val="20"/>
                <w:lang w:val="en-US" w:eastAsia="zh-CN"/>
              </w:rPr>
            </w:pPr>
            <w:r w:rsidRPr="008301EE">
              <w:rPr>
                <w:rFonts w:asciiTheme="majorHAnsi" w:hAnsiTheme="majorHAnsi" w:cs="Calibri"/>
                <w:b/>
                <w:szCs w:val="20"/>
              </w:rPr>
              <w:t>13</w:t>
            </w:r>
            <w:r>
              <w:rPr>
                <w:rFonts w:asciiTheme="majorHAnsi" w:hAnsiTheme="majorHAnsi" w:cs="Calibri"/>
                <w:b/>
                <w:szCs w:val="20"/>
              </w:rPr>
              <w:t>-</w:t>
            </w:r>
            <w:r w:rsidRPr="008301EE">
              <w:rPr>
                <w:rFonts w:asciiTheme="majorHAnsi" w:hAnsiTheme="majorHAnsi" w:cs="Calibri"/>
                <w:b/>
                <w:szCs w:val="20"/>
              </w:rPr>
              <w:t>Week Full Outcomes</w:t>
            </w:r>
          </w:p>
        </w:tc>
        <w:tc>
          <w:tcPr>
            <w:tcW w:w="7046" w:type="dxa"/>
            <w:shd w:val="clear" w:color="auto" w:fill="F2F2F2"/>
          </w:tcPr>
          <w:p w14:paraId="3FC8A0F3" w14:textId="77777777" w:rsidR="00152B4F" w:rsidRPr="008301EE" w:rsidRDefault="00152B4F" w:rsidP="009039E0">
            <w:pPr>
              <w:rPr>
                <w:rFonts w:cs="Calibri"/>
                <w:b/>
                <w:bCs/>
                <w:sz w:val="20"/>
                <w:szCs w:val="20"/>
                <w:lang w:val="en-US" w:eastAsia="zh-CN"/>
              </w:rPr>
            </w:pPr>
            <w:r w:rsidRPr="008301EE">
              <w:rPr>
                <w:rFonts w:cs="Calibri"/>
                <w:sz w:val="20"/>
                <w:szCs w:val="20"/>
              </w:rPr>
              <w:t>Number of Participants with a pending or approved 13 Week Full Outcome at the Site</w:t>
            </w:r>
            <w:r>
              <w:rPr>
                <w:rFonts w:cs="Calibri"/>
                <w:sz w:val="20"/>
                <w:szCs w:val="20"/>
              </w:rPr>
              <w:t>, excluding pending or approved 13-Week Full Outcomes for Education at a Site where the Outcome is associated with an Education Placement commenced on or after 17 August 2020.</w:t>
            </w:r>
          </w:p>
        </w:tc>
      </w:tr>
      <w:tr w:rsidR="00152B4F" w:rsidRPr="005514DD" w14:paraId="024A7A2D" w14:textId="77777777" w:rsidTr="009039E0">
        <w:tc>
          <w:tcPr>
            <w:tcW w:w="2127" w:type="dxa"/>
            <w:tcBorders>
              <w:top w:val="nil"/>
            </w:tcBorders>
            <w:shd w:val="clear" w:color="auto" w:fill="F2F2F2"/>
          </w:tcPr>
          <w:p w14:paraId="5D55F459" w14:textId="77777777" w:rsidR="00152B4F" w:rsidRPr="008301EE" w:rsidRDefault="00152B4F" w:rsidP="009039E0">
            <w:pPr>
              <w:pStyle w:val="Tabletext"/>
              <w:spacing w:before="120" w:after="120"/>
              <w:jc w:val="center"/>
              <w:rPr>
                <w:rFonts w:asciiTheme="majorHAnsi" w:hAnsiTheme="majorHAnsi" w:cs="Calibri"/>
                <w:b/>
                <w:szCs w:val="20"/>
              </w:rPr>
            </w:pPr>
          </w:p>
        </w:tc>
        <w:tc>
          <w:tcPr>
            <w:tcW w:w="7046" w:type="dxa"/>
            <w:shd w:val="clear" w:color="auto" w:fill="F2F2F2"/>
          </w:tcPr>
          <w:p w14:paraId="458BD7C5" w14:textId="77777777" w:rsidR="00152B4F" w:rsidRDefault="00152B4F" w:rsidP="009039E0">
            <w:pPr>
              <w:rPr>
                <w:rFonts w:cs="Calibri"/>
                <w:sz w:val="20"/>
                <w:szCs w:val="20"/>
              </w:rPr>
            </w:pPr>
            <w:r>
              <w:rPr>
                <w:rFonts w:cs="Calibri"/>
                <w:sz w:val="20"/>
                <w:szCs w:val="20"/>
              </w:rPr>
              <w:t>Number</w:t>
            </w:r>
            <w:r w:rsidRPr="008301EE">
              <w:rPr>
                <w:rFonts w:cs="Calibri"/>
                <w:sz w:val="20"/>
                <w:szCs w:val="20"/>
              </w:rPr>
              <w:t xml:space="preserve"> of Participants whose duration in assistance (Employment Assistance (EA) and Post Placement Support (PPS) phases) at the Site is at least 13 weeks (excluding all periods of </w:t>
            </w:r>
            <w:r>
              <w:rPr>
                <w:rFonts w:cs="Calibri"/>
                <w:sz w:val="20"/>
                <w:szCs w:val="20"/>
              </w:rPr>
              <w:t>S</w:t>
            </w:r>
            <w:r w:rsidRPr="008301EE">
              <w:rPr>
                <w:rFonts w:cs="Calibri"/>
                <w:sz w:val="20"/>
                <w:szCs w:val="20"/>
              </w:rPr>
              <w:t>uspension).</w:t>
            </w:r>
            <w:r>
              <w:rPr>
                <w:rFonts w:cs="Calibri"/>
                <w:sz w:val="20"/>
                <w:szCs w:val="20"/>
              </w:rPr>
              <w:t xml:space="preserve"> </w:t>
            </w:r>
          </w:p>
          <w:p w14:paraId="20E16773" w14:textId="77777777" w:rsidR="00152B4F" w:rsidRPr="008301EE" w:rsidRDefault="00152B4F" w:rsidP="009039E0">
            <w:pPr>
              <w:rPr>
                <w:rFonts w:cs="Calibri"/>
                <w:sz w:val="20"/>
                <w:szCs w:val="20"/>
              </w:rPr>
            </w:pPr>
            <w:r w:rsidRPr="008301EE">
              <w:rPr>
                <w:rFonts w:cs="Calibri"/>
                <w:sz w:val="20"/>
                <w:szCs w:val="20"/>
              </w:rPr>
              <w:t xml:space="preserve">The denominator excludes </w:t>
            </w:r>
            <w:r>
              <w:rPr>
                <w:rFonts w:cs="Calibri"/>
                <w:sz w:val="20"/>
                <w:szCs w:val="20"/>
              </w:rPr>
              <w:t>Participants</w:t>
            </w:r>
            <w:r w:rsidRPr="008301EE">
              <w:rPr>
                <w:rFonts w:cs="Calibri"/>
                <w:sz w:val="20"/>
                <w:szCs w:val="20"/>
              </w:rPr>
              <w:t xml:space="preserve"> who have achieved a 13</w:t>
            </w:r>
            <w:r>
              <w:rPr>
                <w:rFonts w:cs="Calibri"/>
                <w:sz w:val="20"/>
                <w:szCs w:val="20"/>
              </w:rPr>
              <w:t>-</w:t>
            </w:r>
            <w:r w:rsidRPr="008301EE">
              <w:rPr>
                <w:rFonts w:cs="Calibri"/>
                <w:sz w:val="20"/>
                <w:szCs w:val="20"/>
              </w:rPr>
              <w:t>Week Pathway Outcome</w:t>
            </w:r>
            <w:r>
              <w:rPr>
                <w:rFonts w:cs="Calibri"/>
                <w:sz w:val="20"/>
                <w:szCs w:val="20"/>
              </w:rPr>
              <w:t>, except where the 13-Week Pathway Outcome was associated with an Education Placement commenced on or after 17 August 2020.</w:t>
            </w:r>
          </w:p>
        </w:tc>
      </w:tr>
      <w:tr w:rsidR="00152B4F" w:rsidRPr="005514DD" w14:paraId="64B45440" w14:textId="77777777" w:rsidTr="009039E0">
        <w:tc>
          <w:tcPr>
            <w:tcW w:w="2127" w:type="dxa"/>
            <w:tcBorders>
              <w:bottom w:val="nil"/>
            </w:tcBorders>
            <w:vAlign w:val="center"/>
          </w:tcPr>
          <w:p w14:paraId="7E3DCA30" w14:textId="77777777" w:rsidR="00152B4F" w:rsidRPr="008301EE" w:rsidRDefault="00152B4F" w:rsidP="009039E0">
            <w:pPr>
              <w:pStyle w:val="Tabletext"/>
              <w:spacing w:before="120" w:after="120"/>
              <w:jc w:val="center"/>
              <w:rPr>
                <w:rFonts w:asciiTheme="majorHAnsi" w:hAnsiTheme="majorHAnsi" w:cs="Calibri"/>
                <w:b/>
                <w:szCs w:val="20"/>
              </w:rPr>
            </w:pPr>
            <w:r w:rsidRPr="008301EE">
              <w:rPr>
                <w:rFonts w:asciiTheme="majorHAnsi" w:hAnsiTheme="majorHAnsi" w:cs="Calibri"/>
                <w:b/>
                <w:szCs w:val="20"/>
              </w:rPr>
              <w:t>26</w:t>
            </w:r>
            <w:r>
              <w:rPr>
                <w:rFonts w:asciiTheme="majorHAnsi" w:hAnsiTheme="majorHAnsi" w:cs="Calibri"/>
                <w:b/>
                <w:szCs w:val="20"/>
              </w:rPr>
              <w:t>-</w:t>
            </w:r>
            <w:r w:rsidRPr="008301EE">
              <w:rPr>
                <w:rFonts w:asciiTheme="majorHAnsi" w:hAnsiTheme="majorHAnsi" w:cs="Calibri"/>
                <w:b/>
                <w:szCs w:val="20"/>
              </w:rPr>
              <w:t>Week Full Outcomes</w:t>
            </w:r>
          </w:p>
        </w:tc>
        <w:tc>
          <w:tcPr>
            <w:tcW w:w="7046" w:type="dxa"/>
          </w:tcPr>
          <w:p w14:paraId="23829C56" w14:textId="77777777" w:rsidR="00152B4F" w:rsidRPr="008301EE" w:rsidRDefault="00152B4F" w:rsidP="009039E0">
            <w:pPr>
              <w:rPr>
                <w:rFonts w:cs="Calibri"/>
                <w:sz w:val="20"/>
                <w:szCs w:val="20"/>
              </w:rPr>
            </w:pPr>
            <w:r w:rsidRPr="008301EE">
              <w:rPr>
                <w:rFonts w:cs="Calibri"/>
                <w:sz w:val="20"/>
                <w:szCs w:val="20"/>
              </w:rPr>
              <w:t>Number of Participants with a pending or approved 26</w:t>
            </w:r>
            <w:r>
              <w:rPr>
                <w:rFonts w:cs="Calibri"/>
                <w:sz w:val="20"/>
                <w:szCs w:val="20"/>
              </w:rPr>
              <w:t>-</w:t>
            </w:r>
            <w:r w:rsidRPr="008301EE">
              <w:rPr>
                <w:rFonts w:cs="Calibri"/>
                <w:sz w:val="20"/>
                <w:szCs w:val="20"/>
              </w:rPr>
              <w:t>Week Full Outcome at the Site</w:t>
            </w:r>
            <w:r>
              <w:rPr>
                <w:rFonts w:cs="Calibri"/>
                <w:sz w:val="20"/>
                <w:szCs w:val="20"/>
              </w:rPr>
              <w:t>, excluding pending or approved 26-Week Full Outcomes for education at the Site where the Outcome is associated with an Education Placement commenced on or after 17 August 2020.</w:t>
            </w:r>
          </w:p>
        </w:tc>
      </w:tr>
      <w:tr w:rsidR="00152B4F" w:rsidRPr="005514DD" w14:paraId="605E8B21" w14:textId="77777777" w:rsidTr="009039E0">
        <w:tc>
          <w:tcPr>
            <w:tcW w:w="2127" w:type="dxa"/>
            <w:tcBorders>
              <w:top w:val="nil"/>
            </w:tcBorders>
          </w:tcPr>
          <w:p w14:paraId="75110040" w14:textId="77777777" w:rsidR="00152B4F" w:rsidRPr="008301EE" w:rsidRDefault="00152B4F" w:rsidP="009039E0">
            <w:pPr>
              <w:pStyle w:val="Tabletext"/>
              <w:spacing w:before="120" w:after="120"/>
              <w:jc w:val="center"/>
              <w:rPr>
                <w:rFonts w:asciiTheme="majorHAnsi" w:hAnsiTheme="majorHAnsi" w:cs="Calibri"/>
                <w:b/>
                <w:szCs w:val="20"/>
              </w:rPr>
            </w:pPr>
          </w:p>
        </w:tc>
        <w:tc>
          <w:tcPr>
            <w:tcW w:w="7046" w:type="dxa"/>
          </w:tcPr>
          <w:p w14:paraId="284391C2" w14:textId="77777777" w:rsidR="00152B4F" w:rsidRDefault="00152B4F" w:rsidP="009039E0">
            <w:pPr>
              <w:rPr>
                <w:rFonts w:cs="Calibri"/>
                <w:sz w:val="20"/>
                <w:szCs w:val="20"/>
              </w:rPr>
            </w:pPr>
            <w:r>
              <w:rPr>
                <w:rFonts w:cs="Calibri"/>
                <w:sz w:val="20"/>
                <w:szCs w:val="20"/>
              </w:rPr>
              <w:t>Number</w:t>
            </w:r>
            <w:r w:rsidRPr="008301EE">
              <w:rPr>
                <w:rFonts w:cs="Calibri"/>
                <w:sz w:val="20"/>
                <w:szCs w:val="20"/>
              </w:rPr>
              <w:t xml:space="preserve"> of Participants whose duration in assistance (EA and PPS phases) at the Site is at least 26 Weeks (excluding all periods of </w:t>
            </w:r>
            <w:r>
              <w:rPr>
                <w:rFonts w:cs="Calibri"/>
                <w:sz w:val="20"/>
                <w:szCs w:val="20"/>
              </w:rPr>
              <w:t>S</w:t>
            </w:r>
            <w:r w:rsidRPr="008301EE">
              <w:rPr>
                <w:rFonts w:cs="Calibri"/>
                <w:sz w:val="20"/>
                <w:szCs w:val="20"/>
              </w:rPr>
              <w:t>uspension).</w:t>
            </w:r>
          </w:p>
          <w:p w14:paraId="433B98B7" w14:textId="77777777" w:rsidR="00152B4F" w:rsidRPr="008301EE" w:rsidRDefault="00152B4F" w:rsidP="009039E0">
            <w:pPr>
              <w:rPr>
                <w:rFonts w:cs="Calibri"/>
                <w:sz w:val="20"/>
                <w:szCs w:val="20"/>
              </w:rPr>
            </w:pPr>
            <w:r w:rsidRPr="008301EE">
              <w:rPr>
                <w:rFonts w:cs="Calibri"/>
                <w:sz w:val="20"/>
                <w:szCs w:val="20"/>
              </w:rPr>
              <w:t xml:space="preserve">The denominator excludes </w:t>
            </w:r>
            <w:r>
              <w:rPr>
                <w:rFonts w:cs="Calibri"/>
                <w:sz w:val="20"/>
                <w:szCs w:val="20"/>
              </w:rPr>
              <w:t xml:space="preserve">Participants </w:t>
            </w:r>
            <w:r w:rsidRPr="008301EE">
              <w:rPr>
                <w:rFonts w:cs="Calibri"/>
                <w:sz w:val="20"/>
                <w:szCs w:val="20"/>
              </w:rPr>
              <w:t>who have achieved a 26</w:t>
            </w:r>
            <w:r>
              <w:rPr>
                <w:rFonts w:cs="Calibri"/>
                <w:sz w:val="20"/>
                <w:szCs w:val="20"/>
              </w:rPr>
              <w:t>-</w:t>
            </w:r>
            <w:r w:rsidRPr="008301EE">
              <w:rPr>
                <w:rFonts w:cs="Calibri"/>
                <w:sz w:val="20"/>
                <w:szCs w:val="20"/>
              </w:rPr>
              <w:t>Week Pathway Outcome</w:t>
            </w:r>
            <w:r>
              <w:rPr>
                <w:rFonts w:cs="Calibri"/>
                <w:sz w:val="20"/>
                <w:szCs w:val="20"/>
              </w:rPr>
              <w:t>, except where the 26-Week Pathway Outcome is associated with an Education Placement commenced on or after 17 August 2020.</w:t>
            </w:r>
          </w:p>
        </w:tc>
      </w:tr>
      <w:tr w:rsidR="00152B4F" w:rsidRPr="005514DD" w14:paraId="344555E0" w14:textId="77777777" w:rsidTr="009039E0">
        <w:tc>
          <w:tcPr>
            <w:tcW w:w="2127" w:type="dxa"/>
            <w:tcBorders>
              <w:bottom w:val="nil"/>
            </w:tcBorders>
            <w:shd w:val="clear" w:color="auto" w:fill="F2F2F2"/>
            <w:vAlign w:val="center"/>
          </w:tcPr>
          <w:p w14:paraId="260C6B59" w14:textId="77777777" w:rsidR="00152B4F" w:rsidRPr="008301EE" w:rsidRDefault="00152B4F" w:rsidP="009039E0">
            <w:pPr>
              <w:pStyle w:val="Tabletext"/>
              <w:spacing w:before="120" w:after="120"/>
              <w:jc w:val="center"/>
              <w:rPr>
                <w:rFonts w:asciiTheme="majorHAnsi" w:hAnsiTheme="majorHAnsi" w:cs="Calibri"/>
                <w:b/>
                <w:szCs w:val="20"/>
              </w:rPr>
            </w:pPr>
            <w:r w:rsidRPr="008301EE">
              <w:rPr>
                <w:rFonts w:asciiTheme="majorHAnsi" w:hAnsiTheme="majorHAnsi" w:cs="Calibri"/>
                <w:b/>
                <w:szCs w:val="20"/>
              </w:rPr>
              <w:t>26</w:t>
            </w:r>
            <w:r>
              <w:rPr>
                <w:rFonts w:asciiTheme="majorHAnsi" w:hAnsiTheme="majorHAnsi" w:cs="Calibri"/>
                <w:b/>
                <w:szCs w:val="20"/>
              </w:rPr>
              <w:t>-</w:t>
            </w:r>
            <w:r w:rsidRPr="008301EE">
              <w:rPr>
                <w:rFonts w:asciiTheme="majorHAnsi" w:hAnsiTheme="majorHAnsi" w:cs="Calibri"/>
                <w:b/>
                <w:szCs w:val="20"/>
              </w:rPr>
              <w:t>Week Pathway Outcomes</w:t>
            </w:r>
          </w:p>
        </w:tc>
        <w:tc>
          <w:tcPr>
            <w:tcW w:w="7046" w:type="dxa"/>
            <w:shd w:val="clear" w:color="auto" w:fill="F2F2F2"/>
          </w:tcPr>
          <w:p w14:paraId="457F008F" w14:textId="77777777" w:rsidR="00152B4F" w:rsidRPr="008301EE" w:rsidRDefault="00152B4F" w:rsidP="009039E0">
            <w:pPr>
              <w:rPr>
                <w:rFonts w:cs="Calibri"/>
                <w:sz w:val="20"/>
                <w:szCs w:val="20"/>
              </w:rPr>
            </w:pPr>
            <w:r w:rsidRPr="008301EE">
              <w:rPr>
                <w:rFonts w:cs="Calibri"/>
                <w:sz w:val="20"/>
                <w:szCs w:val="20"/>
              </w:rPr>
              <w:t>Number of Participants with a pending or approved claim for 26</w:t>
            </w:r>
            <w:r>
              <w:rPr>
                <w:rFonts w:cs="Calibri"/>
                <w:sz w:val="20"/>
                <w:szCs w:val="20"/>
              </w:rPr>
              <w:t>-</w:t>
            </w:r>
            <w:r w:rsidRPr="008301EE">
              <w:rPr>
                <w:rFonts w:cs="Calibri"/>
                <w:sz w:val="20"/>
                <w:szCs w:val="20"/>
              </w:rPr>
              <w:t>Week Pathway Outcome at the Site</w:t>
            </w:r>
            <w:r>
              <w:rPr>
                <w:rFonts w:cs="Calibri"/>
                <w:sz w:val="20"/>
                <w:szCs w:val="20"/>
              </w:rPr>
              <w:t>, excluding pending or approved 26-Week Pathway Outcomes at a Site where the 26-Week Pathway Outcome is associated with an Education Placement on or after 17 August 2020.</w:t>
            </w:r>
          </w:p>
        </w:tc>
      </w:tr>
      <w:tr w:rsidR="00152B4F" w:rsidRPr="005514DD" w14:paraId="0B2658AB" w14:textId="77777777" w:rsidTr="009039E0">
        <w:tc>
          <w:tcPr>
            <w:tcW w:w="2127" w:type="dxa"/>
            <w:tcBorders>
              <w:top w:val="nil"/>
            </w:tcBorders>
            <w:shd w:val="clear" w:color="auto" w:fill="F2F2F2"/>
          </w:tcPr>
          <w:p w14:paraId="62FC49BD" w14:textId="77777777" w:rsidR="00152B4F" w:rsidRPr="008301EE" w:rsidRDefault="00152B4F" w:rsidP="009039E0">
            <w:pPr>
              <w:pStyle w:val="Tabletext"/>
              <w:spacing w:before="120" w:after="120"/>
              <w:jc w:val="center"/>
              <w:rPr>
                <w:rFonts w:asciiTheme="majorHAnsi" w:hAnsiTheme="majorHAnsi" w:cs="Calibri"/>
                <w:b/>
                <w:szCs w:val="20"/>
              </w:rPr>
            </w:pPr>
          </w:p>
        </w:tc>
        <w:tc>
          <w:tcPr>
            <w:tcW w:w="7046" w:type="dxa"/>
            <w:shd w:val="clear" w:color="auto" w:fill="F2F2F2"/>
          </w:tcPr>
          <w:p w14:paraId="03A5CFED" w14:textId="77777777" w:rsidR="00152B4F" w:rsidRPr="008301EE" w:rsidRDefault="00152B4F" w:rsidP="009039E0">
            <w:pPr>
              <w:rPr>
                <w:rFonts w:cs="Calibri"/>
                <w:sz w:val="20"/>
                <w:szCs w:val="20"/>
              </w:rPr>
            </w:pPr>
            <w:r w:rsidRPr="008301EE">
              <w:rPr>
                <w:rFonts w:cs="Calibri"/>
                <w:sz w:val="20"/>
                <w:szCs w:val="20"/>
              </w:rPr>
              <w:t>Number of Participants who</w:t>
            </w:r>
            <w:r>
              <w:rPr>
                <w:rFonts w:cs="Calibri"/>
                <w:sz w:val="20"/>
                <w:szCs w:val="20"/>
              </w:rPr>
              <w:t xml:space="preserve">se </w:t>
            </w:r>
            <w:r w:rsidRPr="008301EE">
              <w:rPr>
                <w:rFonts w:cs="Calibri"/>
                <w:sz w:val="20"/>
                <w:szCs w:val="20"/>
              </w:rPr>
              <w:t xml:space="preserve">duration in assistance (EA and PPS phases) at the Site is at least 26 weeks (excluding all periods of </w:t>
            </w:r>
            <w:r>
              <w:rPr>
                <w:rFonts w:cs="Calibri"/>
                <w:sz w:val="20"/>
                <w:szCs w:val="20"/>
              </w:rPr>
              <w:t>S</w:t>
            </w:r>
            <w:r w:rsidRPr="008301EE">
              <w:rPr>
                <w:rFonts w:cs="Calibri"/>
                <w:sz w:val="20"/>
                <w:szCs w:val="20"/>
              </w:rPr>
              <w:t>uspension). The denominator excludes Participants who have achieved a 26</w:t>
            </w:r>
            <w:r>
              <w:rPr>
                <w:rFonts w:cs="Calibri"/>
                <w:sz w:val="20"/>
                <w:szCs w:val="20"/>
              </w:rPr>
              <w:t>-</w:t>
            </w:r>
            <w:r w:rsidRPr="008301EE">
              <w:rPr>
                <w:rFonts w:cs="Calibri"/>
                <w:sz w:val="20"/>
                <w:szCs w:val="20"/>
              </w:rPr>
              <w:t>Week</w:t>
            </w:r>
            <w:r>
              <w:rPr>
                <w:rFonts w:cs="Calibri"/>
                <w:sz w:val="20"/>
                <w:szCs w:val="20"/>
              </w:rPr>
              <w:t> </w:t>
            </w:r>
            <w:r w:rsidRPr="008301EE">
              <w:rPr>
                <w:rFonts w:cs="Calibri"/>
                <w:sz w:val="20"/>
                <w:szCs w:val="20"/>
              </w:rPr>
              <w:t xml:space="preserve">Full Outcome or who have an </w:t>
            </w:r>
            <w:r>
              <w:rPr>
                <w:rFonts w:cs="Calibri"/>
                <w:sz w:val="20"/>
                <w:szCs w:val="20"/>
              </w:rPr>
              <w:t>eight-</w:t>
            </w:r>
            <w:r w:rsidRPr="008301EE">
              <w:rPr>
                <w:rFonts w:cs="Calibri"/>
                <w:sz w:val="20"/>
                <w:szCs w:val="20"/>
              </w:rPr>
              <w:t>hour benchmark.</w:t>
            </w:r>
          </w:p>
        </w:tc>
      </w:tr>
      <w:tr w:rsidR="00152B4F" w:rsidRPr="005514DD" w14:paraId="381A4803" w14:textId="77777777" w:rsidTr="009039E0">
        <w:tc>
          <w:tcPr>
            <w:tcW w:w="2127" w:type="dxa"/>
            <w:tcBorders>
              <w:bottom w:val="nil"/>
            </w:tcBorders>
            <w:vAlign w:val="center"/>
          </w:tcPr>
          <w:p w14:paraId="592459FB" w14:textId="77777777" w:rsidR="00152B4F" w:rsidRPr="008301EE" w:rsidRDefault="00152B4F" w:rsidP="009039E0">
            <w:pPr>
              <w:pStyle w:val="Tabletext"/>
              <w:spacing w:before="120" w:after="120"/>
              <w:jc w:val="center"/>
              <w:rPr>
                <w:rFonts w:asciiTheme="majorHAnsi" w:hAnsiTheme="majorHAnsi" w:cs="Calibri"/>
                <w:b/>
                <w:szCs w:val="20"/>
              </w:rPr>
            </w:pPr>
            <w:r w:rsidRPr="008301EE">
              <w:rPr>
                <w:rFonts w:asciiTheme="majorHAnsi" w:hAnsiTheme="majorHAnsi" w:cs="Calibri"/>
                <w:b/>
                <w:szCs w:val="20"/>
              </w:rPr>
              <w:t>26</w:t>
            </w:r>
            <w:r>
              <w:rPr>
                <w:rFonts w:asciiTheme="majorHAnsi" w:hAnsiTheme="majorHAnsi" w:cs="Calibri"/>
                <w:b/>
                <w:szCs w:val="20"/>
              </w:rPr>
              <w:t>-</w:t>
            </w:r>
            <w:r w:rsidRPr="008301EE">
              <w:rPr>
                <w:rFonts w:asciiTheme="majorHAnsi" w:hAnsiTheme="majorHAnsi" w:cs="Calibri"/>
                <w:b/>
                <w:szCs w:val="20"/>
              </w:rPr>
              <w:t>Week Bonus Outcomes</w:t>
            </w:r>
          </w:p>
        </w:tc>
        <w:tc>
          <w:tcPr>
            <w:tcW w:w="7046" w:type="dxa"/>
          </w:tcPr>
          <w:p w14:paraId="629CE56C" w14:textId="77777777" w:rsidR="00152B4F" w:rsidRPr="00CA3EB0" w:rsidRDefault="00152B4F" w:rsidP="009039E0">
            <w:pPr>
              <w:rPr>
                <w:rFonts w:cs="Calibri"/>
                <w:sz w:val="20"/>
                <w:szCs w:val="20"/>
              </w:rPr>
            </w:pPr>
            <w:r w:rsidRPr="008301EE">
              <w:rPr>
                <w:rFonts w:cs="Calibri"/>
                <w:sz w:val="20"/>
                <w:szCs w:val="20"/>
              </w:rPr>
              <w:t xml:space="preserve">Number of </w:t>
            </w:r>
            <w:r w:rsidRPr="007114D1">
              <w:rPr>
                <w:rFonts w:cs="Calibri"/>
                <w:sz w:val="20"/>
                <w:szCs w:val="20"/>
              </w:rPr>
              <w:t>Participants with a pending or approved 26-Week Bonus Outcome, or who are Indigenous and have</w:t>
            </w:r>
            <w:r w:rsidRPr="00D35A5C">
              <w:rPr>
                <w:rFonts w:cs="Calibri"/>
                <w:sz w:val="20"/>
                <w:szCs w:val="20"/>
              </w:rPr>
              <w:t xml:space="preserve"> achieved a paid 26</w:t>
            </w:r>
            <w:r>
              <w:rPr>
                <w:rFonts w:cs="Calibri"/>
                <w:sz w:val="20"/>
                <w:szCs w:val="20"/>
              </w:rPr>
              <w:t>-</w:t>
            </w:r>
            <w:r w:rsidRPr="00D35A5C">
              <w:rPr>
                <w:rFonts w:cs="Calibri"/>
                <w:sz w:val="20"/>
                <w:szCs w:val="20"/>
              </w:rPr>
              <w:t>Week Full Outcome or 26</w:t>
            </w:r>
            <w:r>
              <w:rPr>
                <w:rFonts w:cs="Calibri"/>
                <w:sz w:val="20"/>
                <w:szCs w:val="20"/>
              </w:rPr>
              <w:t>-</w:t>
            </w:r>
            <w:r w:rsidRPr="00D35A5C">
              <w:rPr>
                <w:rFonts w:cs="Calibri"/>
                <w:sz w:val="20"/>
                <w:szCs w:val="20"/>
              </w:rPr>
              <w:t>Week Pathway Outcome at the Site.</w:t>
            </w:r>
            <w:r>
              <w:rPr>
                <w:rFonts w:cs="Calibri"/>
                <w:sz w:val="20"/>
                <w:szCs w:val="20"/>
              </w:rPr>
              <w:t xml:space="preserve"> </w:t>
            </w:r>
          </w:p>
        </w:tc>
      </w:tr>
      <w:tr w:rsidR="00152B4F" w:rsidRPr="005514DD" w14:paraId="3284C0D5" w14:textId="77777777" w:rsidTr="009039E0">
        <w:tc>
          <w:tcPr>
            <w:tcW w:w="2127" w:type="dxa"/>
            <w:tcBorders>
              <w:top w:val="nil"/>
            </w:tcBorders>
          </w:tcPr>
          <w:p w14:paraId="63496485" w14:textId="77777777" w:rsidR="00152B4F" w:rsidRPr="008301EE" w:rsidRDefault="00152B4F" w:rsidP="009039E0">
            <w:pPr>
              <w:pStyle w:val="Tabletext"/>
              <w:spacing w:before="120" w:after="120"/>
              <w:jc w:val="center"/>
              <w:rPr>
                <w:rFonts w:asciiTheme="majorHAnsi" w:hAnsiTheme="majorHAnsi" w:cs="Calibri"/>
                <w:b/>
                <w:szCs w:val="20"/>
              </w:rPr>
            </w:pPr>
          </w:p>
        </w:tc>
        <w:tc>
          <w:tcPr>
            <w:tcW w:w="7046" w:type="dxa"/>
          </w:tcPr>
          <w:p w14:paraId="11A21C75" w14:textId="77777777" w:rsidR="00152B4F" w:rsidRPr="008301EE" w:rsidRDefault="00152B4F" w:rsidP="009039E0">
            <w:pPr>
              <w:rPr>
                <w:rFonts w:cs="Calibri"/>
                <w:sz w:val="20"/>
                <w:szCs w:val="20"/>
              </w:rPr>
            </w:pPr>
            <w:r>
              <w:rPr>
                <w:rFonts w:cs="Calibri"/>
                <w:sz w:val="20"/>
                <w:szCs w:val="20"/>
              </w:rPr>
              <w:t xml:space="preserve">Number of Participants who commenced an Education Placement or Employment Placement  </w:t>
            </w:r>
            <w:r w:rsidRPr="008301EE">
              <w:rPr>
                <w:rFonts w:cs="Calibri"/>
                <w:sz w:val="20"/>
                <w:szCs w:val="20"/>
              </w:rPr>
              <w:t>at least 26 weeks before the end of the performance period</w:t>
            </w:r>
            <w:r>
              <w:rPr>
                <w:rFonts w:cs="Calibri"/>
                <w:sz w:val="20"/>
                <w:szCs w:val="20"/>
              </w:rPr>
              <w:t xml:space="preserve"> </w:t>
            </w:r>
            <w:r w:rsidRPr="008301EE">
              <w:rPr>
                <w:rFonts w:cs="Calibri"/>
                <w:sz w:val="20"/>
                <w:szCs w:val="20"/>
              </w:rPr>
              <w:t>in:</w:t>
            </w:r>
          </w:p>
          <w:p w14:paraId="132A7BB0" w14:textId="77777777" w:rsidR="00152B4F" w:rsidRPr="008301EE" w:rsidRDefault="00152B4F" w:rsidP="009039E0">
            <w:pPr>
              <w:pStyle w:val="ListParagraph"/>
              <w:numPr>
                <w:ilvl w:val="0"/>
                <w:numId w:val="3"/>
              </w:numPr>
              <w:ind w:left="720"/>
              <w:rPr>
                <w:rFonts w:cs="Calibri"/>
                <w:sz w:val="20"/>
                <w:szCs w:val="20"/>
              </w:rPr>
            </w:pPr>
            <w:r w:rsidRPr="008301EE">
              <w:rPr>
                <w:rFonts w:cs="Calibri"/>
                <w:sz w:val="20"/>
                <w:szCs w:val="20"/>
              </w:rPr>
              <w:t>an apprenticeship or traineeship</w:t>
            </w:r>
            <w:r>
              <w:rPr>
                <w:rFonts w:cs="Calibri"/>
                <w:sz w:val="20"/>
                <w:szCs w:val="20"/>
              </w:rPr>
              <w:t>; or</w:t>
            </w:r>
          </w:p>
          <w:p w14:paraId="5FD7D7D7" w14:textId="77777777" w:rsidR="00152B4F" w:rsidRDefault="00152B4F" w:rsidP="009039E0">
            <w:pPr>
              <w:pStyle w:val="ListParagraph"/>
              <w:numPr>
                <w:ilvl w:val="0"/>
                <w:numId w:val="3"/>
              </w:numPr>
              <w:ind w:left="720"/>
              <w:rPr>
                <w:rFonts w:cs="Calibri"/>
                <w:sz w:val="20"/>
                <w:szCs w:val="20"/>
              </w:rPr>
            </w:pPr>
            <w:r w:rsidRPr="008301EE">
              <w:rPr>
                <w:rFonts w:cs="Calibri"/>
                <w:sz w:val="20"/>
                <w:szCs w:val="20"/>
              </w:rPr>
              <w:t>employment which may be related to a qualifying training course that the Participant has completed or will complete before the end of the 26 week period</w:t>
            </w:r>
            <w:r>
              <w:rPr>
                <w:rFonts w:cs="Calibri"/>
                <w:sz w:val="20"/>
                <w:szCs w:val="20"/>
              </w:rPr>
              <w:t>;</w:t>
            </w:r>
            <w:r w:rsidRPr="008301EE">
              <w:rPr>
                <w:rFonts w:cs="Calibri"/>
                <w:sz w:val="20"/>
                <w:szCs w:val="20"/>
              </w:rPr>
              <w:t xml:space="preserve"> or</w:t>
            </w:r>
            <w:r>
              <w:rPr>
                <w:rFonts w:cs="Calibri"/>
                <w:sz w:val="20"/>
                <w:szCs w:val="20"/>
              </w:rPr>
              <w:t xml:space="preserve"> </w:t>
            </w:r>
          </w:p>
          <w:p w14:paraId="76804930" w14:textId="77777777" w:rsidR="00152B4F" w:rsidRPr="00B20661" w:rsidRDefault="00152B4F" w:rsidP="009039E0">
            <w:pPr>
              <w:pStyle w:val="ListParagraph"/>
              <w:numPr>
                <w:ilvl w:val="0"/>
                <w:numId w:val="3"/>
              </w:numPr>
              <w:ind w:left="720"/>
              <w:rPr>
                <w:rFonts w:cs="Calibri"/>
                <w:sz w:val="20"/>
                <w:szCs w:val="20"/>
              </w:rPr>
            </w:pPr>
            <w:r w:rsidRPr="007114D1">
              <w:rPr>
                <w:rFonts w:cs="Calibri"/>
                <w:sz w:val="20"/>
                <w:szCs w:val="20"/>
              </w:rPr>
              <w:t>employment or education if the Participant is Indigenous.</w:t>
            </w:r>
          </w:p>
        </w:tc>
      </w:tr>
      <w:tr w:rsidR="00152B4F" w:rsidRPr="005514DD" w14:paraId="6971F245" w14:textId="77777777" w:rsidTr="009039E0">
        <w:tc>
          <w:tcPr>
            <w:tcW w:w="2127" w:type="dxa"/>
            <w:vMerge w:val="restart"/>
            <w:shd w:val="clear" w:color="auto" w:fill="F2F2F2"/>
          </w:tcPr>
          <w:p w14:paraId="29E671BD" w14:textId="77777777" w:rsidR="00152B4F" w:rsidRPr="002B47AA" w:rsidRDefault="00152B4F" w:rsidP="009039E0">
            <w:pPr>
              <w:pStyle w:val="Tabletext"/>
              <w:spacing w:before="120" w:after="120"/>
              <w:jc w:val="center"/>
              <w:rPr>
                <w:rFonts w:asciiTheme="majorHAnsi" w:hAnsiTheme="majorHAnsi" w:cs="Calibri"/>
                <w:b/>
                <w:szCs w:val="20"/>
              </w:rPr>
            </w:pPr>
            <w:r w:rsidRPr="002B47AA">
              <w:rPr>
                <w:rFonts w:asciiTheme="majorHAnsi" w:hAnsiTheme="majorHAnsi" w:cs="Calibri"/>
                <w:b/>
                <w:szCs w:val="20"/>
              </w:rPr>
              <w:t>Work Assist</w:t>
            </w:r>
            <w:r w:rsidRPr="002B47AA">
              <w:rPr>
                <w:rFonts w:asciiTheme="majorHAnsi" w:hAnsiTheme="majorHAnsi" w:cs="Calibri"/>
                <w:b/>
                <w:szCs w:val="20"/>
              </w:rPr>
              <w:br/>
              <w:t xml:space="preserve"> 26</w:t>
            </w:r>
            <w:r>
              <w:rPr>
                <w:rFonts w:asciiTheme="majorHAnsi" w:hAnsiTheme="majorHAnsi" w:cs="Calibri"/>
                <w:b/>
                <w:szCs w:val="20"/>
              </w:rPr>
              <w:t>-</w:t>
            </w:r>
            <w:r w:rsidRPr="002B47AA">
              <w:rPr>
                <w:rFonts w:asciiTheme="majorHAnsi" w:hAnsiTheme="majorHAnsi" w:cs="Calibri"/>
                <w:b/>
                <w:szCs w:val="20"/>
              </w:rPr>
              <w:t>Week Outcome</w:t>
            </w:r>
            <w:r w:rsidRPr="002B47AA">
              <w:rPr>
                <w:rFonts w:asciiTheme="majorHAnsi" w:hAnsiTheme="majorHAnsi" w:cs="Calibri"/>
                <w:b/>
                <w:szCs w:val="20"/>
              </w:rPr>
              <w:br/>
            </w:r>
            <w:r w:rsidRPr="002B47AA">
              <w:rPr>
                <w:rFonts w:asciiTheme="majorHAnsi" w:hAnsiTheme="majorHAnsi" w:cs="Calibri"/>
                <w:szCs w:val="20"/>
              </w:rPr>
              <w:t>(joined with 26</w:t>
            </w:r>
            <w:r>
              <w:rPr>
                <w:rFonts w:asciiTheme="majorHAnsi" w:hAnsiTheme="majorHAnsi" w:cs="Calibri"/>
                <w:szCs w:val="20"/>
              </w:rPr>
              <w:t>-</w:t>
            </w:r>
            <w:r w:rsidRPr="002B47AA">
              <w:rPr>
                <w:rFonts w:asciiTheme="majorHAnsi" w:hAnsiTheme="majorHAnsi" w:cs="Calibri"/>
                <w:szCs w:val="20"/>
              </w:rPr>
              <w:t>Week Bonus Outcomes)</w:t>
            </w:r>
          </w:p>
        </w:tc>
        <w:tc>
          <w:tcPr>
            <w:tcW w:w="7046" w:type="dxa"/>
            <w:shd w:val="clear" w:color="auto" w:fill="F2F2F2"/>
          </w:tcPr>
          <w:p w14:paraId="08A628A5" w14:textId="77777777" w:rsidR="00152B4F" w:rsidRPr="002B47AA" w:rsidRDefault="00152B4F" w:rsidP="009039E0">
            <w:pPr>
              <w:rPr>
                <w:rFonts w:cs="Calibri"/>
                <w:sz w:val="20"/>
                <w:szCs w:val="20"/>
              </w:rPr>
            </w:pPr>
            <w:r w:rsidRPr="002B47AA">
              <w:rPr>
                <w:rFonts w:cs="Calibri"/>
                <w:sz w:val="20"/>
                <w:szCs w:val="20"/>
              </w:rPr>
              <w:t>Number of Participants who have a pending or approved Work Assist 26</w:t>
            </w:r>
            <w:r>
              <w:rPr>
                <w:rFonts w:cs="Calibri"/>
                <w:sz w:val="20"/>
                <w:szCs w:val="20"/>
              </w:rPr>
              <w:noBreakHyphen/>
            </w:r>
            <w:r w:rsidRPr="002B47AA">
              <w:rPr>
                <w:rFonts w:cs="Calibri"/>
                <w:sz w:val="20"/>
                <w:szCs w:val="20"/>
              </w:rPr>
              <w:t xml:space="preserve">Week Outcome at the Site. </w:t>
            </w:r>
          </w:p>
        </w:tc>
      </w:tr>
      <w:tr w:rsidR="00152B4F" w:rsidRPr="005514DD" w14:paraId="2DCE762D" w14:textId="77777777" w:rsidTr="009039E0">
        <w:tc>
          <w:tcPr>
            <w:tcW w:w="2127" w:type="dxa"/>
            <w:vMerge/>
            <w:shd w:val="clear" w:color="auto" w:fill="F2F2F2"/>
          </w:tcPr>
          <w:p w14:paraId="536820F9" w14:textId="77777777" w:rsidR="00152B4F" w:rsidRPr="00694B35" w:rsidRDefault="00152B4F" w:rsidP="009039E0">
            <w:pPr>
              <w:pStyle w:val="Tabletext"/>
              <w:spacing w:before="120" w:after="120"/>
              <w:jc w:val="center"/>
              <w:rPr>
                <w:rFonts w:asciiTheme="majorHAnsi" w:hAnsiTheme="majorHAnsi" w:cs="Calibri"/>
                <w:b/>
                <w:szCs w:val="20"/>
              </w:rPr>
            </w:pPr>
          </w:p>
        </w:tc>
        <w:tc>
          <w:tcPr>
            <w:tcW w:w="7046" w:type="dxa"/>
            <w:shd w:val="clear" w:color="auto" w:fill="F2F2F2"/>
          </w:tcPr>
          <w:p w14:paraId="5CC5DD7A" w14:textId="77777777" w:rsidR="00152B4F" w:rsidRPr="00694B35" w:rsidRDefault="00152B4F" w:rsidP="009039E0">
            <w:pPr>
              <w:rPr>
                <w:rFonts w:cs="Calibri"/>
                <w:sz w:val="20"/>
                <w:szCs w:val="20"/>
              </w:rPr>
            </w:pPr>
            <w:r w:rsidRPr="00694B35">
              <w:rPr>
                <w:rFonts w:cs="Calibri"/>
                <w:sz w:val="20"/>
                <w:szCs w:val="20"/>
              </w:rPr>
              <w:t xml:space="preserve">When the Provider has </w:t>
            </w:r>
            <w:r>
              <w:rPr>
                <w:rFonts w:cs="Calibri"/>
                <w:sz w:val="20"/>
                <w:szCs w:val="20"/>
              </w:rPr>
              <w:t xml:space="preserve">had a Work Assist Participant commence an Education Placement or Employment Placement </w:t>
            </w:r>
            <w:r w:rsidRPr="00694B35">
              <w:rPr>
                <w:rFonts w:cs="Calibri"/>
                <w:sz w:val="20"/>
                <w:szCs w:val="20"/>
              </w:rPr>
              <w:t xml:space="preserve">at the Site 26 weeks prior to the end of the performance period. </w:t>
            </w:r>
          </w:p>
        </w:tc>
      </w:tr>
      <w:tr w:rsidR="00152B4F" w:rsidRPr="005514DD" w14:paraId="228A6936" w14:textId="77777777" w:rsidTr="009039E0">
        <w:tc>
          <w:tcPr>
            <w:tcW w:w="2127" w:type="dxa"/>
            <w:vMerge w:val="restart"/>
          </w:tcPr>
          <w:p w14:paraId="6498628E" w14:textId="77777777" w:rsidR="00152B4F" w:rsidRPr="002B47AA" w:rsidRDefault="00152B4F" w:rsidP="009039E0">
            <w:pPr>
              <w:pStyle w:val="Tabletext"/>
              <w:spacing w:before="120" w:after="120"/>
              <w:jc w:val="center"/>
              <w:rPr>
                <w:rFonts w:asciiTheme="majorHAnsi" w:hAnsiTheme="majorHAnsi" w:cs="Calibri"/>
                <w:b/>
                <w:szCs w:val="20"/>
              </w:rPr>
            </w:pPr>
            <w:r w:rsidRPr="002B47AA">
              <w:rPr>
                <w:rFonts w:asciiTheme="majorHAnsi" w:hAnsiTheme="majorHAnsi" w:cs="Calibri"/>
                <w:b/>
                <w:szCs w:val="20"/>
              </w:rPr>
              <w:t>52</w:t>
            </w:r>
            <w:r>
              <w:rPr>
                <w:rFonts w:asciiTheme="majorHAnsi" w:hAnsiTheme="majorHAnsi" w:cs="Calibri"/>
                <w:b/>
                <w:szCs w:val="20"/>
              </w:rPr>
              <w:t>-</w:t>
            </w:r>
            <w:r w:rsidRPr="002B47AA">
              <w:rPr>
                <w:rFonts w:asciiTheme="majorHAnsi" w:hAnsiTheme="majorHAnsi" w:cs="Calibri"/>
                <w:b/>
                <w:szCs w:val="20"/>
              </w:rPr>
              <w:t>Week Full Outcomes</w:t>
            </w:r>
          </w:p>
        </w:tc>
        <w:tc>
          <w:tcPr>
            <w:tcW w:w="7046" w:type="dxa"/>
          </w:tcPr>
          <w:p w14:paraId="4509C2FE" w14:textId="77777777" w:rsidR="00152B4F" w:rsidRPr="002B47AA" w:rsidRDefault="00152B4F" w:rsidP="009039E0">
            <w:pPr>
              <w:rPr>
                <w:rFonts w:cs="Calibri"/>
                <w:sz w:val="20"/>
                <w:szCs w:val="20"/>
              </w:rPr>
            </w:pPr>
            <w:r w:rsidRPr="002B47AA">
              <w:rPr>
                <w:rFonts w:cs="Calibri"/>
                <w:sz w:val="20"/>
                <w:szCs w:val="20"/>
              </w:rPr>
              <w:t>Number of Participants with a pending or approved 52</w:t>
            </w:r>
            <w:r>
              <w:rPr>
                <w:rFonts w:cs="Calibri"/>
                <w:sz w:val="20"/>
                <w:szCs w:val="20"/>
              </w:rPr>
              <w:t>-</w:t>
            </w:r>
            <w:r w:rsidRPr="002B47AA">
              <w:rPr>
                <w:rFonts w:cs="Calibri"/>
                <w:sz w:val="20"/>
                <w:szCs w:val="20"/>
              </w:rPr>
              <w:t>Week Full Outcome at the Site.</w:t>
            </w:r>
          </w:p>
        </w:tc>
      </w:tr>
      <w:tr w:rsidR="00152B4F" w:rsidRPr="005514DD" w14:paraId="614425F4" w14:textId="77777777" w:rsidTr="009039E0">
        <w:tc>
          <w:tcPr>
            <w:tcW w:w="2127" w:type="dxa"/>
            <w:vMerge/>
          </w:tcPr>
          <w:p w14:paraId="32F2F56A" w14:textId="77777777" w:rsidR="00152B4F" w:rsidRPr="002B47AA" w:rsidRDefault="00152B4F" w:rsidP="009039E0">
            <w:pPr>
              <w:pStyle w:val="Tabletext"/>
              <w:spacing w:before="120" w:after="120"/>
              <w:jc w:val="center"/>
              <w:rPr>
                <w:rFonts w:asciiTheme="majorHAnsi" w:hAnsiTheme="majorHAnsi" w:cs="Calibri"/>
                <w:b/>
                <w:szCs w:val="20"/>
              </w:rPr>
            </w:pPr>
          </w:p>
        </w:tc>
        <w:tc>
          <w:tcPr>
            <w:tcW w:w="7046" w:type="dxa"/>
          </w:tcPr>
          <w:p w14:paraId="2DBDB136" w14:textId="77777777" w:rsidR="00152B4F" w:rsidRPr="002B47AA" w:rsidRDefault="00152B4F" w:rsidP="009039E0">
            <w:pPr>
              <w:rPr>
                <w:rFonts w:cs="Calibri"/>
                <w:sz w:val="20"/>
                <w:szCs w:val="20"/>
              </w:rPr>
            </w:pPr>
            <w:r w:rsidRPr="002B47AA">
              <w:rPr>
                <w:rFonts w:cs="Calibri"/>
                <w:sz w:val="20"/>
                <w:szCs w:val="20"/>
              </w:rPr>
              <w:t>Count of Participants whose duration in assistance (EA</w:t>
            </w:r>
            <w:r>
              <w:rPr>
                <w:rFonts w:cs="Calibri"/>
                <w:sz w:val="20"/>
                <w:szCs w:val="20"/>
              </w:rPr>
              <w:t>,</w:t>
            </w:r>
            <w:r w:rsidRPr="002B47AA">
              <w:rPr>
                <w:rFonts w:cs="Calibri"/>
                <w:sz w:val="20"/>
                <w:szCs w:val="20"/>
              </w:rPr>
              <w:t xml:space="preserve"> PPS</w:t>
            </w:r>
            <w:r>
              <w:rPr>
                <w:rFonts w:cs="Calibri"/>
                <w:sz w:val="20"/>
                <w:szCs w:val="20"/>
              </w:rPr>
              <w:t xml:space="preserve"> and Ongoing Support (OS)</w:t>
            </w:r>
            <w:r w:rsidRPr="002B47AA">
              <w:rPr>
                <w:rFonts w:cs="Calibri"/>
                <w:sz w:val="20"/>
                <w:szCs w:val="20"/>
              </w:rPr>
              <w:t xml:space="preserve"> phases) at the Site is at least 52 weeks (excluding all periods of suspension). The denominator excludes those who have achieved a 52 Week Pathway Outcome or who have achieved a 26 Week Full or Pathway Outcome for education.</w:t>
            </w:r>
            <w:r>
              <w:rPr>
                <w:rFonts w:cs="Calibri"/>
                <w:sz w:val="20"/>
                <w:szCs w:val="20"/>
              </w:rPr>
              <w:t xml:space="preserve"> Any period in the OS phase, if applicable, only contributes to the denominator prior to reaching the 52 Week Full Outcome.</w:t>
            </w:r>
          </w:p>
        </w:tc>
      </w:tr>
      <w:tr w:rsidR="00152B4F" w:rsidRPr="005514DD" w14:paraId="4D426995" w14:textId="77777777" w:rsidTr="009039E0">
        <w:trPr>
          <w:trHeight w:val="588"/>
        </w:trPr>
        <w:tc>
          <w:tcPr>
            <w:tcW w:w="2127" w:type="dxa"/>
            <w:vMerge w:val="restart"/>
            <w:shd w:val="clear" w:color="auto" w:fill="F2F2F2"/>
          </w:tcPr>
          <w:p w14:paraId="0E70EA78" w14:textId="77777777" w:rsidR="00152B4F" w:rsidRPr="002B47AA" w:rsidRDefault="00152B4F" w:rsidP="009039E0">
            <w:pPr>
              <w:pStyle w:val="Tabletext"/>
              <w:spacing w:before="120" w:after="120"/>
              <w:jc w:val="center"/>
              <w:rPr>
                <w:rFonts w:asciiTheme="majorHAnsi" w:hAnsiTheme="majorHAnsi" w:cs="Calibri"/>
                <w:b/>
                <w:szCs w:val="20"/>
              </w:rPr>
            </w:pPr>
            <w:r w:rsidRPr="002B47AA">
              <w:rPr>
                <w:rFonts w:asciiTheme="majorHAnsi" w:hAnsiTheme="majorHAnsi" w:cs="Calibri"/>
                <w:b/>
                <w:szCs w:val="20"/>
              </w:rPr>
              <w:t>52</w:t>
            </w:r>
            <w:r>
              <w:rPr>
                <w:rFonts w:asciiTheme="majorHAnsi" w:hAnsiTheme="majorHAnsi" w:cs="Calibri"/>
                <w:b/>
                <w:szCs w:val="20"/>
              </w:rPr>
              <w:t>-</w:t>
            </w:r>
            <w:r w:rsidRPr="002B47AA">
              <w:rPr>
                <w:rFonts w:asciiTheme="majorHAnsi" w:hAnsiTheme="majorHAnsi" w:cs="Calibri"/>
                <w:b/>
                <w:szCs w:val="20"/>
              </w:rPr>
              <w:t>Week Pathway Outcomes</w:t>
            </w:r>
          </w:p>
        </w:tc>
        <w:tc>
          <w:tcPr>
            <w:tcW w:w="7046" w:type="dxa"/>
            <w:shd w:val="clear" w:color="auto" w:fill="F2F2F2"/>
          </w:tcPr>
          <w:p w14:paraId="1CDFB57E" w14:textId="77777777" w:rsidR="00152B4F" w:rsidRPr="002B47AA" w:rsidRDefault="00152B4F" w:rsidP="009039E0">
            <w:pPr>
              <w:rPr>
                <w:rFonts w:cs="Calibri"/>
                <w:sz w:val="20"/>
                <w:szCs w:val="20"/>
              </w:rPr>
            </w:pPr>
            <w:r w:rsidRPr="002B47AA">
              <w:rPr>
                <w:rFonts w:cs="Calibri"/>
                <w:sz w:val="20"/>
                <w:szCs w:val="20"/>
              </w:rPr>
              <w:t>Number of Participants with a pending or approved 52</w:t>
            </w:r>
            <w:r>
              <w:rPr>
                <w:rFonts w:cs="Calibri"/>
                <w:sz w:val="20"/>
                <w:szCs w:val="20"/>
              </w:rPr>
              <w:t>-</w:t>
            </w:r>
            <w:r w:rsidRPr="002B47AA">
              <w:rPr>
                <w:rFonts w:cs="Calibri"/>
                <w:sz w:val="20"/>
                <w:szCs w:val="20"/>
              </w:rPr>
              <w:t>Week Pathway Outcome at the Site.</w:t>
            </w:r>
          </w:p>
        </w:tc>
      </w:tr>
      <w:tr w:rsidR="00152B4F" w:rsidRPr="005514DD" w14:paraId="1583BF2B" w14:textId="77777777" w:rsidTr="009039E0">
        <w:tc>
          <w:tcPr>
            <w:tcW w:w="2127" w:type="dxa"/>
            <w:vMerge/>
            <w:shd w:val="clear" w:color="auto" w:fill="F2F2F2"/>
          </w:tcPr>
          <w:p w14:paraId="07D9458F" w14:textId="77777777" w:rsidR="00152B4F" w:rsidRPr="002B47AA" w:rsidRDefault="00152B4F" w:rsidP="009039E0">
            <w:pPr>
              <w:pStyle w:val="Tabletext"/>
              <w:spacing w:before="120" w:after="120"/>
              <w:jc w:val="center"/>
              <w:rPr>
                <w:rFonts w:asciiTheme="majorHAnsi" w:hAnsiTheme="majorHAnsi" w:cs="Calibri"/>
                <w:b/>
                <w:szCs w:val="20"/>
              </w:rPr>
            </w:pPr>
          </w:p>
        </w:tc>
        <w:tc>
          <w:tcPr>
            <w:tcW w:w="7046" w:type="dxa"/>
            <w:shd w:val="clear" w:color="auto" w:fill="F2F2F2"/>
          </w:tcPr>
          <w:p w14:paraId="354E3CEA" w14:textId="77777777" w:rsidR="00152B4F" w:rsidRPr="002B47AA" w:rsidRDefault="00152B4F" w:rsidP="009039E0">
            <w:pPr>
              <w:rPr>
                <w:rFonts w:cs="Calibri"/>
                <w:sz w:val="20"/>
                <w:szCs w:val="20"/>
              </w:rPr>
            </w:pPr>
            <w:r w:rsidRPr="002B47AA">
              <w:rPr>
                <w:rFonts w:cs="Calibri"/>
                <w:sz w:val="20"/>
                <w:szCs w:val="20"/>
              </w:rPr>
              <w:t>Count of Participants whose duration in assistance (EA</w:t>
            </w:r>
            <w:r>
              <w:rPr>
                <w:rFonts w:cs="Calibri"/>
                <w:sz w:val="20"/>
                <w:szCs w:val="20"/>
              </w:rPr>
              <w:t>,</w:t>
            </w:r>
            <w:r w:rsidRPr="002B47AA">
              <w:rPr>
                <w:rFonts w:cs="Calibri"/>
                <w:sz w:val="20"/>
                <w:szCs w:val="20"/>
              </w:rPr>
              <w:t xml:space="preserve"> PPS</w:t>
            </w:r>
            <w:r>
              <w:rPr>
                <w:rFonts w:cs="Calibri"/>
                <w:sz w:val="20"/>
                <w:szCs w:val="20"/>
              </w:rPr>
              <w:t xml:space="preserve"> and OS</w:t>
            </w:r>
            <w:r w:rsidRPr="002B47AA">
              <w:rPr>
                <w:rFonts w:cs="Calibri"/>
                <w:sz w:val="20"/>
                <w:szCs w:val="20"/>
              </w:rPr>
              <w:t xml:space="preserve"> phases) at the Site is at least 52 weeks (excluding all periods of suspension). The denominator excludes those who have achieved a 52 Week Full Outcome or who have an eight hour benchmark or who have achieved a 26 Week Full or Pathway Outcome for education.</w:t>
            </w:r>
            <w:r>
              <w:rPr>
                <w:rFonts w:cs="Calibri"/>
                <w:sz w:val="20"/>
                <w:szCs w:val="20"/>
              </w:rPr>
              <w:t xml:space="preserve"> Any period in the OS phase, if applicable, only contributes to the denominator prior to reaching the 52 Week Pathway Outcome.</w:t>
            </w:r>
          </w:p>
        </w:tc>
      </w:tr>
      <w:tr w:rsidR="00152B4F" w:rsidRPr="005514DD" w14:paraId="0E674339" w14:textId="77777777" w:rsidTr="009039E0">
        <w:trPr>
          <w:cantSplit/>
        </w:trPr>
        <w:tc>
          <w:tcPr>
            <w:tcW w:w="2127" w:type="dxa"/>
            <w:tcBorders>
              <w:bottom w:val="nil"/>
            </w:tcBorders>
            <w:vAlign w:val="center"/>
          </w:tcPr>
          <w:p w14:paraId="7A498625" w14:textId="77777777" w:rsidR="00152B4F" w:rsidRPr="002B47AA" w:rsidRDefault="00152B4F" w:rsidP="009039E0">
            <w:pPr>
              <w:pStyle w:val="Tabletext"/>
              <w:spacing w:before="120" w:after="120"/>
              <w:jc w:val="center"/>
              <w:rPr>
                <w:rFonts w:asciiTheme="majorHAnsi" w:hAnsiTheme="majorHAnsi" w:cs="Calibri"/>
                <w:szCs w:val="20"/>
              </w:rPr>
            </w:pPr>
            <w:r w:rsidRPr="008301EE">
              <w:rPr>
                <w:rFonts w:asciiTheme="majorHAnsi" w:hAnsiTheme="majorHAnsi" w:cs="Calibri"/>
                <w:b/>
                <w:szCs w:val="20"/>
              </w:rPr>
              <w:t>Ongoing Support</w:t>
            </w:r>
            <w:r w:rsidRPr="002B47AA">
              <w:rPr>
                <w:rFonts w:asciiTheme="majorHAnsi" w:hAnsiTheme="majorHAnsi" w:cs="Calibri"/>
                <w:szCs w:val="20"/>
              </w:rPr>
              <w:t xml:space="preserve"> </w:t>
            </w:r>
          </w:p>
        </w:tc>
        <w:tc>
          <w:tcPr>
            <w:tcW w:w="7046" w:type="dxa"/>
          </w:tcPr>
          <w:p w14:paraId="71AC3C1D" w14:textId="77777777" w:rsidR="00152B4F" w:rsidRDefault="00152B4F" w:rsidP="009039E0">
            <w:pPr>
              <w:rPr>
                <w:rFonts w:cs="Calibri"/>
                <w:sz w:val="20"/>
                <w:szCs w:val="20"/>
              </w:rPr>
            </w:pPr>
            <w:r w:rsidRPr="000412D4">
              <w:rPr>
                <w:rFonts w:cs="Calibri"/>
                <w:sz w:val="20"/>
                <w:szCs w:val="20"/>
              </w:rPr>
              <w:t>The number of</w:t>
            </w:r>
            <w:r>
              <w:rPr>
                <w:rFonts w:cs="Calibri"/>
                <w:sz w:val="20"/>
                <w:szCs w:val="20"/>
              </w:rPr>
              <w:t xml:space="preserve"> DES-ESS</w:t>
            </w:r>
            <w:r w:rsidRPr="000412D4">
              <w:rPr>
                <w:rFonts w:cs="Calibri"/>
                <w:sz w:val="20"/>
                <w:szCs w:val="20"/>
              </w:rPr>
              <w:t xml:space="preserve"> Participants included in the denominator and:</w:t>
            </w:r>
          </w:p>
          <w:p w14:paraId="778B1C58" w14:textId="77777777" w:rsidR="00152B4F" w:rsidRPr="000412D4" w:rsidRDefault="00152B4F" w:rsidP="009039E0">
            <w:pPr>
              <w:rPr>
                <w:rFonts w:cs="Calibri"/>
                <w:sz w:val="20"/>
                <w:szCs w:val="20"/>
              </w:rPr>
            </w:pPr>
          </w:p>
          <w:p w14:paraId="2ECB46E5" w14:textId="77777777" w:rsidR="00152B4F" w:rsidRPr="000412D4" w:rsidRDefault="00152B4F" w:rsidP="009039E0">
            <w:pPr>
              <w:pStyle w:val="ListParagraph"/>
              <w:numPr>
                <w:ilvl w:val="0"/>
                <w:numId w:val="4"/>
              </w:numPr>
              <w:rPr>
                <w:rFonts w:cs="Calibri"/>
                <w:sz w:val="20"/>
                <w:szCs w:val="20"/>
              </w:rPr>
            </w:pPr>
            <w:r w:rsidRPr="000412D4">
              <w:rPr>
                <w:rFonts w:cs="Calibri"/>
                <w:sz w:val="20"/>
                <w:szCs w:val="20"/>
              </w:rPr>
              <w:t>remain in the Ongoing Support Phase at the Site at the end of the performance period or</w:t>
            </w:r>
          </w:p>
          <w:p w14:paraId="476B7A76" w14:textId="77777777" w:rsidR="00152B4F" w:rsidRPr="000412D4" w:rsidRDefault="00152B4F" w:rsidP="009039E0">
            <w:pPr>
              <w:pStyle w:val="ListParagraph"/>
              <w:numPr>
                <w:ilvl w:val="0"/>
                <w:numId w:val="4"/>
              </w:numPr>
              <w:rPr>
                <w:rFonts w:cs="Calibri"/>
                <w:sz w:val="20"/>
                <w:szCs w:val="20"/>
              </w:rPr>
            </w:pPr>
            <w:r w:rsidRPr="000412D4">
              <w:rPr>
                <w:rFonts w:cs="Calibri"/>
                <w:sz w:val="20"/>
                <w:szCs w:val="20"/>
              </w:rPr>
              <w:t>who have exited as an Independent Worker after a recommendation by an Ongoing Support Assessment</w:t>
            </w:r>
          </w:p>
          <w:p w14:paraId="0145CE59" w14:textId="77777777" w:rsidR="00152B4F" w:rsidRDefault="00152B4F" w:rsidP="009039E0">
            <w:pPr>
              <w:pStyle w:val="ListParagraph"/>
              <w:numPr>
                <w:ilvl w:val="0"/>
                <w:numId w:val="4"/>
              </w:numPr>
              <w:rPr>
                <w:rFonts w:cs="Calibri"/>
                <w:sz w:val="20"/>
                <w:szCs w:val="20"/>
              </w:rPr>
            </w:pPr>
            <w:r w:rsidRPr="000412D4">
              <w:rPr>
                <w:rFonts w:cs="Calibri"/>
                <w:sz w:val="20"/>
                <w:szCs w:val="20"/>
              </w:rPr>
              <w:t xml:space="preserve">who have had a Provider Initiated Independent Worker exit on or after </w:t>
            </w:r>
            <w:r w:rsidRPr="002B47AA">
              <w:rPr>
                <w:rFonts w:cs="Calibri"/>
                <w:sz w:val="20"/>
                <w:szCs w:val="20"/>
              </w:rPr>
              <w:t>2 January 2019</w:t>
            </w:r>
            <w:r w:rsidRPr="002B47AA">
              <w:rPr>
                <w:sz w:val="20"/>
                <w:szCs w:val="20"/>
                <w:vertAlign w:val="superscript"/>
              </w:rPr>
              <w:t>3</w:t>
            </w:r>
            <w:r w:rsidRPr="002B47AA">
              <w:rPr>
                <w:rFonts w:cs="Calibri"/>
                <w:sz w:val="20"/>
                <w:szCs w:val="20"/>
              </w:rPr>
              <w:t xml:space="preserve"> and</w:t>
            </w:r>
            <w:r w:rsidRPr="000412D4">
              <w:rPr>
                <w:rFonts w:cs="Calibri"/>
                <w:sz w:val="20"/>
                <w:szCs w:val="20"/>
              </w:rPr>
              <w:t xml:space="preserve"> it has been verified that the Participant is still in employment six weeks after they exited</w:t>
            </w:r>
            <w:r w:rsidRPr="000412D4">
              <w:rPr>
                <w:sz w:val="20"/>
                <w:szCs w:val="20"/>
                <w:vertAlign w:val="superscript"/>
              </w:rPr>
              <w:t>4</w:t>
            </w:r>
            <w:r w:rsidRPr="000412D4">
              <w:rPr>
                <w:rFonts w:cs="Calibri"/>
                <w:sz w:val="20"/>
                <w:szCs w:val="20"/>
              </w:rPr>
              <w:t>.</w:t>
            </w:r>
          </w:p>
          <w:p w14:paraId="6E09D8C3" w14:textId="77777777" w:rsidR="00152B4F" w:rsidRPr="002B47AA" w:rsidRDefault="00152B4F" w:rsidP="009039E0">
            <w:pPr>
              <w:rPr>
                <w:rFonts w:cs="Calibri"/>
                <w:sz w:val="20"/>
                <w:szCs w:val="20"/>
              </w:rPr>
            </w:pPr>
          </w:p>
          <w:p w14:paraId="0ACDA608" w14:textId="77777777" w:rsidR="00152B4F" w:rsidRPr="002B47AA" w:rsidRDefault="00152B4F" w:rsidP="009039E0">
            <w:pPr>
              <w:rPr>
                <w:rFonts w:cs="Calibri"/>
                <w:sz w:val="20"/>
                <w:szCs w:val="20"/>
              </w:rPr>
            </w:pPr>
            <w:r w:rsidRPr="002B47AA">
              <w:rPr>
                <w:rFonts w:cs="Calibri"/>
                <w:sz w:val="20"/>
                <w:szCs w:val="20"/>
              </w:rPr>
              <w:t>Refer to the ‘Employment Verification for Ongoing Support’ section (page</w:t>
            </w:r>
            <w:r>
              <w:rPr>
                <w:rFonts w:cs="Calibri"/>
                <w:sz w:val="20"/>
                <w:szCs w:val="20"/>
              </w:rPr>
              <w:t> 10</w:t>
            </w:r>
            <w:r w:rsidRPr="002B47AA">
              <w:rPr>
                <w:rFonts w:cs="Calibri"/>
                <w:sz w:val="20"/>
                <w:szCs w:val="20"/>
              </w:rPr>
              <w:t>) for more details on a verification of Independent Worker exits.</w:t>
            </w:r>
          </w:p>
        </w:tc>
      </w:tr>
      <w:tr w:rsidR="00152B4F" w:rsidRPr="005514DD" w14:paraId="7D1401F8" w14:textId="77777777" w:rsidTr="009039E0">
        <w:tc>
          <w:tcPr>
            <w:tcW w:w="2127" w:type="dxa"/>
            <w:tcBorders>
              <w:top w:val="nil"/>
            </w:tcBorders>
          </w:tcPr>
          <w:p w14:paraId="2A8A8BAB" w14:textId="77777777" w:rsidR="00152B4F" w:rsidRPr="008301EE" w:rsidRDefault="00152B4F" w:rsidP="009039E0">
            <w:pPr>
              <w:pStyle w:val="Tabletext"/>
              <w:spacing w:before="120" w:after="120"/>
              <w:jc w:val="center"/>
              <w:rPr>
                <w:rFonts w:asciiTheme="majorHAnsi" w:hAnsiTheme="majorHAnsi" w:cs="Calibri"/>
                <w:b/>
                <w:szCs w:val="20"/>
              </w:rPr>
            </w:pPr>
          </w:p>
        </w:tc>
        <w:tc>
          <w:tcPr>
            <w:tcW w:w="7046" w:type="dxa"/>
          </w:tcPr>
          <w:p w14:paraId="201CEE2C" w14:textId="77777777" w:rsidR="00152B4F" w:rsidRPr="002B47AA" w:rsidRDefault="00152B4F" w:rsidP="009039E0">
            <w:pPr>
              <w:rPr>
                <w:rFonts w:cs="Calibri"/>
                <w:sz w:val="20"/>
                <w:szCs w:val="20"/>
              </w:rPr>
            </w:pPr>
            <w:r w:rsidRPr="000412D4">
              <w:rPr>
                <w:rFonts w:cs="Calibri"/>
                <w:sz w:val="20"/>
                <w:szCs w:val="20"/>
              </w:rPr>
              <w:t>The number of</w:t>
            </w:r>
            <w:r>
              <w:rPr>
                <w:rFonts w:cs="Calibri"/>
                <w:sz w:val="20"/>
                <w:szCs w:val="20"/>
              </w:rPr>
              <w:t xml:space="preserve"> DES-ESS</w:t>
            </w:r>
            <w:r w:rsidRPr="000412D4">
              <w:rPr>
                <w:rFonts w:cs="Calibri"/>
                <w:sz w:val="20"/>
                <w:szCs w:val="20"/>
              </w:rPr>
              <w:t xml:space="preserve"> Participants who have had an Ongoing Support Assessment </w:t>
            </w:r>
            <w:r>
              <w:rPr>
                <w:rFonts w:cs="Calibri"/>
                <w:sz w:val="20"/>
                <w:szCs w:val="20"/>
              </w:rPr>
              <w:t xml:space="preserve">(including assessments pre 1 July 2018) </w:t>
            </w:r>
            <w:r w:rsidRPr="000412D4">
              <w:rPr>
                <w:rFonts w:cs="Calibri"/>
                <w:sz w:val="20"/>
                <w:szCs w:val="20"/>
              </w:rPr>
              <w:t xml:space="preserve">which recommends that the Participant requires further Ongoing Support, was in the Ongoing Support phase on or after </w:t>
            </w:r>
            <w:r w:rsidRPr="002B47AA">
              <w:rPr>
                <w:rFonts w:cs="Calibri"/>
                <w:sz w:val="20"/>
                <w:szCs w:val="20"/>
              </w:rPr>
              <w:t>2 January 2019 to be included in the denominator and:</w:t>
            </w:r>
          </w:p>
          <w:p w14:paraId="10E9D9AA" w14:textId="77777777" w:rsidR="00152B4F" w:rsidRPr="002B47AA" w:rsidRDefault="00152B4F" w:rsidP="009039E0">
            <w:pPr>
              <w:pStyle w:val="ListParagraph"/>
              <w:numPr>
                <w:ilvl w:val="0"/>
                <w:numId w:val="4"/>
              </w:numPr>
              <w:rPr>
                <w:rFonts w:cs="Calibri"/>
                <w:sz w:val="20"/>
                <w:szCs w:val="20"/>
              </w:rPr>
            </w:pPr>
            <w:r w:rsidRPr="002B47AA">
              <w:rPr>
                <w:rFonts w:cs="Calibri"/>
                <w:sz w:val="20"/>
                <w:szCs w:val="20"/>
              </w:rPr>
              <w:t xml:space="preserve">had at least 26 calendar weeks in the Ongoing Support phase since </w:t>
            </w:r>
            <w:r w:rsidRPr="002B47AA">
              <w:rPr>
                <w:rFonts w:cs="Calibri"/>
                <w:sz w:val="20"/>
                <w:szCs w:val="20"/>
              </w:rPr>
              <w:br/>
              <w:t xml:space="preserve">1 July 2018 </w:t>
            </w:r>
            <w:r>
              <w:rPr>
                <w:rFonts w:cs="Calibri"/>
                <w:sz w:val="20"/>
                <w:szCs w:val="20"/>
              </w:rPr>
              <w:t>(transition Ongoing Support Participants)</w:t>
            </w:r>
            <w:r w:rsidRPr="000412D4">
              <w:rPr>
                <w:rFonts w:cs="Calibri"/>
                <w:sz w:val="20"/>
                <w:szCs w:val="20"/>
              </w:rPr>
              <w:t xml:space="preserve"> </w:t>
            </w:r>
            <w:r w:rsidRPr="002B47AA">
              <w:rPr>
                <w:rFonts w:cs="Calibri"/>
                <w:sz w:val="20"/>
                <w:szCs w:val="20"/>
              </w:rPr>
              <w:t>or</w:t>
            </w:r>
          </w:p>
          <w:p w14:paraId="765013C4" w14:textId="77777777" w:rsidR="00152B4F" w:rsidRPr="002B47AA" w:rsidRDefault="00152B4F" w:rsidP="009039E0">
            <w:pPr>
              <w:pStyle w:val="ListParagraph"/>
              <w:numPr>
                <w:ilvl w:val="0"/>
                <w:numId w:val="4"/>
              </w:numPr>
              <w:rPr>
                <w:rFonts w:cs="Calibri"/>
                <w:sz w:val="20"/>
                <w:szCs w:val="20"/>
              </w:rPr>
            </w:pPr>
            <w:r w:rsidRPr="002B47AA">
              <w:rPr>
                <w:rFonts w:cs="Calibri"/>
                <w:sz w:val="20"/>
                <w:szCs w:val="20"/>
              </w:rPr>
              <w:t>had a period of Ongoing Support at the Site since they achieved a 52 Week Full or Pathway Outcome or</w:t>
            </w:r>
          </w:p>
          <w:p w14:paraId="79132B34" w14:textId="77777777" w:rsidR="00152B4F" w:rsidRPr="002B47AA" w:rsidRDefault="00152B4F" w:rsidP="009039E0">
            <w:pPr>
              <w:pStyle w:val="ListParagraph"/>
              <w:numPr>
                <w:ilvl w:val="0"/>
                <w:numId w:val="4"/>
              </w:numPr>
              <w:rPr>
                <w:rFonts w:cs="Calibri"/>
                <w:sz w:val="20"/>
                <w:szCs w:val="20"/>
              </w:rPr>
            </w:pPr>
            <w:r w:rsidRPr="002B47AA">
              <w:rPr>
                <w:rFonts w:cs="Calibri"/>
                <w:sz w:val="20"/>
                <w:szCs w:val="20"/>
              </w:rPr>
              <w:t>A former Work Assist Participant that has spent at least 26 calendar weeks in the Ongoing Support phase since 1 July 2018.</w:t>
            </w:r>
          </w:p>
          <w:p w14:paraId="6F6D6465" w14:textId="77777777" w:rsidR="00152B4F" w:rsidRPr="000412D4" w:rsidRDefault="00152B4F" w:rsidP="009039E0">
            <w:pPr>
              <w:rPr>
                <w:rFonts w:cs="Calibri"/>
                <w:sz w:val="20"/>
                <w:szCs w:val="20"/>
                <w:highlight w:val="yellow"/>
              </w:rPr>
            </w:pPr>
          </w:p>
          <w:p w14:paraId="52B1764B" w14:textId="77777777" w:rsidR="00152B4F" w:rsidRPr="000412D4" w:rsidRDefault="00152B4F" w:rsidP="009039E0">
            <w:pPr>
              <w:rPr>
                <w:rFonts w:cs="Calibri"/>
                <w:sz w:val="20"/>
                <w:szCs w:val="20"/>
              </w:rPr>
            </w:pPr>
            <w:r w:rsidRPr="000412D4">
              <w:rPr>
                <w:rFonts w:cs="Calibri"/>
                <w:sz w:val="20"/>
                <w:szCs w:val="20"/>
              </w:rPr>
              <w:t>If the</w:t>
            </w:r>
            <w:r>
              <w:rPr>
                <w:rFonts w:cs="Calibri"/>
                <w:sz w:val="20"/>
                <w:szCs w:val="20"/>
              </w:rPr>
              <w:t xml:space="preserve"> DES-ESS</w:t>
            </w:r>
            <w:r w:rsidRPr="000412D4">
              <w:rPr>
                <w:rFonts w:cs="Calibri"/>
                <w:sz w:val="20"/>
                <w:szCs w:val="20"/>
              </w:rPr>
              <w:t xml:space="preserve"> Participant was in Flexible Ongoing Support, then they will only be included in the denominator if they have a pending or approved claim for at least one instance of Flexible Ongoing Support (where the claim was created after </w:t>
            </w:r>
            <w:r>
              <w:rPr>
                <w:rFonts w:cs="Calibri"/>
                <w:sz w:val="20"/>
                <w:szCs w:val="20"/>
              </w:rPr>
              <w:t xml:space="preserve">a </w:t>
            </w:r>
            <w:r w:rsidRPr="000412D4">
              <w:rPr>
                <w:rFonts w:cs="Calibri"/>
                <w:sz w:val="20"/>
                <w:szCs w:val="20"/>
              </w:rPr>
              <w:t>52</w:t>
            </w:r>
            <w:r>
              <w:rPr>
                <w:rFonts w:cs="Calibri"/>
                <w:sz w:val="20"/>
                <w:szCs w:val="20"/>
              </w:rPr>
              <w:t> </w:t>
            </w:r>
            <w:r w:rsidRPr="000412D4">
              <w:rPr>
                <w:rFonts w:cs="Calibri"/>
                <w:sz w:val="20"/>
                <w:szCs w:val="20"/>
              </w:rPr>
              <w:t>Week</w:t>
            </w:r>
            <w:r>
              <w:rPr>
                <w:rFonts w:cs="Calibri"/>
                <w:sz w:val="20"/>
                <w:szCs w:val="20"/>
              </w:rPr>
              <w:t xml:space="preserve"> Full or Pathway Outcome</w:t>
            </w:r>
            <w:r w:rsidRPr="000412D4">
              <w:rPr>
                <w:rFonts w:cs="Calibri"/>
                <w:sz w:val="20"/>
                <w:szCs w:val="20"/>
              </w:rPr>
              <w:t>).</w:t>
            </w:r>
          </w:p>
        </w:tc>
      </w:tr>
    </w:tbl>
    <w:p w14:paraId="039C886D" w14:textId="77777777" w:rsidR="00152B4F" w:rsidRPr="005514DD" w:rsidRDefault="00152B4F" w:rsidP="00152B4F">
      <w:pPr>
        <w:rPr>
          <w:rFonts w:cs="Calibri"/>
          <w:sz w:val="18"/>
          <w:szCs w:val="18"/>
        </w:rPr>
      </w:pPr>
      <w:r w:rsidRPr="005514DD">
        <w:rPr>
          <w:rFonts w:cs="Calibri"/>
          <w:sz w:val="18"/>
          <w:szCs w:val="18"/>
        </w:rPr>
        <w:t>Notes:</w:t>
      </w:r>
    </w:p>
    <w:p w14:paraId="272A5E7E" w14:textId="77777777" w:rsidR="00152B4F" w:rsidRPr="00D35A5C" w:rsidRDefault="00152B4F" w:rsidP="00152B4F">
      <w:pPr>
        <w:rPr>
          <w:sz w:val="18"/>
          <w:szCs w:val="18"/>
        </w:rPr>
      </w:pPr>
      <w:r w:rsidRPr="00D35A5C">
        <w:rPr>
          <w:b/>
          <w:sz w:val="18"/>
          <w:szCs w:val="18"/>
        </w:rPr>
        <w:t>1.</w:t>
      </w:r>
      <w:r w:rsidRPr="00D35A5C">
        <w:rPr>
          <w:sz w:val="18"/>
          <w:szCs w:val="18"/>
        </w:rPr>
        <w:t xml:space="preserve"> Individual Participants are only counted once per Site commencement, per Period of Service and per </w:t>
      </w:r>
      <w:r>
        <w:rPr>
          <w:sz w:val="18"/>
          <w:szCs w:val="18"/>
        </w:rPr>
        <w:t>commencement of E</w:t>
      </w:r>
      <w:r w:rsidRPr="00D35A5C">
        <w:rPr>
          <w:sz w:val="18"/>
          <w:szCs w:val="18"/>
        </w:rPr>
        <w:t>mployment</w:t>
      </w:r>
      <w:r>
        <w:rPr>
          <w:sz w:val="18"/>
          <w:szCs w:val="18"/>
        </w:rPr>
        <w:t xml:space="preserve"> Placement </w:t>
      </w:r>
      <w:r w:rsidRPr="00D35A5C">
        <w:rPr>
          <w:sz w:val="18"/>
          <w:szCs w:val="18"/>
        </w:rPr>
        <w:t>(i.e. move in the PPS phase).</w:t>
      </w:r>
      <w:r w:rsidRPr="00D35A5C" w:rsidDel="00E70786">
        <w:rPr>
          <w:sz w:val="18"/>
          <w:szCs w:val="18"/>
        </w:rPr>
        <w:t xml:space="preserve"> </w:t>
      </w:r>
    </w:p>
    <w:p w14:paraId="1F77D7A6" w14:textId="77777777" w:rsidR="00152B4F" w:rsidRPr="002B47AA" w:rsidRDefault="00152B4F" w:rsidP="00152B4F">
      <w:pPr>
        <w:rPr>
          <w:rFonts w:cs="Calibri"/>
          <w:sz w:val="18"/>
          <w:szCs w:val="18"/>
        </w:rPr>
      </w:pPr>
      <w:r w:rsidRPr="005514DD">
        <w:rPr>
          <w:rFonts w:cs="Calibri"/>
          <w:b/>
          <w:sz w:val="18"/>
          <w:szCs w:val="18"/>
        </w:rPr>
        <w:t>2.</w:t>
      </w:r>
      <w:r w:rsidRPr="005514DD">
        <w:rPr>
          <w:rFonts w:cs="Calibri"/>
          <w:sz w:val="18"/>
          <w:szCs w:val="18"/>
        </w:rPr>
        <w:t xml:space="preserve"> Only anchors that </w:t>
      </w:r>
      <w:r w:rsidRPr="008F1AF7">
        <w:rPr>
          <w:rFonts w:cs="Calibri"/>
          <w:sz w:val="18"/>
          <w:szCs w:val="18"/>
        </w:rPr>
        <w:t xml:space="preserve">occur </w:t>
      </w:r>
      <w:r w:rsidRPr="002B47AA">
        <w:rPr>
          <w:rFonts w:cs="Calibri"/>
          <w:sz w:val="18"/>
          <w:szCs w:val="18"/>
        </w:rPr>
        <w:t>from 1 July 2018 onwards will be included in this measure.</w:t>
      </w:r>
    </w:p>
    <w:p w14:paraId="5398C6E8" w14:textId="77777777" w:rsidR="00152B4F" w:rsidRPr="002B47AA" w:rsidRDefault="00152B4F" w:rsidP="00152B4F">
      <w:pPr>
        <w:rPr>
          <w:rFonts w:cs="Calibri"/>
          <w:sz w:val="18"/>
          <w:szCs w:val="18"/>
        </w:rPr>
      </w:pPr>
      <w:r w:rsidRPr="002B47AA">
        <w:rPr>
          <w:rFonts w:cs="Calibri"/>
          <w:b/>
          <w:sz w:val="18"/>
          <w:szCs w:val="18"/>
        </w:rPr>
        <w:t>3.</w:t>
      </w:r>
      <w:r w:rsidRPr="002B47AA">
        <w:rPr>
          <w:rFonts w:cs="Calibri"/>
          <w:sz w:val="18"/>
          <w:szCs w:val="18"/>
        </w:rPr>
        <w:t xml:space="preserve"> The start date of this performance measure is from 2 January 2019, so that all participants included in the performance measure have being in the Ongoing Support phase for at least six months after 1 July 2018 (to meet the same requirements of a new Ongoing Support participant post a 26 week outcome.</w:t>
      </w:r>
    </w:p>
    <w:p w14:paraId="271396B0" w14:textId="77777777" w:rsidR="00152B4F" w:rsidRPr="002B47AA" w:rsidRDefault="00152B4F" w:rsidP="00152B4F">
      <w:pPr>
        <w:rPr>
          <w:rFonts w:cs="Calibri"/>
          <w:sz w:val="18"/>
          <w:szCs w:val="18"/>
        </w:rPr>
      </w:pPr>
      <w:r w:rsidRPr="002B47AA">
        <w:rPr>
          <w:rFonts w:cs="Calibri"/>
          <w:b/>
          <w:sz w:val="18"/>
          <w:szCs w:val="18"/>
        </w:rPr>
        <w:t>4.</w:t>
      </w:r>
      <w:r w:rsidRPr="002B47AA">
        <w:rPr>
          <w:rFonts w:cs="Calibri"/>
          <w:sz w:val="18"/>
          <w:szCs w:val="18"/>
        </w:rPr>
        <w:t xml:space="preserve"> Where the six-week employment verification date is a month or less (28 days or less) prior to the end of the performance period, those Participants will remain in the numerator. If employment is verified during this period, then they will also remain in the numerator.</w:t>
      </w:r>
    </w:p>
    <w:p w14:paraId="3588A0B3" w14:textId="77777777" w:rsidR="00152B4F" w:rsidRDefault="00152B4F" w:rsidP="00152B4F">
      <w:pPr>
        <w:rPr>
          <w:rFonts w:ascii="Calibri" w:hAnsi="Calibri"/>
          <w:b/>
          <w:i/>
          <w:u w:val="single"/>
          <w:lang w:eastAsia="en-AU"/>
        </w:rPr>
      </w:pPr>
      <w:r>
        <w:rPr>
          <w:rFonts w:ascii="Calibri" w:hAnsi="Calibri"/>
          <w:b/>
          <w:i/>
          <w:u w:val="single"/>
          <w:lang w:eastAsia="en-AU"/>
        </w:rPr>
        <w:br w:type="page"/>
      </w:r>
    </w:p>
    <w:p w14:paraId="5589C6CC" w14:textId="77777777" w:rsidR="00152B4F" w:rsidRDefault="00152B4F" w:rsidP="00152B4F">
      <w:pPr>
        <w:pStyle w:val="Heading3"/>
        <w:rPr>
          <w:rFonts w:cs="Times New Roman"/>
          <w:bCs w:val="0"/>
          <w:szCs w:val="24"/>
        </w:rPr>
      </w:pPr>
      <w:bookmarkStart w:id="16" w:name="_Toc47098272"/>
      <w:r w:rsidRPr="00F60CCA">
        <w:rPr>
          <w:rFonts w:cs="Times New Roman"/>
          <w:bCs w:val="0"/>
          <w:szCs w:val="24"/>
        </w:rPr>
        <w:t>Performance Measures</w:t>
      </w:r>
      <w:bookmarkEnd w:id="16"/>
    </w:p>
    <w:p w14:paraId="219C5CCC" w14:textId="77777777" w:rsidR="00152B4F" w:rsidRPr="002B47AA" w:rsidRDefault="00152B4F" w:rsidP="00152B4F">
      <w:pPr>
        <w:pStyle w:val="Heading4"/>
        <w:rPr>
          <w:b/>
          <w:color w:val="auto"/>
          <w:szCs w:val="22"/>
        </w:rPr>
      </w:pPr>
      <w:r w:rsidRPr="002B47AA">
        <w:rPr>
          <w:b/>
          <w:color w:val="auto"/>
          <w:szCs w:val="22"/>
        </w:rPr>
        <w:t>13, 26 and 52 Week Full Outcomes</w:t>
      </w:r>
    </w:p>
    <w:p w14:paraId="06A0CC0A" w14:textId="77777777" w:rsidR="00152B4F" w:rsidRPr="00B20661" w:rsidRDefault="00152B4F" w:rsidP="00152B4F">
      <w:pPr>
        <w:spacing w:after="480"/>
        <w:contextualSpacing/>
        <w:rPr>
          <w:szCs w:val="22"/>
        </w:rPr>
      </w:pPr>
      <w:r w:rsidRPr="002B47AA">
        <w:rPr>
          <w:szCs w:val="22"/>
        </w:rPr>
        <w:t xml:space="preserve">The 13, 26 and 52 Week Full Outcomes performance measures seek to maximise the number of Participants placed into sustainable employment at their assessed work capacity (and/or </w:t>
      </w:r>
      <w:r>
        <w:rPr>
          <w:szCs w:val="22"/>
        </w:rPr>
        <w:t>E</w:t>
      </w:r>
      <w:r w:rsidRPr="002B47AA">
        <w:rPr>
          <w:szCs w:val="22"/>
        </w:rPr>
        <w:t>ducation for Participant groups for 13 and 26 Week Full Outcomes</w:t>
      </w:r>
      <w:r>
        <w:rPr>
          <w:szCs w:val="22"/>
        </w:rPr>
        <w:t xml:space="preserve"> as described in Table 2</w:t>
      </w:r>
      <w:r w:rsidRPr="002B47AA">
        <w:rPr>
          <w:szCs w:val="22"/>
        </w:rPr>
        <w:t xml:space="preserve">) or higher. These measures are the most heavily weighted performance measures, </w:t>
      </w:r>
      <w:r>
        <w:rPr>
          <w:szCs w:val="22"/>
        </w:rPr>
        <w:t xml:space="preserve">70 to </w:t>
      </w:r>
      <w:r w:rsidRPr="002B47AA">
        <w:rPr>
          <w:szCs w:val="22"/>
        </w:rPr>
        <w:t>85 per cent of the total Star Rating in DES</w:t>
      </w:r>
      <w:r w:rsidRPr="002B47AA">
        <w:rPr>
          <w:szCs w:val="22"/>
        </w:rPr>
        <w:noBreakHyphen/>
        <w:t>DMS and DES-ESS respectively.</w:t>
      </w:r>
      <w:r w:rsidRPr="002B47AA">
        <w:t xml:space="preserve"> </w:t>
      </w:r>
      <w:r w:rsidRPr="002B47AA">
        <w:rPr>
          <w:szCs w:val="22"/>
        </w:rPr>
        <w:t xml:space="preserve">Improvements in performance in these performance measures in particular will see the greatest impact on Star Ratings. There are no 52 Week Full Outcomes for </w:t>
      </w:r>
      <w:r>
        <w:rPr>
          <w:szCs w:val="22"/>
        </w:rPr>
        <w:t>E</w:t>
      </w:r>
      <w:r w:rsidRPr="002B47AA">
        <w:rPr>
          <w:szCs w:val="22"/>
        </w:rPr>
        <w:t xml:space="preserve">ducation </w:t>
      </w:r>
      <w:r>
        <w:rPr>
          <w:szCs w:val="22"/>
        </w:rPr>
        <w:t>P</w:t>
      </w:r>
      <w:r w:rsidRPr="002B47AA">
        <w:rPr>
          <w:szCs w:val="22"/>
        </w:rPr>
        <w:t>lacements.</w:t>
      </w:r>
      <w:r>
        <w:rPr>
          <w:szCs w:val="22"/>
        </w:rPr>
        <w:t xml:space="preserve"> From 17 August 2020, all Education Placements commenced on or after 17 August 2020 and any subsequent 13 or 26 Week Full Outcomes for Education will be excluded from the Star Rating calculations.</w:t>
      </w:r>
    </w:p>
    <w:p w14:paraId="61C04B83" w14:textId="77777777" w:rsidR="00152B4F" w:rsidRPr="002B47AA" w:rsidRDefault="00152B4F" w:rsidP="00152B4F">
      <w:pPr>
        <w:pStyle w:val="Heading4"/>
        <w:rPr>
          <w:b/>
          <w:color w:val="auto"/>
          <w:szCs w:val="22"/>
        </w:rPr>
      </w:pPr>
      <w:r w:rsidRPr="002B47AA">
        <w:rPr>
          <w:b/>
          <w:color w:val="auto"/>
          <w:szCs w:val="22"/>
        </w:rPr>
        <w:t>26 and 52 Week Pathway Outcomes</w:t>
      </w:r>
    </w:p>
    <w:p w14:paraId="291DBD0E" w14:textId="77777777" w:rsidR="00152B4F" w:rsidRPr="002B47AA" w:rsidRDefault="00152B4F" w:rsidP="00152B4F">
      <w:pPr>
        <w:spacing w:after="480"/>
        <w:contextualSpacing/>
        <w:rPr>
          <w:rFonts w:eastAsia="Times New Roman"/>
          <w:szCs w:val="22"/>
          <w:lang w:eastAsia="en-AU"/>
        </w:rPr>
      </w:pPr>
      <w:r w:rsidRPr="002B47AA">
        <w:rPr>
          <w:szCs w:val="22"/>
        </w:rPr>
        <w:t xml:space="preserve">The 26 and 52 Week Pathway Outcomes performance measure seek to maximise the number of Participants placed into sustainable </w:t>
      </w:r>
      <w:r>
        <w:rPr>
          <w:szCs w:val="22"/>
        </w:rPr>
        <w:t>E</w:t>
      </w:r>
      <w:r w:rsidRPr="002B47AA">
        <w:rPr>
          <w:szCs w:val="22"/>
        </w:rPr>
        <w:t xml:space="preserve">mployment. The Pathway measures also exclude Participants with an eight hour benchmark. </w:t>
      </w:r>
      <w:r>
        <w:rPr>
          <w:szCs w:val="22"/>
        </w:rPr>
        <w:t xml:space="preserve"> From 17 August 2020, all Education Placements commenced on or after 17 August 2020 and any subsequent 26-Week Pathway Outcomes for education will be excluded from the Star Rating calculations.</w:t>
      </w:r>
    </w:p>
    <w:p w14:paraId="74EA7B1A" w14:textId="77777777" w:rsidR="00152B4F" w:rsidRPr="002B47AA" w:rsidRDefault="00152B4F" w:rsidP="00152B4F">
      <w:pPr>
        <w:pStyle w:val="Heading4"/>
        <w:rPr>
          <w:b/>
          <w:color w:val="auto"/>
          <w:szCs w:val="22"/>
        </w:rPr>
      </w:pPr>
      <w:r w:rsidRPr="002B47AA">
        <w:rPr>
          <w:b/>
          <w:color w:val="auto"/>
          <w:szCs w:val="22"/>
        </w:rPr>
        <w:t>26 Week Bonus Outcomes</w:t>
      </w:r>
    </w:p>
    <w:p w14:paraId="62819D6A" w14:textId="77777777" w:rsidR="00152B4F" w:rsidRPr="002B47AA" w:rsidRDefault="00152B4F" w:rsidP="00152B4F">
      <w:r w:rsidRPr="002B47AA">
        <w:rPr>
          <w:szCs w:val="22"/>
        </w:rPr>
        <w:t xml:space="preserve">This Bonus measure only includes Participants that are anchored (i.e. start in </w:t>
      </w:r>
      <w:r>
        <w:rPr>
          <w:szCs w:val="22"/>
        </w:rPr>
        <w:t>E</w:t>
      </w:r>
      <w:r w:rsidRPr="002B47AA">
        <w:rPr>
          <w:szCs w:val="22"/>
        </w:rPr>
        <w:t xml:space="preserve">mployment or </w:t>
      </w:r>
      <w:r>
        <w:rPr>
          <w:szCs w:val="22"/>
        </w:rPr>
        <w:t>E</w:t>
      </w:r>
      <w:r w:rsidRPr="002B47AA">
        <w:rPr>
          <w:szCs w:val="22"/>
        </w:rPr>
        <w:t>ducation) into an Apprenticeship, Traineeship, Directly Related Employment or are Indigenous are included in the denominator for this measure (after being anchored 26 weeks previous).</w:t>
      </w:r>
      <w:r w:rsidRPr="002B47AA">
        <w:t xml:space="preserve"> </w:t>
      </w:r>
    </w:p>
    <w:p w14:paraId="2180C6D9" w14:textId="77777777" w:rsidR="00152B4F" w:rsidRPr="002B47AA" w:rsidRDefault="00152B4F" w:rsidP="00152B4F"/>
    <w:p w14:paraId="6459366A" w14:textId="77777777" w:rsidR="00152B4F" w:rsidRPr="002B47AA" w:rsidRDefault="00152B4F" w:rsidP="00152B4F">
      <w:r w:rsidRPr="002B47AA">
        <w:t xml:space="preserve">The Bonus Outcome Measures will be based on data (anchors) from 1 July 2018 onwards. </w:t>
      </w:r>
    </w:p>
    <w:p w14:paraId="4D897A91" w14:textId="77777777" w:rsidR="00152B4F" w:rsidRPr="002B47AA" w:rsidRDefault="00152B4F" w:rsidP="00152B4F"/>
    <w:p w14:paraId="2E2FE265" w14:textId="77777777" w:rsidR="00152B4F" w:rsidRPr="002B47AA" w:rsidRDefault="00152B4F" w:rsidP="00152B4F">
      <w:r w:rsidRPr="002B47AA">
        <w:t xml:space="preserve">See </w:t>
      </w:r>
      <w:r w:rsidRPr="002B47AA">
        <w:rPr>
          <w:u w:val="single"/>
        </w:rPr>
        <w:t>Attachment C</w:t>
      </w:r>
      <w:r w:rsidRPr="002B47AA">
        <w:t xml:space="preserve"> for a detailed explanation of the combining process where there is zero in scope for a particular sub measure.</w:t>
      </w:r>
    </w:p>
    <w:p w14:paraId="7E0D0EBC" w14:textId="77777777" w:rsidR="00152B4F" w:rsidRPr="002B47AA" w:rsidRDefault="00152B4F" w:rsidP="00152B4F"/>
    <w:p w14:paraId="55FB3E87" w14:textId="77777777" w:rsidR="00152B4F" w:rsidRPr="002B47AA" w:rsidRDefault="00152B4F" w:rsidP="00152B4F">
      <w:pPr>
        <w:pStyle w:val="Heading4"/>
        <w:rPr>
          <w:b/>
          <w:color w:val="auto"/>
          <w:szCs w:val="22"/>
        </w:rPr>
      </w:pPr>
      <w:r w:rsidRPr="002B47AA">
        <w:rPr>
          <w:b/>
          <w:color w:val="auto"/>
          <w:szCs w:val="22"/>
        </w:rPr>
        <w:t>Work Assist measure</w:t>
      </w:r>
    </w:p>
    <w:p w14:paraId="229AA12E" w14:textId="77777777" w:rsidR="00152B4F" w:rsidRPr="002B47AA" w:rsidRDefault="00152B4F" w:rsidP="00152B4F">
      <w:r w:rsidRPr="002B47AA">
        <w:t>This measure has replaced the previous Job in Jeopardy measure from 1 July 2018. Only Participants commenced in Work Assist on or after 1 July 2018 are included in this performance measure. The Work Assist performance measure will be combined with the 26 Week Bonus Outcomes performance measure, as it does not have enough performance data nationally for a separate performance measure.</w:t>
      </w:r>
    </w:p>
    <w:p w14:paraId="212616EA" w14:textId="77777777" w:rsidR="00152B4F" w:rsidRPr="002B47AA" w:rsidRDefault="00152B4F" w:rsidP="00152B4F">
      <w:pPr>
        <w:contextualSpacing/>
        <w:rPr>
          <w:szCs w:val="22"/>
        </w:rPr>
      </w:pPr>
    </w:p>
    <w:p w14:paraId="4D49C122" w14:textId="77777777" w:rsidR="00152B4F" w:rsidRPr="002B47AA" w:rsidRDefault="00152B4F" w:rsidP="00152B4F">
      <w:pPr>
        <w:pStyle w:val="Heading4"/>
        <w:rPr>
          <w:b/>
          <w:color w:val="auto"/>
          <w:szCs w:val="22"/>
        </w:rPr>
      </w:pPr>
      <w:r w:rsidRPr="002B47AA">
        <w:rPr>
          <w:b/>
          <w:color w:val="auto"/>
          <w:szCs w:val="22"/>
        </w:rPr>
        <w:t>Ongoing Support performance measure</w:t>
      </w:r>
    </w:p>
    <w:p w14:paraId="2183230C" w14:textId="77777777" w:rsidR="00152B4F" w:rsidRPr="002B47AA" w:rsidRDefault="00152B4F" w:rsidP="00152B4F">
      <w:pPr>
        <w:contextualSpacing/>
        <w:rPr>
          <w:rFonts w:cs="Cambria"/>
          <w:szCs w:val="22"/>
        </w:rPr>
      </w:pPr>
      <w:r w:rsidRPr="002B47AA">
        <w:rPr>
          <w:rFonts w:cs="Cambria"/>
          <w:szCs w:val="22"/>
        </w:rPr>
        <w:t>The Ongoing Support measure, only applicable for DES – ESS participants, will continue as per the pre-2018 model.</w:t>
      </w:r>
    </w:p>
    <w:p w14:paraId="3EE45A34" w14:textId="77777777" w:rsidR="00152B4F" w:rsidRPr="002B47AA" w:rsidRDefault="00152B4F" w:rsidP="00152B4F">
      <w:pPr>
        <w:pStyle w:val="ListParagraph"/>
        <w:numPr>
          <w:ilvl w:val="0"/>
          <w:numId w:val="10"/>
        </w:numPr>
        <w:rPr>
          <w:szCs w:val="22"/>
        </w:rPr>
      </w:pPr>
      <w:r w:rsidRPr="002B47AA">
        <w:rPr>
          <w:szCs w:val="22"/>
        </w:rPr>
        <w:t>any Ongoing Support participants who exit before the 52 Week Full or Pathway Outcome are excluded from this measure</w:t>
      </w:r>
    </w:p>
    <w:p w14:paraId="5965445F" w14:textId="77777777" w:rsidR="00152B4F" w:rsidRDefault="00152B4F" w:rsidP="00152B4F">
      <w:pPr>
        <w:pStyle w:val="ListParagraph"/>
        <w:numPr>
          <w:ilvl w:val="0"/>
          <w:numId w:val="10"/>
        </w:numPr>
        <w:rPr>
          <w:szCs w:val="22"/>
        </w:rPr>
      </w:pPr>
      <w:r w:rsidRPr="002B47AA">
        <w:rPr>
          <w:szCs w:val="22"/>
        </w:rPr>
        <w:t>all Participants who are assisted in the Ongoing Support phase for a period, post the 52 Week Full or Pathway Outcome, are included in the measure</w:t>
      </w:r>
    </w:p>
    <w:p w14:paraId="1CFCD54B" w14:textId="77777777" w:rsidR="00152B4F" w:rsidRDefault="00152B4F" w:rsidP="00152B4F">
      <w:pPr>
        <w:pStyle w:val="ListParagraph"/>
        <w:numPr>
          <w:ilvl w:val="1"/>
          <w:numId w:val="10"/>
        </w:numPr>
        <w:rPr>
          <w:szCs w:val="22"/>
        </w:rPr>
      </w:pPr>
      <w:r w:rsidRPr="009077DF">
        <w:rPr>
          <w:szCs w:val="22"/>
        </w:rPr>
        <w:t xml:space="preserve">an Ongoing Support Assessment must </w:t>
      </w:r>
      <w:r>
        <w:rPr>
          <w:szCs w:val="22"/>
        </w:rPr>
        <w:t xml:space="preserve">also </w:t>
      </w:r>
      <w:r w:rsidRPr="009077DF">
        <w:rPr>
          <w:szCs w:val="22"/>
        </w:rPr>
        <w:t xml:space="preserve">be finalised with a recommendation </w:t>
      </w:r>
      <w:r>
        <w:rPr>
          <w:szCs w:val="22"/>
        </w:rPr>
        <w:t>for</w:t>
      </w:r>
      <w:r w:rsidRPr="009077DF">
        <w:rPr>
          <w:szCs w:val="22"/>
        </w:rPr>
        <w:t xml:space="preserve"> further Ongoing Support</w:t>
      </w:r>
    </w:p>
    <w:p w14:paraId="2A8F5D7D" w14:textId="77777777" w:rsidR="00152B4F" w:rsidRPr="00EC5CDB" w:rsidRDefault="00152B4F" w:rsidP="00152B4F">
      <w:pPr>
        <w:rPr>
          <w:szCs w:val="22"/>
        </w:rPr>
      </w:pPr>
    </w:p>
    <w:p w14:paraId="59024393" w14:textId="77777777" w:rsidR="00152B4F" w:rsidRPr="002B47AA" w:rsidRDefault="00152B4F" w:rsidP="00152B4F">
      <w:pPr>
        <w:pStyle w:val="ListParagraph"/>
        <w:numPr>
          <w:ilvl w:val="0"/>
          <w:numId w:val="10"/>
        </w:numPr>
        <w:rPr>
          <w:szCs w:val="22"/>
        </w:rPr>
      </w:pPr>
      <w:r w:rsidRPr="002B47AA">
        <w:rPr>
          <w:szCs w:val="22"/>
        </w:rPr>
        <w:t>For Flexible Ongoing Support participants (funding level while in the measure denominator) at least one Flexible Ongoing Support fee must be claimed by the provider to be included in the denominator.</w:t>
      </w:r>
    </w:p>
    <w:p w14:paraId="46E73CF6" w14:textId="77777777" w:rsidR="00152B4F" w:rsidRPr="002B47AA" w:rsidRDefault="00152B4F" w:rsidP="00152B4F">
      <w:pPr>
        <w:pStyle w:val="ListParagraph"/>
        <w:numPr>
          <w:ilvl w:val="1"/>
          <w:numId w:val="10"/>
        </w:numPr>
        <w:rPr>
          <w:szCs w:val="22"/>
        </w:rPr>
      </w:pPr>
      <w:r w:rsidRPr="002B47AA">
        <w:rPr>
          <w:szCs w:val="22"/>
        </w:rPr>
        <w:t>This requirement is not applicable to participants in the Moderate or High Ongoing Support funding levels</w:t>
      </w:r>
    </w:p>
    <w:p w14:paraId="301A8C0D" w14:textId="77777777" w:rsidR="00152B4F" w:rsidRPr="002B47AA" w:rsidRDefault="00152B4F" w:rsidP="00152B4F">
      <w:pPr>
        <w:pStyle w:val="ListParagraph"/>
        <w:numPr>
          <w:ilvl w:val="0"/>
          <w:numId w:val="10"/>
        </w:numPr>
        <w:rPr>
          <w:szCs w:val="22"/>
        </w:rPr>
      </w:pPr>
      <w:r w:rsidRPr="002B47AA">
        <w:rPr>
          <w:szCs w:val="22"/>
        </w:rPr>
        <w:t>Former Work Assist participants, who require Ongoing Support, must spend at least 26 calendar weeks in the Ongoing Support phase.</w:t>
      </w:r>
    </w:p>
    <w:p w14:paraId="057B8AAB" w14:textId="77777777" w:rsidR="00152B4F" w:rsidRPr="002B47AA" w:rsidRDefault="00152B4F" w:rsidP="00152B4F">
      <w:pPr>
        <w:pStyle w:val="ListParagraph"/>
        <w:numPr>
          <w:ilvl w:val="1"/>
          <w:numId w:val="10"/>
        </w:numPr>
        <w:rPr>
          <w:szCs w:val="22"/>
        </w:rPr>
      </w:pPr>
      <w:r w:rsidRPr="002B47AA">
        <w:rPr>
          <w:szCs w:val="22"/>
        </w:rPr>
        <w:t xml:space="preserve">an Ongoing Support Assessment must also be finalised with a recommendation </w:t>
      </w:r>
      <w:r>
        <w:rPr>
          <w:szCs w:val="22"/>
        </w:rPr>
        <w:t>for</w:t>
      </w:r>
      <w:r w:rsidRPr="002B47AA">
        <w:rPr>
          <w:szCs w:val="22"/>
        </w:rPr>
        <w:t xml:space="preserve"> further Ongoing Support</w:t>
      </w:r>
    </w:p>
    <w:p w14:paraId="6F838195" w14:textId="77777777" w:rsidR="00152B4F" w:rsidRPr="002B47AA" w:rsidRDefault="00152B4F" w:rsidP="00152B4F">
      <w:pPr>
        <w:pStyle w:val="ListParagraph"/>
        <w:numPr>
          <w:ilvl w:val="0"/>
          <w:numId w:val="10"/>
        </w:numPr>
        <w:spacing w:after="240"/>
        <w:ind w:left="714" w:hanging="357"/>
        <w:rPr>
          <w:rFonts w:eastAsia="Times New Roman"/>
          <w:szCs w:val="22"/>
          <w:lang w:eastAsia="en-AU"/>
        </w:rPr>
      </w:pPr>
      <w:r w:rsidRPr="002B47AA">
        <w:rPr>
          <w:szCs w:val="22"/>
        </w:rPr>
        <w:t>Provider Independent Worker exits, for those participants already in the measure denominator, will be verified six weeks following the exit from the program, to confirm whether they are still in employment. The verification process is described in further detail below</w:t>
      </w:r>
    </w:p>
    <w:p w14:paraId="230F2B90" w14:textId="77777777" w:rsidR="00152B4F" w:rsidRPr="002B47AA" w:rsidRDefault="00152B4F" w:rsidP="00152B4F">
      <w:r w:rsidRPr="002B47AA">
        <w:t>All continuing  transition Ongoing Support participants will be treated as if they commenced in Ongoing Support for the first time on 1 July 2018, then they will need to progress to meeting the requirements of the Ongoing Support performance measure to be included in the denominator (spend at least six months in the phase).</w:t>
      </w:r>
    </w:p>
    <w:p w14:paraId="180705A9" w14:textId="77777777" w:rsidR="00152B4F" w:rsidRPr="002B47AA" w:rsidRDefault="00152B4F" w:rsidP="00152B4F"/>
    <w:p w14:paraId="6070EFC5" w14:textId="77777777" w:rsidR="00152B4F" w:rsidRPr="002B47AA" w:rsidRDefault="00152B4F" w:rsidP="00152B4F">
      <w:r w:rsidRPr="002B47AA">
        <w:t>The time a participant has been in the Ongoing Support denominator with a Provider is taken into account in the statistical regression calculations for expected performance. In general, the longer a participant is in the Ongoing Support denominator for (as appropriate for the participant) the lower the expected performance for the participant will be. The lower the expected performance becomes, assuming the participant remains in the numerator, the greater the difference between the actual and expected performance will be and more upward pressure on the overall Star Rating.</w:t>
      </w:r>
    </w:p>
    <w:p w14:paraId="67AB4E6D" w14:textId="77777777" w:rsidR="00152B4F" w:rsidRPr="002B47AA" w:rsidRDefault="00152B4F" w:rsidP="00152B4F"/>
    <w:p w14:paraId="31ECA116" w14:textId="77777777" w:rsidR="00152B4F" w:rsidRPr="002B47AA" w:rsidRDefault="00152B4F" w:rsidP="00152B4F">
      <w:pPr>
        <w:pStyle w:val="Heading4"/>
        <w:rPr>
          <w:b/>
          <w:color w:val="auto"/>
          <w:szCs w:val="22"/>
        </w:rPr>
      </w:pPr>
      <w:r w:rsidRPr="002B47AA">
        <w:rPr>
          <w:b/>
          <w:color w:val="auto"/>
          <w:szCs w:val="22"/>
        </w:rPr>
        <w:t xml:space="preserve">Employment Verification for Ongoing Support </w:t>
      </w:r>
    </w:p>
    <w:p w14:paraId="5DEC9BA3" w14:textId="77777777" w:rsidR="00152B4F" w:rsidRPr="002B47AA" w:rsidRDefault="00152B4F" w:rsidP="00152B4F">
      <w:pPr>
        <w:rPr>
          <w:rFonts w:cs="Tahoma"/>
          <w:bCs/>
          <w:color w:val="000000"/>
          <w:szCs w:val="22"/>
        </w:rPr>
      </w:pPr>
    </w:p>
    <w:p w14:paraId="591BA377" w14:textId="77777777" w:rsidR="00152B4F" w:rsidRPr="00317F06" w:rsidRDefault="00152B4F" w:rsidP="00152B4F">
      <w:r w:rsidRPr="002B47AA">
        <w:t>Participants in the Ongoing Support performance measure denominator who exit as an Independent Worker will have their employment verified six weeks later.</w:t>
      </w:r>
    </w:p>
    <w:p w14:paraId="145AF19D" w14:textId="77777777" w:rsidR="00152B4F" w:rsidRDefault="00152B4F" w:rsidP="00152B4F">
      <w:pPr>
        <w:rPr>
          <w:rFonts w:cs="Tahoma"/>
          <w:bCs/>
          <w:color w:val="000000"/>
          <w:szCs w:val="22"/>
        </w:rPr>
      </w:pPr>
    </w:p>
    <w:p w14:paraId="7FF3BE4B" w14:textId="77777777" w:rsidR="00152B4F" w:rsidRPr="00816392" w:rsidRDefault="00152B4F" w:rsidP="00152B4F">
      <w:pPr>
        <w:rPr>
          <w:rFonts w:cs="Tahoma"/>
          <w:bCs/>
          <w:color w:val="000000"/>
          <w:szCs w:val="22"/>
        </w:rPr>
      </w:pPr>
      <w:r w:rsidRPr="00816392">
        <w:rPr>
          <w:rFonts w:cs="Tahoma"/>
          <w:bCs/>
          <w:color w:val="000000"/>
          <w:szCs w:val="22"/>
        </w:rPr>
        <w:t xml:space="preserve">In </w:t>
      </w:r>
      <w:r>
        <w:rPr>
          <w:rFonts w:cs="Tahoma"/>
          <w:bCs/>
          <w:color w:val="000000"/>
          <w:szCs w:val="22"/>
        </w:rPr>
        <w:t xml:space="preserve">DES - ESS, employment will be </w:t>
      </w:r>
      <w:r w:rsidRPr="00816392">
        <w:rPr>
          <w:rFonts w:cs="Tahoma"/>
          <w:bCs/>
          <w:color w:val="000000"/>
          <w:szCs w:val="22"/>
        </w:rPr>
        <w:t>verified through:</w:t>
      </w:r>
    </w:p>
    <w:p w14:paraId="44D82E2B" w14:textId="77777777" w:rsidR="00152B4F" w:rsidRPr="00816392" w:rsidRDefault="00152B4F" w:rsidP="00152B4F">
      <w:pPr>
        <w:pStyle w:val="ListParagraph"/>
        <w:numPr>
          <w:ilvl w:val="0"/>
          <w:numId w:val="13"/>
        </w:numPr>
        <w:rPr>
          <w:rFonts w:cs="Tahoma"/>
          <w:bCs/>
          <w:color w:val="000000"/>
          <w:szCs w:val="22"/>
        </w:rPr>
      </w:pPr>
      <w:r w:rsidRPr="00816392">
        <w:rPr>
          <w:rFonts w:cs="Tahoma"/>
          <w:bCs/>
          <w:color w:val="000000"/>
          <w:szCs w:val="22"/>
        </w:rPr>
        <w:t xml:space="preserve">the </w:t>
      </w:r>
      <w:r>
        <w:rPr>
          <w:rFonts w:cs="Tahoma"/>
          <w:bCs/>
          <w:color w:val="000000"/>
          <w:szCs w:val="22"/>
        </w:rPr>
        <w:t>P</w:t>
      </w:r>
      <w:r w:rsidRPr="00816392">
        <w:rPr>
          <w:rFonts w:cs="Tahoma"/>
          <w:bCs/>
          <w:color w:val="000000"/>
          <w:szCs w:val="22"/>
        </w:rPr>
        <w:t xml:space="preserve">articipant declaring earnings </w:t>
      </w:r>
      <w:r>
        <w:rPr>
          <w:rFonts w:cs="Tahoma"/>
          <w:bCs/>
          <w:color w:val="000000"/>
          <w:szCs w:val="22"/>
        </w:rPr>
        <w:t xml:space="preserve">from employment </w:t>
      </w:r>
      <w:r w:rsidRPr="00816392">
        <w:rPr>
          <w:rFonts w:cs="Tahoma"/>
          <w:bCs/>
          <w:color w:val="000000"/>
          <w:szCs w:val="22"/>
        </w:rPr>
        <w:t>to the Department of Human Services or</w:t>
      </w:r>
    </w:p>
    <w:p w14:paraId="34700941" w14:textId="77777777" w:rsidR="00152B4F" w:rsidRDefault="00152B4F" w:rsidP="00152B4F">
      <w:pPr>
        <w:pStyle w:val="ListParagraph"/>
        <w:numPr>
          <w:ilvl w:val="0"/>
          <w:numId w:val="13"/>
        </w:numPr>
        <w:rPr>
          <w:rFonts w:cs="Tahoma"/>
          <w:bCs/>
          <w:color w:val="000000"/>
          <w:szCs w:val="22"/>
        </w:rPr>
      </w:pPr>
      <w:r>
        <w:rPr>
          <w:rFonts w:cs="Tahoma"/>
          <w:bCs/>
          <w:color w:val="000000"/>
          <w:szCs w:val="22"/>
        </w:rPr>
        <w:t>a</w:t>
      </w:r>
      <w:r w:rsidRPr="00423655">
        <w:rPr>
          <w:rFonts w:cs="Tahoma"/>
          <w:bCs/>
          <w:color w:val="000000"/>
          <w:szCs w:val="22"/>
        </w:rPr>
        <w:t>n Ongoing Support Assessment recommends an exit as an Independent Worker</w:t>
      </w:r>
      <w:r>
        <w:rPr>
          <w:rFonts w:cs="Tahoma"/>
          <w:bCs/>
          <w:color w:val="000000"/>
          <w:szCs w:val="22"/>
        </w:rPr>
        <w:t xml:space="preserve"> or </w:t>
      </w:r>
    </w:p>
    <w:p w14:paraId="491FD017" w14:textId="77777777" w:rsidR="00152B4F" w:rsidRDefault="00152B4F" w:rsidP="00152B4F">
      <w:pPr>
        <w:pStyle w:val="ListParagraph"/>
        <w:numPr>
          <w:ilvl w:val="0"/>
          <w:numId w:val="13"/>
        </w:numPr>
        <w:rPr>
          <w:rFonts w:cs="Tahoma"/>
          <w:bCs/>
          <w:color w:val="000000"/>
          <w:szCs w:val="22"/>
        </w:rPr>
      </w:pPr>
      <w:r>
        <w:rPr>
          <w:rFonts w:cs="Tahoma"/>
          <w:bCs/>
          <w:color w:val="000000"/>
          <w:szCs w:val="22"/>
        </w:rPr>
        <w:t>t</w:t>
      </w:r>
      <w:r w:rsidRPr="00423655">
        <w:rPr>
          <w:rFonts w:cs="Tahoma"/>
          <w:bCs/>
          <w:color w:val="000000"/>
          <w:szCs w:val="22"/>
        </w:rPr>
        <w:t>he Provider declaring in the Employment Services System that the Participant was in employment at the employment verification date and they have the appropriate documentary evidence, consistent with the Employment Verification (Star Ratings) Guidelines.</w:t>
      </w:r>
    </w:p>
    <w:p w14:paraId="647ED526" w14:textId="77777777" w:rsidR="00152B4F" w:rsidRDefault="00152B4F" w:rsidP="00152B4F">
      <w:pPr>
        <w:rPr>
          <w:rFonts w:eastAsia="Times New Roman"/>
          <w:szCs w:val="22"/>
          <w:lang w:eastAsia="en-AU"/>
        </w:rPr>
      </w:pPr>
      <w:r>
        <w:rPr>
          <w:rFonts w:eastAsia="Times New Roman"/>
          <w:szCs w:val="22"/>
          <w:lang w:eastAsia="en-AU"/>
        </w:rPr>
        <w:br w:type="page"/>
      </w:r>
    </w:p>
    <w:p w14:paraId="70C407FD" w14:textId="77777777" w:rsidR="00152B4F" w:rsidRPr="00220DD3" w:rsidRDefault="00152B4F" w:rsidP="00152B4F">
      <w:pPr>
        <w:pStyle w:val="Heading2"/>
      </w:pPr>
      <w:bookmarkStart w:id="17" w:name="_Toc413246181"/>
      <w:bookmarkStart w:id="18" w:name="_Toc47098273"/>
      <w:r w:rsidRPr="00220DD3">
        <w:t>What data is used to calculate Star Ratings?</w:t>
      </w:r>
      <w:bookmarkEnd w:id="17"/>
      <w:bookmarkEnd w:id="18"/>
    </w:p>
    <w:p w14:paraId="2B737869" w14:textId="77777777" w:rsidR="00152B4F" w:rsidRPr="001E57F1" w:rsidRDefault="00152B4F" w:rsidP="00152B4F">
      <w:pPr>
        <w:pStyle w:val="Heading3"/>
        <w:rPr>
          <w:rFonts w:cs="Times New Roman"/>
          <w:bCs w:val="0"/>
          <w:szCs w:val="24"/>
        </w:rPr>
      </w:pPr>
      <w:bookmarkStart w:id="19" w:name="_Toc47098274"/>
      <w:r w:rsidRPr="001E57F1">
        <w:rPr>
          <w:rFonts w:cs="Times New Roman"/>
          <w:bCs w:val="0"/>
          <w:szCs w:val="24"/>
        </w:rPr>
        <w:t>Two Year Rolling Assessment Period</w:t>
      </w:r>
      <w:bookmarkEnd w:id="19"/>
    </w:p>
    <w:p w14:paraId="07DF2598" w14:textId="77777777" w:rsidR="00152B4F" w:rsidRPr="00B51D72" w:rsidRDefault="00152B4F" w:rsidP="00152B4F">
      <w:pPr>
        <w:pStyle w:val="Default"/>
        <w:rPr>
          <w:rFonts w:cs="Times New Roman"/>
          <w:color w:val="auto"/>
          <w:sz w:val="22"/>
        </w:rPr>
      </w:pPr>
      <w:r w:rsidRPr="00B51D72">
        <w:rPr>
          <w:rFonts w:cs="Times New Roman"/>
          <w:color w:val="auto"/>
          <w:sz w:val="22"/>
        </w:rPr>
        <w:t>The DES Star Ratings model will be calculated quarterly to assess performance over a two year period, rather than three as in the previous model.  This will increase currency of ratings.  Refer to Table three for Assessment Periods for Star Ratings</w:t>
      </w:r>
      <w:r>
        <w:rPr>
          <w:rFonts w:cs="Times New Roman"/>
          <w:color w:val="auto"/>
          <w:sz w:val="22"/>
        </w:rPr>
        <w:t xml:space="preserve"> Releases</w:t>
      </w:r>
      <w:r w:rsidRPr="00B51D72">
        <w:rPr>
          <w:rFonts w:cs="Times New Roman"/>
          <w:color w:val="auto"/>
          <w:sz w:val="22"/>
        </w:rPr>
        <w:t>.</w:t>
      </w:r>
    </w:p>
    <w:p w14:paraId="16B1FCB5" w14:textId="77777777" w:rsidR="00152B4F" w:rsidRPr="00D07C87" w:rsidRDefault="00152B4F" w:rsidP="00152B4F">
      <w:pPr>
        <w:rPr>
          <w:szCs w:val="22"/>
        </w:rPr>
      </w:pPr>
    </w:p>
    <w:p w14:paraId="45385FFB" w14:textId="77777777" w:rsidR="00152B4F" w:rsidRPr="00D07C87" w:rsidRDefault="00152B4F" w:rsidP="00152B4F">
      <w:pPr>
        <w:rPr>
          <w:szCs w:val="22"/>
        </w:rPr>
      </w:pPr>
      <w:r w:rsidRPr="00D07C87">
        <w:rPr>
          <w:szCs w:val="22"/>
        </w:rPr>
        <w:t>A Participant will be included in the Star Ratings calculations of a Site if they:</w:t>
      </w:r>
    </w:p>
    <w:p w14:paraId="1EC6EAD1" w14:textId="77777777" w:rsidR="00152B4F" w:rsidRPr="00D07C87" w:rsidRDefault="00152B4F" w:rsidP="00152B4F">
      <w:pPr>
        <w:pStyle w:val="ListParagraph"/>
        <w:numPr>
          <w:ilvl w:val="0"/>
          <w:numId w:val="15"/>
        </w:numPr>
        <w:contextualSpacing w:val="0"/>
        <w:rPr>
          <w:szCs w:val="22"/>
        </w:rPr>
      </w:pPr>
      <w:r w:rsidRPr="00D07C87">
        <w:rPr>
          <w:szCs w:val="22"/>
        </w:rPr>
        <w:t>were still in assistance at the end of the two year rolling period at the Site</w:t>
      </w:r>
      <w:r>
        <w:rPr>
          <w:szCs w:val="22"/>
        </w:rPr>
        <w:t>;</w:t>
      </w:r>
      <w:r w:rsidRPr="00D07C87">
        <w:rPr>
          <w:szCs w:val="22"/>
        </w:rPr>
        <w:t xml:space="preserve"> </w:t>
      </w:r>
    </w:p>
    <w:p w14:paraId="502B041B" w14:textId="77777777" w:rsidR="00152B4F" w:rsidRPr="00D07C87" w:rsidRDefault="00152B4F" w:rsidP="00152B4F">
      <w:pPr>
        <w:pStyle w:val="ListParagraph"/>
        <w:numPr>
          <w:ilvl w:val="0"/>
          <w:numId w:val="15"/>
        </w:numPr>
        <w:contextualSpacing w:val="0"/>
        <w:rPr>
          <w:szCs w:val="22"/>
        </w:rPr>
      </w:pPr>
      <w:r>
        <w:rPr>
          <w:szCs w:val="22"/>
        </w:rPr>
        <w:t>E</w:t>
      </w:r>
      <w:r w:rsidRPr="00D07C87">
        <w:rPr>
          <w:szCs w:val="22"/>
        </w:rPr>
        <w:t>xited the Site during the two year rolling period</w:t>
      </w:r>
      <w:r>
        <w:rPr>
          <w:szCs w:val="22"/>
        </w:rPr>
        <w:t>;</w:t>
      </w:r>
      <w:r w:rsidRPr="00D07C87">
        <w:rPr>
          <w:szCs w:val="22"/>
        </w:rPr>
        <w:t xml:space="preserve"> </w:t>
      </w:r>
    </w:p>
    <w:p w14:paraId="1D4951C8" w14:textId="77777777" w:rsidR="00152B4F" w:rsidRPr="00D07C87" w:rsidRDefault="00152B4F" w:rsidP="00152B4F">
      <w:pPr>
        <w:pStyle w:val="ListParagraph"/>
        <w:numPr>
          <w:ilvl w:val="0"/>
          <w:numId w:val="15"/>
        </w:numPr>
        <w:contextualSpacing w:val="0"/>
        <w:rPr>
          <w:szCs w:val="22"/>
        </w:rPr>
      </w:pPr>
      <w:r>
        <w:rPr>
          <w:szCs w:val="22"/>
        </w:rPr>
        <w:t>E</w:t>
      </w:r>
      <w:r w:rsidRPr="00D07C87">
        <w:rPr>
          <w:szCs w:val="22"/>
        </w:rPr>
        <w:t xml:space="preserve">xited the Site prior to the two year rolling period but have an associated </w:t>
      </w:r>
      <w:r>
        <w:rPr>
          <w:szCs w:val="22"/>
        </w:rPr>
        <w:t>O</w:t>
      </w:r>
      <w:r w:rsidRPr="00D07C87">
        <w:rPr>
          <w:szCs w:val="22"/>
        </w:rPr>
        <w:t>utcome which was lodged during the two year period at the Site</w:t>
      </w:r>
      <w:r>
        <w:rPr>
          <w:szCs w:val="22"/>
        </w:rPr>
        <w:t>;</w:t>
      </w:r>
      <w:r w:rsidRPr="00D07C87">
        <w:rPr>
          <w:szCs w:val="22"/>
        </w:rPr>
        <w:t xml:space="preserve"> </w:t>
      </w:r>
    </w:p>
    <w:p w14:paraId="20D3348F" w14:textId="77777777" w:rsidR="00152B4F" w:rsidRPr="00D07C87" w:rsidRDefault="00152B4F" w:rsidP="00152B4F">
      <w:pPr>
        <w:pStyle w:val="ListParagraph"/>
        <w:numPr>
          <w:ilvl w:val="0"/>
          <w:numId w:val="15"/>
        </w:numPr>
        <w:rPr>
          <w:color w:val="000000"/>
        </w:rPr>
      </w:pPr>
      <w:r>
        <w:rPr>
          <w:color w:val="000000"/>
        </w:rPr>
        <w:t>E</w:t>
      </w:r>
      <w:r w:rsidRPr="00D07C87">
        <w:rPr>
          <w:color w:val="000000"/>
        </w:rPr>
        <w:t>xited prior to the two year rolling period but had an ongoing support employment verification date which is within the two year rolling period.</w:t>
      </w:r>
    </w:p>
    <w:p w14:paraId="61940FB0" w14:textId="77777777" w:rsidR="00152B4F" w:rsidRPr="00D07C87" w:rsidRDefault="00152B4F" w:rsidP="00152B4F">
      <w:pPr>
        <w:rPr>
          <w:szCs w:val="22"/>
        </w:rPr>
      </w:pPr>
    </w:p>
    <w:p w14:paraId="082AC68E" w14:textId="77777777" w:rsidR="00152B4F" w:rsidRPr="00D07C87" w:rsidRDefault="00152B4F" w:rsidP="00152B4F">
      <w:pPr>
        <w:rPr>
          <w:szCs w:val="22"/>
        </w:rPr>
      </w:pPr>
      <w:r w:rsidRPr="00D07C87">
        <w:rPr>
          <w:szCs w:val="22"/>
        </w:rPr>
        <w:t xml:space="preserve">The outcome claims to be included in Star Ratings calculations are those which were lodged during the two year period and which have not been subsequently recovered or withdrawn. </w:t>
      </w:r>
    </w:p>
    <w:p w14:paraId="6C0FF379" w14:textId="77777777" w:rsidR="00152B4F" w:rsidRPr="00D07C87" w:rsidRDefault="00152B4F" w:rsidP="00152B4F">
      <w:pPr>
        <w:rPr>
          <w:szCs w:val="22"/>
        </w:rPr>
      </w:pPr>
    </w:p>
    <w:p w14:paraId="3AFC6A82" w14:textId="77777777" w:rsidR="00152B4F" w:rsidRPr="00D07C87" w:rsidRDefault="00152B4F" w:rsidP="00152B4F">
      <w:pPr>
        <w:pStyle w:val="Default"/>
        <w:rPr>
          <w:sz w:val="22"/>
          <w:szCs w:val="22"/>
        </w:rPr>
      </w:pPr>
      <w:r w:rsidRPr="00D07C87">
        <w:rPr>
          <w:sz w:val="22"/>
          <w:szCs w:val="22"/>
        </w:rPr>
        <w:t>As an example, the following sets out the records that will be included in the September </w:t>
      </w:r>
      <w:r>
        <w:rPr>
          <w:sz w:val="22"/>
          <w:szCs w:val="22"/>
        </w:rPr>
        <w:t>2021</w:t>
      </w:r>
      <w:r w:rsidRPr="00D07C87">
        <w:rPr>
          <w:sz w:val="22"/>
          <w:szCs w:val="22"/>
        </w:rPr>
        <w:t xml:space="preserve"> ratings.  </w:t>
      </w:r>
    </w:p>
    <w:p w14:paraId="008ED951" w14:textId="77777777" w:rsidR="00152B4F" w:rsidRPr="00D07C87" w:rsidRDefault="00152B4F" w:rsidP="00152B4F">
      <w:pPr>
        <w:pStyle w:val="Default"/>
        <w:numPr>
          <w:ilvl w:val="0"/>
          <w:numId w:val="14"/>
        </w:numPr>
        <w:adjustRightInd/>
        <w:rPr>
          <w:sz w:val="22"/>
          <w:szCs w:val="22"/>
        </w:rPr>
      </w:pPr>
      <w:r w:rsidRPr="00D07C87">
        <w:rPr>
          <w:sz w:val="22"/>
          <w:szCs w:val="22"/>
        </w:rPr>
        <w:t>outcome claims which were lodged between 1 October 201</w:t>
      </w:r>
      <w:r>
        <w:rPr>
          <w:sz w:val="22"/>
          <w:szCs w:val="22"/>
        </w:rPr>
        <w:t>9</w:t>
      </w:r>
      <w:r w:rsidRPr="00D07C87">
        <w:rPr>
          <w:sz w:val="22"/>
          <w:szCs w:val="22"/>
        </w:rPr>
        <w:t xml:space="preserve"> and 30 September 202</w:t>
      </w:r>
      <w:r>
        <w:rPr>
          <w:sz w:val="22"/>
          <w:szCs w:val="22"/>
        </w:rPr>
        <w:t>1</w:t>
      </w:r>
      <w:r w:rsidRPr="00D07C87">
        <w:rPr>
          <w:sz w:val="22"/>
          <w:szCs w:val="22"/>
        </w:rPr>
        <w:t xml:space="preserve"> (with a current status of Pending or Approved). </w:t>
      </w:r>
    </w:p>
    <w:p w14:paraId="0333B4F9" w14:textId="77777777" w:rsidR="00152B4F" w:rsidRPr="00D07C87" w:rsidRDefault="00152B4F" w:rsidP="00152B4F">
      <w:pPr>
        <w:pStyle w:val="Default"/>
        <w:numPr>
          <w:ilvl w:val="0"/>
          <w:numId w:val="14"/>
        </w:numPr>
        <w:adjustRightInd/>
        <w:rPr>
          <w:sz w:val="22"/>
          <w:szCs w:val="22"/>
        </w:rPr>
      </w:pPr>
      <w:r w:rsidRPr="00D07C87">
        <w:rPr>
          <w:sz w:val="22"/>
          <w:szCs w:val="22"/>
        </w:rPr>
        <w:t>Participants who;</w:t>
      </w:r>
    </w:p>
    <w:p w14:paraId="71B25EF1" w14:textId="77777777" w:rsidR="00152B4F" w:rsidRPr="00D07C87" w:rsidRDefault="00152B4F" w:rsidP="00152B4F">
      <w:pPr>
        <w:pStyle w:val="Default"/>
        <w:numPr>
          <w:ilvl w:val="0"/>
          <w:numId w:val="16"/>
        </w:numPr>
        <w:adjustRightInd/>
        <w:ind w:left="1134" w:hanging="425"/>
        <w:rPr>
          <w:sz w:val="22"/>
          <w:szCs w:val="22"/>
        </w:rPr>
      </w:pPr>
      <w:r>
        <w:rPr>
          <w:sz w:val="22"/>
          <w:szCs w:val="22"/>
        </w:rPr>
        <w:t>E</w:t>
      </w:r>
      <w:r w:rsidRPr="00D07C87">
        <w:rPr>
          <w:sz w:val="22"/>
          <w:szCs w:val="22"/>
        </w:rPr>
        <w:t>xited assistance between 1 October 201</w:t>
      </w:r>
      <w:r>
        <w:rPr>
          <w:sz w:val="22"/>
          <w:szCs w:val="22"/>
        </w:rPr>
        <w:t>9</w:t>
      </w:r>
      <w:r w:rsidRPr="00D07C87">
        <w:rPr>
          <w:sz w:val="22"/>
          <w:szCs w:val="22"/>
        </w:rPr>
        <w:t xml:space="preserve"> and 30 September 202</w:t>
      </w:r>
      <w:r>
        <w:rPr>
          <w:sz w:val="22"/>
          <w:szCs w:val="22"/>
        </w:rPr>
        <w:t>1</w:t>
      </w:r>
      <w:r w:rsidRPr="00D07C87">
        <w:rPr>
          <w:sz w:val="22"/>
          <w:szCs w:val="22"/>
        </w:rPr>
        <w:t xml:space="preserve"> or</w:t>
      </w:r>
    </w:p>
    <w:p w14:paraId="62F12883" w14:textId="77777777" w:rsidR="00152B4F" w:rsidRPr="00D07C87" w:rsidRDefault="00152B4F" w:rsidP="00152B4F">
      <w:pPr>
        <w:pStyle w:val="Default"/>
        <w:numPr>
          <w:ilvl w:val="0"/>
          <w:numId w:val="17"/>
        </w:numPr>
        <w:adjustRightInd/>
        <w:ind w:left="1134" w:hanging="425"/>
        <w:rPr>
          <w:sz w:val="22"/>
          <w:szCs w:val="22"/>
        </w:rPr>
      </w:pPr>
      <w:r w:rsidRPr="00D07C87">
        <w:rPr>
          <w:sz w:val="22"/>
          <w:szCs w:val="22"/>
        </w:rPr>
        <w:t>were actively in assistance at the end of September 202</w:t>
      </w:r>
      <w:r>
        <w:rPr>
          <w:sz w:val="22"/>
          <w:szCs w:val="22"/>
        </w:rPr>
        <w:t>1</w:t>
      </w:r>
      <w:r w:rsidRPr="00D07C87">
        <w:rPr>
          <w:sz w:val="22"/>
          <w:szCs w:val="22"/>
        </w:rPr>
        <w:t xml:space="preserve"> or</w:t>
      </w:r>
    </w:p>
    <w:p w14:paraId="58AC1CE7" w14:textId="77777777" w:rsidR="00152B4F" w:rsidRPr="00D07C87" w:rsidRDefault="00152B4F" w:rsidP="00152B4F">
      <w:pPr>
        <w:pStyle w:val="Default"/>
        <w:numPr>
          <w:ilvl w:val="0"/>
          <w:numId w:val="18"/>
        </w:numPr>
        <w:adjustRightInd/>
        <w:ind w:left="1134" w:hanging="425"/>
        <w:rPr>
          <w:sz w:val="22"/>
          <w:szCs w:val="22"/>
        </w:rPr>
      </w:pPr>
      <w:r>
        <w:rPr>
          <w:sz w:val="22"/>
          <w:szCs w:val="22"/>
        </w:rPr>
        <w:t>E</w:t>
      </w:r>
      <w:r w:rsidRPr="00D07C87">
        <w:rPr>
          <w:sz w:val="22"/>
          <w:szCs w:val="22"/>
        </w:rPr>
        <w:t>xited assistance prior to October 201</w:t>
      </w:r>
      <w:r>
        <w:rPr>
          <w:sz w:val="22"/>
          <w:szCs w:val="22"/>
        </w:rPr>
        <w:t>9</w:t>
      </w:r>
      <w:r w:rsidRPr="00D07C87">
        <w:rPr>
          <w:sz w:val="22"/>
          <w:szCs w:val="22"/>
        </w:rPr>
        <w:t xml:space="preserve"> but have an outcome claim that was lodged during the two year period. </w:t>
      </w:r>
    </w:p>
    <w:p w14:paraId="5DDDB8A9" w14:textId="77777777" w:rsidR="00152B4F" w:rsidRPr="00D07C87" w:rsidRDefault="00152B4F" w:rsidP="00152B4F">
      <w:pPr>
        <w:pStyle w:val="Default"/>
        <w:adjustRightInd/>
        <w:rPr>
          <w:sz w:val="22"/>
          <w:szCs w:val="22"/>
        </w:rPr>
      </w:pPr>
    </w:p>
    <w:p w14:paraId="1E021712" w14:textId="77777777" w:rsidR="00152B4F" w:rsidRDefault="00152B4F" w:rsidP="00152B4F">
      <w:pPr>
        <w:pStyle w:val="Default"/>
        <w:adjustRightInd/>
        <w:rPr>
          <w:sz w:val="22"/>
          <w:szCs w:val="22"/>
        </w:rPr>
      </w:pPr>
      <w:r w:rsidRPr="00D07C87">
        <w:rPr>
          <w:sz w:val="22"/>
          <w:szCs w:val="22"/>
        </w:rPr>
        <w:t xml:space="preserve">For example, a DES-ESS commencement record for a Participant who </w:t>
      </w:r>
      <w:r>
        <w:rPr>
          <w:sz w:val="22"/>
          <w:szCs w:val="22"/>
        </w:rPr>
        <w:t>E</w:t>
      </w:r>
      <w:r w:rsidRPr="00D07C87">
        <w:rPr>
          <w:sz w:val="22"/>
          <w:szCs w:val="22"/>
        </w:rPr>
        <w:t>xited in August 201</w:t>
      </w:r>
      <w:r>
        <w:rPr>
          <w:sz w:val="22"/>
          <w:szCs w:val="22"/>
        </w:rPr>
        <w:t>9</w:t>
      </w:r>
      <w:r w:rsidRPr="00D07C87">
        <w:rPr>
          <w:sz w:val="22"/>
          <w:szCs w:val="22"/>
        </w:rPr>
        <w:t xml:space="preserve"> has an associated 13 Week Full Outcome that was lodged in November 201</w:t>
      </w:r>
      <w:r>
        <w:rPr>
          <w:sz w:val="22"/>
          <w:szCs w:val="22"/>
        </w:rPr>
        <w:t>9</w:t>
      </w:r>
      <w:r w:rsidRPr="00D07C87">
        <w:rPr>
          <w:sz w:val="22"/>
          <w:szCs w:val="22"/>
        </w:rPr>
        <w:t xml:space="preserve"> (i.e. a special</w:t>
      </w:r>
      <w:r>
        <w:rPr>
          <w:sz w:val="22"/>
          <w:szCs w:val="22"/>
        </w:rPr>
        <w:t xml:space="preserve"> claim),</w:t>
      </w:r>
      <w:r w:rsidRPr="00ED16EE">
        <w:rPr>
          <w:sz w:val="22"/>
          <w:szCs w:val="22"/>
        </w:rPr>
        <w:t xml:space="preserve"> but</w:t>
      </w:r>
      <w:r>
        <w:rPr>
          <w:sz w:val="22"/>
          <w:szCs w:val="22"/>
        </w:rPr>
        <w:t xml:space="preserve"> has</w:t>
      </w:r>
      <w:r w:rsidRPr="00ED16EE">
        <w:rPr>
          <w:sz w:val="22"/>
          <w:szCs w:val="22"/>
        </w:rPr>
        <w:t xml:space="preserve"> no 13</w:t>
      </w:r>
      <w:r>
        <w:rPr>
          <w:sz w:val="22"/>
          <w:szCs w:val="22"/>
        </w:rPr>
        <w:t xml:space="preserve"> Week</w:t>
      </w:r>
      <w:r w:rsidRPr="00ED16EE">
        <w:rPr>
          <w:sz w:val="22"/>
          <w:szCs w:val="22"/>
        </w:rPr>
        <w:t xml:space="preserve"> </w:t>
      </w:r>
      <w:r>
        <w:rPr>
          <w:sz w:val="22"/>
          <w:szCs w:val="22"/>
        </w:rPr>
        <w:t>P</w:t>
      </w:r>
      <w:r w:rsidRPr="00ED16EE">
        <w:rPr>
          <w:sz w:val="22"/>
          <w:szCs w:val="22"/>
        </w:rPr>
        <w:t xml:space="preserve">athway </w:t>
      </w:r>
      <w:r>
        <w:rPr>
          <w:sz w:val="22"/>
          <w:szCs w:val="22"/>
        </w:rPr>
        <w:t>O</w:t>
      </w:r>
      <w:r w:rsidRPr="00ED16EE">
        <w:rPr>
          <w:sz w:val="22"/>
          <w:szCs w:val="22"/>
        </w:rPr>
        <w:t xml:space="preserve">utcome. This commencement record would be included in the </w:t>
      </w:r>
      <w:r>
        <w:rPr>
          <w:sz w:val="22"/>
          <w:szCs w:val="22"/>
        </w:rPr>
        <w:t>DES-ESS</w:t>
      </w:r>
      <w:r w:rsidRPr="00ED16EE">
        <w:rPr>
          <w:sz w:val="22"/>
          <w:szCs w:val="22"/>
        </w:rPr>
        <w:t xml:space="preserve"> 13</w:t>
      </w:r>
      <w:r>
        <w:rPr>
          <w:sz w:val="22"/>
          <w:szCs w:val="22"/>
        </w:rPr>
        <w:t xml:space="preserve"> Week</w:t>
      </w:r>
      <w:r w:rsidRPr="00ED16EE">
        <w:rPr>
          <w:sz w:val="22"/>
          <w:szCs w:val="22"/>
        </w:rPr>
        <w:t xml:space="preserve"> </w:t>
      </w:r>
      <w:r>
        <w:rPr>
          <w:sz w:val="22"/>
          <w:szCs w:val="22"/>
        </w:rPr>
        <w:t>F</w:t>
      </w:r>
      <w:r w:rsidRPr="00ED16EE">
        <w:rPr>
          <w:sz w:val="22"/>
          <w:szCs w:val="22"/>
        </w:rPr>
        <w:t xml:space="preserve">ull </w:t>
      </w:r>
      <w:r>
        <w:rPr>
          <w:sz w:val="22"/>
          <w:szCs w:val="22"/>
        </w:rPr>
        <w:t>O</w:t>
      </w:r>
      <w:r w:rsidRPr="00ED16EE">
        <w:rPr>
          <w:sz w:val="22"/>
          <w:szCs w:val="22"/>
        </w:rPr>
        <w:t>utcome performance measure but not the 13</w:t>
      </w:r>
      <w:r>
        <w:rPr>
          <w:sz w:val="22"/>
          <w:szCs w:val="22"/>
        </w:rPr>
        <w:t xml:space="preserve"> Week</w:t>
      </w:r>
      <w:r w:rsidRPr="00ED16EE">
        <w:rPr>
          <w:sz w:val="22"/>
          <w:szCs w:val="22"/>
        </w:rPr>
        <w:t xml:space="preserve"> </w:t>
      </w:r>
      <w:r>
        <w:rPr>
          <w:sz w:val="22"/>
          <w:szCs w:val="22"/>
        </w:rPr>
        <w:t>P</w:t>
      </w:r>
      <w:r w:rsidRPr="00ED16EE">
        <w:rPr>
          <w:sz w:val="22"/>
          <w:szCs w:val="22"/>
        </w:rPr>
        <w:t xml:space="preserve">athway </w:t>
      </w:r>
      <w:r>
        <w:rPr>
          <w:sz w:val="22"/>
          <w:szCs w:val="22"/>
        </w:rPr>
        <w:t>O</w:t>
      </w:r>
      <w:r w:rsidRPr="00ED16EE">
        <w:rPr>
          <w:sz w:val="22"/>
          <w:szCs w:val="22"/>
        </w:rPr>
        <w:t>utcome performance measure.</w:t>
      </w:r>
    </w:p>
    <w:p w14:paraId="513BC1B0" w14:textId="77777777" w:rsidR="00152B4F" w:rsidRDefault="00152B4F" w:rsidP="00152B4F"/>
    <w:p w14:paraId="7C8266F5" w14:textId="77777777" w:rsidR="00152B4F" w:rsidRPr="001E57F1" w:rsidRDefault="00152B4F" w:rsidP="00152B4F">
      <w:pPr>
        <w:pStyle w:val="Heading3"/>
        <w:rPr>
          <w:rFonts w:cs="Times New Roman"/>
          <w:bCs w:val="0"/>
          <w:szCs w:val="24"/>
        </w:rPr>
      </w:pPr>
      <w:bookmarkStart w:id="20" w:name="_Toc47098275"/>
      <w:r w:rsidRPr="001E57F1">
        <w:rPr>
          <w:rFonts w:cs="Times New Roman"/>
          <w:bCs w:val="0"/>
          <w:szCs w:val="24"/>
        </w:rPr>
        <w:t>Claim cut-off date for Star Ratings perio</w:t>
      </w:r>
      <w:r>
        <w:rPr>
          <w:rFonts w:cs="Times New Roman"/>
          <w:bCs w:val="0"/>
          <w:szCs w:val="24"/>
        </w:rPr>
        <w:t>d</w:t>
      </w:r>
      <w:bookmarkEnd w:id="20"/>
    </w:p>
    <w:p w14:paraId="31B4C608" w14:textId="77777777" w:rsidR="00152B4F" w:rsidRPr="00B51D72" w:rsidRDefault="00152B4F" w:rsidP="00152B4F">
      <w:r w:rsidRPr="00B51D72">
        <w:t>The cut-off date for pending and approved claims to be included in the DES Star Ratings is as follows:</w:t>
      </w:r>
    </w:p>
    <w:p w14:paraId="7F1DF2A6" w14:textId="77777777" w:rsidR="00152B4F" w:rsidRPr="00B51D72" w:rsidRDefault="00152B4F" w:rsidP="00152B4F">
      <w:pPr>
        <w:pStyle w:val="ListParagraph"/>
        <w:numPr>
          <w:ilvl w:val="0"/>
          <w:numId w:val="19"/>
        </w:numPr>
        <w:rPr>
          <w:szCs w:val="22"/>
        </w:rPr>
      </w:pPr>
      <w:r w:rsidRPr="00B51D72">
        <w:rPr>
          <w:szCs w:val="22"/>
        </w:rPr>
        <w:t>Last business day (Friday or end of month) of the quarter (i.e. during the week and not a public holiday) for the March, June and September quarter Star Ratings</w:t>
      </w:r>
    </w:p>
    <w:p w14:paraId="3AF2D107" w14:textId="77777777" w:rsidR="00152B4F" w:rsidRPr="00B51D72" w:rsidRDefault="00152B4F" w:rsidP="00152B4F">
      <w:pPr>
        <w:pStyle w:val="ListParagraph"/>
        <w:numPr>
          <w:ilvl w:val="0"/>
          <w:numId w:val="19"/>
        </w:numPr>
        <w:rPr>
          <w:szCs w:val="22"/>
        </w:rPr>
      </w:pPr>
      <w:r w:rsidRPr="00B51D72">
        <w:rPr>
          <w:szCs w:val="22"/>
        </w:rPr>
        <w:t>First available Friday in January for the December Star Ratings.</w:t>
      </w:r>
    </w:p>
    <w:p w14:paraId="1049C3CD" w14:textId="77777777" w:rsidR="00152B4F" w:rsidRPr="00B51D72" w:rsidRDefault="00152B4F" w:rsidP="00152B4F">
      <w:pPr>
        <w:rPr>
          <w:szCs w:val="22"/>
        </w:rPr>
      </w:pPr>
    </w:p>
    <w:p w14:paraId="78E9432C" w14:textId="77777777" w:rsidR="00152B4F" w:rsidRPr="00437484" w:rsidRDefault="00152B4F" w:rsidP="00152B4F">
      <w:pPr>
        <w:rPr>
          <w:szCs w:val="22"/>
        </w:rPr>
      </w:pPr>
      <w:r w:rsidRPr="00B51D72">
        <w:rPr>
          <w:szCs w:val="22"/>
        </w:rPr>
        <w:t xml:space="preserve">For example, for the March 2019 </w:t>
      </w:r>
      <w:r w:rsidRPr="00B51D72">
        <w:rPr>
          <w:i/>
          <w:szCs w:val="22"/>
        </w:rPr>
        <w:t>DES Star Ratings</w:t>
      </w:r>
      <w:r w:rsidRPr="00B51D72">
        <w:rPr>
          <w:szCs w:val="22"/>
        </w:rPr>
        <w:t xml:space="preserve"> 31 March 2019 will fall on a Sunday. Therefore, Friday 29 March 2019 will be used as the cut-off day that claims are accepted for the March 2019 Star Ratings. The claim cut-off is as described above, unless otherwise stated on the DES Provider Portal.  Please refer to release dates in the table below</w:t>
      </w:r>
      <w:r>
        <w:rPr>
          <w:szCs w:val="22"/>
        </w:rPr>
        <w:t>.</w:t>
      </w:r>
    </w:p>
    <w:p w14:paraId="27C2D590" w14:textId="77777777" w:rsidR="00152B4F" w:rsidRDefault="00152B4F" w:rsidP="00152B4F">
      <w:pPr>
        <w:rPr>
          <w:szCs w:val="22"/>
        </w:rPr>
      </w:pPr>
    </w:p>
    <w:p w14:paraId="7887C269" w14:textId="77777777" w:rsidR="00152B4F" w:rsidRPr="0035501C" w:rsidRDefault="00152B4F" w:rsidP="00152B4F">
      <w:pPr>
        <w:pStyle w:val="TableText0"/>
      </w:pPr>
      <w:bookmarkStart w:id="21" w:name="_Table__3:"/>
      <w:bookmarkEnd w:id="21"/>
      <w:r w:rsidRPr="0035501C">
        <w:t xml:space="preserve">Table 3: Assessment Periods for Star Ratings Releases </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397"/>
        <w:gridCol w:w="2840"/>
      </w:tblGrid>
      <w:tr w:rsidR="00152B4F" w:rsidRPr="0035501C" w14:paraId="4ED0F204" w14:textId="77777777" w:rsidTr="009039E0">
        <w:trPr>
          <w:cantSplit/>
          <w:trHeight w:val="233"/>
          <w:tblHeader/>
        </w:trPr>
        <w:tc>
          <w:tcPr>
            <w:tcW w:w="2518" w:type="dxa"/>
            <w:shd w:val="clear" w:color="auto" w:fill="FFFFFF" w:themeFill="background1"/>
            <w:vAlign w:val="center"/>
          </w:tcPr>
          <w:p w14:paraId="0B3A32D4" w14:textId="77777777" w:rsidR="00152B4F" w:rsidRPr="0035501C" w:rsidRDefault="00152B4F" w:rsidP="009039E0">
            <w:pPr>
              <w:autoSpaceDE w:val="0"/>
              <w:autoSpaceDN w:val="0"/>
              <w:adjustRightInd w:val="0"/>
              <w:spacing w:before="60" w:after="60"/>
              <w:contextualSpacing/>
              <w:jc w:val="center"/>
              <w:rPr>
                <w:rFonts w:cs="Calibri"/>
                <w:b/>
                <w:bCs/>
                <w:szCs w:val="22"/>
                <w:lang w:val="en-US" w:eastAsia="zh-CN"/>
              </w:rPr>
            </w:pPr>
            <w:r w:rsidRPr="0035501C">
              <w:rPr>
                <w:rFonts w:cs="Calibri"/>
                <w:b/>
                <w:bCs/>
                <w:szCs w:val="22"/>
                <w:lang w:val="en-US" w:eastAsia="zh-CN"/>
              </w:rPr>
              <w:t xml:space="preserve">Star Ratings Release </w:t>
            </w:r>
          </w:p>
        </w:tc>
        <w:tc>
          <w:tcPr>
            <w:tcW w:w="3397" w:type="dxa"/>
            <w:shd w:val="clear" w:color="auto" w:fill="FFFFFF" w:themeFill="background1"/>
            <w:vAlign w:val="center"/>
          </w:tcPr>
          <w:p w14:paraId="52BCAC15" w14:textId="77777777" w:rsidR="00152B4F" w:rsidRPr="0035501C" w:rsidRDefault="00152B4F" w:rsidP="009039E0">
            <w:pPr>
              <w:autoSpaceDE w:val="0"/>
              <w:autoSpaceDN w:val="0"/>
              <w:adjustRightInd w:val="0"/>
              <w:rPr>
                <w:rFonts w:cs="Calibri"/>
                <w:b/>
                <w:bCs/>
                <w:szCs w:val="22"/>
                <w:lang w:val="en-US" w:eastAsia="zh-CN"/>
              </w:rPr>
            </w:pPr>
            <w:r w:rsidRPr="0035501C">
              <w:rPr>
                <w:rFonts w:cs="Calibri"/>
                <w:b/>
                <w:bCs/>
                <w:szCs w:val="22"/>
                <w:lang w:val="en-US" w:eastAsia="zh-CN"/>
              </w:rPr>
              <w:t xml:space="preserve">Assessment Period </w:t>
            </w:r>
          </w:p>
        </w:tc>
        <w:tc>
          <w:tcPr>
            <w:tcW w:w="2840" w:type="dxa"/>
            <w:shd w:val="clear" w:color="auto" w:fill="FFFFFF" w:themeFill="background1"/>
            <w:vAlign w:val="center"/>
          </w:tcPr>
          <w:p w14:paraId="2B227CE5" w14:textId="77777777" w:rsidR="00152B4F" w:rsidRPr="0035501C" w:rsidRDefault="00152B4F" w:rsidP="009039E0">
            <w:pPr>
              <w:autoSpaceDE w:val="0"/>
              <w:autoSpaceDN w:val="0"/>
              <w:adjustRightInd w:val="0"/>
              <w:rPr>
                <w:rFonts w:cs="Calibri"/>
                <w:b/>
                <w:bCs/>
                <w:szCs w:val="22"/>
                <w:lang w:val="en-US" w:eastAsia="zh-CN"/>
              </w:rPr>
            </w:pPr>
            <w:r w:rsidRPr="0035501C">
              <w:rPr>
                <w:rFonts w:cs="Calibri"/>
                <w:b/>
                <w:bCs/>
                <w:szCs w:val="22"/>
                <w:lang w:val="en-US" w:eastAsia="zh-CN"/>
              </w:rPr>
              <w:t xml:space="preserve">Public Release Date / </w:t>
            </w:r>
          </w:p>
          <w:p w14:paraId="651E19CE" w14:textId="77777777" w:rsidR="00152B4F" w:rsidRPr="0035501C" w:rsidRDefault="00152B4F" w:rsidP="009039E0">
            <w:pPr>
              <w:autoSpaceDE w:val="0"/>
              <w:autoSpaceDN w:val="0"/>
              <w:adjustRightInd w:val="0"/>
              <w:rPr>
                <w:rFonts w:cs="Calibri"/>
                <w:b/>
                <w:bCs/>
                <w:szCs w:val="22"/>
                <w:lang w:val="en-US" w:eastAsia="zh-CN"/>
              </w:rPr>
            </w:pPr>
            <w:r w:rsidRPr="0035501C">
              <w:rPr>
                <w:rFonts w:cs="Calibri"/>
                <w:b/>
                <w:bCs/>
                <w:szCs w:val="22"/>
                <w:lang w:val="en-US" w:eastAsia="zh-CN"/>
              </w:rPr>
              <w:t>Anticipated Release month</w:t>
            </w:r>
          </w:p>
        </w:tc>
      </w:tr>
      <w:tr w:rsidR="00152B4F" w:rsidRPr="0035501C" w14:paraId="4E64D9E6" w14:textId="77777777" w:rsidTr="009039E0">
        <w:trPr>
          <w:trHeight w:val="99"/>
        </w:trPr>
        <w:tc>
          <w:tcPr>
            <w:tcW w:w="2518" w:type="dxa"/>
            <w:shd w:val="clear" w:color="auto" w:fill="F2F2F2"/>
          </w:tcPr>
          <w:p w14:paraId="40E158CC"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March 2019 </w:t>
            </w:r>
          </w:p>
        </w:tc>
        <w:tc>
          <w:tcPr>
            <w:tcW w:w="3397" w:type="dxa"/>
            <w:shd w:val="clear" w:color="auto" w:fill="F2F2F2"/>
          </w:tcPr>
          <w:p w14:paraId="20185FAE"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1 July 2018 – 29 March 2019 </w:t>
            </w:r>
          </w:p>
        </w:tc>
        <w:tc>
          <w:tcPr>
            <w:tcW w:w="2840" w:type="dxa"/>
            <w:shd w:val="clear" w:color="auto" w:fill="F2F2F2"/>
          </w:tcPr>
          <w:p w14:paraId="621B5A52"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April 2019 </w:t>
            </w:r>
          </w:p>
        </w:tc>
      </w:tr>
      <w:tr w:rsidR="00152B4F" w:rsidRPr="0035501C" w14:paraId="490A722C" w14:textId="77777777" w:rsidTr="009039E0">
        <w:trPr>
          <w:trHeight w:val="99"/>
        </w:trPr>
        <w:tc>
          <w:tcPr>
            <w:tcW w:w="2518" w:type="dxa"/>
          </w:tcPr>
          <w:p w14:paraId="0E082BCB"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June 2019 </w:t>
            </w:r>
          </w:p>
        </w:tc>
        <w:tc>
          <w:tcPr>
            <w:tcW w:w="3397" w:type="dxa"/>
          </w:tcPr>
          <w:p w14:paraId="6A84B90D"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1 July 2018 – 28 June 2019 </w:t>
            </w:r>
          </w:p>
        </w:tc>
        <w:tc>
          <w:tcPr>
            <w:tcW w:w="2840" w:type="dxa"/>
          </w:tcPr>
          <w:p w14:paraId="00BC0B4E"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July</w:t>
            </w:r>
            <w:r>
              <w:rPr>
                <w:sz w:val="20"/>
                <w:szCs w:val="20"/>
              </w:rPr>
              <w:t xml:space="preserve"> - August</w:t>
            </w:r>
            <w:r w:rsidRPr="0035501C">
              <w:rPr>
                <w:sz w:val="20"/>
                <w:szCs w:val="20"/>
              </w:rPr>
              <w:t xml:space="preserve"> 2019 </w:t>
            </w:r>
          </w:p>
        </w:tc>
      </w:tr>
      <w:tr w:rsidR="00152B4F" w:rsidRPr="0035501C" w14:paraId="68726A93" w14:textId="77777777" w:rsidTr="009039E0">
        <w:trPr>
          <w:trHeight w:val="99"/>
        </w:trPr>
        <w:tc>
          <w:tcPr>
            <w:tcW w:w="2518" w:type="dxa"/>
            <w:shd w:val="clear" w:color="auto" w:fill="F2F2F2"/>
          </w:tcPr>
          <w:p w14:paraId="30CADCBA"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September 2019 </w:t>
            </w:r>
          </w:p>
        </w:tc>
        <w:tc>
          <w:tcPr>
            <w:tcW w:w="3397" w:type="dxa"/>
            <w:shd w:val="clear" w:color="auto" w:fill="F2F2F2"/>
          </w:tcPr>
          <w:p w14:paraId="7182893C"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1 July 2018 – 4 October 2019 </w:t>
            </w:r>
          </w:p>
        </w:tc>
        <w:tc>
          <w:tcPr>
            <w:tcW w:w="2840" w:type="dxa"/>
            <w:shd w:val="clear" w:color="auto" w:fill="F2F2F2"/>
          </w:tcPr>
          <w:p w14:paraId="37D7AF72"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November 2019 </w:t>
            </w:r>
          </w:p>
        </w:tc>
      </w:tr>
      <w:tr w:rsidR="00152B4F" w:rsidRPr="0035501C" w14:paraId="4A4EF429" w14:textId="77777777" w:rsidTr="009039E0">
        <w:trPr>
          <w:trHeight w:val="99"/>
        </w:trPr>
        <w:tc>
          <w:tcPr>
            <w:tcW w:w="2518" w:type="dxa"/>
          </w:tcPr>
          <w:p w14:paraId="086F7228"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December 2019 </w:t>
            </w:r>
          </w:p>
        </w:tc>
        <w:tc>
          <w:tcPr>
            <w:tcW w:w="3397" w:type="dxa"/>
          </w:tcPr>
          <w:p w14:paraId="367B1976"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1 July 2018 – </w:t>
            </w:r>
            <w:r>
              <w:rPr>
                <w:sz w:val="20"/>
                <w:szCs w:val="20"/>
              </w:rPr>
              <w:t>13</w:t>
            </w:r>
            <w:r w:rsidRPr="0035501C">
              <w:rPr>
                <w:sz w:val="20"/>
                <w:szCs w:val="20"/>
              </w:rPr>
              <w:t xml:space="preserve"> January 2020 </w:t>
            </w:r>
          </w:p>
        </w:tc>
        <w:tc>
          <w:tcPr>
            <w:tcW w:w="2840" w:type="dxa"/>
          </w:tcPr>
          <w:p w14:paraId="2B8C8ECC"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February</w:t>
            </w:r>
            <w:r>
              <w:rPr>
                <w:sz w:val="20"/>
                <w:szCs w:val="20"/>
              </w:rPr>
              <w:t xml:space="preserve"> - March</w:t>
            </w:r>
            <w:r w:rsidRPr="0035501C">
              <w:rPr>
                <w:sz w:val="20"/>
                <w:szCs w:val="20"/>
              </w:rPr>
              <w:t xml:space="preserve"> 2020 </w:t>
            </w:r>
          </w:p>
        </w:tc>
      </w:tr>
      <w:tr w:rsidR="00152B4F" w:rsidRPr="0035501C" w14:paraId="50E2DF30" w14:textId="77777777" w:rsidTr="009039E0">
        <w:trPr>
          <w:trHeight w:val="99"/>
        </w:trPr>
        <w:tc>
          <w:tcPr>
            <w:tcW w:w="2518" w:type="dxa"/>
            <w:shd w:val="clear" w:color="auto" w:fill="F2F2F2"/>
          </w:tcPr>
          <w:p w14:paraId="51F9B0BF"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March 2020 </w:t>
            </w:r>
          </w:p>
        </w:tc>
        <w:tc>
          <w:tcPr>
            <w:tcW w:w="3397" w:type="dxa"/>
            <w:shd w:val="clear" w:color="auto" w:fill="F2F2F2"/>
          </w:tcPr>
          <w:p w14:paraId="72FE5FC8"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1 July 2018 – 31 March 2020 </w:t>
            </w:r>
          </w:p>
        </w:tc>
        <w:tc>
          <w:tcPr>
            <w:tcW w:w="2840" w:type="dxa"/>
            <w:shd w:val="clear" w:color="auto" w:fill="F2F2F2"/>
          </w:tcPr>
          <w:p w14:paraId="23AD780A"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April</w:t>
            </w:r>
            <w:r>
              <w:rPr>
                <w:sz w:val="20"/>
                <w:szCs w:val="20"/>
              </w:rPr>
              <w:t xml:space="preserve"> - May</w:t>
            </w:r>
            <w:r w:rsidRPr="0035501C">
              <w:rPr>
                <w:sz w:val="20"/>
                <w:szCs w:val="20"/>
              </w:rPr>
              <w:t xml:space="preserve"> 2020 </w:t>
            </w:r>
          </w:p>
        </w:tc>
      </w:tr>
      <w:tr w:rsidR="00152B4F" w:rsidRPr="0035501C" w14:paraId="6B15DB72" w14:textId="77777777" w:rsidTr="009039E0">
        <w:trPr>
          <w:trHeight w:val="99"/>
        </w:trPr>
        <w:tc>
          <w:tcPr>
            <w:tcW w:w="2518" w:type="dxa"/>
          </w:tcPr>
          <w:p w14:paraId="2A992030"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June 2020 </w:t>
            </w:r>
          </w:p>
        </w:tc>
        <w:tc>
          <w:tcPr>
            <w:tcW w:w="3397" w:type="dxa"/>
          </w:tcPr>
          <w:p w14:paraId="4F748C8E"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 xml:space="preserve">1 July 2018 – 30 June 2020 </w:t>
            </w:r>
          </w:p>
        </w:tc>
        <w:tc>
          <w:tcPr>
            <w:tcW w:w="2840" w:type="dxa"/>
          </w:tcPr>
          <w:p w14:paraId="4541097D" w14:textId="77777777" w:rsidR="00152B4F" w:rsidRPr="0035501C" w:rsidRDefault="00152B4F" w:rsidP="009039E0">
            <w:pPr>
              <w:autoSpaceDE w:val="0"/>
              <w:autoSpaceDN w:val="0"/>
              <w:adjustRightInd w:val="0"/>
              <w:rPr>
                <w:rFonts w:ascii="Calibri" w:hAnsi="Calibri" w:cs="Calibri"/>
                <w:color w:val="000000"/>
                <w:sz w:val="20"/>
                <w:szCs w:val="20"/>
                <w:lang w:eastAsia="ja-JP"/>
              </w:rPr>
            </w:pPr>
            <w:r w:rsidRPr="0035501C">
              <w:rPr>
                <w:sz w:val="20"/>
                <w:szCs w:val="20"/>
              </w:rPr>
              <w:t>July</w:t>
            </w:r>
            <w:r>
              <w:rPr>
                <w:sz w:val="20"/>
                <w:szCs w:val="20"/>
              </w:rPr>
              <w:t xml:space="preserve"> - August</w:t>
            </w:r>
            <w:r w:rsidRPr="0035501C">
              <w:rPr>
                <w:sz w:val="20"/>
                <w:szCs w:val="20"/>
              </w:rPr>
              <w:t xml:space="preserve"> 2020 </w:t>
            </w:r>
          </w:p>
        </w:tc>
      </w:tr>
      <w:tr w:rsidR="00152B4F" w:rsidRPr="0035501C" w14:paraId="069586A3" w14:textId="77777777" w:rsidTr="009039E0">
        <w:trPr>
          <w:trHeight w:val="99"/>
        </w:trPr>
        <w:tc>
          <w:tcPr>
            <w:tcW w:w="2518" w:type="dxa"/>
            <w:shd w:val="clear" w:color="auto" w:fill="F2F2F2"/>
          </w:tcPr>
          <w:p w14:paraId="409098DA" w14:textId="77777777" w:rsidR="00152B4F" w:rsidRPr="0035501C" w:rsidRDefault="00152B4F" w:rsidP="009039E0">
            <w:pPr>
              <w:autoSpaceDE w:val="0"/>
              <w:autoSpaceDN w:val="0"/>
              <w:adjustRightInd w:val="0"/>
              <w:rPr>
                <w:sz w:val="20"/>
                <w:szCs w:val="20"/>
              </w:rPr>
            </w:pPr>
            <w:r w:rsidRPr="0035501C">
              <w:rPr>
                <w:sz w:val="20"/>
                <w:szCs w:val="20"/>
              </w:rPr>
              <w:t>September 2020</w:t>
            </w:r>
          </w:p>
        </w:tc>
        <w:tc>
          <w:tcPr>
            <w:tcW w:w="3397" w:type="dxa"/>
            <w:shd w:val="clear" w:color="auto" w:fill="F2F2F2"/>
          </w:tcPr>
          <w:p w14:paraId="0644C787" w14:textId="77777777" w:rsidR="00152B4F" w:rsidRPr="0035501C" w:rsidRDefault="00152B4F" w:rsidP="009039E0">
            <w:pPr>
              <w:autoSpaceDE w:val="0"/>
              <w:autoSpaceDN w:val="0"/>
              <w:adjustRightInd w:val="0"/>
              <w:rPr>
                <w:sz w:val="20"/>
                <w:szCs w:val="20"/>
              </w:rPr>
            </w:pPr>
            <w:r w:rsidRPr="0035501C">
              <w:rPr>
                <w:sz w:val="20"/>
                <w:szCs w:val="20"/>
              </w:rPr>
              <w:t>1 October 2018 – 30 September 2020</w:t>
            </w:r>
          </w:p>
        </w:tc>
        <w:tc>
          <w:tcPr>
            <w:tcW w:w="2840" w:type="dxa"/>
            <w:shd w:val="clear" w:color="auto" w:fill="F2F2F2"/>
          </w:tcPr>
          <w:p w14:paraId="17A741D7" w14:textId="77777777" w:rsidR="00152B4F" w:rsidRPr="0035501C" w:rsidRDefault="00152B4F" w:rsidP="009039E0">
            <w:pPr>
              <w:autoSpaceDE w:val="0"/>
              <w:autoSpaceDN w:val="0"/>
              <w:adjustRightInd w:val="0"/>
              <w:rPr>
                <w:sz w:val="20"/>
                <w:szCs w:val="20"/>
              </w:rPr>
            </w:pPr>
            <w:r w:rsidRPr="0035501C">
              <w:rPr>
                <w:sz w:val="20"/>
                <w:szCs w:val="20"/>
              </w:rPr>
              <w:t>October</w:t>
            </w:r>
            <w:r>
              <w:rPr>
                <w:sz w:val="20"/>
                <w:szCs w:val="20"/>
              </w:rPr>
              <w:t xml:space="preserve"> - November</w:t>
            </w:r>
            <w:r w:rsidRPr="0035501C">
              <w:rPr>
                <w:sz w:val="20"/>
                <w:szCs w:val="20"/>
              </w:rPr>
              <w:t xml:space="preserve"> 2020</w:t>
            </w:r>
          </w:p>
        </w:tc>
      </w:tr>
      <w:tr w:rsidR="00152B4F" w:rsidRPr="0035501C" w14:paraId="5326E3BF" w14:textId="77777777" w:rsidTr="009039E0">
        <w:trPr>
          <w:trHeight w:val="99"/>
        </w:trPr>
        <w:tc>
          <w:tcPr>
            <w:tcW w:w="2518" w:type="dxa"/>
          </w:tcPr>
          <w:p w14:paraId="315AD12A" w14:textId="77777777" w:rsidR="00152B4F" w:rsidRPr="0035501C" w:rsidRDefault="00152B4F" w:rsidP="009039E0">
            <w:pPr>
              <w:autoSpaceDE w:val="0"/>
              <w:autoSpaceDN w:val="0"/>
              <w:adjustRightInd w:val="0"/>
              <w:rPr>
                <w:sz w:val="20"/>
                <w:szCs w:val="20"/>
              </w:rPr>
            </w:pPr>
            <w:r w:rsidRPr="0035501C">
              <w:rPr>
                <w:sz w:val="20"/>
                <w:szCs w:val="20"/>
              </w:rPr>
              <w:t>December 2020</w:t>
            </w:r>
          </w:p>
        </w:tc>
        <w:tc>
          <w:tcPr>
            <w:tcW w:w="3397" w:type="dxa"/>
          </w:tcPr>
          <w:p w14:paraId="041709B5" w14:textId="77777777" w:rsidR="00152B4F" w:rsidRPr="0035501C" w:rsidRDefault="00152B4F" w:rsidP="009039E0">
            <w:pPr>
              <w:autoSpaceDE w:val="0"/>
              <w:autoSpaceDN w:val="0"/>
              <w:adjustRightInd w:val="0"/>
              <w:rPr>
                <w:sz w:val="20"/>
                <w:szCs w:val="20"/>
              </w:rPr>
            </w:pPr>
            <w:r w:rsidRPr="0035501C">
              <w:rPr>
                <w:sz w:val="20"/>
                <w:szCs w:val="20"/>
              </w:rPr>
              <w:t>1 January 2019 – 8 January 2021</w:t>
            </w:r>
          </w:p>
        </w:tc>
        <w:tc>
          <w:tcPr>
            <w:tcW w:w="2840" w:type="dxa"/>
          </w:tcPr>
          <w:p w14:paraId="02DC293E" w14:textId="77777777" w:rsidR="00152B4F" w:rsidRPr="0035501C" w:rsidRDefault="00152B4F" w:rsidP="009039E0">
            <w:pPr>
              <w:autoSpaceDE w:val="0"/>
              <w:autoSpaceDN w:val="0"/>
              <w:adjustRightInd w:val="0"/>
              <w:rPr>
                <w:sz w:val="20"/>
                <w:szCs w:val="20"/>
              </w:rPr>
            </w:pPr>
            <w:r w:rsidRPr="0035501C">
              <w:rPr>
                <w:sz w:val="20"/>
                <w:szCs w:val="20"/>
              </w:rPr>
              <w:t>February</w:t>
            </w:r>
            <w:r>
              <w:rPr>
                <w:sz w:val="20"/>
                <w:szCs w:val="20"/>
              </w:rPr>
              <w:t xml:space="preserve"> - March</w:t>
            </w:r>
            <w:r w:rsidRPr="0035501C">
              <w:rPr>
                <w:sz w:val="20"/>
                <w:szCs w:val="20"/>
              </w:rPr>
              <w:t xml:space="preserve"> 2021 </w:t>
            </w:r>
          </w:p>
        </w:tc>
      </w:tr>
      <w:tr w:rsidR="00152B4F" w:rsidRPr="0035501C" w14:paraId="092207D4" w14:textId="77777777" w:rsidTr="009039E0">
        <w:trPr>
          <w:trHeight w:val="99"/>
        </w:trPr>
        <w:tc>
          <w:tcPr>
            <w:tcW w:w="2518" w:type="dxa"/>
            <w:shd w:val="clear" w:color="auto" w:fill="F2F2F2"/>
          </w:tcPr>
          <w:p w14:paraId="15FC0762" w14:textId="77777777" w:rsidR="00152B4F" w:rsidRPr="0035501C" w:rsidRDefault="00152B4F" w:rsidP="009039E0">
            <w:pPr>
              <w:autoSpaceDE w:val="0"/>
              <w:autoSpaceDN w:val="0"/>
              <w:adjustRightInd w:val="0"/>
              <w:rPr>
                <w:sz w:val="20"/>
                <w:szCs w:val="20"/>
              </w:rPr>
            </w:pPr>
            <w:r w:rsidRPr="0035501C">
              <w:rPr>
                <w:sz w:val="20"/>
                <w:szCs w:val="20"/>
              </w:rPr>
              <w:t xml:space="preserve">March 2021 </w:t>
            </w:r>
          </w:p>
        </w:tc>
        <w:tc>
          <w:tcPr>
            <w:tcW w:w="3397" w:type="dxa"/>
            <w:shd w:val="clear" w:color="auto" w:fill="F2F2F2"/>
          </w:tcPr>
          <w:p w14:paraId="00B401CA" w14:textId="77777777" w:rsidR="00152B4F" w:rsidRPr="0035501C" w:rsidRDefault="00152B4F" w:rsidP="009039E0">
            <w:pPr>
              <w:autoSpaceDE w:val="0"/>
              <w:autoSpaceDN w:val="0"/>
              <w:adjustRightInd w:val="0"/>
              <w:rPr>
                <w:sz w:val="20"/>
                <w:szCs w:val="20"/>
              </w:rPr>
            </w:pPr>
            <w:r w:rsidRPr="0035501C">
              <w:rPr>
                <w:sz w:val="20"/>
                <w:szCs w:val="20"/>
              </w:rPr>
              <w:t>1 April 2019 – 31 March 2021</w:t>
            </w:r>
          </w:p>
        </w:tc>
        <w:tc>
          <w:tcPr>
            <w:tcW w:w="2840" w:type="dxa"/>
            <w:shd w:val="clear" w:color="auto" w:fill="F2F2F2"/>
          </w:tcPr>
          <w:p w14:paraId="14B544ED" w14:textId="77777777" w:rsidR="00152B4F" w:rsidRPr="0035501C" w:rsidRDefault="00152B4F" w:rsidP="009039E0">
            <w:pPr>
              <w:autoSpaceDE w:val="0"/>
              <w:autoSpaceDN w:val="0"/>
              <w:adjustRightInd w:val="0"/>
              <w:rPr>
                <w:sz w:val="20"/>
                <w:szCs w:val="20"/>
              </w:rPr>
            </w:pPr>
            <w:r w:rsidRPr="0035501C">
              <w:rPr>
                <w:sz w:val="20"/>
                <w:szCs w:val="20"/>
              </w:rPr>
              <w:t xml:space="preserve">April </w:t>
            </w:r>
            <w:r>
              <w:rPr>
                <w:sz w:val="20"/>
                <w:szCs w:val="20"/>
              </w:rPr>
              <w:t xml:space="preserve">– May </w:t>
            </w:r>
            <w:r w:rsidRPr="0035501C">
              <w:rPr>
                <w:sz w:val="20"/>
                <w:szCs w:val="20"/>
              </w:rPr>
              <w:t xml:space="preserve">2021 </w:t>
            </w:r>
          </w:p>
        </w:tc>
      </w:tr>
      <w:tr w:rsidR="00152B4F" w:rsidRPr="0035501C" w14:paraId="3BCE77E2" w14:textId="77777777" w:rsidTr="009039E0">
        <w:trPr>
          <w:trHeight w:val="99"/>
        </w:trPr>
        <w:tc>
          <w:tcPr>
            <w:tcW w:w="2518" w:type="dxa"/>
          </w:tcPr>
          <w:p w14:paraId="7992F2D1" w14:textId="77777777" w:rsidR="00152B4F" w:rsidRPr="0035501C" w:rsidRDefault="00152B4F" w:rsidP="009039E0">
            <w:pPr>
              <w:autoSpaceDE w:val="0"/>
              <w:autoSpaceDN w:val="0"/>
              <w:adjustRightInd w:val="0"/>
              <w:rPr>
                <w:sz w:val="20"/>
                <w:szCs w:val="20"/>
              </w:rPr>
            </w:pPr>
            <w:r w:rsidRPr="0035501C">
              <w:rPr>
                <w:sz w:val="20"/>
                <w:szCs w:val="20"/>
              </w:rPr>
              <w:t>June 2021</w:t>
            </w:r>
          </w:p>
        </w:tc>
        <w:tc>
          <w:tcPr>
            <w:tcW w:w="3397" w:type="dxa"/>
          </w:tcPr>
          <w:p w14:paraId="157A3739" w14:textId="77777777" w:rsidR="00152B4F" w:rsidRPr="0035501C" w:rsidRDefault="00152B4F" w:rsidP="009039E0">
            <w:pPr>
              <w:autoSpaceDE w:val="0"/>
              <w:autoSpaceDN w:val="0"/>
              <w:adjustRightInd w:val="0"/>
              <w:rPr>
                <w:sz w:val="20"/>
                <w:szCs w:val="20"/>
              </w:rPr>
            </w:pPr>
            <w:r w:rsidRPr="0035501C">
              <w:rPr>
                <w:sz w:val="20"/>
                <w:szCs w:val="20"/>
              </w:rPr>
              <w:t>1 July 2019 – 30 June 2021</w:t>
            </w:r>
          </w:p>
        </w:tc>
        <w:tc>
          <w:tcPr>
            <w:tcW w:w="2840" w:type="dxa"/>
          </w:tcPr>
          <w:p w14:paraId="0CA5482C" w14:textId="77777777" w:rsidR="00152B4F" w:rsidRPr="0035501C" w:rsidRDefault="00152B4F" w:rsidP="009039E0">
            <w:pPr>
              <w:autoSpaceDE w:val="0"/>
              <w:autoSpaceDN w:val="0"/>
              <w:adjustRightInd w:val="0"/>
              <w:rPr>
                <w:sz w:val="20"/>
                <w:szCs w:val="20"/>
              </w:rPr>
            </w:pPr>
            <w:r w:rsidRPr="0035501C">
              <w:rPr>
                <w:sz w:val="20"/>
                <w:szCs w:val="20"/>
              </w:rPr>
              <w:t xml:space="preserve">July </w:t>
            </w:r>
            <w:r>
              <w:rPr>
                <w:sz w:val="20"/>
                <w:szCs w:val="20"/>
              </w:rPr>
              <w:t xml:space="preserve">– August </w:t>
            </w:r>
            <w:r w:rsidRPr="0035501C">
              <w:rPr>
                <w:sz w:val="20"/>
                <w:szCs w:val="20"/>
              </w:rPr>
              <w:t xml:space="preserve">2021 </w:t>
            </w:r>
          </w:p>
        </w:tc>
      </w:tr>
      <w:tr w:rsidR="00152B4F" w:rsidRPr="0035501C" w14:paraId="4526AECE" w14:textId="77777777" w:rsidTr="009039E0">
        <w:trPr>
          <w:trHeight w:val="99"/>
        </w:trPr>
        <w:tc>
          <w:tcPr>
            <w:tcW w:w="2518" w:type="dxa"/>
            <w:shd w:val="clear" w:color="auto" w:fill="F2F2F2"/>
          </w:tcPr>
          <w:p w14:paraId="7AD9DFE8" w14:textId="77777777" w:rsidR="00152B4F" w:rsidRPr="0035501C" w:rsidRDefault="00152B4F" w:rsidP="009039E0">
            <w:pPr>
              <w:autoSpaceDE w:val="0"/>
              <w:autoSpaceDN w:val="0"/>
              <w:adjustRightInd w:val="0"/>
              <w:rPr>
                <w:sz w:val="20"/>
                <w:szCs w:val="20"/>
              </w:rPr>
            </w:pPr>
            <w:r w:rsidRPr="0035501C">
              <w:rPr>
                <w:sz w:val="20"/>
                <w:szCs w:val="20"/>
              </w:rPr>
              <w:t>September 2021</w:t>
            </w:r>
          </w:p>
        </w:tc>
        <w:tc>
          <w:tcPr>
            <w:tcW w:w="3397" w:type="dxa"/>
            <w:shd w:val="clear" w:color="auto" w:fill="F2F2F2"/>
          </w:tcPr>
          <w:p w14:paraId="136FBA13" w14:textId="77777777" w:rsidR="00152B4F" w:rsidRPr="0035501C" w:rsidRDefault="00152B4F" w:rsidP="009039E0">
            <w:pPr>
              <w:autoSpaceDE w:val="0"/>
              <w:autoSpaceDN w:val="0"/>
              <w:adjustRightInd w:val="0"/>
              <w:rPr>
                <w:sz w:val="20"/>
                <w:szCs w:val="20"/>
              </w:rPr>
            </w:pPr>
            <w:r w:rsidRPr="0035501C">
              <w:rPr>
                <w:sz w:val="20"/>
                <w:szCs w:val="20"/>
              </w:rPr>
              <w:t>1 October 2019 – 30 September 2021</w:t>
            </w:r>
          </w:p>
        </w:tc>
        <w:tc>
          <w:tcPr>
            <w:tcW w:w="2840" w:type="dxa"/>
            <w:shd w:val="clear" w:color="auto" w:fill="F2F2F2"/>
          </w:tcPr>
          <w:p w14:paraId="404228DE" w14:textId="77777777" w:rsidR="00152B4F" w:rsidRPr="0035501C" w:rsidRDefault="00152B4F" w:rsidP="009039E0">
            <w:pPr>
              <w:autoSpaceDE w:val="0"/>
              <w:autoSpaceDN w:val="0"/>
              <w:adjustRightInd w:val="0"/>
              <w:rPr>
                <w:sz w:val="20"/>
                <w:szCs w:val="20"/>
              </w:rPr>
            </w:pPr>
            <w:r w:rsidRPr="0035501C">
              <w:rPr>
                <w:sz w:val="20"/>
                <w:szCs w:val="20"/>
              </w:rPr>
              <w:t xml:space="preserve">October </w:t>
            </w:r>
            <w:r>
              <w:rPr>
                <w:sz w:val="20"/>
                <w:szCs w:val="20"/>
              </w:rPr>
              <w:t xml:space="preserve">– November </w:t>
            </w:r>
            <w:r w:rsidRPr="0035501C">
              <w:rPr>
                <w:sz w:val="20"/>
                <w:szCs w:val="20"/>
              </w:rPr>
              <w:t>2021</w:t>
            </w:r>
          </w:p>
        </w:tc>
      </w:tr>
      <w:tr w:rsidR="00152B4F" w:rsidRPr="0035501C" w14:paraId="47BBE7B5" w14:textId="77777777" w:rsidTr="009039E0">
        <w:trPr>
          <w:trHeight w:val="99"/>
        </w:trPr>
        <w:tc>
          <w:tcPr>
            <w:tcW w:w="2518" w:type="dxa"/>
          </w:tcPr>
          <w:p w14:paraId="780CECB9" w14:textId="77777777" w:rsidR="00152B4F" w:rsidRPr="0035501C" w:rsidRDefault="00152B4F" w:rsidP="009039E0">
            <w:pPr>
              <w:autoSpaceDE w:val="0"/>
              <w:autoSpaceDN w:val="0"/>
              <w:adjustRightInd w:val="0"/>
              <w:rPr>
                <w:sz w:val="20"/>
                <w:szCs w:val="20"/>
              </w:rPr>
            </w:pPr>
            <w:r w:rsidRPr="0035501C">
              <w:rPr>
                <w:sz w:val="20"/>
                <w:szCs w:val="20"/>
              </w:rPr>
              <w:t>December 2021</w:t>
            </w:r>
          </w:p>
        </w:tc>
        <w:tc>
          <w:tcPr>
            <w:tcW w:w="3397" w:type="dxa"/>
          </w:tcPr>
          <w:p w14:paraId="22E277E2" w14:textId="77777777" w:rsidR="00152B4F" w:rsidRPr="0035501C" w:rsidRDefault="00152B4F" w:rsidP="009039E0">
            <w:pPr>
              <w:autoSpaceDE w:val="0"/>
              <w:autoSpaceDN w:val="0"/>
              <w:adjustRightInd w:val="0"/>
              <w:rPr>
                <w:sz w:val="20"/>
                <w:szCs w:val="20"/>
              </w:rPr>
            </w:pPr>
            <w:r w:rsidRPr="0035501C">
              <w:rPr>
                <w:sz w:val="20"/>
                <w:szCs w:val="20"/>
              </w:rPr>
              <w:t>1 January 2020 – 7 January 2022</w:t>
            </w:r>
          </w:p>
        </w:tc>
        <w:tc>
          <w:tcPr>
            <w:tcW w:w="2840" w:type="dxa"/>
          </w:tcPr>
          <w:p w14:paraId="651DEA8C" w14:textId="77777777" w:rsidR="00152B4F" w:rsidRPr="0035501C" w:rsidRDefault="00152B4F" w:rsidP="009039E0">
            <w:pPr>
              <w:autoSpaceDE w:val="0"/>
              <w:autoSpaceDN w:val="0"/>
              <w:adjustRightInd w:val="0"/>
              <w:rPr>
                <w:sz w:val="20"/>
                <w:szCs w:val="20"/>
              </w:rPr>
            </w:pPr>
            <w:r w:rsidRPr="0035501C">
              <w:rPr>
                <w:sz w:val="20"/>
                <w:szCs w:val="20"/>
              </w:rPr>
              <w:t xml:space="preserve">February </w:t>
            </w:r>
            <w:r>
              <w:rPr>
                <w:sz w:val="20"/>
                <w:szCs w:val="20"/>
              </w:rPr>
              <w:t xml:space="preserve">– March </w:t>
            </w:r>
            <w:r w:rsidRPr="0035501C">
              <w:rPr>
                <w:sz w:val="20"/>
                <w:szCs w:val="20"/>
              </w:rPr>
              <w:t>2022</w:t>
            </w:r>
          </w:p>
        </w:tc>
      </w:tr>
      <w:tr w:rsidR="00152B4F" w:rsidRPr="0035501C" w14:paraId="1C8F9499" w14:textId="77777777" w:rsidTr="009039E0">
        <w:trPr>
          <w:trHeight w:val="99"/>
        </w:trPr>
        <w:tc>
          <w:tcPr>
            <w:tcW w:w="2518" w:type="dxa"/>
            <w:shd w:val="clear" w:color="auto" w:fill="F2F2F2"/>
          </w:tcPr>
          <w:p w14:paraId="0EB4E558" w14:textId="77777777" w:rsidR="00152B4F" w:rsidRPr="0035501C" w:rsidRDefault="00152B4F" w:rsidP="009039E0">
            <w:pPr>
              <w:autoSpaceDE w:val="0"/>
              <w:autoSpaceDN w:val="0"/>
              <w:adjustRightInd w:val="0"/>
              <w:rPr>
                <w:sz w:val="20"/>
                <w:szCs w:val="20"/>
              </w:rPr>
            </w:pPr>
            <w:r w:rsidRPr="0035501C">
              <w:rPr>
                <w:sz w:val="20"/>
                <w:szCs w:val="20"/>
              </w:rPr>
              <w:t>March 2022</w:t>
            </w:r>
          </w:p>
        </w:tc>
        <w:tc>
          <w:tcPr>
            <w:tcW w:w="3397" w:type="dxa"/>
            <w:shd w:val="clear" w:color="auto" w:fill="F2F2F2"/>
          </w:tcPr>
          <w:p w14:paraId="4CCF2B99" w14:textId="77777777" w:rsidR="00152B4F" w:rsidRPr="0035501C" w:rsidRDefault="00152B4F" w:rsidP="009039E0">
            <w:pPr>
              <w:autoSpaceDE w:val="0"/>
              <w:autoSpaceDN w:val="0"/>
              <w:adjustRightInd w:val="0"/>
              <w:rPr>
                <w:sz w:val="20"/>
                <w:szCs w:val="20"/>
              </w:rPr>
            </w:pPr>
            <w:r w:rsidRPr="0035501C">
              <w:rPr>
                <w:sz w:val="20"/>
                <w:szCs w:val="20"/>
              </w:rPr>
              <w:t>1 April 2020 – 31 March 2022</w:t>
            </w:r>
          </w:p>
        </w:tc>
        <w:tc>
          <w:tcPr>
            <w:tcW w:w="2840" w:type="dxa"/>
            <w:shd w:val="clear" w:color="auto" w:fill="F2F2F2"/>
          </w:tcPr>
          <w:p w14:paraId="42C86320" w14:textId="77777777" w:rsidR="00152B4F" w:rsidRPr="0035501C" w:rsidRDefault="00152B4F" w:rsidP="009039E0">
            <w:pPr>
              <w:autoSpaceDE w:val="0"/>
              <w:autoSpaceDN w:val="0"/>
              <w:adjustRightInd w:val="0"/>
              <w:rPr>
                <w:sz w:val="20"/>
                <w:szCs w:val="20"/>
              </w:rPr>
            </w:pPr>
            <w:r w:rsidRPr="0035501C">
              <w:rPr>
                <w:sz w:val="20"/>
                <w:szCs w:val="20"/>
              </w:rPr>
              <w:t xml:space="preserve">April </w:t>
            </w:r>
            <w:r>
              <w:rPr>
                <w:sz w:val="20"/>
                <w:szCs w:val="20"/>
              </w:rPr>
              <w:t xml:space="preserve">– May </w:t>
            </w:r>
            <w:r w:rsidRPr="0035501C">
              <w:rPr>
                <w:sz w:val="20"/>
                <w:szCs w:val="20"/>
              </w:rPr>
              <w:t xml:space="preserve">2022 </w:t>
            </w:r>
          </w:p>
        </w:tc>
      </w:tr>
      <w:tr w:rsidR="00152B4F" w:rsidRPr="0035501C" w14:paraId="73EE971A" w14:textId="77777777" w:rsidTr="009039E0">
        <w:trPr>
          <w:trHeight w:val="99"/>
        </w:trPr>
        <w:tc>
          <w:tcPr>
            <w:tcW w:w="2518" w:type="dxa"/>
          </w:tcPr>
          <w:p w14:paraId="4B44807B" w14:textId="77777777" w:rsidR="00152B4F" w:rsidRPr="0035501C" w:rsidRDefault="00152B4F" w:rsidP="009039E0">
            <w:pPr>
              <w:autoSpaceDE w:val="0"/>
              <w:autoSpaceDN w:val="0"/>
              <w:adjustRightInd w:val="0"/>
              <w:rPr>
                <w:sz w:val="20"/>
                <w:szCs w:val="20"/>
              </w:rPr>
            </w:pPr>
            <w:r w:rsidRPr="0035501C">
              <w:rPr>
                <w:sz w:val="20"/>
                <w:szCs w:val="20"/>
              </w:rPr>
              <w:t>June 2022</w:t>
            </w:r>
          </w:p>
        </w:tc>
        <w:tc>
          <w:tcPr>
            <w:tcW w:w="3397" w:type="dxa"/>
          </w:tcPr>
          <w:p w14:paraId="1E01D2CA" w14:textId="77777777" w:rsidR="00152B4F" w:rsidRPr="0035501C" w:rsidRDefault="00152B4F" w:rsidP="009039E0">
            <w:pPr>
              <w:autoSpaceDE w:val="0"/>
              <w:autoSpaceDN w:val="0"/>
              <w:adjustRightInd w:val="0"/>
              <w:rPr>
                <w:sz w:val="20"/>
                <w:szCs w:val="20"/>
              </w:rPr>
            </w:pPr>
            <w:r w:rsidRPr="0035501C">
              <w:rPr>
                <w:sz w:val="20"/>
                <w:szCs w:val="20"/>
              </w:rPr>
              <w:t>1 July 2020 – 30 June 2022</w:t>
            </w:r>
          </w:p>
        </w:tc>
        <w:tc>
          <w:tcPr>
            <w:tcW w:w="2840" w:type="dxa"/>
          </w:tcPr>
          <w:p w14:paraId="47005CA2" w14:textId="77777777" w:rsidR="00152B4F" w:rsidRPr="0035501C" w:rsidRDefault="00152B4F" w:rsidP="009039E0">
            <w:pPr>
              <w:autoSpaceDE w:val="0"/>
              <w:autoSpaceDN w:val="0"/>
              <w:adjustRightInd w:val="0"/>
              <w:rPr>
                <w:sz w:val="20"/>
                <w:szCs w:val="20"/>
              </w:rPr>
            </w:pPr>
            <w:r w:rsidRPr="0035501C">
              <w:rPr>
                <w:sz w:val="20"/>
                <w:szCs w:val="20"/>
              </w:rPr>
              <w:t xml:space="preserve">July </w:t>
            </w:r>
            <w:r>
              <w:rPr>
                <w:sz w:val="20"/>
                <w:szCs w:val="20"/>
              </w:rPr>
              <w:t xml:space="preserve">– August </w:t>
            </w:r>
            <w:r w:rsidRPr="0035501C">
              <w:rPr>
                <w:sz w:val="20"/>
                <w:szCs w:val="20"/>
              </w:rPr>
              <w:t xml:space="preserve">2022 </w:t>
            </w:r>
          </w:p>
        </w:tc>
      </w:tr>
      <w:tr w:rsidR="00152B4F" w:rsidRPr="0035501C" w14:paraId="4EEBBC62" w14:textId="77777777" w:rsidTr="009039E0">
        <w:trPr>
          <w:trHeight w:val="99"/>
        </w:trPr>
        <w:tc>
          <w:tcPr>
            <w:tcW w:w="2518" w:type="dxa"/>
            <w:shd w:val="clear" w:color="auto" w:fill="F2F2F2"/>
          </w:tcPr>
          <w:p w14:paraId="2327C200" w14:textId="77777777" w:rsidR="00152B4F" w:rsidRPr="0035501C" w:rsidRDefault="00152B4F" w:rsidP="009039E0">
            <w:pPr>
              <w:autoSpaceDE w:val="0"/>
              <w:autoSpaceDN w:val="0"/>
              <w:adjustRightInd w:val="0"/>
              <w:rPr>
                <w:sz w:val="20"/>
                <w:szCs w:val="20"/>
              </w:rPr>
            </w:pPr>
            <w:r w:rsidRPr="0035501C">
              <w:rPr>
                <w:sz w:val="20"/>
                <w:szCs w:val="20"/>
              </w:rPr>
              <w:t>September 2022</w:t>
            </w:r>
          </w:p>
        </w:tc>
        <w:tc>
          <w:tcPr>
            <w:tcW w:w="3397" w:type="dxa"/>
            <w:shd w:val="clear" w:color="auto" w:fill="F2F2F2"/>
          </w:tcPr>
          <w:p w14:paraId="474A2FB9" w14:textId="77777777" w:rsidR="00152B4F" w:rsidRPr="0035501C" w:rsidRDefault="00152B4F" w:rsidP="009039E0">
            <w:pPr>
              <w:autoSpaceDE w:val="0"/>
              <w:autoSpaceDN w:val="0"/>
              <w:adjustRightInd w:val="0"/>
              <w:rPr>
                <w:sz w:val="20"/>
                <w:szCs w:val="20"/>
              </w:rPr>
            </w:pPr>
            <w:r w:rsidRPr="0035501C">
              <w:rPr>
                <w:sz w:val="20"/>
                <w:szCs w:val="20"/>
              </w:rPr>
              <w:t>1 October 2020 - 7 October 2022</w:t>
            </w:r>
          </w:p>
        </w:tc>
        <w:tc>
          <w:tcPr>
            <w:tcW w:w="2840" w:type="dxa"/>
            <w:shd w:val="clear" w:color="auto" w:fill="F2F2F2"/>
          </w:tcPr>
          <w:p w14:paraId="0415AF1E" w14:textId="77777777" w:rsidR="00152B4F" w:rsidRPr="0035501C" w:rsidRDefault="00152B4F" w:rsidP="009039E0">
            <w:pPr>
              <w:autoSpaceDE w:val="0"/>
              <w:autoSpaceDN w:val="0"/>
              <w:adjustRightInd w:val="0"/>
              <w:rPr>
                <w:sz w:val="20"/>
                <w:szCs w:val="20"/>
              </w:rPr>
            </w:pPr>
            <w:r w:rsidRPr="0035501C">
              <w:rPr>
                <w:sz w:val="20"/>
                <w:szCs w:val="20"/>
              </w:rPr>
              <w:t xml:space="preserve">November </w:t>
            </w:r>
            <w:r>
              <w:rPr>
                <w:sz w:val="20"/>
                <w:szCs w:val="20"/>
              </w:rPr>
              <w:t xml:space="preserve">– December </w:t>
            </w:r>
            <w:r w:rsidRPr="0035501C">
              <w:rPr>
                <w:sz w:val="20"/>
                <w:szCs w:val="20"/>
              </w:rPr>
              <w:t>2022</w:t>
            </w:r>
          </w:p>
        </w:tc>
      </w:tr>
      <w:tr w:rsidR="00152B4F" w:rsidRPr="0035501C" w14:paraId="2BD51DCB" w14:textId="77777777" w:rsidTr="009039E0">
        <w:trPr>
          <w:trHeight w:val="99"/>
        </w:trPr>
        <w:tc>
          <w:tcPr>
            <w:tcW w:w="2518" w:type="dxa"/>
          </w:tcPr>
          <w:p w14:paraId="44A6D511" w14:textId="77777777" w:rsidR="00152B4F" w:rsidRPr="0035501C" w:rsidRDefault="00152B4F" w:rsidP="009039E0">
            <w:pPr>
              <w:autoSpaceDE w:val="0"/>
              <w:autoSpaceDN w:val="0"/>
              <w:adjustRightInd w:val="0"/>
              <w:rPr>
                <w:sz w:val="20"/>
                <w:szCs w:val="20"/>
              </w:rPr>
            </w:pPr>
            <w:r w:rsidRPr="0035501C">
              <w:rPr>
                <w:sz w:val="20"/>
                <w:szCs w:val="20"/>
              </w:rPr>
              <w:t>December 2022</w:t>
            </w:r>
          </w:p>
        </w:tc>
        <w:tc>
          <w:tcPr>
            <w:tcW w:w="3397" w:type="dxa"/>
          </w:tcPr>
          <w:p w14:paraId="4F48C25E" w14:textId="77777777" w:rsidR="00152B4F" w:rsidRPr="0035501C" w:rsidRDefault="00152B4F" w:rsidP="009039E0">
            <w:pPr>
              <w:autoSpaceDE w:val="0"/>
              <w:autoSpaceDN w:val="0"/>
              <w:adjustRightInd w:val="0"/>
              <w:rPr>
                <w:sz w:val="20"/>
                <w:szCs w:val="20"/>
              </w:rPr>
            </w:pPr>
            <w:r w:rsidRPr="0035501C">
              <w:rPr>
                <w:sz w:val="20"/>
                <w:szCs w:val="20"/>
              </w:rPr>
              <w:t>1 January 2021- 6 January 2023</w:t>
            </w:r>
          </w:p>
        </w:tc>
        <w:tc>
          <w:tcPr>
            <w:tcW w:w="2840" w:type="dxa"/>
          </w:tcPr>
          <w:p w14:paraId="35557E25" w14:textId="77777777" w:rsidR="00152B4F" w:rsidRPr="0035501C" w:rsidRDefault="00152B4F" w:rsidP="009039E0">
            <w:pPr>
              <w:autoSpaceDE w:val="0"/>
              <w:autoSpaceDN w:val="0"/>
              <w:adjustRightInd w:val="0"/>
              <w:rPr>
                <w:sz w:val="20"/>
                <w:szCs w:val="20"/>
              </w:rPr>
            </w:pPr>
            <w:r w:rsidRPr="0035501C">
              <w:rPr>
                <w:sz w:val="20"/>
                <w:szCs w:val="20"/>
              </w:rPr>
              <w:t xml:space="preserve">February </w:t>
            </w:r>
            <w:r>
              <w:rPr>
                <w:sz w:val="20"/>
                <w:szCs w:val="20"/>
              </w:rPr>
              <w:t xml:space="preserve">– March </w:t>
            </w:r>
            <w:r w:rsidRPr="0035501C">
              <w:rPr>
                <w:sz w:val="20"/>
                <w:szCs w:val="20"/>
              </w:rPr>
              <w:t>2023</w:t>
            </w:r>
          </w:p>
        </w:tc>
      </w:tr>
      <w:tr w:rsidR="00152B4F" w:rsidRPr="0035501C" w14:paraId="51AF2E0F" w14:textId="77777777" w:rsidTr="009039E0">
        <w:trPr>
          <w:trHeight w:val="99"/>
        </w:trPr>
        <w:tc>
          <w:tcPr>
            <w:tcW w:w="2518" w:type="dxa"/>
            <w:shd w:val="clear" w:color="auto" w:fill="F2F2F2"/>
          </w:tcPr>
          <w:p w14:paraId="29E4D21C" w14:textId="77777777" w:rsidR="00152B4F" w:rsidRPr="0035501C" w:rsidRDefault="00152B4F" w:rsidP="009039E0">
            <w:pPr>
              <w:autoSpaceDE w:val="0"/>
              <w:autoSpaceDN w:val="0"/>
              <w:adjustRightInd w:val="0"/>
              <w:rPr>
                <w:sz w:val="20"/>
                <w:szCs w:val="20"/>
              </w:rPr>
            </w:pPr>
            <w:r w:rsidRPr="0035501C">
              <w:rPr>
                <w:sz w:val="20"/>
                <w:szCs w:val="20"/>
              </w:rPr>
              <w:t>March 2023</w:t>
            </w:r>
          </w:p>
        </w:tc>
        <w:tc>
          <w:tcPr>
            <w:tcW w:w="3397" w:type="dxa"/>
            <w:shd w:val="clear" w:color="auto" w:fill="F2F2F2"/>
          </w:tcPr>
          <w:p w14:paraId="4A5D3C16" w14:textId="77777777" w:rsidR="00152B4F" w:rsidRPr="0035501C" w:rsidRDefault="00152B4F" w:rsidP="009039E0">
            <w:pPr>
              <w:autoSpaceDE w:val="0"/>
              <w:autoSpaceDN w:val="0"/>
              <w:adjustRightInd w:val="0"/>
              <w:rPr>
                <w:sz w:val="20"/>
                <w:szCs w:val="20"/>
              </w:rPr>
            </w:pPr>
            <w:r w:rsidRPr="0035501C">
              <w:rPr>
                <w:sz w:val="20"/>
                <w:szCs w:val="20"/>
              </w:rPr>
              <w:t>1 April 2021 – 31 March 2023</w:t>
            </w:r>
          </w:p>
        </w:tc>
        <w:tc>
          <w:tcPr>
            <w:tcW w:w="2840" w:type="dxa"/>
            <w:shd w:val="clear" w:color="auto" w:fill="F2F2F2"/>
          </w:tcPr>
          <w:p w14:paraId="75D6EF81" w14:textId="77777777" w:rsidR="00152B4F" w:rsidRPr="0035501C" w:rsidRDefault="00152B4F" w:rsidP="009039E0">
            <w:pPr>
              <w:autoSpaceDE w:val="0"/>
              <w:autoSpaceDN w:val="0"/>
              <w:adjustRightInd w:val="0"/>
              <w:rPr>
                <w:sz w:val="20"/>
                <w:szCs w:val="20"/>
              </w:rPr>
            </w:pPr>
            <w:r w:rsidRPr="0035501C">
              <w:rPr>
                <w:sz w:val="20"/>
                <w:szCs w:val="20"/>
              </w:rPr>
              <w:t xml:space="preserve">April </w:t>
            </w:r>
            <w:r>
              <w:rPr>
                <w:sz w:val="20"/>
                <w:szCs w:val="20"/>
              </w:rPr>
              <w:t xml:space="preserve">– May </w:t>
            </w:r>
            <w:r w:rsidRPr="0035501C">
              <w:rPr>
                <w:sz w:val="20"/>
                <w:szCs w:val="20"/>
              </w:rPr>
              <w:t>2023</w:t>
            </w:r>
          </w:p>
        </w:tc>
      </w:tr>
    </w:tbl>
    <w:p w14:paraId="4886DB94" w14:textId="77777777" w:rsidR="00152B4F" w:rsidRPr="0035501C" w:rsidRDefault="00152B4F" w:rsidP="00152B4F">
      <w:pPr>
        <w:spacing w:before="240"/>
        <w:contextualSpacing/>
        <w:rPr>
          <w:sz w:val="18"/>
          <w:szCs w:val="18"/>
        </w:rPr>
      </w:pPr>
      <w:r w:rsidRPr="0035501C">
        <w:rPr>
          <w:sz w:val="18"/>
          <w:szCs w:val="18"/>
        </w:rPr>
        <w:t xml:space="preserve">Notes: </w:t>
      </w:r>
    </w:p>
    <w:p w14:paraId="78A28658" w14:textId="77777777" w:rsidR="00152B4F" w:rsidRPr="0035501C" w:rsidRDefault="00152B4F" w:rsidP="00152B4F">
      <w:pPr>
        <w:pStyle w:val="ListParagraph"/>
        <w:numPr>
          <w:ilvl w:val="0"/>
          <w:numId w:val="34"/>
        </w:numPr>
        <w:rPr>
          <w:sz w:val="18"/>
          <w:szCs w:val="18"/>
        </w:rPr>
      </w:pPr>
      <w:r w:rsidRPr="0035501C">
        <w:rPr>
          <w:sz w:val="18"/>
          <w:szCs w:val="18"/>
        </w:rPr>
        <w:t>Any extensions to the end dates will be advised in news items on the Provider Portal and are most likely to occur in response to natural disasters or technical systems issues.</w:t>
      </w:r>
    </w:p>
    <w:p w14:paraId="0E08C60C" w14:textId="77777777" w:rsidR="00152B4F" w:rsidRPr="0035501C" w:rsidRDefault="00152B4F" w:rsidP="00152B4F">
      <w:pPr>
        <w:pStyle w:val="ListParagraph"/>
        <w:numPr>
          <w:ilvl w:val="0"/>
          <w:numId w:val="34"/>
        </w:numPr>
        <w:rPr>
          <w:sz w:val="18"/>
          <w:szCs w:val="18"/>
        </w:rPr>
      </w:pPr>
      <w:r w:rsidRPr="000202C2">
        <w:rPr>
          <w:sz w:val="18"/>
          <w:szCs w:val="18"/>
        </w:rPr>
        <w:t>March 2019 ratings will be supplied to owning providers with no public release.</w:t>
      </w:r>
    </w:p>
    <w:p w14:paraId="01A27961" w14:textId="77777777" w:rsidR="00152B4F" w:rsidRDefault="00152B4F" w:rsidP="00152B4F">
      <w:pPr>
        <w:spacing w:after="480"/>
        <w:contextualSpacing/>
        <w:rPr>
          <w:sz w:val="20"/>
          <w:szCs w:val="20"/>
        </w:rPr>
      </w:pPr>
    </w:p>
    <w:p w14:paraId="5117287F" w14:textId="77777777" w:rsidR="00152B4F" w:rsidRDefault="00152B4F" w:rsidP="00152B4F">
      <w:pPr>
        <w:rPr>
          <w:rFonts w:eastAsia="Times New Roman"/>
          <w:szCs w:val="22"/>
          <w:lang w:eastAsia="en-AU"/>
        </w:rPr>
      </w:pPr>
      <w:r>
        <w:rPr>
          <w:rFonts w:eastAsia="Times New Roman"/>
          <w:szCs w:val="22"/>
          <w:lang w:eastAsia="en-AU"/>
        </w:rPr>
        <w:br w:type="page"/>
      </w:r>
    </w:p>
    <w:p w14:paraId="00797B11" w14:textId="77777777" w:rsidR="00152B4F" w:rsidRPr="001E57F1" w:rsidRDefault="00152B4F" w:rsidP="00152B4F">
      <w:pPr>
        <w:pStyle w:val="Heading2"/>
        <w:rPr>
          <w:szCs w:val="24"/>
        </w:rPr>
      </w:pPr>
      <w:bookmarkStart w:id="22" w:name="_Toc47098276"/>
      <w:r w:rsidRPr="001E57F1">
        <w:rPr>
          <w:szCs w:val="24"/>
        </w:rPr>
        <w:t>How are star ratings calculated?</w:t>
      </w:r>
      <w:bookmarkEnd w:id="22"/>
    </w:p>
    <w:p w14:paraId="4F72DB78" w14:textId="77777777" w:rsidR="00152B4F" w:rsidRDefault="00152B4F" w:rsidP="00152B4F">
      <w:pPr>
        <w:pStyle w:val="Default"/>
        <w:rPr>
          <w:sz w:val="22"/>
          <w:szCs w:val="22"/>
        </w:rPr>
      </w:pPr>
      <w:r>
        <w:rPr>
          <w:sz w:val="22"/>
          <w:szCs w:val="22"/>
        </w:rPr>
        <w:t>The Star Rating calculation addresses two key questions.</w:t>
      </w:r>
    </w:p>
    <w:p w14:paraId="045A6F74" w14:textId="77777777" w:rsidR="00152B4F" w:rsidRPr="00AE24E1" w:rsidRDefault="00152B4F" w:rsidP="00152B4F">
      <w:pPr>
        <w:pStyle w:val="ListParagraph"/>
        <w:numPr>
          <w:ilvl w:val="0"/>
          <w:numId w:val="1"/>
        </w:numPr>
        <w:tabs>
          <w:tab w:val="num" w:pos="720"/>
        </w:tabs>
        <w:ind w:left="714" w:hanging="357"/>
        <w:rPr>
          <w:rFonts w:ascii="Calibri" w:hAnsi="Calibri"/>
          <w:lang w:eastAsia="en-AU"/>
        </w:rPr>
      </w:pPr>
      <w:r w:rsidRPr="00AE24E1">
        <w:rPr>
          <w:rFonts w:ascii="Calibri" w:hAnsi="Calibri"/>
          <w:lang w:eastAsia="en-AU"/>
        </w:rPr>
        <w:t xml:space="preserve">What was actually achieved by the Provider (actual performance)? </w:t>
      </w:r>
    </w:p>
    <w:p w14:paraId="1C726074" w14:textId="77777777" w:rsidR="00152B4F" w:rsidRPr="00AE24E1" w:rsidRDefault="00152B4F" w:rsidP="00152B4F">
      <w:pPr>
        <w:pStyle w:val="ListParagraph"/>
        <w:numPr>
          <w:ilvl w:val="0"/>
          <w:numId w:val="1"/>
        </w:numPr>
        <w:tabs>
          <w:tab w:val="num" w:pos="720"/>
        </w:tabs>
        <w:ind w:left="714" w:hanging="357"/>
        <w:rPr>
          <w:rFonts w:ascii="Calibri" w:hAnsi="Calibri"/>
          <w:lang w:eastAsia="en-AU"/>
        </w:rPr>
      </w:pPr>
      <w:r w:rsidRPr="00AE24E1">
        <w:rPr>
          <w:rFonts w:ascii="Calibri" w:hAnsi="Calibri"/>
          <w:lang w:eastAsia="en-AU"/>
        </w:rPr>
        <w:t xml:space="preserve">What was realistic for the Provider to achieve (expected performance)? </w:t>
      </w:r>
    </w:p>
    <w:p w14:paraId="6AEAF52A" w14:textId="77777777" w:rsidR="00152B4F" w:rsidRDefault="00152B4F" w:rsidP="00152B4F">
      <w:pPr>
        <w:pStyle w:val="Default"/>
        <w:rPr>
          <w:sz w:val="22"/>
          <w:szCs w:val="22"/>
        </w:rPr>
      </w:pPr>
    </w:p>
    <w:p w14:paraId="52CC40D8" w14:textId="77777777" w:rsidR="00152B4F" w:rsidRPr="00B51D72" w:rsidRDefault="00152B4F" w:rsidP="00152B4F">
      <w:pPr>
        <w:pStyle w:val="Default"/>
        <w:rPr>
          <w:sz w:val="22"/>
          <w:szCs w:val="22"/>
        </w:rPr>
      </w:pPr>
      <w:r w:rsidRPr="000834AF">
        <w:rPr>
          <w:sz w:val="22"/>
          <w:szCs w:val="22"/>
        </w:rPr>
        <w:t xml:space="preserve">The Star Ratings </w:t>
      </w:r>
      <w:r w:rsidRPr="00B51D72">
        <w:rPr>
          <w:sz w:val="22"/>
          <w:szCs w:val="22"/>
        </w:rPr>
        <w:t xml:space="preserve">compare a Provider’s actual performance to their expected performance for each of the performance measures. The Provider’s scores for each of the performance measures are then aggregated together and weighted. Lastly, the Providers are allocated a Star Rating based on a distance from the mean distribution. Overall, this is a six step calculation process. </w:t>
      </w:r>
    </w:p>
    <w:p w14:paraId="00E09097" w14:textId="77777777" w:rsidR="00152B4F" w:rsidRPr="00B51D72" w:rsidRDefault="00152B4F" w:rsidP="00152B4F"/>
    <w:p w14:paraId="42179678" w14:textId="77777777" w:rsidR="00152B4F" w:rsidRPr="00B51D72" w:rsidRDefault="00152B4F" w:rsidP="00152B4F">
      <w:r w:rsidRPr="00B51D72">
        <w:t>The following sections explain actual performance, expected performance and statistical regression and how the Star Ratings are distributed into bands. The six step calculation process is also described in more detail, followed by some additional business rules (e.g. minimum data required to receive a Star Rating and the arrangements for zero Participants in scope for a performance measure).</w:t>
      </w:r>
    </w:p>
    <w:p w14:paraId="1DF45A7B" w14:textId="77777777" w:rsidR="00152B4F" w:rsidRPr="00B51D72" w:rsidRDefault="00152B4F" w:rsidP="00152B4F"/>
    <w:p w14:paraId="423FDA4E" w14:textId="77777777" w:rsidR="00152B4F" w:rsidRPr="00B51D72" w:rsidRDefault="00152B4F" w:rsidP="00152B4F">
      <w:pPr>
        <w:pStyle w:val="Heading3"/>
      </w:pPr>
      <w:bookmarkStart w:id="23" w:name="_Toc413246183"/>
      <w:bookmarkStart w:id="24" w:name="_Toc47098277"/>
      <w:r w:rsidRPr="00B51D72">
        <w:t>Actual Performance</w:t>
      </w:r>
      <w:bookmarkEnd w:id="23"/>
      <w:bookmarkEnd w:id="24"/>
    </w:p>
    <w:p w14:paraId="26A6AFF7" w14:textId="77777777" w:rsidR="00152B4F" w:rsidRDefault="00152B4F" w:rsidP="00152B4F">
      <w:pPr>
        <w:pStyle w:val="Default"/>
        <w:rPr>
          <w:sz w:val="22"/>
          <w:szCs w:val="22"/>
        </w:rPr>
      </w:pPr>
      <w:r w:rsidRPr="00B51D72">
        <w:rPr>
          <w:sz w:val="22"/>
          <w:szCs w:val="22"/>
        </w:rPr>
        <w:t xml:space="preserve">The Star Ratings Model assesses Provider performance against the performance measures shown in Table one. It assesses the Outcomes that have been achieved compared with the number of Participants that have </w:t>
      </w:r>
      <w:r>
        <w:rPr>
          <w:sz w:val="22"/>
          <w:szCs w:val="22"/>
        </w:rPr>
        <w:t xml:space="preserve">been </w:t>
      </w:r>
      <w:r w:rsidRPr="00B51D72">
        <w:rPr>
          <w:sz w:val="22"/>
          <w:szCs w:val="22"/>
        </w:rPr>
        <w:t>assisted for long enough</w:t>
      </w:r>
      <w:r>
        <w:rPr>
          <w:sz w:val="22"/>
          <w:szCs w:val="22"/>
        </w:rPr>
        <w:t xml:space="preserve"> to potentially achieve the Outcome.</w:t>
      </w:r>
    </w:p>
    <w:p w14:paraId="63B95119" w14:textId="77777777" w:rsidR="00152B4F" w:rsidRDefault="00152B4F" w:rsidP="00152B4F"/>
    <w:p w14:paraId="57691907" w14:textId="77777777" w:rsidR="00152B4F" w:rsidRPr="00EC60CD" w:rsidRDefault="00152B4F" w:rsidP="00152B4F">
      <w:pPr>
        <w:pStyle w:val="Heading3"/>
      </w:pPr>
      <w:bookmarkStart w:id="25" w:name="_Toc413246184"/>
      <w:bookmarkStart w:id="26" w:name="_Toc47098278"/>
      <w:r w:rsidRPr="00EC60CD">
        <w:t>Expected Performance and Statistical Regression</w:t>
      </w:r>
      <w:bookmarkEnd w:id="25"/>
      <w:bookmarkEnd w:id="26"/>
    </w:p>
    <w:p w14:paraId="75F1FF6D" w14:textId="77777777" w:rsidR="00152B4F" w:rsidRDefault="00152B4F" w:rsidP="00152B4F">
      <w:pPr>
        <w:pStyle w:val="Default"/>
        <w:rPr>
          <w:sz w:val="22"/>
          <w:szCs w:val="22"/>
        </w:rPr>
      </w:pPr>
      <w:r w:rsidRPr="001E4EF1">
        <w:rPr>
          <w:sz w:val="22"/>
          <w:szCs w:val="22"/>
        </w:rPr>
        <w:t>Th</w:t>
      </w:r>
      <w:r>
        <w:rPr>
          <w:sz w:val="22"/>
          <w:szCs w:val="22"/>
        </w:rPr>
        <w:t>e</w:t>
      </w:r>
      <w:r w:rsidRPr="001E4EF1">
        <w:rPr>
          <w:sz w:val="22"/>
          <w:szCs w:val="22"/>
        </w:rPr>
        <w:t xml:space="preserve"> ability of </w:t>
      </w:r>
      <w:r>
        <w:rPr>
          <w:sz w:val="22"/>
          <w:szCs w:val="22"/>
        </w:rPr>
        <w:t>Provider</w:t>
      </w:r>
      <w:r w:rsidRPr="001E4EF1">
        <w:rPr>
          <w:sz w:val="22"/>
          <w:szCs w:val="22"/>
        </w:rPr>
        <w:t xml:space="preserve">s to achieve outcomes is influenced by the level of disadvantage faced by the </w:t>
      </w:r>
      <w:r>
        <w:rPr>
          <w:sz w:val="22"/>
          <w:szCs w:val="22"/>
        </w:rPr>
        <w:t>Participants</w:t>
      </w:r>
      <w:r w:rsidRPr="001E4EF1">
        <w:rPr>
          <w:sz w:val="22"/>
          <w:szCs w:val="22"/>
        </w:rPr>
        <w:t xml:space="preserve"> they are assisting and the strength of the labour market they are oper</w:t>
      </w:r>
      <w:r>
        <w:rPr>
          <w:sz w:val="22"/>
          <w:szCs w:val="22"/>
        </w:rPr>
        <w:t xml:space="preserve">ating in. </w:t>
      </w:r>
    </w:p>
    <w:p w14:paraId="5FE0E94A" w14:textId="77777777" w:rsidR="00152B4F" w:rsidRDefault="00152B4F" w:rsidP="00152B4F">
      <w:pPr>
        <w:pStyle w:val="Default"/>
        <w:rPr>
          <w:sz w:val="22"/>
          <w:szCs w:val="22"/>
        </w:rPr>
      </w:pPr>
    </w:p>
    <w:p w14:paraId="52629CEA" w14:textId="77777777" w:rsidR="00152B4F" w:rsidRPr="001E4EF1" w:rsidRDefault="00152B4F" w:rsidP="00152B4F">
      <w:pPr>
        <w:pStyle w:val="Default"/>
        <w:rPr>
          <w:sz w:val="22"/>
          <w:szCs w:val="22"/>
        </w:rPr>
      </w:pPr>
      <w:r w:rsidRPr="00E31742">
        <w:rPr>
          <w:sz w:val="22"/>
          <w:szCs w:val="22"/>
        </w:rPr>
        <w:t xml:space="preserve">For example, </w:t>
      </w:r>
      <w:r>
        <w:rPr>
          <w:sz w:val="22"/>
          <w:szCs w:val="22"/>
        </w:rPr>
        <w:t>Participant</w:t>
      </w:r>
      <w:r w:rsidRPr="00E31742">
        <w:rPr>
          <w:sz w:val="22"/>
          <w:szCs w:val="22"/>
        </w:rPr>
        <w:t xml:space="preserve">s who have been unemployed for more than three years and their highest education attainment is </w:t>
      </w:r>
      <w:r>
        <w:rPr>
          <w:sz w:val="22"/>
          <w:szCs w:val="22"/>
        </w:rPr>
        <w:t>Y</w:t>
      </w:r>
      <w:r w:rsidRPr="00E31742">
        <w:rPr>
          <w:sz w:val="22"/>
          <w:szCs w:val="22"/>
        </w:rPr>
        <w:t xml:space="preserve">ear 10 tend to achieve fewer employment outcomes than those </w:t>
      </w:r>
      <w:r>
        <w:rPr>
          <w:sz w:val="22"/>
          <w:szCs w:val="22"/>
        </w:rPr>
        <w:t>Participant</w:t>
      </w:r>
      <w:r w:rsidRPr="00E31742">
        <w:rPr>
          <w:sz w:val="22"/>
          <w:szCs w:val="22"/>
        </w:rPr>
        <w:t>s without these characteristics</w:t>
      </w:r>
      <w:r>
        <w:rPr>
          <w:sz w:val="22"/>
          <w:szCs w:val="22"/>
        </w:rPr>
        <w:t>, all other things being equal</w:t>
      </w:r>
      <w:r w:rsidRPr="00E31742">
        <w:rPr>
          <w:sz w:val="22"/>
          <w:szCs w:val="22"/>
        </w:rPr>
        <w:t xml:space="preserve">. </w:t>
      </w:r>
      <w:r>
        <w:rPr>
          <w:sz w:val="22"/>
          <w:szCs w:val="22"/>
        </w:rPr>
        <w:t>Participants</w:t>
      </w:r>
      <w:r w:rsidRPr="00E31742">
        <w:rPr>
          <w:sz w:val="22"/>
          <w:szCs w:val="22"/>
        </w:rPr>
        <w:t xml:space="preserve"> with these characteristics would </w:t>
      </w:r>
      <w:r>
        <w:rPr>
          <w:sz w:val="22"/>
          <w:szCs w:val="22"/>
        </w:rPr>
        <w:t xml:space="preserve">therefore </w:t>
      </w:r>
      <w:r w:rsidRPr="00E31742">
        <w:rPr>
          <w:sz w:val="22"/>
          <w:szCs w:val="22"/>
        </w:rPr>
        <w:t>have lower than average expected outcomes in the calculations.</w:t>
      </w:r>
      <w:r w:rsidRPr="001E4EF1">
        <w:rPr>
          <w:sz w:val="22"/>
          <w:szCs w:val="22"/>
        </w:rPr>
        <w:t xml:space="preserve"> </w:t>
      </w:r>
    </w:p>
    <w:p w14:paraId="2C2A9F77" w14:textId="77777777" w:rsidR="00152B4F" w:rsidRDefault="00152B4F" w:rsidP="00152B4F">
      <w:pPr>
        <w:pStyle w:val="Default"/>
        <w:rPr>
          <w:sz w:val="22"/>
          <w:szCs w:val="22"/>
        </w:rPr>
      </w:pPr>
    </w:p>
    <w:p w14:paraId="7A3465A1" w14:textId="77777777" w:rsidR="00152B4F" w:rsidRDefault="00152B4F" w:rsidP="00152B4F">
      <w:pPr>
        <w:pStyle w:val="Default"/>
        <w:rPr>
          <w:sz w:val="22"/>
          <w:szCs w:val="22"/>
        </w:rPr>
      </w:pPr>
      <w:r w:rsidRPr="001E4EF1">
        <w:rPr>
          <w:sz w:val="22"/>
          <w:szCs w:val="22"/>
        </w:rPr>
        <w:t xml:space="preserve">The model calculates the expected rates of a </w:t>
      </w:r>
      <w:r>
        <w:rPr>
          <w:sz w:val="22"/>
          <w:szCs w:val="22"/>
        </w:rPr>
        <w:t>Site</w:t>
      </w:r>
      <w:r w:rsidRPr="001E4EF1">
        <w:rPr>
          <w:sz w:val="22"/>
          <w:szCs w:val="22"/>
        </w:rPr>
        <w:t xml:space="preserve"> using statistical regression which takes account of those </w:t>
      </w:r>
      <w:r>
        <w:rPr>
          <w:sz w:val="22"/>
          <w:szCs w:val="22"/>
        </w:rPr>
        <w:t>Participant</w:t>
      </w:r>
      <w:r w:rsidRPr="001E4EF1">
        <w:rPr>
          <w:sz w:val="22"/>
          <w:szCs w:val="22"/>
        </w:rPr>
        <w:t xml:space="preserve"> and labour market characteristics which influence the achievement of outcomes but which are outside </w:t>
      </w:r>
      <w:r>
        <w:rPr>
          <w:sz w:val="22"/>
          <w:szCs w:val="22"/>
        </w:rPr>
        <w:t>Provider</w:t>
      </w:r>
      <w:r w:rsidRPr="001E4EF1">
        <w:rPr>
          <w:sz w:val="22"/>
          <w:szCs w:val="22"/>
        </w:rPr>
        <w:t xml:space="preserve">s’ control. In this way, the differing levels of difficulty </w:t>
      </w:r>
      <w:r>
        <w:rPr>
          <w:sz w:val="22"/>
          <w:szCs w:val="22"/>
        </w:rPr>
        <w:t>Participant</w:t>
      </w:r>
      <w:r w:rsidRPr="001E4EF1">
        <w:rPr>
          <w:sz w:val="22"/>
          <w:szCs w:val="22"/>
        </w:rPr>
        <w:t xml:space="preserve">s have in finding sustained employment and/or education outcomes are </w:t>
      </w:r>
      <w:r>
        <w:rPr>
          <w:sz w:val="22"/>
          <w:szCs w:val="22"/>
        </w:rPr>
        <w:t xml:space="preserve">accounted for </w:t>
      </w:r>
      <w:r w:rsidRPr="001E4EF1">
        <w:rPr>
          <w:sz w:val="22"/>
          <w:szCs w:val="22"/>
        </w:rPr>
        <w:t xml:space="preserve">and all </w:t>
      </w:r>
      <w:r>
        <w:rPr>
          <w:sz w:val="22"/>
          <w:szCs w:val="22"/>
        </w:rPr>
        <w:t>Provider</w:t>
      </w:r>
      <w:r w:rsidRPr="001E4EF1">
        <w:rPr>
          <w:sz w:val="22"/>
          <w:szCs w:val="22"/>
        </w:rPr>
        <w:t xml:space="preserve">s are assessed equitably. </w:t>
      </w:r>
    </w:p>
    <w:p w14:paraId="472BC3AE" w14:textId="77777777" w:rsidR="00152B4F" w:rsidRDefault="00152B4F" w:rsidP="00152B4F">
      <w:pPr>
        <w:pStyle w:val="Default"/>
        <w:rPr>
          <w:sz w:val="22"/>
          <w:szCs w:val="22"/>
        </w:rPr>
      </w:pPr>
    </w:p>
    <w:p w14:paraId="74FEBD27" w14:textId="77777777" w:rsidR="00152B4F" w:rsidRDefault="00152B4F" w:rsidP="00152B4F">
      <w:pPr>
        <w:pStyle w:val="Default"/>
        <w:rPr>
          <w:sz w:val="22"/>
          <w:szCs w:val="22"/>
        </w:rPr>
      </w:pPr>
      <w:r w:rsidRPr="001E4EF1">
        <w:rPr>
          <w:sz w:val="22"/>
          <w:szCs w:val="22"/>
        </w:rPr>
        <w:t>Separate regressions are run for each perfor</w:t>
      </w:r>
      <w:r>
        <w:rPr>
          <w:sz w:val="22"/>
          <w:szCs w:val="22"/>
        </w:rPr>
        <w:t>mance measure within DES-DMS and DES-ESS</w:t>
      </w:r>
      <w:r w:rsidRPr="001E4EF1">
        <w:rPr>
          <w:sz w:val="22"/>
          <w:szCs w:val="22"/>
        </w:rPr>
        <w:t>, assessing the expectations of an outcom</w:t>
      </w:r>
      <w:r>
        <w:rPr>
          <w:sz w:val="22"/>
          <w:szCs w:val="22"/>
        </w:rPr>
        <w:t>e for each individual Participant</w:t>
      </w:r>
      <w:r w:rsidRPr="001E4EF1">
        <w:rPr>
          <w:sz w:val="22"/>
          <w:szCs w:val="22"/>
        </w:rPr>
        <w:t xml:space="preserve"> who has potentially </w:t>
      </w:r>
      <w:r>
        <w:rPr>
          <w:sz w:val="22"/>
          <w:szCs w:val="22"/>
        </w:rPr>
        <w:t>been eligible for that outcome.</w:t>
      </w:r>
    </w:p>
    <w:p w14:paraId="6BAB844A" w14:textId="77777777" w:rsidR="00152B4F" w:rsidRDefault="00152B4F" w:rsidP="00152B4F">
      <w:pPr>
        <w:pStyle w:val="Default"/>
        <w:rPr>
          <w:sz w:val="22"/>
          <w:szCs w:val="22"/>
        </w:rPr>
      </w:pPr>
    </w:p>
    <w:p w14:paraId="2DFF064B" w14:textId="77777777" w:rsidR="00152B4F" w:rsidRDefault="00152B4F" w:rsidP="00152B4F">
      <w:pPr>
        <w:pStyle w:val="Default"/>
        <w:rPr>
          <w:sz w:val="22"/>
          <w:szCs w:val="22"/>
        </w:rPr>
      </w:pPr>
      <w:r>
        <w:rPr>
          <w:sz w:val="22"/>
          <w:szCs w:val="22"/>
        </w:rPr>
        <w:t>T</w:t>
      </w:r>
      <w:r w:rsidRPr="001E4EF1">
        <w:rPr>
          <w:sz w:val="22"/>
          <w:szCs w:val="22"/>
        </w:rPr>
        <w:t xml:space="preserve">he full list of </w:t>
      </w:r>
      <w:r>
        <w:rPr>
          <w:sz w:val="22"/>
          <w:szCs w:val="22"/>
        </w:rPr>
        <w:t>Participant</w:t>
      </w:r>
      <w:r w:rsidRPr="001E4EF1">
        <w:rPr>
          <w:sz w:val="22"/>
          <w:szCs w:val="22"/>
        </w:rPr>
        <w:t xml:space="preserve"> and labour market characteristics which are accounted for in the statistical regression</w:t>
      </w:r>
      <w:r>
        <w:rPr>
          <w:sz w:val="22"/>
          <w:szCs w:val="22"/>
        </w:rPr>
        <w:t xml:space="preserve"> are shown in Table four and Table five</w:t>
      </w:r>
      <w:r w:rsidRPr="001E4EF1">
        <w:rPr>
          <w:sz w:val="22"/>
          <w:szCs w:val="22"/>
        </w:rPr>
        <w:t>.</w:t>
      </w:r>
    </w:p>
    <w:p w14:paraId="2BA12504" w14:textId="77777777" w:rsidR="00152B4F" w:rsidRDefault="00152B4F" w:rsidP="00152B4F">
      <w:pPr>
        <w:pStyle w:val="Default"/>
        <w:rPr>
          <w:sz w:val="22"/>
          <w:szCs w:val="22"/>
        </w:rPr>
      </w:pPr>
    </w:p>
    <w:p w14:paraId="6015E604" w14:textId="77777777" w:rsidR="00152B4F" w:rsidRDefault="00152B4F" w:rsidP="00152B4F">
      <w:pPr>
        <w:pStyle w:val="Default"/>
        <w:rPr>
          <w:sz w:val="22"/>
          <w:szCs w:val="22"/>
        </w:rPr>
        <w:sectPr w:rsidR="00152B4F" w:rsidSect="00FF41CF">
          <w:headerReference w:type="even" r:id="rId10"/>
          <w:headerReference w:type="default" r:id="rId11"/>
          <w:footerReference w:type="even" r:id="rId12"/>
          <w:footerReference w:type="default" r:id="rId13"/>
          <w:footerReference w:type="first" r:id="rId14"/>
          <w:pgSz w:w="11906" w:h="16838" w:code="9"/>
          <w:pgMar w:top="1440" w:right="1800" w:bottom="1440" w:left="1800" w:header="708" w:footer="708" w:gutter="0"/>
          <w:cols w:space="708"/>
          <w:titlePg/>
          <w:docGrid w:linePitch="360"/>
        </w:sectPr>
      </w:pPr>
    </w:p>
    <w:p w14:paraId="4325FFF2" w14:textId="77777777" w:rsidR="00152B4F" w:rsidRDefault="00152B4F" w:rsidP="00152B4F">
      <w:pPr>
        <w:pStyle w:val="Default"/>
        <w:rPr>
          <w:sz w:val="22"/>
          <w:szCs w:val="22"/>
        </w:rPr>
      </w:pPr>
      <w:r>
        <w:rPr>
          <w:sz w:val="22"/>
          <w:szCs w:val="22"/>
        </w:rPr>
        <w:t>Transition Participant characteristics are included in the statistical regression model to control for Participants impacted by the transition. In addition, each phase that a Participant transitions into is identified, to allow for comparison between Sites or Contracts with differing levels of transition participants. Some spline functions have been introduced, to optimise smoothing in the modelling process.  This was in response to recommendations made in the Taylor Fry Report. Through the normal course of the program Participants that transfer between Sites or Contracts in the PPS phase are also identified.</w:t>
      </w:r>
      <w:bookmarkStart w:id="27" w:name="_Toc348440484"/>
      <w:bookmarkStart w:id="28" w:name="_Toc349144524"/>
      <w:r>
        <w:rPr>
          <w:sz w:val="22"/>
          <w:szCs w:val="22"/>
        </w:rPr>
        <w:t xml:space="preserve"> The final participant and labour market characteristic variables will be confirmed prior to the March 2019 DES Star Ratings, following testing with actual 2018 DES data.</w:t>
      </w:r>
    </w:p>
    <w:p w14:paraId="23D8AE3F" w14:textId="77777777" w:rsidR="00152B4F" w:rsidRPr="00C555E5" w:rsidRDefault="00152B4F" w:rsidP="00152B4F">
      <w:pPr>
        <w:pStyle w:val="TableText0"/>
      </w:pPr>
      <w:r w:rsidRPr="00C555E5">
        <w:t>Table 4: Participant Characteristics</w:t>
      </w:r>
      <w:bookmarkEnd w:id="27"/>
      <w:bookmarkEnd w:id="28"/>
      <w:r w:rsidRPr="00C555E5">
        <w:t xml:space="preserve"> </w:t>
      </w:r>
    </w:p>
    <w:tbl>
      <w:tblPr>
        <w:tblStyle w:val="PlainTable1"/>
        <w:tblW w:w="12611" w:type="dxa"/>
        <w:tblLook w:val="01E0" w:firstRow="1" w:lastRow="1" w:firstColumn="1" w:lastColumn="1" w:noHBand="0" w:noVBand="0"/>
        <w:tblCaption w:val="Table of Participant Characteristics"/>
        <w:tblDescription w:val="Table of Participant Characteristics used in the Star Ratings Model "/>
      </w:tblPr>
      <w:tblGrid>
        <w:gridCol w:w="3681"/>
        <w:gridCol w:w="5103"/>
        <w:gridCol w:w="3827"/>
      </w:tblGrid>
      <w:tr w:rsidR="00152B4F" w:rsidRPr="0075088F" w14:paraId="4547871F" w14:textId="77777777" w:rsidTr="009039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4AA17DBA" w14:textId="77777777" w:rsidR="00152B4F" w:rsidRPr="00186FFF" w:rsidRDefault="00152B4F" w:rsidP="009039E0">
            <w:pPr>
              <w:autoSpaceDE w:val="0"/>
              <w:autoSpaceDN w:val="0"/>
              <w:adjustRightInd w:val="0"/>
              <w:spacing w:after="60"/>
              <w:rPr>
                <w:rFonts w:cs="Calibri"/>
                <w:szCs w:val="22"/>
              </w:rPr>
            </w:pPr>
            <w:r w:rsidRPr="00186FFF">
              <w:rPr>
                <w:rFonts w:cs="Calibri"/>
                <w:szCs w:val="22"/>
              </w:rPr>
              <w:t>Participant Characteristics</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3061366B" w14:textId="77777777" w:rsidR="00152B4F" w:rsidRPr="00186FFF" w:rsidRDefault="00152B4F" w:rsidP="009039E0">
            <w:pPr>
              <w:autoSpaceDE w:val="0"/>
              <w:autoSpaceDN w:val="0"/>
              <w:adjustRightInd w:val="0"/>
              <w:spacing w:after="60"/>
              <w:rPr>
                <w:rFonts w:cs="Calibri"/>
                <w:b w:val="0"/>
                <w:szCs w:val="22"/>
              </w:rPr>
            </w:pPr>
            <w:r w:rsidRPr="00186FFF">
              <w:rPr>
                <w:rFonts w:cs="Calibri"/>
                <w:szCs w:val="22"/>
              </w:rPr>
              <w:t>Description</w:t>
            </w:r>
          </w:p>
        </w:tc>
        <w:tc>
          <w:tcPr>
            <w:cnfStyle w:val="000100000000" w:firstRow="0" w:lastRow="0" w:firstColumn="0" w:lastColumn="1" w:oddVBand="0" w:evenVBand="0" w:oddHBand="0" w:evenHBand="0" w:firstRowFirstColumn="0" w:firstRowLastColumn="0" w:lastRowFirstColumn="0" w:lastRowLastColumn="0"/>
            <w:tcW w:w="3827" w:type="dxa"/>
          </w:tcPr>
          <w:p w14:paraId="1C71654A" w14:textId="77777777" w:rsidR="00152B4F" w:rsidRPr="00186FFF" w:rsidRDefault="00152B4F" w:rsidP="009039E0">
            <w:pPr>
              <w:autoSpaceDE w:val="0"/>
              <w:autoSpaceDN w:val="0"/>
              <w:adjustRightInd w:val="0"/>
              <w:spacing w:after="60"/>
              <w:rPr>
                <w:rFonts w:cs="Calibri"/>
                <w:szCs w:val="22"/>
              </w:rPr>
            </w:pPr>
            <w:r w:rsidRPr="00186FFF">
              <w:rPr>
                <w:rFonts w:cs="Calibri"/>
                <w:szCs w:val="22"/>
              </w:rPr>
              <w:t>Data Source</w:t>
            </w:r>
          </w:p>
        </w:tc>
      </w:tr>
      <w:tr w:rsidR="00152B4F" w:rsidRPr="0075088F" w14:paraId="3C761DD1" w14:textId="77777777" w:rsidTr="009039E0">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vAlign w:val="center"/>
          </w:tcPr>
          <w:p w14:paraId="641795CA" w14:textId="77777777" w:rsidR="00152B4F" w:rsidRPr="00186FFF" w:rsidRDefault="00152B4F" w:rsidP="009039E0">
            <w:pPr>
              <w:rPr>
                <w:rFonts w:cs="Calibri"/>
              </w:rPr>
            </w:pPr>
            <w:r w:rsidRPr="00186FFF">
              <w:rPr>
                <w:rFonts w:cs="Calibri"/>
              </w:rPr>
              <w:t>Other:</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77DA44F0" w14:textId="77777777" w:rsidR="00152B4F" w:rsidRPr="00186FFF" w:rsidRDefault="00152B4F" w:rsidP="009039E0">
            <w:pPr>
              <w:rPr>
                <w:rFonts w:cs="Calibri"/>
              </w:rPr>
            </w:pP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0B93B43C" w14:textId="77777777" w:rsidR="00152B4F" w:rsidRPr="00186FFF" w:rsidRDefault="00152B4F" w:rsidP="009039E0">
            <w:pPr>
              <w:rPr>
                <w:rFonts w:cs="Calibri"/>
              </w:rPr>
            </w:pPr>
          </w:p>
        </w:tc>
      </w:tr>
      <w:tr w:rsidR="00152B4F" w:rsidRPr="0075088F" w14:paraId="4EAABEE9"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1A62A15C" w14:textId="77777777" w:rsidR="00152B4F" w:rsidRPr="0039382C" w:rsidRDefault="00152B4F" w:rsidP="009039E0">
            <w:pPr>
              <w:ind w:left="306"/>
              <w:rPr>
                <w:rFonts w:ascii="Calibri" w:hAnsi="Calibri" w:cs="Calibri"/>
                <w:b w:val="0"/>
              </w:rPr>
            </w:pPr>
            <w:r w:rsidRPr="0039382C">
              <w:rPr>
                <w:rFonts w:ascii="Calibri" w:hAnsi="Calibri" w:cs="Calibri"/>
              </w:rPr>
              <w:t>Age (spline)</w:t>
            </w:r>
          </w:p>
        </w:tc>
        <w:tc>
          <w:tcPr>
            <w:cnfStyle w:val="000010000000" w:firstRow="0" w:lastRow="0" w:firstColumn="0" w:lastColumn="0" w:oddVBand="1" w:evenVBand="0" w:oddHBand="0" w:evenHBand="0" w:firstRowFirstColumn="0" w:firstRowLastColumn="0" w:lastRowFirstColumn="0" w:lastRowLastColumn="0"/>
            <w:tcW w:w="5103" w:type="dxa"/>
          </w:tcPr>
          <w:p w14:paraId="54D5165F" w14:textId="77777777" w:rsidR="00152B4F" w:rsidRPr="0039382C" w:rsidDel="006D6CD2" w:rsidRDefault="00152B4F" w:rsidP="009039E0">
            <w:pPr>
              <w:rPr>
                <w:rFonts w:ascii="Calibri" w:hAnsi="Calibri" w:cs="Calibri"/>
              </w:rPr>
            </w:pPr>
            <w:r w:rsidRPr="0039382C">
              <w:rPr>
                <w:rFonts w:ascii="Calibri" w:hAnsi="Calibri" w:cs="Calibri"/>
              </w:rPr>
              <w:t>Age spline, based on jobseeker Age at Commencement</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0DC80D16" w14:textId="77777777" w:rsidR="00152B4F" w:rsidRPr="0039382C" w:rsidRDefault="00152B4F" w:rsidP="009039E0">
            <w:pPr>
              <w:rPr>
                <w:rFonts w:cs="Calibri"/>
                <w:b w:val="0"/>
              </w:rPr>
            </w:pPr>
            <w:r w:rsidRPr="0039382C">
              <w:rPr>
                <w:rFonts w:cs="Calibri"/>
              </w:rPr>
              <w:t>Centrelink</w:t>
            </w:r>
          </w:p>
        </w:tc>
      </w:tr>
      <w:tr w:rsidR="00152B4F" w:rsidRPr="0075088F" w14:paraId="4EF58A66"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76ADA26" w14:textId="77777777" w:rsidR="00152B4F" w:rsidRPr="0039382C" w:rsidRDefault="00152B4F" w:rsidP="009039E0">
            <w:pPr>
              <w:ind w:left="306"/>
              <w:rPr>
                <w:rFonts w:ascii="Calibri" w:hAnsi="Calibri" w:cs="Calibri"/>
                <w:b w:val="0"/>
              </w:rPr>
            </w:pPr>
            <w:r w:rsidRPr="0039382C">
              <w:rPr>
                <w:rFonts w:ascii="Calibri" w:hAnsi="Calibri" w:cs="Calibri"/>
              </w:rPr>
              <w:t>Age Youngest Child</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293F8DB1" w14:textId="77777777" w:rsidR="00152B4F" w:rsidRPr="0039382C" w:rsidDel="006D6CD2" w:rsidRDefault="00152B4F" w:rsidP="009039E0">
            <w:pPr>
              <w:rPr>
                <w:rFonts w:ascii="Calibri" w:hAnsi="Calibri" w:cs="Calibri"/>
              </w:rPr>
            </w:pPr>
            <w:r w:rsidRPr="0039382C">
              <w:rPr>
                <w:rFonts w:ascii="Calibri" w:hAnsi="Calibri" w:cs="Calibri"/>
              </w:rPr>
              <w:t>The age of the youngest dependent child</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062B8763" w14:textId="77777777" w:rsidR="00152B4F" w:rsidRPr="0039382C" w:rsidRDefault="00152B4F" w:rsidP="009039E0">
            <w:pPr>
              <w:rPr>
                <w:rFonts w:cs="Calibri"/>
                <w:b w:val="0"/>
              </w:rPr>
            </w:pPr>
          </w:p>
        </w:tc>
      </w:tr>
      <w:tr w:rsidR="00152B4F" w:rsidRPr="0075088F" w14:paraId="4BFB3A82"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3CCB560E" w14:textId="77777777" w:rsidR="00152B4F" w:rsidRPr="0039382C" w:rsidRDefault="00152B4F" w:rsidP="009039E0">
            <w:pPr>
              <w:ind w:left="306"/>
              <w:rPr>
                <w:rFonts w:ascii="Calibri" w:hAnsi="Calibri" w:cs="Calibri"/>
                <w:b w:val="0"/>
              </w:rPr>
            </w:pPr>
            <w:r w:rsidRPr="0039382C">
              <w:rPr>
                <w:rFonts w:ascii="Calibri" w:hAnsi="Calibri" w:cs="Calibri"/>
              </w:rPr>
              <w:t>Barriers</w:t>
            </w:r>
          </w:p>
        </w:tc>
        <w:tc>
          <w:tcPr>
            <w:cnfStyle w:val="000010000000" w:firstRow="0" w:lastRow="0" w:firstColumn="0" w:lastColumn="0" w:oddVBand="1" w:evenVBand="0" w:oddHBand="0" w:evenHBand="0" w:firstRowFirstColumn="0" w:firstRowLastColumn="0" w:lastRowFirstColumn="0" w:lastRowLastColumn="0"/>
            <w:tcW w:w="5103" w:type="dxa"/>
          </w:tcPr>
          <w:p w14:paraId="5FB1193F" w14:textId="77777777" w:rsidR="00152B4F" w:rsidRPr="0039382C" w:rsidRDefault="00152B4F" w:rsidP="009039E0">
            <w:pPr>
              <w:rPr>
                <w:rFonts w:ascii="Calibri" w:hAnsi="Calibri" w:cs="Calibri"/>
              </w:rPr>
            </w:pPr>
            <w:r w:rsidRPr="0039382C">
              <w:rPr>
                <w:rFonts w:ascii="Calibri" w:hAnsi="Calibri" w:cs="Calibri"/>
              </w:rPr>
              <w:t>Vocational or Non-Vocational Barrier to employment</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28226EA3" w14:textId="77777777" w:rsidR="00152B4F" w:rsidRPr="0039382C" w:rsidRDefault="00152B4F" w:rsidP="009039E0">
            <w:pPr>
              <w:rPr>
                <w:rFonts w:cs="Calibri"/>
                <w:b w:val="0"/>
              </w:rPr>
            </w:pPr>
          </w:p>
        </w:tc>
      </w:tr>
      <w:tr w:rsidR="00152B4F" w:rsidRPr="0075088F" w14:paraId="55653C5E"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0005829" w14:textId="77777777" w:rsidR="00152B4F" w:rsidRPr="0039382C" w:rsidRDefault="00152B4F" w:rsidP="009039E0">
            <w:pPr>
              <w:ind w:left="306"/>
              <w:rPr>
                <w:rFonts w:ascii="Calibri" w:hAnsi="Calibri" w:cs="Calibri"/>
                <w:b w:val="0"/>
              </w:rPr>
            </w:pPr>
            <w:r w:rsidRPr="0039382C">
              <w:rPr>
                <w:rFonts w:ascii="Calibri" w:hAnsi="Calibri" w:cs="Calibri"/>
              </w:rPr>
              <w:t>Criminal convictions</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2842C296" w14:textId="77777777" w:rsidR="00152B4F" w:rsidRPr="0039382C" w:rsidDel="006D6CD2" w:rsidRDefault="00152B4F" w:rsidP="009039E0">
            <w:pPr>
              <w:rPr>
                <w:rFonts w:ascii="Calibri" w:hAnsi="Calibri" w:cs="Calibri"/>
              </w:rPr>
            </w:pPr>
            <w:r w:rsidRPr="0039382C">
              <w:rPr>
                <w:rFonts w:ascii="Calibri" w:hAnsi="Calibri" w:cs="Calibri"/>
              </w:rPr>
              <w:t>Participant is an ex-offender</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242FB5FC" w14:textId="77777777" w:rsidR="00152B4F" w:rsidRPr="00B92E78" w:rsidRDefault="00152B4F" w:rsidP="009039E0">
            <w:pPr>
              <w:rPr>
                <w:rFonts w:cs="Calibri"/>
                <w:b w:val="0"/>
              </w:rPr>
            </w:pPr>
            <w:r w:rsidRPr="0039382C">
              <w:rPr>
                <w:rFonts w:cs="Calibri"/>
              </w:rPr>
              <w:t>ESSWeb - JSCI</w:t>
            </w:r>
          </w:p>
        </w:tc>
      </w:tr>
      <w:tr w:rsidR="00152B4F" w:rsidRPr="0075088F" w14:paraId="25B24101"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27C9C85A" w14:textId="77777777" w:rsidR="00152B4F" w:rsidRPr="0039382C" w:rsidRDefault="00152B4F" w:rsidP="009039E0">
            <w:pPr>
              <w:ind w:left="306"/>
              <w:rPr>
                <w:rFonts w:ascii="Calibri" w:hAnsi="Calibri" w:cs="Calibri"/>
                <w:b w:val="0"/>
              </w:rPr>
            </w:pPr>
            <w:r w:rsidRPr="0039382C">
              <w:rPr>
                <w:rFonts w:ascii="Calibri" w:hAnsi="Calibri" w:cs="Calibri"/>
              </w:rPr>
              <w:t xml:space="preserve">Culturally and linguistically diverse </w:t>
            </w:r>
          </w:p>
        </w:tc>
        <w:tc>
          <w:tcPr>
            <w:cnfStyle w:val="000010000000" w:firstRow="0" w:lastRow="0" w:firstColumn="0" w:lastColumn="0" w:oddVBand="1" w:evenVBand="0" w:oddHBand="0" w:evenHBand="0" w:firstRowFirstColumn="0" w:firstRowLastColumn="0" w:lastRowFirstColumn="0" w:lastRowLastColumn="0"/>
            <w:tcW w:w="5103" w:type="dxa"/>
          </w:tcPr>
          <w:p w14:paraId="0317F53F" w14:textId="77777777" w:rsidR="00152B4F" w:rsidRPr="0039382C" w:rsidDel="006D6CD2" w:rsidRDefault="00152B4F" w:rsidP="009039E0">
            <w:pPr>
              <w:rPr>
                <w:rFonts w:ascii="Calibri" w:hAnsi="Calibri" w:cs="Calibri"/>
              </w:rPr>
            </w:pPr>
            <w:r w:rsidRPr="0039382C">
              <w:rPr>
                <w:rFonts w:ascii="Calibri" w:hAnsi="Calibri" w:cs="Calibri"/>
              </w:rPr>
              <w:t>Country of Birth – level of disadvantage group.</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49282F7A" w14:textId="77777777" w:rsidR="00152B4F" w:rsidRPr="0039382C" w:rsidRDefault="00152B4F" w:rsidP="009039E0">
            <w:pPr>
              <w:rPr>
                <w:rFonts w:cs="Calibri"/>
                <w:b w:val="0"/>
              </w:rPr>
            </w:pPr>
          </w:p>
        </w:tc>
      </w:tr>
      <w:tr w:rsidR="00152B4F" w:rsidRPr="0075088F" w14:paraId="379E4EB9"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2747A23" w14:textId="77777777" w:rsidR="00152B4F" w:rsidRPr="0039382C" w:rsidRDefault="00152B4F" w:rsidP="009039E0">
            <w:pPr>
              <w:ind w:left="306"/>
              <w:rPr>
                <w:rFonts w:ascii="Calibri" w:hAnsi="Calibri" w:cs="Calibri"/>
              </w:rPr>
            </w:pPr>
            <w:r w:rsidRPr="0039382C">
              <w:rPr>
                <w:rFonts w:ascii="Calibri" w:hAnsi="Calibri" w:cs="Calibri"/>
              </w:rPr>
              <w:t xml:space="preserve">Educational Attainment Level  </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097E6217" w14:textId="77777777" w:rsidR="00152B4F" w:rsidRPr="0039382C" w:rsidRDefault="00152B4F" w:rsidP="009039E0">
            <w:pPr>
              <w:rPr>
                <w:rFonts w:ascii="Calibri" w:hAnsi="Calibri" w:cs="Calibri"/>
              </w:rPr>
            </w:pPr>
            <w:r w:rsidRPr="0039382C">
              <w:rPr>
                <w:rFonts w:ascii="Calibri" w:hAnsi="Calibri" w:cs="Calibri"/>
              </w:rPr>
              <w:t>Highest education level as recording in the JSCI</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5085C9DF" w14:textId="77777777" w:rsidR="00152B4F" w:rsidRPr="0039382C" w:rsidRDefault="00152B4F" w:rsidP="009039E0">
            <w:pPr>
              <w:rPr>
                <w:rFonts w:cs="Calibri"/>
                <w:b w:val="0"/>
              </w:rPr>
            </w:pPr>
            <w:r w:rsidRPr="0039382C">
              <w:rPr>
                <w:rFonts w:cs="Calibri"/>
              </w:rPr>
              <w:t>ESSWeb - JSCI</w:t>
            </w:r>
          </w:p>
        </w:tc>
      </w:tr>
      <w:tr w:rsidR="00152B4F" w:rsidRPr="0075088F" w14:paraId="7F5BFEA8"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4F3ED976" w14:textId="77777777" w:rsidR="00152B4F" w:rsidRPr="0039382C" w:rsidRDefault="00152B4F" w:rsidP="009039E0">
            <w:pPr>
              <w:ind w:left="306"/>
              <w:rPr>
                <w:rFonts w:ascii="Calibri" w:hAnsi="Calibri" w:cs="Calibri"/>
                <w:b w:val="0"/>
              </w:rPr>
            </w:pPr>
            <w:r w:rsidRPr="0039382C">
              <w:rPr>
                <w:rFonts w:ascii="Calibri" w:hAnsi="Calibri" w:cs="Calibri"/>
              </w:rPr>
              <w:t>English language proficiency</w:t>
            </w:r>
          </w:p>
        </w:tc>
        <w:tc>
          <w:tcPr>
            <w:cnfStyle w:val="000010000000" w:firstRow="0" w:lastRow="0" w:firstColumn="0" w:lastColumn="0" w:oddVBand="1" w:evenVBand="0" w:oddHBand="0" w:evenHBand="0" w:firstRowFirstColumn="0" w:firstRowLastColumn="0" w:lastRowFirstColumn="0" w:lastRowLastColumn="0"/>
            <w:tcW w:w="5103" w:type="dxa"/>
          </w:tcPr>
          <w:p w14:paraId="39295DEF" w14:textId="77777777" w:rsidR="00152B4F" w:rsidRPr="0039382C" w:rsidDel="006D6CD2" w:rsidRDefault="00152B4F" w:rsidP="009039E0">
            <w:pPr>
              <w:rPr>
                <w:rFonts w:ascii="Calibri" w:hAnsi="Calibri" w:cs="Calibri"/>
              </w:rPr>
            </w:pPr>
            <w:r w:rsidRPr="0039382C">
              <w:rPr>
                <w:rFonts w:ascii="Calibri" w:hAnsi="Calibri" w:cs="Calibri"/>
              </w:rPr>
              <w:t xml:space="preserve">Level of English Proficiency </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03055A0B" w14:textId="77777777" w:rsidR="00152B4F" w:rsidRPr="0039382C" w:rsidRDefault="00152B4F" w:rsidP="009039E0">
            <w:pPr>
              <w:rPr>
                <w:rFonts w:cs="Calibri"/>
                <w:b w:val="0"/>
              </w:rPr>
            </w:pPr>
            <w:r w:rsidRPr="0039382C">
              <w:rPr>
                <w:rFonts w:cs="Calibri"/>
              </w:rPr>
              <w:t>ESSWeb - JSCI</w:t>
            </w:r>
          </w:p>
        </w:tc>
      </w:tr>
      <w:tr w:rsidR="00152B4F" w:rsidRPr="0075088F" w14:paraId="77B87BD1"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74568C0" w14:textId="77777777" w:rsidR="00152B4F" w:rsidRPr="0039382C" w:rsidRDefault="00152B4F" w:rsidP="009039E0">
            <w:pPr>
              <w:ind w:left="306"/>
              <w:rPr>
                <w:rFonts w:ascii="Calibri" w:hAnsi="Calibri" w:cs="Calibri"/>
                <w:b w:val="0"/>
              </w:rPr>
            </w:pPr>
            <w:r w:rsidRPr="0039382C">
              <w:rPr>
                <w:rFonts w:ascii="Calibri" w:hAnsi="Calibri" w:cs="Calibri"/>
              </w:rPr>
              <w:t>Employment benchmark</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0CD03F95" w14:textId="77777777" w:rsidR="00152B4F" w:rsidRPr="0039382C" w:rsidDel="006D6CD2" w:rsidRDefault="00152B4F" w:rsidP="009039E0">
            <w:pPr>
              <w:rPr>
                <w:rFonts w:ascii="Calibri" w:hAnsi="Calibri" w:cs="Calibri"/>
              </w:rPr>
            </w:pPr>
            <w:r w:rsidRPr="0039382C">
              <w:rPr>
                <w:rFonts w:ascii="Calibri" w:hAnsi="Calibri" w:cs="Calibri"/>
              </w:rPr>
              <w:t>The employment benchmark of the participants, as determined by their future work capacity in their ESAt/JCA.</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2C23E297" w14:textId="77777777" w:rsidR="00152B4F" w:rsidRPr="0039382C" w:rsidDel="006D6CD2" w:rsidRDefault="00152B4F" w:rsidP="009039E0">
            <w:pPr>
              <w:rPr>
                <w:rFonts w:cs="Calibri"/>
                <w:b w:val="0"/>
              </w:rPr>
            </w:pPr>
            <w:r w:rsidRPr="0039382C">
              <w:rPr>
                <w:rFonts w:cs="Calibri"/>
              </w:rPr>
              <w:t>ESAt/JCA</w:t>
            </w:r>
          </w:p>
        </w:tc>
      </w:tr>
      <w:tr w:rsidR="00152B4F" w:rsidRPr="0075088F" w14:paraId="0511B72B"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7B72ED45" w14:textId="77777777" w:rsidR="00152B4F" w:rsidRPr="0039382C" w:rsidRDefault="00152B4F" w:rsidP="009039E0">
            <w:pPr>
              <w:ind w:left="306"/>
              <w:rPr>
                <w:rFonts w:ascii="Calibri" w:hAnsi="Calibri" w:cs="Calibri"/>
                <w:b w:val="0"/>
              </w:rPr>
            </w:pPr>
            <w:r w:rsidRPr="0039382C">
              <w:rPr>
                <w:rFonts w:ascii="Calibri" w:hAnsi="Calibri" w:cs="Calibri"/>
              </w:rPr>
              <w:t>Funding level</w:t>
            </w:r>
          </w:p>
        </w:tc>
        <w:tc>
          <w:tcPr>
            <w:cnfStyle w:val="000010000000" w:firstRow="0" w:lastRow="0" w:firstColumn="0" w:lastColumn="0" w:oddVBand="1" w:evenVBand="0" w:oddHBand="0" w:evenHBand="0" w:firstRowFirstColumn="0" w:firstRowLastColumn="0" w:lastRowFirstColumn="0" w:lastRowLastColumn="0"/>
            <w:tcW w:w="5103" w:type="dxa"/>
          </w:tcPr>
          <w:p w14:paraId="03056316" w14:textId="77777777" w:rsidR="00152B4F" w:rsidRPr="0039382C" w:rsidDel="006D6CD2" w:rsidRDefault="00152B4F" w:rsidP="009039E0">
            <w:pPr>
              <w:rPr>
                <w:rFonts w:ascii="Calibri" w:hAnsi="Calibri" w:cs="Calibri"/>
              </w:rPr>
            </w:pPr>
            <w:r w:rsidRPr="0039382C">
              <w:rPr>
                <w:rFonts w:ascii="Calibri" w:hAnsi="Calibri" w:cs="Calibri"/>
              </w:rPr>
              <w:t>Funding level determined by the 2018 DES Funding Level Tool</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00B6EF94" w14:textId="77777777" w:rsidR="00152B4F" w:rsidRPr="0039382C" w:rsidRDefault="00152B4F" w:rsidP="009039E0">
            <w:pPr>
              <w:rPr>
                <w:rFonts w:cs="Calibri"/>
                <w:b w:val="0"/>
              </w:rPr>
            </w:pPr>
            <w:r w:rsidRPr="0039382C">
              <w:rPr>
                <w:rFonts w:cs="Calibri"/>
              </w:rPr>
              <w:t>ESSWeb</w:t>
            </w:r>
          </w:p>
        </w:tc>
      </w:tr>
      <w:tr w:rsidR="00152B4F" w:rsidRPr="0075088F" w14:paraId="5089885D"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13ACB227" w14:textId="77777777" w:rsidR="00152B4F" w:rsidRPr="0039382C" w:rsidRDefault="00152B4F" w:rsidP="009039E0">
            <w:pPr>
              <w:ind w:left="306"/>
              <w:rPr>
                <w:rFonts w:ascii="Calibri" w:hAnsi="Calibri" w:cs="Calibri"/>
                <w:b w:val="0"/>
              </w:rPr>
            </w:pPr>
            <w:r w:rsidRPr="0039382C">
              <w:rPr>
                <w:rFonts w:ascii="Calibri" w:hAnsi="Calibri" w:cs="Calibri"/>
              </w:rPr>
              <w:t xml:space="preserve">Gender </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633B3819" w14:textId="77777777" w:rsidR="00152B4F" w:rsidRPr="0039382C" w:rsidDel="006D6CD2" w:rsidRDefault="00152B4F" w:rsidP="009039E0">
            <w:pPr>
              <w:rPr>
                <w:rFonts w:ascii="Calibri" w:hAnsi="Calibri" w:cs="Calibri"/>
              </w:rPr>
            </w:pPr>
            <w:r w:rsidRPr="0039382C">
              <w:rPr>
                <w:rFonts w:ascii="Calibri" w:hAnsi="Calibri" w:cs="Calibri"/>
              </w:rPr>
              <w:t>Gender</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71E3F060" w14:textId="77777777" w:rsidR="00152B4F" w:rsidRPr="0039382C" w:rsidRDefault="00152B4F" w:rsidP="009039E0">
            <w:pPr>
              <w:rPr>
                <w:rFonts w:cs="Calibri"/>
                <w:b w:val="0"/>
              </w:rPr>
            </w:pPr>
            <w:r w:rsidRPr="0039382C">
              <w:rPr>
                <w:rFonts w:cs="Calibri"/>
              </w:rPr>
              <w:t>Centrelink</w:t>
            </w:r>
          </w:p>
        </w:tc>
      </w:tr>
      <w:tr w:rsidR="00152B4F" w:rsidRPr="0075088F" w14:paraId="537A2042"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7412A6E" w14:textId="77777777" w:rsidR="00152B4F" w:rsidRPr="0039382C" w:rsidRDefault="00152B4F" w:rsidP="009039E0">
            <w:pPr>
              <w:ind w:left="306"/>
              <w:rPr>
                <w:rFonts w:ascii="Calibri" w:hAnsi="Calibri" w:cs="Calibri"/>
                <w:b w:val="0"/>
              </w:rPr>
            </w:pPr>
            <w:r w:rsidRPr="0039382C">
              <w:rPr>
                <w:rFonts w:ascii="Calibri" w:hAnsi="Calibri" w:cs="Calibri"/>
              </w:rPr>
              <w:t>Homeless status</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2A05A537" w14:textId="77777777" w:rsidR="00152B4F" w:rsidRPr="0039382C" w:rsidDel="006D6CD2" w:rsidRDefault="00152B4F" w:rsidP="009039E0">
            <w:pPr>
              <w:rPr>
                <w:rFonts w:ascii="Calibri" w:hAnsi="Calibri" w:cs="Calibri"/>
              </w:rPr>
            </w:pPr>
            <w:r w:rsidRPr="0039382C">
              <w:rPr>
                <w:rFonts w:ascii="Calibri" w:hAnsi="Calibri" w:cs="Calibri"/>
                <w:lang w:eastAsia="en-AU"/>
              </w:rPr>
              <w:t>Participant is Homeless (Primary or Secondary)</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359FEDFF" w14:textId="77777777" w:rsidR="00152B4F" w:rsidRPr="00B92E78" w:rsidRDefault="00152B4F" w:rsidP="009039E0">
            <w:pPr>
              <w:rPr>
                <w:rFonts w:cs="Calibri"/>
                <w:b w:val="0"/>
              </w:rPr>
            </w:pPr>
          </w:p>
        </w:tc>
      </w:tr>
      <w:tr w:rsidR="00152B4F" w:rsidRPr="0075088F" w14:paraId="1AB8C6EA"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F346EE7" w14:textId="77777777" w:rsidR="00152B4F" w:rsidRPr="0039382C" w:rsidRDefault="00152B4F" w:rsidP="009039E0">
            <w:pPr>
              <w:ind w:left="306"/>
              <w:rPr>
                <w:rFonts w:ascii="Calibri" w:hAnsi="Calibri" w:cs="Calibri"/>
                <w:b w:val="0"/>
              </w:rPr>
            </w:pPr>
            <w:r w:rsidRPr="0039382C">
              <w:rPr>
                <w:rFonts w:ascii="Calibri" w:hAnsi="Calibri" w:cs="Calibri"/>
              </w:rPr>
              <w:t>Indigenous Status</w:t>
            </w:r>
          </w:p>
        </w:tc>
        <w:tc>
          <w:tcPr>
            <w:cnfStyle w:val="000010000000" w:firstRow="0" w:lastRow="0" w:firstColumn="0" w:lastColumn="0" w:oddVBand="1" w:evenVBand="0" w:oddHBand="0" w:evenHBand="0" w:firstRowFirstColumn="0" w:firstRowLastColumn="0" w:lastRowFirstColumn="0" w:lastRowLastColumn="0"/>
            <w:tcW w:w="5103" w:type="dxa"/>
          </w:tcPr>
          <w:p w14:paraId="698F4F1C" w14:textId="77777777" w:rsidR="00152B4F" w:rsidRPr="0039382C" w:rsidDel="006D6CD2" w:rsidRDefault="00152B4F" w:rsidP="009039E0">
            <w:pPr>
              <w:rPr>
                <w:rFonts w:ascii="Calibri" w:hAnsi="Calibri" w:cs="Calibri"/>
              </w:rPr>
            </w:pPr>
            <w:r w:rsidRPr="0039382C">
              <w:rPr>
                <w:rFonts w:ascii="Calibri" w:hAnsi="Calibri" w:cs="Calibri"/>
                <w:lang w:eastAsia="en-AU"/>
              </w:rPr>
              <w:t>Participant identifies as Indigenous.</w:t>
            </w:r>
          </w:p>
        </w:tc>
        <w:tc>
          <w:tcPr>
            <w:cnfStyle w:val="000100000000" w:firstRow="0" w:lastRow="0" w:firstColumn="0" w:lastColumn="1" w:oddVBand="0" w:evenVBand="0" w:oddHBand="0" w:evenHBand="0" w:firstRowFirstColumn="0" w:firstRowLastColumn="0" w:lastRowFirstColumn="0" w:lastRowLastColumn="0"/>
            <w:tcW w:w="3827" w:type="dxa"/>
          </w:tcPr>
          <w:p w14:paraId="39DAD20B" w14:textId="77777777" w:rsidR="00152B4F" w:rsidRPr="00B92E78" w:rsidRDefault="00152B4F" w:rsidP="009039E0">
            <w:pPr>
              <w:rPr>
                <w:rFonts w:cs="Calibri"/>
                <w:b w:val="0"/>
              </w:rPr>
            </w:pPr>
            <w:r w:rsidRPr="0039382C">
              <w:rPr>
                <w:rFonts w:cs="Calibri"/>
              </w:rPr>
              <w:t>ESSWeb - JSCI</w:t>
            </w:r>
          </w:p>
        </w:tc>
      </w:tr>
      <w:tr w:rsidR="00152B4F" w:rsidRPr="0075088F" w14:paraId="7DA56104"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3DB3CD75" w14:textId="77777777" w:rsidR="00152B4F" w:rsidRPr="0039382C" w:rsidRDefault="00152B4F" w:rsidP="009039E0">
            <w:pPr>
              <w:ind w:left="306"/>
              <w:rPr>
                <w:rFonts w:ascii="Calibri" w:hAnsi="Calibri" w:cs="Calibri"/>
                <w:b w:val="0"/>
              </w:rPr>
            </w:pPr>
            <w:r w:rsidRPr="0039382C">
              <w:rPr>
                <w:rFonts w:ascii="Calibri" w:hAnsi="Calibri" w:cs="Calibri"/>
                <w:lang w:eastAsia="en-AU"/>
              </w:rPr>
              <w:t>Indigenous Status/Metro Location</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35DDE22A" w14:textId="77777777" w:rsidR="00152B4F" w:rsidRPr="0039382C" w:rsidDel="006D6CD2" w:rsidRDefault="00152B4F" w:rsidP="009039E0">
            <w:pPr>
              <w:rPr>
                <w:rFonts w:ascii="Calibri" w:hAnsi="Calibri" w:cs="Calibri"/>
                <w:szCs w:val="22"/>
                <w:lang w:eastAsia="en-AU"/>
              </w:rPr>
            </w:pPr>
            <w:r w:rsidRPr="0039382C">
              <w:rPr>
                <w:rFonts w:ascii="Calibri" w:hAnsi="Calibri" w:cs="Calibri"/>
                <w:lang w:eastAsia="en-AU"/>
              </w:rPr>
              <w:t>Participant identifies as Indigenous and lives in Metropolitan location.</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1C3A24E0" w14:textId="77777777" w:rsidR="00152B4F" w:rsidRPr="00B92E78" w:rsidRDefault="00152B4F" w:rsidP="009039E0">
            <w:pPr>
              <w:rPr>
                <w:rFonts w:cs="Calibri"/>
                <w:b w:val="0"/>
              </w:rPr>
            </w:pPr>
            <w:r w:rsidRPr="0039382C">
              <w:rPr>
                <w:rFonts w:cs="Calibri"/>
              </w:rPr>
              <w:t>ESSWeb - JSCI</w:t>
            </w:r>
          </w:p>
        </w:tc>
      </w:tr>
      <w:tr w:rsidR="00152B4F" w:rsidRPr="0075088F" w14:paraId="7413ABC8"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C87C6C5" w14:textId="77777777" w:rsidR="00152B4F" w:rsidRPr="0039382C" w:rsidRDefault="00152B4F" w:rsidP="009039E0">
            <w:pPr>
              <w:ind w:left="306"/>
              <w:rPr>
                <w:rFonts w:ascii="Calibri" w:hAnsi="Calibri" w:cs="Calibri"/>
                <w:b w:val="0"/>
              </w:rPr>
            </w:pPr>
            <w:r w:rsidRPr="0039382C">
              <w:rPr>
                <w:rFonts w:ascii="Calibri" w:hAnsi="Calibri" w:cs="Calibri"/>
              </w:rPr>
              <w:t>Income Support Allowance Type</w:t>
            </w:r>
          </w:p>
        </w:tc>
        <w:tc>
          <w:tcPr>
            <w:cnfStyle w:val="000010000000" w:firstRow="0" w:lastRow="0" w:firstColumn="0" w:lastColumn="0" w:oddVBand="1" w:evenVBand="0" w:oddHBand="0" w:evenHBand="0" w:firstRowFirstColumn="0" w:firstRowLastColumn="0" w:lastRowFirstColumn="0" w:lastRowLastColumn="0"/>
            <w:tcW w:w="5103" w:type="dxa"/>
          </w:tcPr>
          <w:p w14:paraId="0FE15833" w14:textId="77777777" w:rsidR="00152B4F" w:rsidRPr="0039382C" w:rsidDel="006D6CD2" w:rsidRDefault="00152B4F" w:rsidP="009039E0">
            <w:pPr>
              <w:rPr>
                <w:rFonts w:ascii="Calibri" w:hAnsi="Calibri" w:cs="Calibri"/>
              </w:rPr>
            </w:pPr>
            <w:r w:rsidRPr="0039382C">
              <w:rPr>
                <w:rFonts w:ascii="Calibri" w:hAnsi="Calibri" w:cs="Calibri"/>
              </w:rPr>
              <w:t>Income Support type at commencement</w:t>
            </w:r>
          </w:p>
        </w:tc>
        <w:tc>
          <w:tcPr>
            <w:cnfStyle w:val="000100000000" w:firstRow="0" w:lastRow="0" w:firstColumn="0" w:lastColumn="1" w:oddVBand="0" w:evenVBand="0" w:oddHBand="0" w:evenHBand="0" w:firstRowFirstColumn="0" w:firstRowLastColumn="0" w:lastRowFirstColumn="0" w:lastRowLastColumn="0"/>
            <w:tcW w:w="3827" w:type="dxa"/>
          </w:tcPr>
          <w:p w14:paraId="53014DD4" w14:textId="77777777" w:rsidR="00152B4F" w:rsidRPr="0039382C" w:rsidRDefault="00152B4F" w:rsidP="009039E0">
            <w:pPr>
              <w:rPr>
                <w:rFonts w:cs="Calibri"/>
                <w:b w:val="0"/>
              </w:rPr>
            </w:pPr>
            <w:r w:rsidRPr="0039382C">
              <w:rPr>
                <w:rFonts w:cs="Calibri"/>
              </w:rPr>
              <w:t>Centrelink</w:t>
            </w:r>
          </w:p>
        </w:tc>
      </w:tr>
      <w:tr w:rsidR="00152B4F" w:rsidRPr="0075088F" w14:paraId="1A6C2DA5"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31B21BD5" w14:textId="77777777" w:rsidR="00152B4F" w:rsidRPr="0039382C" w:rsidRDefault="00152B4F" w:rsidP="009039E0">
            <w:pPr>
              <w:ind w:left="306"/>
              <w:rPr>
                <w:rFonts w:ascii="Calibri" w:hAnsi="Calibri" w:cs="Calibri"/>
                <w:b w:val="0"/>
              </w:rPr>
            </w:pPr>
            <w:r w:rsidRPr="0039382C">
              <w:rPr>
                <w:rFonts w:ascii="Calibri" w:hAnsi="Calibri" w:cs="Calibri"/>
              </w:rPr>
              <w:t>JSCI Score (spline)</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18E27DBE" w14:textId="77777777" w:rsidR="00152B4F" w:rsidRPr="0039382C" w:rsidDel="006D6CD2" w:rsidRDefault="00152B4F" w:rsidP="009039E0">
            <w:pPr>
              <w:rPr>
                <w:rFonts w:ascii="Calibri" w:hAnsi="Calibri" w:cs="Calibri"/>
              </w:rPr>
            </w:pPr>
            <w:r w:rsidRPr="0039382C">
              <w:rPr>
                <w:rFonts w:ascii="Calibri" w:hAnsi="Calibri" w:cs="Calibri"/>
              </w:rPr>
              <w:t>Spline based on Job Seeker Classification Index Score</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43FEA0D0" w14:textId="77777777" w:rsidR="00152B4F" w:rsidRPr="0039382C" w:rsidRDefault="00152B4F" w:rsidP="009039E0">
            <w:pPr>
              <w:rPr>
                <w:rFonts w:cs="Calibri"/>
                <w:b w:val="0"/>
              </w:rPr>
            </w:pPr>
            <w:r w:rsidRPr="0039382C">
              <w:rPr>
                <w:rFonts w:cs="Calibri"/>
              </w:rPr>
              <w:t>ESSWeb</w:t>
            </w:r>
            <w:r>
              <w:rPr>
                <w:rFonts w:cs="Calibri"/>
              </w:rPr>
              <w:t xml:space="preserve"> - JSCI</w:t>
            </w:r>
          </w:p>
        </w:tc>
      </w:tr>
      <w:tr w:rsidR="00152B4F" w:rsidRPr="0075088F" w14:paraId="6DE4F911"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31FE3DD" w14:textId="77777777" w:rsidR="00152B4F" w:rsidRPr="0039382C" w:rsidRDefault="00152B4F" w:rsidP="009039E0">
            <w:pPr>
              <w:ind w:left="306"/>
              <w:rPr>
                <w:rFonts w:ascii="Calibri" w:hAnsi="Calibri" w:cs="Calibri"/>
                <w:b w:val="0"/>
              </w:rPr>
            </w:pPr>
            <w:r w:rsidRPr="0039382C">
              <w:rPr>
                <w:rFonts w:ascii="Calibri" w:hAnsi="Calibri" w:cs="Calibri"/>
              </w:rPr>
              <w:t xml:space="preserve">Ongoing Support funding level </w:t>
            </w:r>
          </w:p>
          <w:p w14:paraId="397575B8" w14:textId="77777777" w:rsidR="00152B4F" w:rsidRPr="0039382C" w:rsidRDefault="00152B4F" w:rsidP="009039E0">
            <w:pPr>
              <w:ind w:left="306"/>
              <w:rPr>
                <w:rFonts w:ascii="Calibri" w:hAnsi="Calibri" w:cs="Calibri"/>
                <w:b w:val="0"/>
              </w:rPr>
            </w:pPr>
            <w:r w:rsidRPr="0039382C">
              <w:rPr>
                <w:rFonts w:ascii="Calibri" w:hAnsi="Calibri" w:cs="Calibri"/>
              </w:rPr>
              <w:t>(DES-ESS only)</w:t>
            </w:r>
          </w:p>
        </w:tc>
        <w:tc>
          <w:tcPr>
            <w:cnfStyle w:val="000010000000" w:firstRow="0" w:lastRow="0" w:firstColumn="0" w:lastColumn="0" w:oddVBand="1" w:evenVBand="0" w:oddHBand="0" w:evenHBand="0" w:firstRowFirstColumn="0" w:firstRowLastColumn="0" w:lastRowFirstColumn="0" w:lastRowLastColumn="0"/>
            <w:tcW w:w="5103" w:type="dxa"/>
          </w:tcPr>
          <w:p w14:paraId="6A31E4EA" w14:textId="77777777" w:rsidR="00152B4F" w:rsidRPr="0039382C" w:rsidDel="006D6CD2" w:rsidRDefault="00152B4F" w:rsidP="009039E0">
            <w:pPr>
              <w:rPr>
                <w:rFonts w:ascii="Calibri" w:hAnsi="Calibri" w:cs="Calibri"/>
              </w:rPr>
            </w:pPr>
            <w:r w:rsidRPr="0039382C">
              <w:rPr>
                <w:rFonts w:ascii="Calibri" w:hAnsi="Calibri" w:cs="Calibri"/>
              </w:rPr>
              <w:t>Only applicable for the Ongoing Support performance measure.</w:t>
            </w:r>
          </w:p>
        </w:tc>
        <w:tc>
          <w:tcPr>
            <w:cnfStyle w:val="000100000000" w:firstRow="0" w:lastRow="0" w:firstColumn="0" w:lastColumn="1" w:oddVBand="0" w:evenVBand="0" w:oddHBand="0" w:evenHBand="0" w:firstRowFirstColumn="0" w:firstRowLastColumn="0" w:lastRowFirstColumn="0" w:lastRowLastColumn="0"/>
            <w:tcW w:w="3827" w:type="dxa"/>
          </w:tcPr>
          <w:p w14:paraId="1727D361" w14:textId="77777777" w:rsidR="00152B4F" w:rsidRPr="0039382C" w:rsidRDefault="00152B4F" w:rsidP="009039E0">
            <w:pPr>
              <w:rPr>
                <w:rFonts w:cs="Calibri"/>
                <w:b w:val="0"/>
              </w:rPr>
            </w:pPr>
          </w:p>
        </w:tc>
      </w:tr>
      <w:tr w:rsidR="00152B4F" w:rsidRPr="0075088F" w14:paraId="39870628"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433F04C" w14:textId="77777777" w:rsidR="00152B4F" w:rsidRPr="0039382C" w:rsidRDefault="00152B4F" w:rsidP="009039E0">
            <w:pPr>
              <w:ind w:left="306"/>
              <w:rPr>
                <w:rFonts w:ascii="Calibri" w:hAnsi="Calibri" w:cs="Calibri"/>
                <w:b w:val="0"/>
              </w:rPr>
            </w:pPr>
            <w:r w:rsidRPr="0039382C">
              <w:rPr>
                <w:rFonts w:ascii="Calibri" w:hAnsi="Calibri" w:cs="Calibri"/>
              </w:rPr>
              <w:t>Time on Income Support (spline)</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57965578" w14:textId="77777777" w:rsidR="00152B4F" w:rsidRPr="0039382C" w:rsidDel="006D6CD2" w:rsidRDefault="00152B4F" w:rsidP="009039E0">
            <w:pPr>
              <w:rPr>
                <w:rFonts w:ascii="Calibri" w:hAnsi="Calibri" w:cs="Calibri"/>
              </w:rPr>
            </w:pPr>
            <w:r w:rsidRPr="0039382C">
              <w:rPr>
                <w:rFonts w:ascii="Calibri" w:hAnsi="Calibri" w:cs="Calibri"/>
              </w:rPr>
              <w:t>Proportion of the preceding 10 years the job seeker was on income support (or from the age of 15 if under 25).</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3D59CFD5" w14:textId="77777777" w:rsidR="00152B4F" w:rsidRPr="0039382C" w:rsidRDefault="00152B4F" w:rsidP="009039E0">
            <w:pPr>
              <w:rPr>
                <w:rFonts w:cs="Calibri"/>
                <w:b w:val="0"/>
              </w:rPr>
            </w:pPr>
          </w:p>
        </w:tc>
      </w:tr>
      <w:tr w:rsidR="00152B4F" w:rsidRPr="0075088F" w14:paraId="193FF70D"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03F5F7" w14:textId="77777777" w:rsidR="00152B4F" w:rsidRPr="0039382C" w:rsidRDefault="00152B4F" w:rsidP="009039E0">
            <w:pPr>
              <w:ind w:left="306"/>
              <w:rPr>
                <w:rFonts w:ascii="Calibri" w:hAnsi="Calibri" w:cs="Calibri"/>
                <w:b w:val="0"/>
              </w:rPr>
            </w:pPr>
            <w:r w:rsidRPr="0039382C">
              <w:rPr>
                <w:rFonts w:ascii="Calibri" w:hAnsi="Calibri" w:cs="Calibri"/>
              </w:rPr>
              <w:t>Time in assistance (spline)</w:t>
            </w:r>
          </w:p>
        </w:tc>
        <w:tc>
          <w:tcPr>
            <w:cnfStyle w:val="000010000000" w:firstRow="0" w:lastRow="0" w:firstColumn="0" w:lastColumn="0" w:oddVBand="1" w:evenVBand="0" w:oddHBand="0" w:evenHBand="0" w:firstRowFirstColumn="0" w:firstRowLastColumn="0" w:lastRowFirstColumn="0" w:lastRowLastColumn="0"/>
            <w:tcW w:w="5103" w:type="dxa"/>
          </w:tcPr>
          <w:p w14:paraId="0EFFB882" w14:textId="77777777" w:rsidR="00152B4F" w:rsidRPr="0039382C" w:rsidDel="006D6CD2" w:rsidRDefault="00152B4F" w:rsidP="009039E0">
            <w:pPr>
              <w:rPr>
                <w:rFonts w:ascii="Calibri" w:hAnsi="Calibri" w:cs="Calibri"/>
              </w:rPr>
            </w:pPr>
            <w:r w:rsidRPr="0039382C">
              <w:rPr>
                <w:rFonts w:ascii="Calibri" w:hAnsi="Calibri" w:cs="Calibri"/>
              </w:rPr>
              <w:t>Spline based on Time in Assistance.</w:t>
            </w:r>
          </w:p>
        </w:tc>
        <w:tc>
          <w:tcPr>
            <w:cnfStyle w:val="000100000000" w:firstRow="0" w:lastRow="0" w:firstColumn="0" w:lastColumn="1" w:oddVBand="0" w:evenVBand="0" w:oddHBand="0" w:evenHBand="0" w:firstRowFirstColumn="0" w:firstRowLastColumn="0" w:lastRowFirstColumn="0" w:lastRowLastColumn="0"/>
            <w:tcW w:w="3827" w:type="dxa"/>
          </w:tcPr>
          <w:p w14:paraId="03561A6A" w14:textId="77777777" w:rsidR="00152B4F" w:rsidRPr="0039382C" w:rsidDel="006D6CD2" w:rsidRDefault="00152B4F" w:rsidP="009039E0">
            <w:pPr>
              <w:rPr>
                <w:rFonts w:cs="Calibri"/>
                <w:b w:val="0"/>
              </w:rPr>
            </w:pPr>
          </w:p>
        </w:tc>
      </w:tr>
      <w:tr w:rsidR="00152B4F" w:rsidRPr="0075088F" w14:paraId="44531630" w14:textId="77777777" w:rsidTr="009039E0">
        <w:tc>
          <w:tcPr>
            <w:cnfStyle w:val="001000000000" w:firstRow="0" w:lastRow="0" w:firstColumn="1" w:lastColumn="0" w:oddVBand="0" w:evenVBand="0" w:oddHBand="0" w:evenHBand="0" w:firstRowFirstColumn="0" w:firstRowLastColumn="0" w:lastRowFirstColumn="0" w:lastRowLastColumn="0"/>
            <w:tcW w:w="3681" w:type="dxa"/>
          </w:tcPr>
          <w:p w14:paraId="45F57D72" w14:textId="77777777" w:rsidR="00152B4F" w:rsidRPr="0039382C" w:rsidRDefault="00152B4F" w:rsidP="009039E0">
            <w:pPr>
              <w:ind w:left="306"/>
              <w:rPr>
                <w:rFonts w:ascii="Calibri" w:hAnsi="Calibri" w:cs="Calibri"/>
                <w:b w:val="0"/>
              </w:rPr>
            </w:pPr>
            <w:r w:rsidRPr="0039382C">
              <w:rPr>
                <w:rFonts w:ascii="Calibri" w:hAnsi="Calibri" w:cs="Calibri"/>
              </w:rPr>
              <w:t>Transition Variables</w:t>
            </w:r>
          </w:p>
        </w:tc>
        <w:tc>
          <w:tcPr>
            <w:cnfStyle w:val="000010000000" w:firstRow="0" w:lastRow="0" w:firstColumn="0" w:lastColumn="0" w:oddVBand="1" w:evenVBand="0" w:oddHBand="0" w:evenHBand="0" w:firstRowFirstColumn="0" w:firstRowLastColumn="0" w:lastRowFirstColumn="0" w:lastRowLastColumn="0"/>
            <w:tcW w:w="5103" w:type="dxa"/>
          </w:tcPr>
          <w:p w14:paraId="75DA6271" w14:textId="77777777" w:rsidR="00152B4F" w:rsidRPr="0039382C" w:rsidDel="006D6CD2" w:rsidRDefault="00152B4F" w:rsidP="009039E0">
            <w:pPr>
              <w:rPr>
                <w:rFonts w:ascii="Calibri" w:hAnsi="Calibri" w:cs="Calibri"/>
              </w:rPr>
            </w:pPr>
            <w:r w:rsidRPr="0039382C">
              <w:rPr>
                <w:rFonts w:ascii="Calibri" w:hAnsi="Calibri" w:cs="Calibri"/>
              </w:rPr>
              <w:t>Variables to control for Participants impacted by various transitions.</w:t>
            </w:r>
          </w:p>
        </w:tc>
        <w:tc>
          <w:tcPr>
            <w:cnfStyle w:val="000100000000" w:firstRow="0" w:lastRow="0" w:firstColumn="0" w:lastColumn="1" w:oddVBand="0" w:evenVBand="0" w:oddHBand="0" w:evenHBand="0" w:firstRowFirstColumn="0" w:firstRowLastColumn="0" w:lastRowFirstColumn="0" w:lastRowLastColumn="0"/>
            <w:tcW w:w="3827" w:type="dxa"/>
          </w:tcPr>
          <w:p w14:paraId="55FF75B2" w14:textId="77777777" w:rsidR="00152B4F" w:rsidRPr="0039382C" w:rsidDel="006D6CD2" w:rsidRDefault="00152B4F" w:rsidP="009039E0">
            <w:pPr>
              <w:rPr>
                <w:rFonts w:ascii="Calibri" w:hAnsi="Calibri" w:cs="Calibri"/>
                <w:b w:val="0"/>
              </w:rPr>
            </w:pPr>
          </w:p>
        </w:tc>
      </w:tr>
      <w:tr w:rsidR="00152B4F" w:rsidRPr="0075088F" w14:paraId="2BE73A57"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2871830" w14:textId="77777777" w:rsidR="00152B4F" w:rsidRPr="0039382C" w:rsidRDefault="00152B4F" w:rsidP="009039E0">
            <w:pPr>
              <w:ind w:left="306"/>
              <w:rPr>
                <w:rFonts w:ascii="Calibri" w:eastAsiaTheme="majorEastAsia" w:hAnsi="Calibri" w:cs="Calibri"/>
                <w:b w:val="0"/>
                <w:spacing w:val="5"/>
                <w:kern w:val="28"/>
              </w:rPr>
            </w:pPr>
            <w:r w:rsidRPr="0039382C">
              <w:rPr>
                <w:rFonts w:ascii="Calibri" w:hAnsi="Calibri" w:cs="Calibri"/>
              </w:rPr>
              <w:t>Unemployment Duration (spline)</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53B7C0BA" w14:textId="77777777" w:rsidR="00152B4F" w:rsidRPr="003A2F93" w:rsidRDefault="00152B4F" w:rsidP="009039E0">
            <w:pPr>
              <w:rPr>
                <w:rFonts w:ascii="Calibri" w:hAnsi="Calibri" w:cs="Calibri"/>
              </w:rPr>
            </w:pPr>
            <w:r w:rsidRPr="003A2F93">
              <w:rPr>
                <w:rFonts w:ascii="Calibri" w:hAnsi="Calibri" w:cs="Calibri"/>
              </w:rPr>
              <w:t>Spline based on Unemployment Duration</w:t>
            </w:r>
            <w:r>
              <w:rPr>
                <w:rFonts w:ascii="Calibri" w:hAnsi="Calibri" w:cs="Calibri"/>
              </w:rPr>
              <w:t xml:space="preserve"> at Commencement (since Registration Date)</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4B6990DD" w14:textId="77777777" w:rsidR="00152B4F" w:rsidRPr="0039382C" w:rsidRDefault="00152B4F" w:rsidP="009039E0">
            <w:pPr>
              <w:rPr>
                <w:rFonts w:ascii="Calibri" w:hAnsi="Calibri" w:cs="Calibri"/>
                <w:b w:val="0"/>
              </w:rPr>
            </w:pPr>
          </w:p>
        </w:tc>
      </w:tr>
      <w:tr w:rsidR="00152B4F" w:rsidRPr="0075088F" w14:paraId="569044ED" w14:textId="77777777" w:rsidTr="009039E0">
        <w:trPr>
          <w:trHeight w:val="444"/>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vAlign w:val="center"/>
          </w:tcPr>
          <w:p w14:paraId="60B5DD17" w14:textId="77777777" w:rsidR="00152B4F" w:rsidRPr="0039382C" w:rsidRDefault="00152B4F" w:rsidP="009039E0">
            <w:pPr>
              <w:rPr>
                <w:rFonts w:ascii="Calibri" w:hAnsi="Calibri" w:cs="Calibri"/>
                <w:b w:val="0"/>
              </w:rPr>
            </w:pPr>
            <w:r w:rsidRPr="0039382C">
              <w:rPr>
                <w:rFonts w:ascii="Calibri" w:hAnsi="Calibri" w:cs="Calibri"/>
              </w:rPr>
              <w:t>Disability Variables:</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3BEFB21E" w14:textId="77777777" w:rsidR="00152B4F" w:rsidRPr="0039382C" w:rsidDel="006D6CD2" w:rsidRDefault="00152B4F" w:rsidP="009039E0">
            <w:pPr>
              <w:rPr>
                <w:rFonts w:ascii="Calibri" w:hAnsi="Calibri" w:cs="Calibri"/>
                <w:b/>
              </w:rPr>
            </w:pP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7590FEEA" w14:textId="77777777" w:rsidR="00152B4F" w:rsidRPr="0039382C" w:rsidDel="006D6CD2" w:rsidRDefault="00152B4F" w:rsidP="009039E0">
            <w:pPr>
              <w:rPr>
                <w:rFonts w:ascii="Calibri" w:hAnsi="Calibri" w:cs="Calibri"/>
                <w:b w:val="0"/>
              </w:rPr>
            </w:pPr>
          </w:p>
        </w:tc>
      </w:tr>
      <w:tr w:rsidR="00152B4F" w:rsidRPr="0075088F" w14:paraId="230705B2"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6" w:space="0" w:color="BFBFBF" w:themeColor="background1" w:themeShade="BF"/>
            </w:tcBorders>
          </w:tcPr>
          <w:p w14:paraId="77B123EB" w14:textId="77777777" w:rsidR="00152B4F" w:rsidRPr="0039382C" w:rsidRDefault="00152B4F" w:rsidP="009039E0">
            <w:pPr>
              <w:ind w:left="306"/>
              <w:rPr>
                <w:rFonts w:ascii="Calibri" w:hAnsi="Calibri" w:cs="Calibri"/>
                <w:b w:val="0"/>
              </w:rPr>
            </w:pPr>
            <w:r w:rsidRPr="0039382C">
              <w:rPr>
                <w:rFonts w:ascii="Calibri" w:hAnsi="Calibri" w:cs="Calibri"/>
              </w:rPr>
              <w:t>Employment benchmark</w:t>
            </w:r>
          </w:p>
        </w:tc>
        <w:tc>
          <w:tcPr>
            <w:cnfStyle w:val="000010000000" w:firstRow="0" w:lastRow="0" w:firstColumn="0" w:lastColumn="0" w:oddVBand="1" w:evenVBand="0" w:oddHBand="0" w:evenHBand="0" w:firstRowFirstColumn="0" w:firstRowLastColumn="0" w:lastRowFirstColumn="0" w:lastRowLastColumn="0"/>
            <w:tcW w:w="5103" w:type="dxa"/>
            <w:tcBorders>
              <w:left w:val="single" w:sz="6" w:space="0" w:color="BFBFBF" w:themeColor="background1" w:themeShade="BF"/>
            </w:tcBorders>
          </w:tcPr>
          <w:p w14:paraId="61BBD6D2" w14:textId="77777777" w:rsidR="00152B4F" w:rsidRPr="0039382C" w:rsidDel="006D6CD2" w:rsidRDefault="00152B4F" w:rsidP="009039E0">
            <w:pPr>
              <w:rPr>
                <w:rFonts w:ascii="Calibri" w:hAnsi="Calibri" w:cs="Calibri"/>
                <w:b/>
              </w:rPr>
            </w:pPr>
            <w:r w:rsidRPr="0039382C">
              <w:rPr>
                <w:rFonts w:ascii="Calibri" w:hAnsi="Calibri" w:cs="Calibri"/>
                <w:lang w:eastAsia="en-AU"/>
              </w:rPr>
              <w:t>Number of hours, on average, that a Participant mush work each week to achieve a Full Outcome.</w:t>
            </w:r>
          </w:p>
        </w:tc>
        <w:tc>
          <w:tcPr>
            <w:cnfStyle w:val="000100000000" w:firstRow="0" w:lastRow="0" w:firstColumn="0" w:lastColumn="1" w:oddVBand="0" w:evenVBand="0" w:oddHBand="0" w:evenHBand="0" w:firstRowFirstColumn="0" w:firstRowLastColumn="0" w:lastRowFirstColumn="0" w:lastRowLastColumn="0"/>
            <w:tcW w:w="3827" w:type="dxa"/>
            <w:tcBorders>
              <w:left w:val="single" w:sz="6" w:space="0" w:color="BFBFBF" w:themeColor="background1" w:themeShade="BF"/>
            </w:tcBorders>
          </w:tcPr>
          <w:p w14:paraId="7E2D1838" w14:textId="77777777" w:rsidR="00152B4F" w:rsidRPr="0039382C" w:rsidDel="006D6CD2" w:rsidRDefault="00152B4F" w:rsidP="009039E0">
            <w:pPr>
              <w:rPr>
                <w:rFonts w:ascii="Calibri" w:hAnsi="Calibri" w:cs="Calibri"/>
                <w:b w:val="0"/>
              </w:rPr>
            </w:pPr>
            <w:r w:rsidRPr="0039382C">
              <w:rPr>
                <w:rFonts w:ascii="Calibri" w:hAnsi="Calibri" w:cs="Calibri"/>
              </w:rPr>
              <w:t>ESAt/JCA</w:t>
            </w:r>
          </w:p>
        </w:tc>
      </w:tr>
      <w:tr w:rsidR="00152B4F" w:rsidRPr="0075088F" w14:paraId="2E16F9DC"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F724020" w14:textId="77777777" w:rsidR="00152B4F" w:rsidRPr="0039382C" w:rsidRDefault="00152B4F" w:rsidP="009039E0">
            <w:pPr>
              <w:ind w:left="306"/>
              <w:rPr>
                <w:rFonts w:ascii="Calibri" w:hAnsi="Calibri" w:cs="Calibri"/>
                <w:b w:val="0"/>
              </w:rPr>
            </w:pPr>
            <w:r w:rsidRPr="0039382C">
              <w:rPr>
                <w:rFonts w:ascii="Calibri" w:hAnsi="Calibri" w:cs="Calibri"/>
              </w:rPr>
              <w:t>Medical Condition</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3D12E9E3" w14:textId="77777777" w:rsidR="00152B4F" w:rsidRPr="0039382C" w:rsidDel="006D6CD2" w:rsidRDefault="00152B4F" w:rsidP="009039E0">
            <w:pPr>
              <w:rPr>
                <w:rFonts w:ascii="Calibri" w:hAnsi="Calibri" w:cs="Calibri"/>
              </w:rPr>
            </w:pPr>
            <w:r w:rsidRPr="0039382C">
              <w:rPr>
                <w:rFonts w:ascii="Calibri" w:hAnsi="Calibri" w:cs="Calibri"/>
              </w:rPr>
              <w:t>Participant's Medical Conditions (identified individually or as part of a group of conditions such as Intellectual, Physical).</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19A37046" w14:textId="77777777" w:rsidR="00152B4F" w:rsidRPr="0039382C" w:rsidDel="006D6CD2" w:rsidRDefault="00152B4F" w:rsidP="009039E0">
            <w:pPr>
              <w:rPr>
                <w:rFonts w:ascii="Calibri" w:hAnsi="Calibri" w:cs="Calibri"/>
                <w:b w:val="0"/>
              </w:rPr>
            </w:pPr>
            <w:r w:rsidRPr="0039382C">
              <w:rPr>
                <w:rFonts w:ascii="Calibri" w:hAnsi="Calibri" w:cs="Calibri"/>
              </w:rPr>
              <w:t>ESAt/JCA</w:t>
            </w:r>
          </w:p>
        </w:tc>
      </w:tr>
      <w:tr w:rsidR="00152B4F" w:rsidRPr="0075088F" w14:paraId="65B769FA"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27C2AE3" w14:textId="77777777" w:rsidR="00152B4F" w:rsidRPr="0039382C" w:rsidRDefault="00152B4F" w:rsidP="009039E0">
            <w:pPr>
              <w:ind w:left="306"/>
              <w:rPr>
                <w:rFonts w:ascii="Calibri" w:hAnsi="Calibri" w:cs="Calibri"/>
                <w:b w:val="0"/>
              </w:rPr>
            </w:pPr>
            <w:r w:rsidRPr="0039382C">
              <w:rPr>
                <w:rFonts w:ascii="Calibri" w:hAnsi="Calibri" w:cs="Calibri"/>
              </w:rPr>
              <w:t>Number of Medical Conditions</w:t>
            </w:r>
          </w:p>
        </w:tc>
        <w:tc>
          <w:tcPr>
            <w:cnfStyle w:val="000010000000" w:firstRow="0" w:lastRow="0" w:firstColumn="0" w:lastColumn="0" w:oddVBand="1" w:evenVBand="0" w:oddHBand="0" w:evenHBand="0" w:firstRowFirstColumn="0" w:firstRowLastColumn="0" w:lastRowFirstColumn="0" w:lastRowLastColumn="0"/>
            <w:tcW w:w="5103" w:type="dxa"/>
          </w:tcPr>
          <w:p w14:paraId="3086289F" w14:textId="77777777" w:rsidR="00152B4F" w:rsidRPr="0039382C" w:rsidDel="006D6CD2" w:rsidRDefault="00152B4F" w:rsidP="009039E0">
            <w:pPr>
              <w:rPr>
                <w:rFonts w:ascii="Calibri" w:hAnsi="Calibri" w:cs="Calibri"/>
              </w:rPr>
            </w:pPr>
            <w:r w:rsidRPr="0039382C">
              <w:rPr>
                <w:rFonts w:ascii="Calibri" w:hAnsi="Calibri" w:cs="Calibri"/>
              </w:rPr>
              <w:t>Count of the Participant’s Medical Conditions</w:t>
            </w:r>
          </w:p>
        </w:tc>
        <w:tc>
          <w:tcPr>
            <w:cnfStyle w:val="000100000000" w:firstRow="0" w:lastRow="0" w:firstColumn="0" w:lastColumn="1" w:oddVBand="0" w:evenVBand="0" w:oddHBand="0" w:evenHBand="0" w:firstRowFirstColumn="0" w:firstRowLastColumn="0" w:lastRowFirstColumn="0" w:lastRowLastColumn="0"/>
            <w:tcW w:w="3827" w:type="dxa"/>
          </w:tcPr>
          <w:p w14:paraId="25D133A8" w14:textId="77777777" w:rsidR="00152B4F" w:rsidRPr="0039382C" w:rsidDel="006D6CD2" w:rsidRDefault="00152B4F" w:rsidP="009039E0">
            <w:pPr>
              <w:rPr>
                <w:rFonts w:ascii="Calibri" w:hAnsi="Calibri" w:cs="Calibri"/>
                <w:b w:val="0"/>
              </w:rPr>
            </w:pPr>
            <w:r w:rsidRPr="0039382C">
              <w:rPr>
                <w:rFonts w:ascii="Calibri" w:hAnsi="Calibri" w:cs="Calibri"/>
              </w:rPr>
              <w:t>ESAt/JCA</w:t>
            </w:r>
          </w:p>
        </w:tc>
      </w:tr>
      <w:tr w:rsidR="00152B4F" w:rsidRPr="0075088F" w14:paraId="31B0E102" w14:textId="77777777" w:rsidTr="009039E0">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86993A1" w14:textId="77777777" w:rsidR="00152B4F" w:rsidRPr="0039382C" w:rsidRDefault="00152B4F" w:rsidP="009039E0">
            <w:pPr>
              <w:ind w:left="306"/>
              <w:rPr>
                <w:rFonts w:ascii="Calibri" w:hAnsi="Calibri" w:cs="Calibri"/>
                <w:b w:val="0"/>
              </w:rPr>
            </w:pPr>
            <w:r w:rsidRPr="0039382C">
              <w:rPr>
                <w:rFonts w:ascii="Calibri" w:hAnsi="Calibri" w:cs="Calibri"/>
              </w:rPr>
              <w:t>Medical Condition Type</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15517257" w14:textId="77777777" w:rsidR="00152B4F" w:rsidRPr="0039382C" w:rsidDel="006D6CD2" w:rsidRDefault="00152B4F" w:rsidP="009039E0">
            <w:pPr>
              <w:rPr>
                <w:rFonts w:ascii="Calibri" w:hAnsi="Calibri" w:cs="Calibri"/>
              </w:rPr>
            </w:pPr>
            <w:r w:rsidRPr="0039382C">
              <w:rPr>
                <w:rFonts w:ascii="Calibri" w:hAnsi="Calibri" w:cs="Calibri"/>
              </w:rPr>
              <w:t>Participant has a least one Permanent medical condition</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FFFFF" w:themeFill="background1"/>
          </w:tcPr>
          <w:p w14:paraId="709C27D4" w14:textId="77777777" w:rsidR="00152B4F" w:rsidRPr="0039382C" w:rsidDel="006D6CD2" w:rsidRDefault="00152B4F" w:rsidP="009039E0">
            <w:pPr>
              <w:rPr>
                <w:rFonts w:ascii="Calibri" w:hAnsi="Calibri" w:cs="Calibri"/>
                <w:b w:val="0"/>
              </w:rPr>
            </w:pPr>
            <w:r w:rsidRPr="0039382C">
              <w:rPr>
                <w:rFonts w:ascii="Calibri" w:hAnsi="Calibri" w:cs="Calibri"/>
              </w:rPr>
              <w:t>ESAt/JCA</w:t>
            </w:r>
          </w:p>
        </w:tc>
      </w:tr>
      <w:tr w:rsidR="00152B4F" w:rsidRPr="0075088F" w14:paraId="638C6AD7" w14:textId="77777777" w:rsidTr="009039E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69B4E044" w14:textId="77777777" w:rsidR="00152B4F" w:rsidRPr="0039382C" w:rsidRDefault="00152B4F" w:rsidP="009039E0">
            <w:pPr>
              <w:ind w:left="306"/>
              <w:rPr>
                <w:rFonts w:ascii="Calibri" w:hAnsi="Calibri" w:cs="Calibri"/>
                <w:b w:val="0"/>
              </w:rPr>
            </w:pPr>
            <w:r w:rsidRPr="0039382C">
              <w:rPr>
                <w:rFonts w:ascii="Calibri" w:hAnsi="Calibri" w:cs="Calibri"/>
              </w:rPr>
              <w:t>Primary disability</w:t>
            </w:r>
          </w:p>
          <w:p w14:paraId="5B0C8909" w14:textId="77777777" w:rsidR="00152B4F" w:rsidRPr="0039382C" w:rsidRDefault="00152B4F" w:rsidP="009039E0">
            <w:pPr>
              <w:ind w:left="306"/>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5103" w:type="dxa"/>
          </w:tcPr>
          <w:p w14:paraId="0AF21389" w14:textId="77777777" w:rsidR="00152B4F" w:rsidRPr="0039382C" w:rsidDel="006D6CD2" w:rsidRDefault="00152B4F" w:rsidP="009039E0">
            <w:pPr>
              <w:rPr>
                <w:rFonts w:ascii="Calibri" w:hAnsi="Calibri" w:cs="Calibri"/>
                <w:b w:val="0"/>
              </w:rPr>
            </w:pPr>
            <w:r w:rsidRPr="0039382C">
              <w:rPr>
                <w:rFonts w:ascii="Calibri" w:hAnsi="Calibri" w:cs="Calibri"/>
              </w:rPr>
              <w:t>Primary Medical Condition/Disability (for Participants without an ESAt/JCA)</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03E42C84" w14:textId="77777777" w:rsidR="00152B4F" w:rsidRPr="0039382C" w:rsidDel="006D6CD2" w:rsidRDefault="00152B4F" w:rsidP="009039E0">
            <w:pPr>
              <w:rPr>
                <w:rFonts w:ascii="Calibri" w:hAnsi="Calibri" w:cs="Calibri"/>
                <w:b w:val="0"/>
              </w:rPr>
            </w:pPr>
            <w:r w:rsidRPr="0039382C">
              <w:rPr>
                <w:rFonts w:ascii="Calibri" w:hAnsi="Calibri" w:cs="Calibri"/>
              </w:rPr>
              <w:t>ESSWeb – registration screen</w:t>
            </w:r>
          </w:p>
        </w:tc>
      </w:tr>
    </w:tbl>
    <w:p w14:paraId="1CEB9E5D" w14:textId="77777777" w:rsidR="00152B4F" w:rsidRDefault="00152B4F" w:rsidP="00152B4F"/>
    <w:p w14:paraId="16270A9D" w14:textId="77777777" w:rsidR="00152B4F" w:rsidRDefault="00152B4F" w:rsidP="00152B4F">
      <w:pPr>
        <w:rPr>
          <w:rFonts w:eastAsiaTheme="majorEastAsia"/>
          <w:b/>
          <w:iCs/>
          <w:sz w:val="24"/>
        </w:rPr>
      </w:pPr>
      <w:r>
        <w:br w:type="page"/>
      </w:r>
    </w:p>
    <w:p w14:paraId="72CEDEAE" w14:textId="77777777" w:rsidR="00152B4F" w:rsidRPr="00AE24E1" w:rsidRDefault="00152B4F" w:rsidP="00152B4F">
      <w:pPr>
        <w:pStyle w:val="TableText0"/>
      </w:pPr>
      <w:r w:rsidRPr="00AE24E1">
        <w:t>Table 5</w:t>
      </w:r>
      <w:r>
        <w:t>:</w:t>
      </w:r>
      <w:r w:rsidRPr="00AE24E1">
        <w:t xml:space="preserve"> Labour Market Factors</w:t>
      </w:r>
    </w:p>
    <w:tbl>
      <w:tblPr>
        <w:tblStyle w:val="PlainTable1"/>
        <w:tblW w:w="12611" w:type="dxa"/>
        <w:tblLook w:val="01E0" w:firstRow="1" w:lastRow="1" w:firstColumn="1" w:lastColumn="1" w:noHBand="0" w:noVBand="0"/>
        <w:tblCaption w:val="Table with Labour Market Factors"/>
        <w:tblDescription w:val="This table provides all the Labour Market Factors used in the DES Star Ratings Regression Model"/>
      </w:tblPr>
      <w:tblGrid>
        <w:gridCol w:w="3681"/>
        <w:gridCol w:w="5103"/>
        <w:gridCol w:w="3827"/>
      </w:tblGrid>
      <w:tr w:rsidR="00152B4F" w:rsidRPr="0075088F" w14:paraId="5E4DDA3D" w14:textId="77777777" w:rsidTr="009039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0541BB84" w14:textId="77777777" w:rsidR="00152B4F" w:rsidRPr="00186FFF" w:rsidRDefault="00152B4F" w:rsidP="009039E0">
            <w:pPr>
              <w:autoSpaceDE w:val="0"/>
              <w:autoSpaceDN w:val="0"/>
              <w:adjustRightInd w:val="0"/>
              <w:spacing w:after="60"/>
              <w:rPr>
                <w:rFonts w:cs="Calibri"/>
                <w:szCs w:val="22"/>
              </w:rPr>
            </w:pPr>
            <w:r w:rsidRPr="00186FFF">
              <w:rPr>
                <w:rFonts w:cs="Calibri"/>
                <w:szCs w:val="22"/>
              </w:rPr>
              <w:t>Labour Market Factors</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45C365A2" w14:textId="77777777" w:rsidR="00152B4F" w:rsidRPr="00186FFF" w:rsidRDefault="00152B4F" w:rsidP="009039E0">
            <w:pPr>
              <w:autoSpaceDE w:val="0"/>
              <w:autoSpaceDN w:val="0"/>
              <w:adjustRightInd w:val="0"/>
              <w:spacing w:after="60"/>
              <w:rPr>
                <w:rFonts w:cs="Calibri"/>
                <w:szCs w:val="22"/>
              </w:rPr>
            </w:pPr>
            <w:r w:rsidRPr="00186FFF">
              <w:rPr>
                <w:rFonts w:cs="Calibri"/>
                <w:szCs w:val="22"/>
              </w:rPr>
              <w:t>Description</w:t>
            </w:r>
          </w:p>
        </w:tc>
        <w:tc>
          <w:tcPr>
            <w:cnfStyle w:val="000100000000" w:firstRow="0" w:lastRow="0" w:firstColumn="0" w:lastColumn="1" w:oddVBand="0" w:evenVBand="0" w:oddHBand="0" w:evenHBand="0" w:firstRowFirstColumn="0" w:firstRowLastColumn="0" w:lastRowFirstColumn="0" w:lastRowLastColumn="0"/>
            <w:tcW w:w="3827" w:type="dxa"/>
          </w:tcPr>
          <w:p w14:paraId="741ED7E8" w14:textId="77777777" w:rsidR="00152B4F" w:rsidRPr="001A1F43" w:rsidRDefault="00152B4F" w:rsidP="009039E0">
            <w:pPr>
              <w:autoSpaceDE w:val="0"/>
              <w:autoSpaceDN w:val="0"/>
              <w:adjustRightInd w:val="0"/>
              <w:spacing w:after="60"/>
              <w:rPr>
                <w:rFonts w:cs="Calibri"/>
                <w:szCs w:val="22"/>
              </w:rPr>
            </w:pPr>
            <w:r>
              <w:rPr>
                <w:rFonts w:cs="Calibri"/>
                <w:szCs w:val="22"/>
              </w:rPr>
              <w:t>Data Source</w:t>
            </w:r>
          </w:p>
        </w:tc>
      </w:tr>
      <w:tr w:rsidR="00152B4F" w:rsidRPr="0075088F" w14:paraId="73A4134D"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BBA32D8" w14:textId="77777777" w:rsidR="00152B4F" w:rsidRPr="00186FFF" w:rsidRDefault="00152B4F" w:rsidP="009039E0">
            <w:pPr>
              <w:ind w:left="306"/>
              <w:rPr>
                <w:rFonts w:cs="Calibri"/>
                <w:b w:val="0"/>
              </w:rPr>
            </w:pPr>
            <w:r>
              <w:rPr>
                <w:rFonts w:cs="Calibri"/>
              </w:rPr>
              <w:t>IVI growth</w:t>
            </w:r>
            <w:r w:rsidRPr="00186FFF">
              <w:rPr>
                <w:rFonts w:cs="Calibri"/>
              </w:rPr>
              <w:t xml:space="preserve"> </w:t>
            </w:r>
            <w:r>
              <w:rPr>
                <w:rFonts w:cs="Calibri"/>
              </w:rPr>
              <w:t>(</w:t>
            </w:r>
            <w:r w:rsidRPr="00186FFF">
              <w:rPr>
                <w:rFonts w:cs="Calibri"/>
              </w:rPr>
              <w:t>spline</w:t>
            </w:r>
            <w:r>
              <w:rPr>
                <w:rFonts w:cs="Calibri"/>
              </w:rPr>
              <w:t>)</w:t>
            </w:r>
            <w:r>
              <w:rPr>
                <w:rFonts w:cs="Calibri"/>
              </w:rPr>
              <w:br/>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613D7CC1" w14:textId="77777777" w:rsidR="00152B4F" w:rsidRPr="006D3E99" w:rsidRDefault="00152B4F" w:rsidP="009039E0">
            <w:pPr>
              <w:rPr>
                <w:rFonts w:cs="Calibri"/>
              </w:rPr>
            </w:pPr>
            <w:r w:rsidRPr="006D3E99">
              <w:rPr>
                <w:rFonts w:cs="Calibri"/>
              </w:rPr>
              <w:t xml:space="preserve">Spline of growth in the Participant's IVI </w:t>
            </w:r>
            <w:r>
              <w:rPr>
                <w:rFonts w:cs="Calibri"/>
              </w:rPr>
              <w:t>(Internet Vacancy Index) region</w:t>
            </w:r>
            <w:r w:rsidRPr="006D3E99">
              <w:rPr>
                <w:rFonts w:cs="Calibri"/>
              </w:rPr>
              <w:t>, a measure of level versus historical average in a region.</w:t>
            </w:r>
          </w:p>
        </w:tc>
        <w:tc>
          <w:tcPr>
            <w:cnfStyle w:val="000100000000" w:firstRow="0" w:lastRow="0" w:firstColumn="0" w:lastColumn="1" w:oddVBand="0" w:evenVBand="0" w:oddHBand="0" w:evenHBand="0" w:firstRowFirstColumn="0" w:firstRowLastColumn="0" w:lastRowFirstColumn="0" w:lastRowLastColumn="0"/>
            <w:tcW w:w="3827" w:type="dxa"/>
          </w:tcPr>
          <w:p w14:paraId="0EE7F4B9" w14:textId="77777777" w:rsidR="00152B4F" w:rsidRPr="006D3E99" w:rsidRDefault="00152B4F" w:rsidP="009039E0">
            <w:pPr>
              <w:rPr>
                <w:b w:val="0"/>
              </w:rPr>
            </w:pPr>
            <w:r w:rsidRPr="006D3E99">
              <w:t xml:space="preserve">Department of </w:t>
            </w:r>
            <w:r>
              <w:t xml:space="preserve">Education, Skills and Employment </w:t>
            </w:r>
            <w:r w:rsidRPr="006D3E99">
              <w:t xml:space="preserve"> </w:t>
            </w:r>
            <w:hyperlink r:id="rId15" w:history="1">
              <w:r w:rsidRPr="00D00630">
                <w:rPr>
                  <w:rStyle w:val="Hyperlink"/>
                  <w:rFonts w:cs="Arial"/>
                </w:rPr>
                <w:t>Vacancy Report</w:t>
              </w:r>
            </w:hyperlink>
            <w:r w:rsidRPr="006D3E99">
              <w:rPr>
                <w:rFonts w:cs="Arial"/>
                <w:color w:val="808080"/>
              </w:rPr>
              <w:t xml:space="preserve"> – published on the Labour Market Information Portal</w:t>
            </w:r>
          </w:p>
        </w:tc>
      </w:tr>
      <w:tr w:rsidR="00152B4F" w:rsidRPr="0075088F" w14:paraId="37A3123F" w14:textId="77777777" w:rsidTr="009039E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681" w:type="dxa"/>
          </w:tcPr>
          <w:p w14:paraId="788576B7" w14:textId="77777777" w:rsidR="00152B4F" w:rsidRPr="00186FFF" w:rsidRDefault="00152B4F" w:rsidP="009039E0">
            <w:pPr>
              <w:ind w:left="306"/>
              <w:rPr>
                <w:rFonts w:cs="Calibri"/>
                <w:b w:val="0"/>
              </w:rPr>
            </w:pPr>
            <w:r>
              <w:rPr>
                <w:rFonts w:cs="Calibri"/>
              </w:rPr>
              <w:t>Low Skill V</w:t>
            </w:r>
            <w:r w:rsidRPr="00186FFF">
              <w:rPr>
                <w:rFonts w:cs="Calibri"/>
              </w:rPr>
              <w:t>acancies</w:t>
            </w:r>
            <w:r>
              <w:rPr>
                <w:rFonts w:cs="Calibri"/>
              </w:rPr>
              <w:t xml:space="preserve"> Rate</w:t>
            </w:r>
            <w:r>
              <w:rPr>
                <w:rFonts w:cs="Calibri"/>
              </w:rPr>
              <w:br/>
            </w:r>
          </w:p>
        </w:tc>
        <w:tc>
          <w:tcPr>
            <w:tcW w:w="5103" w:type="dxa"/>
          </w:tcPr>
          <w:p w14:paraId="33285387" w14:textId="77777777" w:rsidR="00152B4F" w:rsidRPr="00932284" w:rsidRDefault="00152B4F" w:rsidP="009039E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2284">
              <w:rPr>
                <w:rFonts w:ascii="Calibri" w:hAnsi="Calibri" w:cs="Calibri"/>
                <w:color w:val="000000"/>
                <w:lang w:eastAsia="en-AU"/>
              </w:rPr>
              <w:t>Proportion of low skilled vacancies in the Participant's IVI (Internet Vacancy Index) region.</w:t>
            </w:r>
          </w:p>
        </w:tc>
        <w:tc>
          <w:tcPr>
            <w:tcW w:w="3827" w:type="dxa"/>
          </w:tcPr>
          <w:p w14:paraId="2D191E10" w14:textId="77777777" w:rsidR="00152B4F" w:rsidRPr="006D3E99" w:rsidRDefault="00152B4F" w:rsidP="009039E0">
            <w:pPr>
              <w:cnfStyle w:val="000000000000" w:firstRow="0" w:lastRow="0" w:firstColumn="0" w:lastColumn="0" w:oddVBand="0" w:evenVBand="0" w:oddHBand="0" w:evenHBand="0" w:firstRowFirstColumn="0" w:firstRowLastColumn="0" w:lastRowFirstColumn="0" w:lastRowLastColumn="0"/>
            </w:pPr>
            <w:r w:rsidRPr="006D3E99">
              <w:t xml:space="preserve">Department of </w:t>
            </w:r>
            <w:r>
              <w:t xml:space="preserve">Education, Skills and Employment </w:t>
            </w:r>
            <w:r w:rsidRPr="006D3E99">
              <w:t xml:space="preserve"> </w:t>
            </w:r>
            <w:hyperlink r:id="rId16" w:history="1">
              <w:r w:rsidRPr="00D00630">
                <w:rPr>
                  <w:rStyle w:val="Hyperlink"/>
                  <w:rFonts w:cs="Arial"/>
                </w:rPr>
                <w:t>Vacancy Report</w:t>
              </w:r>
            </w:hyperlink>
            <w:r w:rsidRPr="006D3E99">
              <w:rPr>
                <w:rFonts w:cs="Arial"/>
                <w:color w:val="808080"/>
              </w:rPr>
              <w:t xml:space="preserve"> – published on the Labour Market Information Portal</w:t>
            </w:r>
          </w:p>
        </w:tc>
      </w:tr>
      <w:tr w:rsidR="00152B4F" w:rsidRPr="0075088F" w14:paraId="2C525878" w14:textId="77777777" w:rsidTr="00903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FFCAD7" w14:textId="77777777" w:rsidR="00152B4F" w:rsidRPr="00186FFF" w:rsidRDefault="00152B4F" w:rsidP="009039E0">
            <w:pPr>
              <w:ind w:left="306"/>
              <w:rPr>
                <w:rFonts w:cs="Calibri"/>
                <w:b w:val="0"/>
              </w:rPr>
            </w:pPr>
            <w:r w:rsidRPr="00186FFF">
              <w:rPr>
                <w:rFonts w:cs="Calibri"/>
              </w:rPr>
              <w:t>Size of local labour market</w:t>
            </w:r>
          </w:p>
        </w:tc>
        <w:tc>
          <w:tcPr>
            <w:cnfStyle w:val="000010000000" w:firstRow="0" w:lastRow="0" w:firstColumn="0" w:lastColumn="0" w:oddVBand="1" w:evenVBand="0" w:oddHBand="0" w:evenHBand="0" w:firstRowFirstColumn="0" w:firstRowLastColumn="0" w:lastRowFirstColumn="0" w:lastRowLastColumn="0"/>
            <w:tcW w:w="5103" w:type="dxa"/>
          </w:tcPr>
          <w:p w14:paraId="41154650" w14:textId="77777777" w:rsidR="00152B4F" w:rsidRPr="00866FAB" w:rsidRDefault="00152B4F" w:rsidP="009039E0">
            <w:pPr>
              <w:rPr>
                <w:rFonts w:cs="Calibri"/>
              </w:rPr>
            </w:pPr>
            <w:r w:rsidRPr="00866FAB">
              <w:rPr>
                <w:rFonts w:cs="Calibri"/>
              </w:rPr>
              <w:t>A measure of economic activity in a state or territory. Change in per capita SFD (over past year) functions as a leading indicator of employment growth</w:t>
            </w:r>
          </w:p>
        </w:tc>
        <w:tc>
          <w:tcPr>
            <w:cnfStyle w:val="000100000000" w:firstRow="0" w:lastRow="0" w:firstColumn="0" w:lastColumn="1" w:oddVBand="0" w:evenVBand="0" w:oddHBand="0" w:evenHBand="0" w:firstRowFirstColumn="0" w:firstRowLastColumn="0" w:lastRowFirstColumn="0" w:lastRowLastColumn="0"/>
            <w:tcW w:w="3827" w:type="dxa"/>
          </w:tcPr>
          <w:p w14:paraId="68374B58" w14:textId="77777777" w:rsidR="00152B4F" w:rsidRPr="00A70C01" w:rsidRDefault="00152B4F" w:rsidP="009039E0">
            <w:pPr>
              <w:rPr>
                <w:b w:val="0"/>
              </w:rPr>
            </w:pPr>
          </w:p>
        </w:tc>
      </w:tr>
      <w:tr w:rsidR="00152B4F" w:rsidRPr="0075088F" w14:paraId="3D829C8E" w14:textId="77777777" w:rsidTr="009039E0">
        <w:tc>
          <w:tcPr>
            <w:cnfStyle w:val="001000000000" w:firstRow="0" w:lastRow="0" w:firstColumn="1" w:lastColumn="0" w:oddVBand="0" w:evenVBand="0" w:oddHBand="0" w:evenHBand="0" w:firstRowFirstColumn="0" w:firstRowLastColumn="0" w:lastRowFirstColumn="0" w:lastRowLastColumn="0"/>
            <w:tcW w:w="3681" w:type="dxa"/>
          </w:tcPr>
          <w:p w14:paraId="6E18C3D7" w14:textId="77777777" w:rsidR="00152B4F" w:rsidRPr="00186FFF" w:rsidRDefault="00152B4F" w:rsidP="009039E0">
            <w:pPr>
              <w:ind w:left="306"/>
              <w:rPr>
                <w:rFonts w:cs="Calibri"/>
                <w:b w:val="0"/>
              </w:rPr>
            </w:pPr>
            <w:r w:rsidRPr="00186FFF">
              <w:rPr>
                <w:rFonts w:cs="Calibri"/>
              </w:rPr>
              <w:t>State final demand</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FFFFFF" w:themeFill="background1"/>
          </w:tcPr>
          <w:p w14:paraId="471DFD8D" w14:textId="77777777" w:rsidR="00152B4F" w:rsidRPr="00866FAB" w:rsidRDefault="00152B4F" w:rsidP="009039E0">
            <w:pPr>
              <w:rPr>
                <w:rFonts w:cs="Calibri"/>
              </w:rPr>
            </w:pPr>
            <w:r w:rsidRPr="00866FAB">
              <w:rPr>
                <w:rFonts w:cs="Calibri"/>
              </w:rPr>
              <w:t>A measure of economic activity in a state or territory. Change in per capita SFD (over past year) functions as a leading indicator of employment growth</w:t>
            </w:r>
            <w:r>
              <w:rPr>
                <w:rFonts w:cs="Calibri"/>
              </w:rPr>
              <w:t>.</w:t>
            </w:r>
          </w:p>
        </w:tc>
        <w:tc>
          <w:tcPr>
            <w:cnfStyle w:val="000100000000" w:firstRow="0" w:lastRow="0" w:firstColumn="0" w:lastColumn="1" w:oddVBand="0" w:evenVBand="0" w:oddHBand="0" w:evenHBand="0" w:firstRowFirstColumn="0" w:firstRowLastColumn="0" w:lastRowFirstColumn="0" w:lastRowLastColumn="0"/>
            <w:tcW w:w="3827" w:type="dxa"/>
          </w:tcPr>
          <w:p w14:paraId="6494DA2B" w14:textId="77777777" w:rsidR="00152B4F" w:rsidRPr="00A70C01" w:rsidRDefault="00152B4F" w:rsidP="009039E0">
            <w:pPr>
              <w:rPr>
                <w:b w:val="0"/>
              </w:rPr>
            </w:pPr>
            <w:r>
              <w:t xml:space="preserve">ABS Published data - </w:t>
            </w:r>
            <w:hyperlink r:id="rId17" w:history="1">
              <w:r w:rsidRPr="00D00630">
                <w:rPr>
                  <w:rStyle w:val="Hyperlink"/>
                  <w:rFonts w:cs="Arial"/>
                </w:rPr>
                <w:t>ABS Published data - 5206.0  - Australian National Accounts</w:t>
              </w:r>
            </w:hyperlink>
            <w:r w:rsidRPr="00866FAB">
              <w:rPr>
                <w:rFonts w:cs="Arial"/>
                <w:color w:val="808080"/>
              </w:rPr>
              <w:t xml:space="preserve"> - Table 25</w:t>
            </w:r>
          </w:p>
        </w:tc>
      </w:tr>
      <w:tr w:rsidR="00152B4F" w:rsidRPr="0075088F" w14:paraId="10D4582C" w14:textId="77777777" w:rsidTr="009039E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56BCD3DE" w14:textId="77777777" w:rsidR="00152B4F" w:rsidRPr="00186FFF" w:rsidRDefault="00152B4F" w:rsidP="009039E0">
            <w:pPr>
              <w:ind w:left="306"/>
              <w:rPr>
                <w:rFonts w:cs="Calibri"/>
                <w:b w:val="0"/>
              </w:rPr>
            </w:pPr>
            <w:r w:rsidRPr="00186FFF">
              <w:rPr>
                <w:rFonts w:cs="Calibri"/>
              </w:rPr>
              <w:t xml:space="preserve">Unemployment Rate </w:t>
            </w:r>
            <w:r>
              <w:rPr>
                <w:rFonts w:cs="Calibri"/>
              </w:rPr>
              <w:t>(</w:t>
            </w:r>
            <w:r w:rsidRPr="00186FFF">
              <w:rPr>
                <w:rFonts w:cs="Calibri"/>
              </w:rPr>
              <w:t>spline</w:t>
            </w:r>
            <w:r>
              <w:rPr>
                <w:rFonts w:cs="Calibri"/>
              </w:rPr>
              <w:t>)</w:t>
            </w:r>
            <w:r w:rsidRPr="00186FFF">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5103" w:type="dxa"/>
          </w:tcPr>
          <w:p w14:paraId="2518D526" w14:textId="77777777" w:rsidR="00152B4F" w:rsidRPr="006D3E99" w:rsidRDefault="00152B4F" w:rsidP="009039E0">
            <w:pPr>
              <w:rPr>
                <w:rFonts w:cs="Calibri"/>
                <w:b w:val="0"/>
              </w:rPr>
            </w:pPr>
            <w:r w:rsidRPr="006D3E99">
              <w:rPr>
                <w:rFonts w:cs="Calibri"/>
              </w:rPr>
              <w:t>The unemployment rate of the job seeker’s ABS Statistical Area 4 level spatial unit.</w:t>
            </w:r>
          </w:p>
        </w:tc>
        <w:tc>
          <w:tcPr>
            <w:cnfStyle w:val="000100000000" w:firstRow="0" w:lastRow="0" w:firstColumn="0" w:lastColumn="1" w:oddVBand="0" w:evenVBand="0" w:oddHBand="0" w:evenHBand="0" w:firstRowFirstColumn="0" w:firstRowLastColumn="0" w:lastRowFirstColumn="0" w:lastRowLastColumn="0"/>
            <w:tcW w:w="3827" w:type="dxa"/>
            <w:shd w:val="clear" w:color="auto" w:fill="F2F2F2" w:themeFill="background1" w:themeFillShade="F2"/>
          </w:tcPr>
          <w:p w14:paraId="44B5E30E" w14:textId="77777777" w:rsidR="00152B4F" w:rsidRPr="006D3E99" w:rsidRDefault="00152B4F" w:rsidP="009039E0">
            <w:pPr>
              <w:rPr>
                <w:rFonts w:ascii="Calibri" w:hAnsi="Calibri" w:cs="Calibri"/>
                <w:b w:val="0"/>
              </w:rPr>
            </w:pPr>
            <w:r>
              <w:rPr>
                <w:rFonts w:ascii="Calibri" w:hAnsi="Calibri" w:cs="Calibri"/>
              </w:rPr>
              <w:t xml:space="preserve">ABS published data - </w:t>
            </w:r>
            <w:hyperlink r:id="rId18" w:history="1">
              <w:r w:rsidRPr="00D00630">
                <w:rPr>
                  <w:rStyle w:val="Hyperlink"/>
                  <w:rFonts w:ascii="Calibri" w:hAnsi="Calibri" w:cs="Calibri"/>
                </w:rPr>
                <w:t>ABS published data - 6291.0.55.001 - Labour Force, Australia, Detailed - Electronic Delivery</w:t>
              </w:r>
            </w:hyperlink>
            <w:r w:rsidRPr="00866FAB">
              <w:rPr>
                <w:rFonts w:ascii="Calibri" w:hAnsi="Calibri" w:cs="Calibri"/>
                <w:color w:val="808080"/>
              </w:rPr>
              <w:t xml:space="preserve"> – Table 02 and RM1</w:t>
            </w:r>
          </w:p>
        </w:tc>
      </w:tr>
    </w:tbl>
    <w:p w14:paraId="3D47396C" w14:textId="77777777" w:rsidR="00152B4F" w:rsidRDefault="00152B4F" w:rsidP="00152B4F">
      <w:pPr>
        <w:rPr>
          <w:sz w:val="18"/>
          <w:szCs w:val="18"/>
        </w:rPr>
      </w:pPr>
    </w:p>
    <w:p w14:paraId="7072A8DE" w14:textId="77777777" w:rsidR="00152B4F" w:rsidRPr="00866FAB" w:rsidRDefault="00152B4F" w:rsidP="00152B4F">
      <w:pPr>
        <w:rPr>
          <w:sz w:val="18"/>
          <w:szCs w:val="18"/>
        </w:rPr>
        <w:sectPr w:rsidR="00152B4F" w:rsidRPr="00866FAB" w:rsidSect="00C555E5">
          <w:pgSz w:w="16838" w:h="11906" w:orient="landscape" w:code="9"/>
          <w:pgMar w:top="1800" w:right="1440" w:bottom="1800" w:left="1440" w:header="708" w:footer="708" w:gutter="0"/>
          <w:cols w:space="708"/>
          <w:titlePg/>
          <w:docGrid w:linePitch="360"/>
        </w:sectPr>
      </w:pPr>
    </w:p>
    <w:p w14:paraId="79C5352C" w14:textId="77777777" w:rsidR="00152B4F" w:rsidRDefault="00152B4F" w:rsidP="00152B4F">
      <w:pPr>
        <w:pStyle w:val="Heading3"/>
      </w:pPr>
      <w:bookmarkStart w:id="29" w:name="_Toc47098279"/>
      <w:r w:rsidRPr="00590228">
        <w:t>Example calculation of Actual to Expected Ratio</w:t>
      </w:r>
      <w:bookmarkEnd w:id="29"/>
    </w:p>
    <w:p w14:paraId="1D95C1D0" w14:textId="77777777" w:rsidR="00152B4F" w:rsidRDefault="00152B4F" w:rsidP="00152B4F">
      <w:pPr>
        <w:pStyle w:val="Default"/>
        <w:rPr>
          <w:sz w:val="22"/>
          <w:szCs w:val="22"/>
        </w:rPr>
      </w:pPr>
      <w:r>
        <w:rPr>
          <w:sz w:val="22"/>
          <w:szCs w:val="22"/>
        </w:rPr>
        <w:t xml:space="preserve">The example below demonstrates the importance of expected performance. </w:t>
      </w:r>
    </w:p>
    <w:p w14:paraId="15390089" w14:textId="77777777" w:rsidR="00152B4F" w:rsidRDefault="00152B4F" w:rsidP="00152B4F">
      <w:pPr>
        <w:pStyle w:val="Default"/>
        <w:rPr>
          <w:sz w:val="22"/>
          <w:szCs w:val="22"/>
        </w:rPr>
      </w:pPr>
    </w:p>
    <w:p w14:paraId="46D6558C" w14:textId="77777777" w:rsidR="00152B4F" w:rsidRPr="001E4EF1" w:rsidRDefault="00152B4F" w:rsidP="00152B4F">
      <w:pPr>
        <w:pStyle w:val="Default"/>
        <w:rPr>
          <w:sz w:val="22"/>
          <w:szCs w:val="22"/>
        </w:rPr>
      </w:pPr>
      <w:r>
        <w:rPr>
          <w:sz w:val="22"/>
          <w:szCs w:val="22"/>
        </w:rPr>
        <w:t>In this example, t</w:t>
      </w:r>
      <w:r w:rsidRPr="001E4EF1">
        <w:rPr>
          <w:sz w:val="22"/>
          <w:szCs w:val="22"/>
        </w:rPr>
        <w:t xml:space="preserve">here are three </w:t>
      </w:r>
      <w:r>
        <w:rPr>
          <w:sz w:val="22"/>
          <w:szCs w:val="22"/>
        </w:rPr>
        <w:t>Site</w:t>
      </w:r>
      <w:r w:rsidRPr="001E4EF1">
        <w:rPr>
          <w:sz w:val="22"/>
          <w:szCs w:val="22"/>
        </w:rPr>
        <w:t xml:space="preserve">s in three different ESAs, all with actual </w:t>
      </w:r>
      <w:r>
        <w:rPr>
          <w:sz w:val="22"/>
          <w:szCs w:val="22"/>
        </w:rPr>
        <w:t>DES-ESS 13 Week Full O</w:t>
      </w:r>
      <w:r w:rsidRPr="001E4EF1">
        <w:rPr>
          <w:sz w:val="22"/>
          <w:szCs w:val="22"/>
        </w:rPr>
        <w:t>utcome rates of 25 per cent but quite different actual to expected rate ratios:</w:t>
      </w:r>
    </w:p>
    <w:p w14:paraId="279CA42B" w14:textId="77777777" w:rsidR="00152B4F" w:rsidRPr="00AE24E1" w:rsidRDefault="00152B4F" w:rsidP="00152B4F">
      <w:pPr>
        <w:pStyle w:val="ListParagraph"/>
        <w:numPr>
          <w:ilvl w:val="0"/>
          <w:numId w:val="1"/>
        </w:numPr>
        <w:tabs>
          <w:tab w:val="num" w:pos="720"/>
        </w:tabs>
        <w:ind w:left="714" w:hanging="357"/>
        <w:rPr>
          <w:rFonts w:ascii="Calibri" w:hAnsi="Calibri"/>
          <w:lang w:eastAsia="en-AU"/>
        </w:rPr>
      </w:pPr>
      <w:r w:rsidRPr="00AE24E1">
        <w:rPr>
          <w:rFonts w:ascii="Calibri" w:hAnsi="Calibri"/>
          <w:lang w:eastAsia="en-AU"/>
        </w:rPr>
        <w:t xml:space="preserve">Site </w:t>
      </w:r>
      <w:r>
        <w:rPr>
          <w:rFonts w:ascii="Calibri" w:hAnsi="Calibri"/>
          <w:lang w:eastAsia="en-AU"/>
        </w:rPr>
        <w:t>A</w:t>
      </w:r>
      <w:r w:rsidRPr="00AE24E1">
        <w:rPr>
          <w:rFonts w:ascii="Calibri" w:hAnsi="Calibri"/>
          <w:lang w:eastAsia="en-AU"/>
        </w:rPr>
        <w:t xml:space="preserve"> has an expected outcome rate of 20 per cent, giving a ratio of 1.25 (25/20).</w:t>
      </w:r>
    </w:p>
    <w:p w14:paraId="3F52C3F6" w14:textId="77777777" w:rsidR="00152B4F" w:rsidRPr="00AE24E1" w:rsidRDefault="00152B4F" w:rsidP="00152B4F">
      <w:pPr>
        <w:pStyle w:val="ListParagraph"/>
        <w:numPr>
          <w:ilvl w:val="0"/>
          <w:numId w:val="1"/>
        </w:numPr>
        <w:tabs>
          <w:tab w:val="num" w:pos="720"/>
        </w:tabs>
        <w:ind w:left="714" w:hanging="357"/>
        <w:rPr>
          <w:rFonts w:ascii="Calibri" w:hAnsi="Calibri"/>
          <w:lang w:eastAsia="en-AU"/>
        </w:rPr>
      </w:pPr>
      <w:r w:rsidRPr="00AE24E1">
        <w:rPr>
          <w:rFonts w:ascii="Calibri" w:hAnsi="Calibri"/>
          <w:lang w:eastAsia="en-AU"/>
        </w:rPr>
        <w:t xml:space="preserve">Site </w:t>
      </w:r>
      <w:r>
        <w:rPr>
          <w:rFonts w:ascii="Calibri" w:hAnsi="Calibri"/>
          <w:lang w:eastAsia="en-AU"/>
        </w:rPr>
        <w:t>B</w:t>
      </w:r>
      <w:r w:rsidRPr="00AE24E1">
        <w:rPr>
          <w:rFonts w:ascii="Calibri" w:hAnsi="Calibri"/>
          <w:lang w:eastAsia="en-AU"/>
        </w:rPr>
        <w:t xml:space="preserve"> has an expected outcome rate of 25 per cent, producing a ratio of 1.0 (25/25).</w:t>
      </w:r>
    </w:p>
    <w:p w14:paraId="65349300" w14:textId="77777777" w:rsidR="00152B4F" w:rsidRPr="00AE24E1" w:rsidRDefault="00152B4F" w:rsidP="00152B4F">
      <w:pPr>
        <w:pStyle w:val="ListParagraph"/>
        <w:numPr>
          <w:ilvl w:val="0"/>
          <w:numId w:val="1"/>
        </w:numPr>
        <w:tabs>
          <w:tab w:val="num" w:pos="720"/>
        </w:tabs>
        <w:ind w:left="714" w:hanging="357"/>
        <w:rPr>
          <w:rFonts w:ascii="Calibri" w:hAnsi="Calibri"/>
          <w:lang w:eastAsia="en-AU"/>
        </w:rPr>
      </w:pPr>
      <w:r w:rsidRPr="00AE24E1">
        <w:rPr>
          <w:rFonts w:ascii="Calibri" w:hAnsi="Calibri"/>
          <w:lang w:eastAsia="en-AU"/>
        </w:rPr>
        <w:t xml:space="preserve">Site </w:t>
      </w:r>
      <w:r>
        <w:rPr>
          <w:rFonts w:ascii="Calibri" w:hAnsi="Calibri"/>
          <w:lang w:eastAsia="en-AU"/>
        </w:rPr>
        <w:t>C</w:t>
      </w:r>
      <w:r w:rsidRPr="00AE24E1">
        <w:rPr>
          <w:rFonts w:ascii="Calibri" w:hAnsi="Calibri"/>
          <w:lang w:eastAsia="en-AU"/>
        </w:rPr>
        <w:t xml:space="preserve"> has an expected outcome rate of 30 per cent, producing a ratio of 0.83 (25/30).</w:t>
      </w:r>
    </w:p>
    <w:p w14:paraId="2CF850A6" w14:textId="77777777" w:rsidR="00152B4F" w:rsidRDefault="00152B4F" w:rsidP="00152B4F">
      <w:pPr>
        <w:pStyle w:val="Default"/>
        <w:rPr>
          <w:sz w:val="22"/>
          <w:szCs w:val="22"/>
        </w:rPr>
      </w:pPr>
    </w:p>
    <w:p w14:paraId="4D3ACE7D" w14:textId="77777777" w:rsidR="00152B4F" w:rsidRPr="00E31742" w:rsidRDefault="00152B4F" w:rsidP="00152B4F">
      <w:pPr>
        <w:pStyle w:val="Default"/>
        <w:rPr>
          <w:sz w:val="22"/>
          <w:szCs w:val="22"/>
        </w:rPr>
      </w:pPr>
      <w:r w:rsidRPr="00E31742">
        <w:rPr>
          <w:sz w:val="22"/>
          <w:szCs w:val="22"/>
        </w:rPr>
        <w:t>All three of these Sites have the same actual performance level of 25 per cent. However, Site </w:t>
      </w:r>
      <w:r>
        <w:rPr>
          <w:sz w:val="22"/>
          <w:szCs w:val="22"/>
        </w:rPr>
        <w:t>A</w:t>
      </w:r>
      <w:r w:rsidRPr="00E31742">
        <w:rPr>
          <w:sz w:val="22"/>
          <w:szCs w:val="22"/>
        </w:rPr>
        <w:t xml:space="preserve"> has had a caseload of relatively more disadvantaged </w:t>
      </w:r>
      <w:r>
        <w:rPr>
          <w:sz w:val="22"/>
          <w:szCs w:val="22"/>
        </w:rPr>
        <w:t>Participant</w:t>
      </w:r>
      <w:r w:rsidRPr="00E31742">
        <w:rPr>
          <w:sz w:val="22"/>
          <w:szCs w:val="22"/>
        </w:rPr>
        <w:t xml:space="preserve">s, with the lowest expected outcome rate of 20 per cent. Site </w:t>
      </w:r>
      <w:r>
        <w:rPr>
          <w:sz w:val="22"/>
          <w:szCs w:val="22"/>
        </w:rPr>
        <w:t>C</w:t>
      </w:r>
      <w:r w:rsidRPr="00E31742">
        <w:rPr>
          <w:sz w:val="22"/>
          <w:szCs w:val="22"/>
        </w:rPr>
        <w:t xml:space="preserve"> on the other hand has the highest expected outcome rate, reflecting a relatively </w:t>
      </w:r>
      <w:r>
        <w:rPr>
          <w:sz w:val="22"/>
          <w:szCs w:val="22"/>
        </w:rPr>
        <w:t>less</w:t>
      </w:r>
      <w:r w:rsidRPr="00E31742">
        <w:rPr>
          <w:sz w:val="22"/>
          <w:szCs w:val="22"/>
        </w:rPr>
        <w:t xml:space="preserve"> </w:t>
      </w:r>
      <w:r>
        <w:rPr>
          <w:sz w:val="22"/>
          <w:szCs w:val="22"/>
        </w:rPr>
        <w:t>dis</w:t>
      </w:r>
      <w:r w:rsidRPr="00E31742">
        <w:rPr>
          <w:sz w:val="22"/>
          <w:szCs w:val="22"/>
        </w:rPr>
        <w:t>advantaged caseload.</w:t>
      </w:r>
    </w:p>
    <w:p w14:paraId="6410779C" w14:textId="77777777" w:rsidR="00152B4F" w:rsidRPr="00E31742" w:rsidRDefault="00152B4F" w:rsidP="00152B4F">
      <w:pPr>
        <w:pStyle w:val="Default"/>
        <w:rPr>
          <w:sz w:val="22"/>
          <w:szCs w:val="22"/>
        </w:rPr>
      </w:pPr>
    </w:p>
    <w:p w14:paraId="66C99295" w14:textId="77777777" w:rsidR="00152B4F" w:rsidRDefault="00152B4F" w:rsidP="00152B4F">
      <w:r w:rsidRPr="00E31742">
        <w:t xml:space="preserve">Once the expected performance is taken into account it is clear that Site </w:t>
      </w:r>
      <w:r>
        <w:t>A</w:t>
      </w:r>
      <w:r w:rsidRPr="00E31742">
        <w:t xml:space="preserve"> is actually performing </w:t>
      </w:r>
      <w:r>
        <w:t>best</w:t>
      </w:r>
      <w:r w:rsidRPr="00E31742">
        <w:t xml:space="preserve">, while Site </w:t>
      </w:r>
      <w:r>
        <w:t>C</w:t>
      </w:r>
      <w:r w:rsidRPr="00E31742">
        <w:t xml:space="preserve"> is performing the </w:t>
      </w:r>
      <w:r>
        <w:t>least well</w:t>
      </w:r>
      <w:r w:rsidRPr="00E31742">
        <w:t>.</w:t>
      </w:r>
    </w:p>
    <w:p w14:paraId="5E094215" w14:textId="77777777" w:rsidR="00152B4F" w:rsidRDefault="00152B4F" w:rsidP="00152B4F"/>
    <w:p w14:paraId="2439054F" w14:textId="77777777" w:rsidR="00152B4F" w:rsidRDefault="00152B4F" w:rsidP="00152B4F">
      <w:pPr>
        <w:rPr>
          <w:rFonts w:ascii="Calibri" w:hAnsi="Calibri" w:cs="Calibri"/>
          <w:color w:val="000000"/>
          <w:sz w:val="24"/>
          <w:szCs w:val="22"/>
          <w:lang w:eastAsia="en-AU"/>
        </w:rPr>
      </w:pPr>
      <w:r>
        <w:rPr>
          <w:szCs w:val="22"/>
        </w:rPr>
        <w:br w:type="page"/>
      </w:r>
    </w:p>
    <w:p w14:paraId="3A8D6DD5" w14:textId="77777777" w:rsidR="00152B4F" w:rsidRPr="00EC60CD" w:rsidRDefault="00152B4F" w:rsidP="00152B4F">
      <w:pPr>
        <w:pStyle w:val="Heading3"/>
      </w:pPr>
      <w:bookmarkStart w:id="30" w:name="_Toc413246185"/>
      <w:bookmarkStart w:id="31" w:name="_Toc47098280"/>
      <w:r>
        <w:t>Distribution of DES Star Ratings</w:t>
      </w:r>
      <w:bookmarkEnd w:id="30"/>
      <w:bookmarkEnd w:id="31"/>
    </w:p>
    <w:p w14:paraId="5EBB5ED1" w14:textId="77777777" w:rsidR="00152B4F" w:rsidRDefault="00152B4F" w:rsidP="00152B4F">
      <w:pPr>
        <w:autoSpaceDE w:val="0"/>
        <w:autoSpaceDN w:val="0"/>
        <w:adjustRightInd w:val="0"/>
        <w:rPr>
          <w:rFonts w:cs="Calibri"/>
          <w:color w:val="000000"/>
          <w:szCs w:val="22"/>
        </w:rPr>
      </w:pPr>
      <w:r>
        <w:rPr>
          <w:rFonts w:cs="Calibri"/>
          <w:color w:val="000000"/>
          <w:szCs w:val="22"/>
        </w:rPr>
        <w:t xml:space="preserve">The Provider’s final performance score is compared against the final scores of all Providers nationally to produce a Star Percentage, which shows the percentage a Provider is above, at, or below the mean score. The Provider is then allocated to a Star Ratings band according to Table six. </w:t>
      </w:r>
      <w:r w:rsidRPr="00590228">
        <w:rPr>
          <w:rFonts w:cs="Calibri"/>
          <w:color w:val="000000"/>
          <w:szCs w:val="22"/>
        </w:rPr>
        <w:t>These may be subject to change from time to time by the Department of Social Services.</w:t>
      </w:r>
    </w:p>
    <w:p w14:paraId="55315AFB" w14:textId="77777777" w:rsidR="00152B4F" w:rsidRDefault="00152B4F" w:rsidP="00152B4F">
      <w:pPr>
        <w:rPr>
          <w:rFonts w:cs="Calibri"/>
          <w:color w:val="000000"/>
          <w:szCs w:val="22"/>
        </w:rPr>
      </w:pPr>
    </w:p>
    <w:p w14:paraId="617C2DF7" w14:textId="77777777" w:rsidR="00152B4F" w:rsidRDefault="00152B4F" w:rsidP="00152B4F">
      <w:pPr>
        <w:rPr>
          <w:color w:val="000000"/>
        </w:rPr>
      </w:pPr>
      <w:r>
        <w:rPr>
          <w:color w:val="000000"/>
        </w:rPr>
        <w:t>National average performance is calculated at the Contract level. All Sites and Contracts with sufficient data to receive a rating are compared against the Contract level national average score to determine the final Star Rating. Single Site Contracts (with no associated ceased or new Sites) will therefore receive the same Star Rating and Star Percentage at both the Contract and Site level.</w:t>
      </w:r>
    </w:p>
    <w:p w14:paraId="73FC5450" w14:textId="77777777" w:rsidR="00152B4F" w:rsidRPr="00A01C61" w:rsidRDefault="00152B4F" w:rsidP="00152B4F">
      <w:pPr>
        <w:rPr>
          <w:rFonts w:cs="Calibri"/>
          <w:color w:val="000000"/>
          <w:szCs w:val="22"/>
        </w:rPr>
      </w:pPr>
    </w:p>
    <w:p w14:paraId="323B7D5F" w14:textId="77777777" w:rsidR="00152B4F" w:rsidRPr="00672EC7" w:rsidRDefault="00152B4F" w:rsidP="00152B4F">
      <w:pPr>
        <w:pStyle w:val="TableText0"/>
      </w:pPr>
      <w:bookmarkStart w:id="32" w:name="_Table_6:_Distribution"/>
      <w:bookmarkStart w:id="33" w:name="_Toc348434670"/>
      <w:bookmarkStart w:id="34" w:name="_Toc348439628"/>
      <w:bookmarkStart w:id="35" w:name="_Toc348440353"/>
      <w:bookmarkEnd w:id="32"/>
      <w:r w:rsidRPr="00672EC7">
        <w:t>Table 6: Distribution of DES Star Ratings</w:t>
      </w:r>
      <w:bookmarkEnd w:id="33"/>
      <w:bookmarkEnd w:id="34"/>
      <w:bookmarkEnd w:id="35"/>
      <w:r w:rsidRPr="00672EC7">
        <w:t xml:space="preserve"> </w:t>
      </w:r>
    </w:p>
    <w:tbl>
      <w:tblPr>
        <w:tblpPr w:leftFromText="1701" w:rightFromText="1701" w:vertAnchor="text" w:horzAnchor="margin" w:tblpY="13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0"/>
        <w:gridCol w:w="6536"/>
      </w:tblGrid>
      <w:tr w:rsidR="00152B4F" w:rsidRPr="00FC5402" w14:paraId="4C260146" w14:textId="77777777" w:rsidTr="009039E0">
        <w:tc>
          <w:tcPr>
            <w:tcW w:w="1061" w:type="pct"/>
            <w:shd w:val="clear" w:color="auto" w:fill="FFFFFF" w:themeFill="background1"/>
          </w:tcPr>
          <w:p w14:paraId="2F45662D" w14:textId="77777777" w:rsidR="00152B4F" w:rsidRPr="00060458" w:rsidRDefault="00152B4F" w:rsidP="009039E0">
            <w:pPr>
              <w:pStyle w:val="TableHeadingCentred"/>
              <w:contextualSpacing w:val="0"/>
              <w:jc w:val="left"/>
              <w:rPr>
                <w:color w:val="auto"/>
                <w:szCs w:val="22"/>
              </w:rPr>
            </w:pPr>
            <w:r w:rsidRPr="00060458">
              <w:rPr>
                <w:color w:val="auto"/>
                <w:szCs w:val="22"/>
              </w:rPr>
              <w:t>Star Rating</w:t>
            </w:r>
          </w:p>
        </w:tc>
        <w:tc>
          <w:tcPr>
            <w:tcW w:w="3939" w:type="pct"/>
            <w:shd w:val="clear" w:color="auto" w:fill="FFFFFF" w:themeFill="background1"/>
            <w:vAlign w:val="bottom"/>
          </w:tcPr>
          <w:p w14:paraId="146D9CD3" w14:textId="77777777" w:rsidR="00152B4F" w:rsidRPr="00060458" w:rsidRDefault="00152B4F" w:rsidP="009039E0">
            <w:pPr>
              <w:pStyle w:val="TableHeadingCentred"/>
              <w:jc w:val="left"/>
              <w:rPr>
                <w:color w:val="auto"/>
                <w:szCs w:val="22"/>
              </w:rPr>
            </w:pPr>
            <w:r w:rsidRPr="00060458">
              <w:rPr>
                <w:color w:val="auto"/>
                <w:szCs w:val="22"/>
              </w:rPr>
              <w:t>Star Percentage</w:t>
            </w:r>
          </w:p>
        </w:tc>
      </w:tr>
      <w:tr w:rsidR="00152B4F" w:rsidRPr="00825513" w14:paraId="0D2D22C4" w14:textId="77777777" w:rsidTr="009039E0">
        <w:tc>
          <w:tcPr>
            <w:tcW w:w="1061" w:type="pct"/>
          </w:tcPr>
          <w:p w14:paraId="690BC43A" w14:textId="77777777" w:rsidR="00152B4F" w:rsidRPr="0036620C" w:rsidRDefault="00152B4F" w:rsidP="009039E0">
            <w:pPr>
              <w:pStyle w:val="Tabletext"/>
              <w:rPr>
                <w:sz w:val="22"/>
                <w:szCs w:val="22"/>
              </w:rPr>
            </w:pPr>
            <w:r w:rsidRPr="0036620C">
              <w:rPr>
                <w:sz w:val="22"/>
                <w:szCs w:val="22"/>
              </w:rPr>
              <w:t>5-Stars</w:t>
            </w:r>
          </w:p>
        </w:tc>
        <w:tc>
          <w:tcPr>
            <w:tcW w:w="3939" w:type="pct"/>
          </w:tcPr>
          <w:p w14:paraId="0373D132" w14:textId="77777777" w:rsidR="00152B4F" w:rsidRPr="0036620C" w:rsidRDefault="00152B4F" w:rsidP="009039E0">
            <w:pPr>
              <w:pStyle w:val="TableTextCentred"/>
              <w:jc w:val="left"/>
              <w:rPr>
                <w:sz w:val="22"/>
                <w:szCs w:val="22"/>
              </w:rPr>
            </w:pPr>
            <w:r>
              <w:rPr>
                <w:rFonts w:cs="Calibri"/>
                <w:color w:val="000000"/>
                <w:sz w:val="22"/>
                <w:szCs w:val="22"/>
              </w:rPr>
              <w:t>+ 40 or higher</w:t>
            </w:r>
          </w:p>
        </w:tc>
      </w:tr>
      <w:tr w:rsidR="00152B4F" w:rsidRPr="00825513" w14:paraId="7E902FF4" w14:textId="77777777" w:rsidTr="009039E0">
        <w:tc>
          <w:tcPr>
            <w:tcW w:w="1061" w:type="pct"/>
          </w:tcPr>
          <w:p w14:paraId="179B6424" w14:textId="77777777" w:rsidR="00152B4F" w:rsidRPr="0036620C" w:rsidRDefault="00152B4F" w:rsidP="009039E0">
            <w:pPr>
              <w:pStyle w:val="Tabletext"/>
              <w:rPr>
                <w:sz w:val="22"/>
                <w:szCs w:val="22"/>
              </w:rPr>
            </w:pPr>
            <w:r w:rsidRPr="0036620C">
              <w:rPr>
                <w:sz w:val="22"/>
                <w:szCs w:val="22"/>
              </w:rPr>
              <w:t>4-Stars</w:t>
            </w:r>
          </w:p>
        </w:tc>
        <w:tc>
          <w:tcPr>
            <w:tcW w:w="3939" w:type="pct"/>
          </w:tcPr>
          <w:p w14:paraId="3F5D6FA0" w14:textId="77777777" w:rsidR="00152B4F" w:rsidRPr="0036620C" w:rsidRDefault="00152B4F" w:rsidP="009039E0">
            <w:pPr>
              <w:pStyle w:val="TableTextCentred"/>
              <w:jc w:val="left"/>
              <w:rPr>
                <w:sz w:val="22"/>
                <w:szCs w:val="22"/>
              </w:rPr>
            </w:pPr>
            <w:r w:rsidRPr="0036620C">
              <w:rPr>
                <w:rFonts w:cs="Calibri"/>
                <w:color w:val="000000"/>
                <w:sz w:val="22"/>
                <w:szCs w:val="22"/>
              </w:rPr>
              <w:t xml:space="preserve">Between </w:t>
            </w:r>
            <w:r>
              <w:rPr>
                <w:rFonts w:cs="Calibri"/>
                <w:color w:val="000000"/>
                <w:sz w:val="22"/>
                <w:szCs w:val="22"/>
              </w:rPr>
              <w:t>+20</w:t>
            </w:r>
            <w:r w:rsidRPr="0036620C">
              <w:rPr>
                <w:rFonts w:cs="Calibri"/>
                <w:color w:val="000000"/>
                <w:sz w:val="22"/>
                <w:szCs w:val="22"/>
              </w:rPr>
              <w:t xml:space="preserve"> and </w:t>
            </w:r>
            <w:r>
              <w:rPr>
                <w:rFonts w:cs="Calibri"/>
                <w:color w:val="000000"/>
                <w:sz w:val="22"/>
                <w:szCs w:val="22"/>
              </w:rPr>
              <w:t>+39</w:t>
            </w:r>
          </w:p>
        </w:tc>
      </w:tr>
      <w:tr w:rsidR="00152B4F" w:rsidRPr="00825513" w14:paraId="2ACF4E93" w14:textId="77777777" w:rsidTr="009039E0">
        <w:tc>
          <w:tcPr>
            <w:tcW w:w="1061" w:type="pct"/>
          </w:tcPr>
          <w:p w14:paraId="7C8C93E1" w14:textId="77777777" w:rsidR="00152B4F" w:rsidRPr="0036620C" w:rsidRDefault="00152B4F" w:rsidP="009039E0">
            <w:pPr>
              <w:pStyle w:val="Tabletext"/>
              <w:rPr>
                <w:sz w:val="22"/>
                <w:szCs w:val="22"/>
              </w:rPr>
            </w:pPr>
            <w:r w:rsidRPr="0036620C">
              <w:rPr>
                <w:sz w:val="22"/>
                <w:szCs w:val="22"/>
              </w:rPr>
              <w:t>3-Stars</w:t>
            </w:r>
          </w:p>
        </w:tc>
        <w:tc>
          <w:tcPr>
            <w:tcW w:w="3939" w:type="pct"/>
          </w:tcPr>
          <w:p w14:paraId="381222D6" w14:textId="77777777" w:rsidR="00152B4F" w:rsidRPr="00590228" w:rsidRDefault="00152B4F" w:rsidP="009039E0">
            <w:pPr>
              <w:pStyle w:val="TableTextCentred"/>
              <w:jc w:val="left"/>
              <w:rPr>
                <w:sz w:val="22"/>
                <w:szCs w:val="22"/>
              </w:rPr>
            </w:pPr>
            <w:r w:rsidRPr="00590228">
              <w:rPr>
                <w:rFonts w:cs="Calibri"/>
                <w:color w:val="000000"/>
                <w:sz w:val="22"/>
                <w:szCs w:val="22"/>
              </w:rPr>
              <w:t xml:space="preserve">Between </w:t>
            </w:r>
            <w:r>
              <w:rPr>
                <w:rFonts w:cs="Calibri"/>
                <w:color w:val="000000"/>
                <w:sz w:val="22"/>
                <w:szCs w:val="22"/>
              </w:rPr>
              <w:t>+19</w:t>
            </w:r>
            <w:r w:rsidRPr="00590228">
              <w:rPr>
                <w:rFonts w:cs="Calibri"/>
                <w:color w:val="000000"/>
                <w:sz w:val="22"/>
                <w:szCs w:val="22"/>
              </w:rPr>
              <w:t xml:space="preserve"> and </w:t>
            </w:r>
            <w:r>
              <w:rPr>
                <w:rFonts w:cs="Calibri"/>
                <w:color w:val="000000"/>
                <w:sz w:val="22"/>
                <w:szCs w:val="22"/>
              </w:rPr>
              <w:t>-19</w:t>
            </w:r>
          </w:p>
        </w:tc>
      </w:tr>
      <w:tr w:rsidR="00152B4F" w:rsidRPr="00825513" w14:paraId="7C2A97EA" w14:textId="77777777" w:rsidTr="009039E0">
        <w:tc>
          <w:tcPr>
            <w:tcW w:w="1061" w:type="pct"/>
          </w:tcPr>
          <w:p w14:paraId="6E062747" w14:textId="77777777" w:rsidR="00152B4F" w:rsidRPr="0036620C" w:rsidRDefault="00152B4F" w:rsidP="009039E0">
            <w:pPr>
              <w:pStyle w:val="Tabletext"/>
              <w:rPr>
                <w:sz w:val="22"/>
                <w:szCs w:val="22"/>
              </w:rPr>
            </w:pPr>
            <w:r w:rsidRPr="0036620C">
              <w:rPr>
                <w:sz w:val="22"/>
                <w:szCs w:val="22"/>
              </w:rPr>
              <w:t>2-Stars</w:t>
            </w:r>
          </w:p>
        </w:tc>
        <w:tc>
          <w:tcPr>
            <w:tcW w:w="3939" w:type="pct"/>
          </w:tcPr>
          <w:p w14:paraId="7D1DD2BD" w14:textId="77777777" w:rsidR="00152B4F" w:rsidRPr="00590228" w:rsidRDefault="00152B4F" w:rsidP="009039E0">
            <w:pPr>
              <w:pStyle w:val="TableTextCentred"/>
              <w:jc w:val="left"/>
              <w:rPr>
                <w:sz w:val="22"/>
                <w:szCs w:val="22"/>
              </w:rPr>
            </w:pPr>
            <w:r w:rsidRPr="00590228">
              <w:rPr>
                <w:rFonts w:cs="Calibri"/>
                <w:color w:val="000000"/>
                <w:sz w:val="22"/>
                <w:szCs w:val="22"/>
              </w:rPr>
              <w:t xml:space="preserve">Between </w:t>
            </w:r>
            <w:r>
              <w:rPr>
                <w:rFonts w:cs="Calibri"/>
                <w:color w:val="000000"/>
                <w:sz w:val="22"/>
                <w:szCs w:val="22"/>
              </w:rPr>
              <w:t>-20</w:t>
            </w:r>
            <w:r w:rsidRPr="00590228">
              <w:rPr>
                <w:rFonts w:cs="Calibri"/>
                <w:color w:val="000000"/>
                <w:sz w:val="22"/>
                <w:szCs w:val="22"/>
              </w:rPr>
              <w:t xml:space="preserve"> </w:t>
            </w:r>
            <w:r>
              <w:rPr>
                <w:rFonts w:cs="Calibri"/>
                <w:color w:val="000000"/>
                <w:sz w:val="22"/>
                <w:szCs w:val="22"/>
              </w:rPr>
              <w:t xml:space="preserve"> And -49</w:t>
            </w:r>
          </w:p>
        </w:tc>
      </w:tr>
      <w:tr w:rsidR="00152B4F" w:rsidRPr="00825513" w14:paraId="4852904C" w14:textId="77777777" w:rsidTr="009039E0">
        <w:tc>
          <w:tcPr>
            <w:tcW w:w="1061" w:type="pct"/>
          </w:tcPr>
          <w:p w14:paraId="0912E492" w14:textId="77777777" w:rsidR="00152B4F" w:rsidRPr="0036620C" w:rsidRDefault="00152B4F" w:rsidP="009039E0">
            <w:pPr>
              <w:pStyle w:val="Tabletext"/>
              <w:rPr>
                <w:sz w:val="22"/>
                <w:szCs w:val="22"/>
              </w:rPr>
            </w:pPr>
            <w:r w:rsidRPr="0036620C">
              <w:rPr>
                <w:sz w:val="22"/>
                <w:szCs w:val="22"/>
              </w:rPr>
              <w:t>1-Star</w:t>
            </w:r>
          </w:p>
        </w:tc>
        <w:tc>
          <w:tcPr>
            <w:tcW w:w="3939" w:type="pct"/>
          </w:tcPr>
          <w:p w14:paraId="34D7728E" w14:textId="77777777" w:rsidR="00152B4F" w:rsidRPr="00590228" w:rsidRDefault="00152B4F" w:rsidP="009039E0">
            <w:pPr>
              <w:pStyle w:val="TableTextCentred"/>
              <w:jc w:val="left"/>
              <w:rPr>
                <w:sz w:val="22"/>
                <w:szCs w:val="22"/>
              </w:rPr>
            </w:pPr>
            <w:r>
              <w:rPr>
                <w:rFonts w:cs="Calibri"/>
                <w:color w:val="000000"/>
                <w:sz w:val="22"/>
                <w:szCs w:val="22"/>
              </w:rPr>
              <w:t>-50 or lower</w:t>
            </w:r>
          </w:p>
        </w:tc>
      </w:tr>
    </w:tbl>
    <w:p w14:paraId="22767DDE" w14:textId="77777777" w:rsidR="00152B4F" w:rsidRDefault="00152B4F" w:rsidP="00152B4F">
      <w:pPr>
        <w:keepNext/>
        <w:spacing w:after="240"/>
        <w:rPr>
          <w:rFonts w:cs="Calibri"/>
          <w:b/>
          <w:sz w:val="24"/>
        </w:rPr>
      </w:pPr>
      <w:bookmarkStart w:id="36" w:name="_Toc348434671"/>
      <w:bookmarkStart w:id="37" w:name="_Toc348439629"/>
      <w:bookmarkStart w:id="38" w:name="_Toc348440354"/>
    </w:p>
    <w:p w14:paraId="36C7615A" w14:textId="77777777" w:rsidR="00152B4F" w:rsidRPr="00672EC7" w:rsidRDefault="00152B4F" w:rsidP="00152B4F">
      <w:pPr>
        <w:pStyle w:val="TableText0"/>
        <w:spacing w:after="240"/>
      </w:pPr>
      <w:r w:rsidRPr="00AE24E1">
        <w:t>Figure 1: Distribution of DES Star Ratings – graphical representation</w:t>
      </w:r>
    </w:p>
    <w:p w14:paraId="19EE79E9" w14:textId="224F35E3" w:rsidR="00152B4F" w:rsidRPr="005D50B7" w:rsidRDefault="00152B4F" w:rsidP="00152B4F">
      <w:pPr>
        <w:rPr>
          <w:color w:val="C00000"/>
          <w:szCs w:val="22"/>
          <w:u w:val="single"/>
        </w:rPr>
      </w:pPr>
      <w:r w:rsidRPr="009E0333">
        <w:rPr>
          <w:noProof/>
          <w:lang w:eastAsia="en-AU"/>
        </w:rPr>
        <w:drawing>
          <wp:inline distT="0" distB="0" distL="0" distR="0" wp14:anchorId="24A6D753" wp14:editId="0540CEEE">
            <wp:extent cx="5334000" cy="2495296"/>
            <wp:effectExtent l="0" t="0" r="0" b="635"/>
            <wp:docPr id="5" name="Picture 5" descr="This figure shows the information from the above table with graphically.  It shows the stars from left to right.&#10;The first two stars ratings are blow  the heading &quot;Below Average&quot; 1-Star (-50 or lower) is in a red box, then 2-Stars (Between -20 and -49) is in a dark orange colour box. 3-Stars (between (19 and - 19) is below the heading &quot;Average&quot; and is in a medium green colour box.  FInally, below the heading &quot;Above Average&quot; are 4-Stars(between 20 and 39) in a medium blue box and 5-Stars(+40 or higher) in a dark blue box." title="Figure 1 - Distribution of DES Star Ratings - graphical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figure shows the information from the above table with graphically.  It shows the stars from left to right.&#10;The first two stars ratings are blow  the heading &quot;Below Average&quot; 1-Star (-50 or lower) is in a red box, then 2-Stars (Between -20 and -49) is in a dark orange colour box. 3-Stars (between (19 and - 19) is below the heading &quot;Average&quot; and is in a medium green colour box.  FInally, below the heading &quot;Above Average&quot; are 4-Stars(between 20 and 39) in a medium blue box and 5-Stars(+40 or higher) in a dark blue box." title="Figure 1 - Distribution of DES Star Ratings - graphical Represent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2494915"/>
                    </a:xfrm>
                    <a:prstGeom prst="rect">
                      <a:avLst/>
                    </a:prstGeom>
                    <a:noFill/>
                    <a:ln>
                      <a:noFill/>
                    </a:ln>
                  </pic:spPr>
                </pic:pic>
              </a:graphicData>
            </a:graphic>
          </wp:inline>
        </w:drawing>
      </w:r>
      <w:bookmarkEnd w:id="36"/>
      <w:bookmarkEnd w:id="37"/>
      <w:bookmarkEnd w:id="38"/>
    </w:p>
    <w:p w14:paraId="6CC7ACAB" w14:textId="77777777" w:rsidR="00152B4F" w:rsidRDefault="00152B4F" w:rsidP="00152B4F">
      <w:pPr>
        <w:keepNext/>
        <w:spacing w:after="240"/>
        <w:rPr>
          <w:rFonts w:cs="Arial"/>
          <w:b/>
          <w:bCs/>
          <w:color w:val="1869B2"/>
          <w:sz w:val="24"/>
          <w:szCs w:val="22"/>
        </w:rPr>
      </w:pPr>
      <w:r>
        <w:rPr>
          <w:szCs w:val="22"/>
        </w:rPr>
        <w:br w:type="page"/>
      </w:r>
    </w:p>
    <w:p w14:paraId="433811D5" w14:textId="77777777" w:rsidR="00152B4F" w:rsidRDefault="00152B4F" w:rsidP="00152B4F">
      <w:pPr>
        <w:pStyle w:val="Heading2"/>
      </w:pPr>
      <w:bookmarkStart w:id="39" w:name="_Toc348434678"/>
      <w:bookmarkStart w:id="40" w:name="_Toc348439636"/>
      <w:bookmarkStart w:id="41" w:name="_Toc348440361"/>
      <w:bookmarkStart w:id="42" w:name="_Toc413246186"/>
      <w:bookmarkStart w:id="43" w:name="_Toc47098281"/>
      <w:r>
        <w:t>Star Ratings Model Six Steps</w:t>
      </w:r>
      <w:bookmarkEnd w:id="39"/>
      <w:bookmarkEnd w:id="40"/>
      <w:bookmarkEnd w:id="41"/>
      <w:bookmarkEnd w:id="42"/>
      <w:r>
        <w:t xml:space="preserve"> –</w:t>
      </w:r>
      <w:bookmarkEnd w:id="43"/>
      <w:r>
        <w:t xml:space="preserve"> </w:t>
      </w:r>
    </w:p>
    <w:p w14:paraId="59110001" w14:textId="77777777" w:rsidR="00152B4F" w:rsidRPr="00E962BF" w:rsidRDefault="00152B4F" w:rsidP="00152B4F">
      <w:pPr>
        <w:rPr>
          <w:szCs w:val="22"/>
        </w:rPr>
      </w:pPr>
      <w:r w:rsidRPr="00E962BF">
        <w:rPr>
          <w:szCs w:val="22"/>
        </w:rPr>
        <w:t xml:space="preserve">The model undertakes six major steps in the calculation of </w:t>
      </w:r>
      <w:r>
        <w:rPr>
          <w:szCs w:val="22"/>
        </w:rPr>
        <w:t>Site</w:t>
      </w:r>
      <w:r w:rsidRPr="00E962BF">
        <w:rPr>
          <w:szCs w:val="22"/>
        </w:rPr>
        <w:t xml:space="preserve"> Star Ratings. </w:t>
      </w:r>
      <w:r>
        <w:rPr>
          <w:szCs w:val="22"/>
        </w:rPr>
        <w:t>The following presents a walked-through example of how the Star Ratings are calculated.</w:t>
      </w:r>
    </w:p>
    <w:p w14:paraId="7C3A0837" w14:textId="77777777" w:rsidR="00152B4F" w:rsidRDefault="00152B4F" w:rsidP="00152B4F">
      <w:pPr>
        <w:pStyle w:val="Heading3"/>
      </w:pPr>
      <w:bookmarkStart w:id="44" w:name="_Toc348440469"/>
      <w:bookmarkStart w:id="45" w:name="_Toc413246187"/>
      <w:r>
        <w:br/>
      </w:r>
      <w:bookmarkStart w:id="46" w:name="_Toc47098282"/>
      <w:r w:rsidRPr="00E962BF">
        <w:t>Summary of the Six Steps</w:t>
      </w:r>
      <w:bookmarkEnd w:id="44"/>
      <w:bookmarkEnd w:id="45"/>
      <w:bookmarkEnd w:id="46"/>
    </w:p>
    <w:p w14:paraId="595A2EB9" w14:textId="77777777" w:rsidR="00152B4F" w:rsidRPr="00E962BF" w:rsidRDefault="00152B4F" w:rsidP="00152B4F"/>
    <w:p w14:paraId="73BF5C13" w14:textId="77777777" w:rsidR="00152B4F" w:rsidRPr="00E962BF" w:rsidRDefault="00152B4F" w:rsidP="00152B4F">
      <w:pPr>
        <w:rPr>
          <w:b/>
          <w:i/>
          <w:szCs w:val="22"/>
        </w:rPr>
      </w:pPr>
      <w:r w:rsidRPr="00E962BF">
        <w:rPr>
          <w:b/>
          <w:i/>
          <w:szCs w:val="22"/>
        </w:rPr>
        <w:t xml:space="preserve">For all </w:t>
      </w:r>
      <w:r>
        <w:rPr>
          <w:b/>
          <w:i/>
          <w:szCs w:val="22"/>
        </w:rPr>
        <w:t>Site</w:t>
      </w:r>
      <w:r w:rsidRPr="00E962BF">
        <w:rPr>
          <w:b/>
          <w:i/>
          <w:szCs w:val="22"/>
        </w:rPr>
        <w:t>s for each performance measure:</w:t>
      </w:r>
    </w:p>
    <w:p w14:paraId="0F3C4230" w14:textId="77777777" w:rsidR="00152B4F" w:rsidRPr="00E962BF" w:rsidRDefault="00152B4F" w:rsidP="00152B4F">
      <w:pPr>
        <w:rPr>
          <w:bCs/>
          <w:szCs w:val="22"/>
          <w:lang w:val="en-US"/>
        </w:rPr>
      </w:pPr>
      <w:r w:rsidRPr="00E962BF">
        <w:rPr>
          <w:b/>
          <w:szCs w:val="22"/>
        </w:rPr>
        <w:t>Step 1</w:t>
      </w:r>
      <w:r w:rsidRPr="00E962BF">
        <w:rPr>
          <w:szCs w:val="22"/>
        </w:rPr>
        <w:t>:</w:t>
      </w:r>
      <w:r>
        <w:rPr>
          <w:szCs w:val="22"/>
        </w:rPr>
        <w:t xml:space="preserve"> </w:t>
      </w:r>
      <w:r w:rsidRPr="00E962BF">
        <w:rPr>
          <w:bCs/>
          <w:szCs w:val="22"/>
          <w:lang w:val="en-US"/>
        </w:rPr>
        <w:t>Calculate actual performance</w:t>
      </w:r>
    </w:p>
    <w:p w14:paraId="15C3D387" w14:textId="77777777" w:rsidR="00152B4F" w:rsidRPr="00E962BF" w:rsidRDefault="00152B4F" w:rsidP="00152B4F">
      <w:pPr>
        <w:rPr>
          <w:bCs/>
          <w:szCs w:val="22"/>
          <w:lang w:val="en-US"/>
        </w:rPr>
      </w:pPr>
      <w:r w:rsidRPr="00E962BF">
        <w:rPr>
          <w:b/>
          <w:szCs w:val="22"/>
        </w:rPr>
        <w:t>Step 2</w:t>
      </w:r>
      <w:r w:rsidRPr="00E962BF">
        <w:rPr>
          <w:szCs w:val="22"/>
        </w:rPr>
        <w:t>:</w:t>
      </w:r>
      <w:r>
        <w:rPr>
          <w:szCs w:val="22"/>
        </w:rPr>
        <w:t xml:space="preserve"> </w:t>
      </w:r>
      <w:r w:rsidRPr="00E962BF">
        <w:rPr>
          <w:bCs/>
          <w:szCs w:val="22"/>
          <w:lang w:val="en-US"/>
        </w:rPr>
        <w:t>Calculate expected performance</w:t>
      </w:r>
    </w:p>
    <w:p w14:paraId="14969C57" w14:textId="77777777" w:rsidR="00152B4F" w:rsidRPr="00E962BF" w:rsidRDefault="00152B4F" w:rsidP="00152B4F">
      <w:pPr>
        <w:rPr>
          <w:bCs/>
          <w:szCs w:val="22"/>
          <w:lang w:val="en-US"/>
        </w:rPr>
      </w:pPr>
      <w:r w:rsidRPr="00E962BF">
        <w:rPr>
          <w:b/>
          <w:szCs w:val="22"/>
        </w:rPr>
        <w:t>Step 3</w:t>
      </w:r>
      <w:r w:rsidRPr="00E962BF">
        <w:rPr>
          <w:szCs w:val="22"/>
        </w:rPr>
        <w:t>:</w:t>
      </w:r>
      <w:r>
        <w:rPr>
          <w:szCs w:val="22"/>
        </w:rPr>
        <w:t xml:space="preserve"> </w:t>
      </w:r>
      <w:r w:rsidRPr="00E962BF">
        <w:rPr>
          <w:bCs/>
          <w:szCs w:val="22"/>
          <w:lang w:val="en-US"/>
        </w:rPr>
        <w:t>Calculate ratio of actual rate to expected rate</w:t>
      </w:r>
    </w:p>
    <w:p w14:paraId="70F87538" w14:textId="77777777" w:rsidR="00152B4F" w:rsidRPr="00E962BF" w:rsidRDefault="00152B4F" w:rsidP="00152B4F">
      <w:pPr>
        <w:rPr>
          <w:bCs/>
          <w:szCs w:val="22"/>
          <w:lang w:val="en-US"/>
        </w:rPr>
      </w:pPr>
      <w:r w:rsidRPr="00E962BF">
        <w:rPr>
          <w:b/>
          <w:szCs w:val="22"/>
        </w:rPr>
        <w:t>Step 4</w:t>
      </w:r>
      <w:r w:rsidRPr="00E962BF">
        <w:rPr>
          <w:szCs w:val="22"/>
        </w:rPr>
        <w:t>:</w:t>
      </w:r>
      <w:r>
        <w:rPr>
          <w:szCs w:val="22"/>
        </w:rPr>
        <w:t xml:space="preserve"> </w:t>
      </w:r>
      <w:r w:rsidRPr="00E962BF">
        <w:rPr>
          <w:szCs w:val="22"/>
        </w:rPr>
        <w:t>Standardise the performance measure scores on a scale from between zero and four.</w:t>
      </w:r>
      <w:r>
        <w:rPr>
          <w:szCs w:val="22"/>
        </w:rPr>
        <w:t xml:space="preserve"> </w:t>
      </w:r>
    </w:p>
    <w:p w14:paraId="06B5C75B" w14:textId="77777777" w:rsidR="00152B4F" w:rsidRPr="00E962BF" w:rsidRDefault="00152B4F" w:rsidP="00152B4F">
      <w:pPr>
        <w:rPr>
          <w:szCs w:val="22"/>
        </w:rPr>
      </w:pPr>
    </w:p>
    <w:p w14:paraId="06AD91A7" w14:textId="77777777" w:rsidR="00152B4F" w:rsidRPr="00E962BF" w:rsidRDefault="00152B4F" w:rsidP="00152B4F">
      <w:pPr>
        <w:rPr>
          <w:b/>
          <w:i/>
          <w:szCs w:val="22"/>
        </w:rPr>
      </w:pPr>
      <w:r w:rsidRPr="00E962BF">
        <w:rPr>
          <w:b/>
          <w:i/>
          <w:szCs w:val="22"/>
        </w:rPr>
        <w:t xml:space="preserve">For all </w:t>
      </w:r>
      <w:r>
        <w:rPr>
          <w:b/>
          <w:i/>
          <w:szCs w:val="22"/>
        </w:rPr>
        <w:t>Site</w:t>
      </w:r>
      <w:r w:rsidRPr="00E962BF">
        <w:rPr>
          <w:b/>
          <w:i/>
          <w:szCs w:val="22"/>
        </w:rPr>
        <w:t>s:</w:t>
      </w:r>
    </w:p>
    <w:p w14:paraId="4BB971DC" w14:textId="77777777" w:rsidR="00152B4F" w:rsidRPr="00E962BF" w:rsidRDefault="00152B4F" w:rsidP="00152B4F">
      <w:pPr>
        <w:rPr>
          <w:szCs w:val="22"/>
        </w:rPr>
      </w:pPr>
      <w:r w:rsidRPr="00E962BF">
        <w:rPr>
          <w:b/>
          <w:szCs w:val="22"/>
        </w:rPr>
        <w:t>Step 5</w:t>
      </w:r>
      <w:r w:rsidRPr="00E962BF">
        <w:rPr>
          <w:szCs w:val="22"/>
        </w:rPr>
        <w:t>:</w:t>
      </w:r>
      <w:r>
        <w:rPr>
          <w:szCs w:val="22"/>
        </w:rPr>
        <w:t xml:space="preserve"> </w:t>
      </w:r>
      <w:r w:rsidRPr="00E962BF">
        <w:rPr>
          <w:szCs w:val="22"/>
        </w:rPr>
        <w:t xml:space="preserve">Calculate the </w:t>
      </w:r>
      <w:r>
        <w:rPr>
          <w:szCs w:val="22"/>
        </w:rPr>
        <w:t>Site</w:t>
      </w:r>
      <w:r w:rsidRPr="00E962BF">
        <w:rPr>
          <w:szCs w:val="22"/>
        </w:rPr>
        <w:t xml:space="preserve"> performance score by applying the scheduled weightings in Table </w:t>
      </w:r>
      <w:r>
        <w:rPr>
          <w:szCs w:val="22"/>
        </w:rPr>
        <w:t>one</w:t>
      </w:r>
      <w:r w:rsidRPr="00E962BF">
        <w:rPr>
          <w:szCs w:val="22"/>
        </w:rPr>
        <w:t xml:space="preserve"> to each performance measure score. </w:t>
      </w:r>
    </w:p>
    <w:p w14:paraId="2451D59F" w14:textId="77777777" w:rsidR="00152B4F" w:rsidRPr="00E962BF" w:rsidRDefault="00152B4F" w:rsidP="00152B4F">
      <w:pPr>
        <w:rPr>
          <w:szCs w:val="22"/>
        </w:rPr>
      </w:pPr>
    </w:p>
    <w:p w14:paraId="727D0049" w14:textId="77777777" w:rsidR="00152B4F" w:rsidRPr="00E962BF" w:rsidRDefault="00152B4F" w:rsidP="00152B4F">
      <w:pPr>
        <w:rPr>
          <w:szCs w:val="22"/>
        </w:rPr>
      </w:pPr>
      <w:r w:rsidRPr="00E962BF">
        <w:rPr>
          <w:b/>
          <w:szCs w:val="22"/>
        </w:rPr>
        <w:t>Step 6</w:t>
      </w:r>
      <w:r w:rsidRPr="00E962BF">
        <w:rPr>
          <w:szCs w:val="22"/>
        </w:rPr>
        <w:t>:</w:t>
      </w:r>
      <w:r>
        <w:rPr>
          <w:szCs w:val="22"/>
        </w:rPr>
        <w:t xml:space="preserve"> </w:t>
      </w:r>
      <w:r w:rsidRPr="00E962BF">
        <w:rPr>
          <w:szCs w:val="22"/>
        </w:rPr>
        <w:t xml:space="preserve">Calculate the </w:t>
      </w:r>
      <w:r w:rsidRPr="00E962BF">
        <w:rPr>
          <w:b/>
          <w:szCs w:val="22"/>
        </w:rPr>
        <w:t>Star Percentage</w:t>
      </w:r>
      <w:r w:rsidRPr="00E962BF">
        <w:rPr>
          <w:szCs w:val="22"/>
        </w:rPr>
        <w:t xml:space="preserve"> by comparing the </w:t>
      </w:r>
      <w:r>
        <w:rPr>
          <w:szCs w:val="22"/>
        </w:rPr>
        <w:t>Site</w:t>
      </w:r>
      <w:r w:rsidRPr="00E962BF">
        <w:rPr>
          <w:szCs w:val="22"/>
        </w:rPr>
        <w:t xml:space="preserve">’s performance score with the </w:t>
      </w:r>
      <w:r w:rsidRPr="00E962BF">
        <w:rPr>
          <w:bCs/>
          <w:szCs w:val="22"/>
          <w:lang w:val="en-US"/>
        </w:rPr>
        <w:t xml:space="preserve">national average performance score. Allocate the </w:t>
      </w:r>
      <w:r w:rsidRPr="00E962BF">
        <w:rPr>
          <w:b/>
          <w:bCs/>
          <w:szCs w:val="22"/>
          <w:lang w:val="en-US"/>
        </w:rPr>
        <w:t>Star Rating</w:t>
      </w:r>
      <w:r w:rsidRPr="00E962BF">
        <w:rPr>
          <w:bCs/>
          <w:szCs w:val="22"/>
          <w:lang w:val="en-US"/>
        </w:rPr>
        <w:t xml:space="preserve"> on the basi</w:t>
      </w:r>
      <w:r>
        <w:rPr>
          <w:bCs/>
          <w:szCs w:val="22"/>
          <w:lang w:val="en-US"/>
        </w:rPr>
        <w:t>s of the distribution in Table six</w:t>
      </w:r>
      <w:r w:rsidRPr="00E962BF">
        <w:rPr>
          <w:bCs/>
          <w:szCs w:val="22"/>
          <w:lang w:val="en-US"/>
        </w:rPr>
        <w:t xml:space="preserve">. </w:t>
      </w:r>
    </w:p>
    <w:p w14:paraId="4080F452" w14:textId="77777777" w:rsidR="00152B4F" w:rsidRPr="00E962BF" w:rsidRDefault="00152B4F" w:rsidP="00152B4F">
      <w:pPr>
        <w:rPr>
          <w:szCs w:val="22"/>
        </w:rPr>
      </w:pPr>
    </w:p>
    <w:p w14:paraId="2E29B4BF" w14:textId="77777777" w:rsidR="00152B4F" w:rsidRDefault="00152B4F" w:rsidP="00152B4F">
      <w:pPr>
        <w:rPr>
          <w:rFonts w:ascii="Calibri" w:hAnsi="Calibri" w:cs="Arial"/>
          <w:b/>
          <w:bCs/>
          <w:i/>
          <w:szCs w:val="26"/>
          <w:u w:val="single"/>
          <w:lang w:eastAsia="en-AU"/>
        </w:rPr>
      </w:pPr>
      <w:r>
        <w:br w:type="page"/>
      </w:r>
    </w:p>
    <w:p w14:paraId="1107DDC1" w14:textId="77777777" w:rsidR="00152B4F" w:rsidRPr="00E962BF" w:rsidRDefault="00152B4F" w:rsidP="00152B4F">
      <w:pPr>
        <w:pStyle w:val="Heading3"/>
      </w:pPr>
      <w:bookmarkStart w:id="47" w:name="_Toc47098283"/>
      <w:r w:rsidRPr="00C94823">
        <w:t>The Star Ratings Model Six Steps In Detail</w:t>
      </w:r>
      <w:bookmarkEnd w:id="47"/>
    </w:p>
    <w:p w14:paraId="75D2EAD5" w14:textId="77777777" w:rsidR="00152B4F" w:rsidRDefault="00152B4F" w:rsidP="00152B4F">
      <w:pPr>
        <w:rPr>
          <w:szCs w:val="22"/>
        </w:rPr>
      </w:pPr>
      <w:r w:rsidRPr="00E962BF">
        <w:rPr>
          <w:szCs w:val="22"/>
        </w:rPr>
        <w:t xml:space="preserve">The example boxes for each step relate to the calculation of a </w:t>
      </w:r>
      <w:r w:rsidRPr="00C94823">
        <w:rPr>
          <w:szCs w:val="22"/>
        </w:rPr>
        <w:t>DES-ESS</w:t>
      </w:r>
      <w:r w:rsidRPr="00E962BF">
        <w:rPr>
          <w:szCs w:val="22"/>
        </w:rPr>
        <w:t xml:space="preserve"> Star Rating for a hypothetical Site X.</w:t>
      </w:r>
    </w:p>
    <w:p w14:paraId="3787F6A6" w14:textId="77777777" w:rsidR="00152B4F" w:rsidRDefault="00152B4F" w:rsidP="00152B4F">
      <w:pPr>
        <w:pStyle w:val="Default"/>
        <w:rPr>
          <w:sz w:val="22"/>
          <w:szCs w:val="22"/>
        </w:rPr>
      </w:pPr>
    </w:p>
    <w:p w14:paraId="760E0F26" w14:textId="77777777" w:rsidR="00152B4F" w:rsidRDefault="006F6048" w:rsidP="00152B4F">
      <w:pPr>
        <w:spacing w:after="240"/>
        <w:rPr>
          <w:b/>
          <w:szCs w:val="22"/>
        </w:rPr>
      </w:pPr>
      <w:r>
        <w:pict w14:anchorId="2F9F62D2">
          <v:rect id="_x0000_i1025" style="width:415.3pt;height:1.5pt" o:hralign="center" o:hrstd="t" o:hr="t" fillcolor="#a0a0a0" stroked="f"/>
        </w:pict>
      </w:r>
    </w:p>
    <w:p w14:paraId="146824A3" w14:textId="77777777" w:rsidR="00152B4F" w:rsidRPr="006B3912" w:rsidRDefault="00152B4F" w:rsidP="00152B4F">
      <w:pPr>
        <w:rPr>
          <w:b/>
        </w:rPr>
      </w:pPr>
      <w:r w:rsidRPr="006B3912">
        <w:rPr>
          <w:b/>
        </w:rPr>
        <w:t xml:space="preserve">Step 1: Calculate Actual Performance </w:t>
      </w:r>
    </w:p>
    <w:p w14:paraId="7A523031" w14:textId="77777777" w:rsidR="00152B4F" w:rsidRPr="00E962BF" w:rsidRDefault="00152B4F" w:rsidP="00152B4F">
      <w:pPr>
        <w:rPr>
          <w:szCs w:val="22"/>
        </w:rPr>
      </w:pPr>
      <w:r w:rsidRPr="00E962BF">
        <w:rPr>
          <w:szCs w:val="22"/>
        </w:rPr>
        <w:t xml:space="preserve">See </w:t>
      </w:r>
      <w:r>
        <w:rPr>
          <w:szCs w:val="22"/>
        </w:rPr>
        <w:t>Table two</w:t>
      </w:r>
      <w:r w:rsidRPr="00E962BF">
        <w:rPr>
          <w:szCs w:val="22"/>
        </w:rPr>
        <w:t xml:space="preserve"> for descriptions of how the numerator and denominator are determined for each of the performance measures. </w:t>
      </w:r>
    </w:p>
    <w:p w14:paraId="3E0FC3BC" w14:textId="77777777" w:rsidR="00152B4F" w:rsidRPr="002A25FC" w:rsidRDefault="00152B4F" w:rsidP="00152B4F">
      <w:pPr>
        <w:pStyle w:val="ListParagraph"/>
        <w:numPr>
          <w:ilvl w:val="0"/>
          <w:numId w:val="22"/>
        </w:numPr>
        <w:rPr>
          <w:szCs w:val="22"/>
        </w:rPr>
      </w:pPr>
      <w:r w:rsidRPr="002A25FC">
        <w:rPr>
          <w:szCs w:val="22"/>
        </w:rPr>
        <w:t xml:space="preserve">the Star Ratings calculates the actual number of outcomes or indicators achieved (numerator) and the number of </w:t>
      </w:r>
      <w:r>
        <w:rPr>
          <w:szCs w:val="22"/>
        </w:rPr>
        <w:t>Participant</w:t>
      </w:r>
      <w:r w:rsidRPr="002A25FC">
        <w:rPr>
          <w:szCs w:val="22"/>
        </w:rPr>
        <w:t>s who are in scope for the measure (denominator).</w:t>
      </w:r>
    </w:p>
    <w:p w14:paraId="7DD4C78E" w14:textId="77777777" w:rsidR="00152B4F" w:rsidRDefault="006F6048" w:rsidP="00152B4F">
      <w:pPr>
        <w:spacing w:after="240"/>
        <w:rPr>
          <w:rFonts w:cs="Calibri"/>
          <w:b/>
          <w:color w:val="000000"/>
          <w:szCs w:val="22"/>
        </w:rPr>
      </w:pPr>
      <w:r>
        <w:pict w14:anchorId="109ED9B3">
          <v:rect id="_x0000_i1026" style="width:415.3pt;height:1.5pt" o:hralign="center" o:hrstd="t" o:hr="t" fillcolor="#a0a0a0" stroked="f"/>
        </w:pict>
      </w:r>
    </w:p>
    <w:p w14:paraId="66F87EA1" w14:textId="77777777" w:rsidR="00152B4F" w:rsidRPr="00E962BF" w:rsidRDefault="00152B4F" w:rsidP="00152B4F">
      <w:pPr>
        <w:rPr>
          <w:rFonts w:cs="Calibri"/>
          <w:b/>
          <w:color w:val="000000"/>
          <w:szCs w:val="22"/>
        </w:rPr>
      </w:pPr>
      <w:r w:rsidRPr="00E962BF">
        <w:rPr>
          <w:rFonts w:cs="Calibri"/>
          <w:b/>
          <w:color w:val="000000"/>
          <w:szCs w:val="22"/>
        </w:rPr>
        <w:t>Step 1 Example</w:t>
      </w:r>
    </w:p>
    <w:p w14:paraId="661EE3FE" w14:textId="77777777" w:rsidR="00152B4F" w:rsidRPr="009C7F3B" w:rsidRDefault="00152B4F" w:rsidP="00152B4F">
      <w:pPr>
        <w:pStyle w:val="ListParagraph"/>
        <w:rPr>
          <w:rFonts w:cs="Calibri"/>
          <w:color w:val="000000"/>
          <w:szCs w:val="22"/>
        </w:rPr>
      </w:pPr>
      <w:r w:rsidRPr="009C7F3B">
        <w:rPr>
          <w:rFonts w:cs="Calibri"/>
          <w:color w:val="000000"/>
          <w:szCs w:val="22"/>
        </w:rPr>
        <w:t xml:space="preserve">Site X (DES-ESS) has achieved 58 </w:t>
      </w:r>
      <w:r w:rsidRPr="009C7F3B">
        <w:rPr>
          <w:rFonts w:cs="Calibri"/>
          <w:i/>
          <w:color w:val="000000"/>
          <w:szCs w:val="22"/>
        </w:rPr>
        <w:t>13 Week Full Outcomes</w:t>
      </w:r>
      <w:r w:rsidRPr="009C7F3B">
        <w:rPr>
          <w:rFonts w:cs="Calibri"/>
          <w:color w:val="000000"/>
          <w:szCs w:val="22"/>
        </w:rPr>
        <w:t xml:space="preserve"> for 150 Participants that have commenced and been assisted for at least 13 weeks, during the two</w:t>
      </w:r>
      <w:r w:rsidRPr="009C7F3B">
        <w:rPr>
          <w:rFonts w:cs="Calibri"/>
          <w:color w:val="000000"/>
          <w:szCs w:val="22"/>
        </w:rPr>
        <w:noBreakHyphen/>
        <w:t xml:space="preserve">year period. The numerator for </w:t>
      </w:r>
      <w:r w:rsidRPr="009C7F3B">
        <w:rPr>
          <w:rFonts w:cs="Calibri"/>
          <w:i/>
          <w:color w:val="000000"/>
          <w:szCs w:val="22"/>
        </w:rPr>
        <w:t>13 Week Full Outcomes</w:t>
      </w:r>
      <w:r w:rsidRPr="009C7F3B">
        <w:rPr>
          <w:rFonts w:cs="Calibri"/>
          <w:color w:val="000000"/>
          <w:szCs w:val="22"/>
        </w:rPr>
        <w:t xml:space="preserve"> is 58 and the denominator is 150. Similarly, the number of actual outcomes is also calculated for the other performance measures as shown in the following table.</w:t>
      </w:r>
    </w:p>
    <w:p w14:paraId="4A1D6AA1" w14:textId="77777777" w:rsidR="00152B4F" w:rsidRPr="009C7F3B" w:rsidRDefault="00152B4F" w:rsidP="00152B4F">
      <w:pPr>
        <w:pStyle w:val="ListParagraph"/>
        <w:rPr>
          <w:rFonts w:cs="Calibri"/>
          <w:color w:val="000000"/>
          <w:szCs w:val="22"/>
        </w:rPr>
      </w:pPr>
    </w:p>
    <w:tbl>
      <w:tblPr>
        <w:tblW w:w="8250" w:type="dxa"/>
        <w:tblInd w:w="-5" w:type="dxa"/>
        <w:tblLook w:val="04A0" w:firstRow="1" w:lastRow="0" w:firstColumn="1" w:lastColumn="0" w:noHBand="0" w:noVBand="1"/>
      </w:tblPr>
      <w:tblGrid>
        <w:gridCol w:w="3997"/>
        <w:gridCol w:w="1418"/>
        <w:gridCol w:w="1435"/>
        <w:gridCol w:w="1400"/>
      </w:tblGrid>
      <w:tr w:rsidR="00152B4F" w:rsidRPr="009C7F3B" w14:paraId="575439D7" w14:textId="77777777" w:rsidTr="009039E0">
        <w:trPr>
          <w:trHeight w:val="230"/>
          <w:tblHead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9076C8" w14:textId="77777777" w:rsidR="00152B4F" w:rsidRPr="009C7F3B" w:rsidRDefault="00152B4F" w:rsidP="009039E0">
            <w:pPr>
              <w:pStyle w:val="TableHeading"/>
              <w:spacing w:before="60" w:beforeAutospacing="0" w:after="60" w:afterAutospacing="0"/>
              <w:rPr>
                <w:color w:val="auto"/>
                <w:szCs w:val="22"/>
              </w:rPr>
            </w:pPr>
            <w:r w:rsidRPr="009C7F3B">
              <w:rPr>
                <w:color w:val="auto"/>
                <w:szCs w:val="22"/>
              </w:rPr>
              <w:t>Performance Measure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29BDC1" w14:textId="77777777" w:rsidR="00152B4F" w:rsidRPr="009C7F3B" w:rsidRDefault="00152B4F" w:rsidP="009039E0">
            <w:pPr>
              <w:pStyle w:val="TableHeading"/>
              <w:spacing w:before="60" w:beforeAutospacing="0" w:after="60" w:afterAutospacing="0"/>
              <w:jc w:val="center"/>
              <w:rPr>
                <w:color w:val="auto"/>
                <w:szCs w:val="22"/>
              </w:rPr>
            </w:pPr>
            <w:r w:rsidRPr="009C7F3B">
              <w:rPr>
                <w:color w:val="auto"/>
                <w:szCs w:val="22"/>
              </w:rPr>
              <w:t>Numerator</w:t>
            </w:r>
          </w:p>
        </w:tc>
        <w:tc>
          <w:tcPr>
            <w:tcW w:w="14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6192EB" w14:textId="77777777" w:rsidR="00152B4F" w:rsidRPr="009C7F3B" w:rsidRDefault="00152B4F" w:rsidP="009039E0">
            <w:pPr>
              <w:pStyle w:val="TableHeading"/>
              <w:spacing w:before="60" w:beforeAutospacing="0" w:after="60" w:afterAutospacing="0"/>
              <w:jc w:val="center"/>
              <w:rPr>
                <w:color w:val="auto"/>
                <w:szCs w:val="22"/>
              </w:rPr>
            </w:pPr>
            <w:r w:rsidRPr="009C7F3B">
              <w:rPr>
                <w:color w:val="auto"/>
                <w:szCs w:val="22"/>
              </w:rPr>
              <w:t>Denominator</w:t>
            </w:r>
          </w:p>
        </w:tc>
        <w:tc>
          <w:tcPr>
            <w:tcW w:w="1400" w:type="dxa"/>
            <w:tcBorders>
              <w:top w:val="single" w:sz="4" w:space="0" w:color="auto"/>
              <w:left w:val="nil"/>
              <w:bottom w:val="single" w:sz="4" w:space="0" w:color="auto"/>
              <w:right w:val="single" w:sz="4" w:space="0" w:color="auto"/>
            </w:tcBorders>
            <w:shd w:val="clear" w:color="auto" w:fill="FFFFFF" w:themeFill="background1"/>
          </w:tcPr>
          <w:p w14:paraId="284E1A50" w14:textId="77777777" w:rsidR="00152B4F" w:rsidRPr="009C7F3B" w:rsidRDefault="00152B4F" w:rsidP="009039E0">
            <w:pPr>
              <w:pStyle w:val="TableHeading"/>
              <w:spacing w:before="60" w:beforeAutospacing="0" w:after="60" w:afterAutospacing="0"/>
              <w:jc w:val="center"/>
              <w:rPr>
                <w:color w:val="auto"/>
                <w:szCs w:val="22"/>
              </w:rPr>
            </w:pPr>
            <w:r w:rsidRPr="009C7F3B">
              <w:rPr>
                <w:color w:val="auto"/>
                <w:szCs w:val="22"/>
              </w:rPr>
              <w:t>Actual performance rate (%)</w:t>
            </w:r>
          </w:p>
        </w:tc>
      </w:tr>
      <w:tr w:rsidR="00152B4F" w:rsidRPr="009C7F3B" w14:paraId="77A76E88" w14:textId="77777777" w:rsidTr="009039E0">
        <w:trPr>
          <w:trHeight w:val="230"/>
        </w:trPr>
        <w:tc>
          <w:tcPr>
            <w:tcW w:w="39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53BD195" w14:textId="77777777" w:rsidR="00152B4F" w:rsidRPr="009C7F3B" w:rsidRDefault="00152B4F" w:rsidP="009039E0">
            <w:pPr>
              <w:pStyle w:val="TableHeading"/>
              <w:rPr>
                <w:color w:val="auto"/>
                <w:szCs w:val="22"/>
              </w:rPr>
            </w:pPr>
            <w:r w:rsidRPr="009C7F3B">
              <w:rPr>
                <w:color w:val="auto"/>
                <w:szCs w:val="22"/>
              </w:rPr>
              <w:t>13 Week Full Outcomes</w:t>
            </w:r>
          </w:p>
        </w:tc>
        <w:tc>
          <w:tcPr>
            <w:tcW w:w="1418" w:type="dxa"/>
            <w:tcBorders>
              <w:top w:val="single" w:sz="4" w:space="0" w:color="auto"/>
              <w:left w:val="nil"/>
              <w:bottom w:val="single" w:sz="4" w:space="0" w:color="auto"/>
              <w:right w:val="single" w:sz="4" w:space="0" w:color="auto"/>
            </w:tcBorders>
            <w:noWrap/>
          </w:tcPr>
          <w:p w14:paraId="72E43138" w14:textId="77777777" w:rsidR="00152B4F" w:rsidRPr="009C7F3B" w:rsidRDefault="00152B4F" w:rsidP="009039E0">
            <w:pPr>
              <w:jc w:val="right"/>
              <w:rPr>
                <w:rFonts w:cs="Calibri"/>
                <w:szCs w:val="22"/>
              </w:rPr>
            </w:pPr>
            <w:r w:rsidRPr="009C7F3B">
              <w:rPr>
                <w:rFonts w:ascii="Calibri" w:hAnsi="Calibri" w:cs="Calibri"/>
                <w:szCs w:val="22"/>
                <w:lang w:eastAsia="ja-JP"/>
              </w:rPr>
              <w:t>58</w:t>
            </w:r>
          </w:p>
        </w:tc>
        <w:tc>
          <w:tcPr>
            <w:tcW w:w="1435" w:type="dxa"/>
            <w:tcBorders>
              <w:top w:val="single" w:sz="4" w:space="0" w:color="auto"/>
              <w:left w:val="nil"/>
              <w:bottom w:val="single" w:sz="4" w:space="0" w:color="auto"/>
              <w:right w:val="single" w:sz="4" w:space="0" w:color="auto"/>
            </w:tcBorders>
            <w:noWrap/>
          </w:tcPr>
          <w:p w14:paraId="3741275B" w14:textId="77777777" w:rsidR="00152B4F" w:rsidRPr="009C7F3B" w:rsidRDefault="00152B4F" w:rsidP="009039E0">
            <w:pPr>
              <w:jc w:val="right"/>
              <w:rPr>
                <w:rFonts w:cs="Calibri"/>
                <w:szCs w:val="22"/>
              </w:rPr>
            </w:pPr>
            <w:r w:rsidRPr="009C7F3B">
              <w:rPr>
                <w:rFonts w:ascii="Calibri" w:hAnsi="Calibri" w:cs="Calibri"/>
                <w:szCs w:val="22"/>
                <w:lang w:eastAsia="ja-JP"/>
              </w:rPr>
              <w:t>150</w:t>
            </w:r>
          </w:p>
        </w:tc>
        <w:tc>
          <w:tcPr>
            <w:tcW w:w="1400" w:type="dxa"/>
            <w:tcBorders>
              <w:top w:val="single" w:sz="4" w:space="0" w:color="auto"/>
              <w:left w:val="nil"/>
              <w:bottom w:val="single" w:sz="4" w:space="0" w:color="auto"/>
              <w:right w:val="single" w:sz="4" w:space="0" w:color="auto"/>
            </w:tcBorders>
          </w:tcPr>
          <w:p w14:paraId="598FAB31" w14:textId="77777777" w:rsidR="00152B4F" w:rsidRPr="009C7F3B" w:rsidRDefault="00152B4F" w:rsidP="009039E0">
            <w:pPr>
              <w:jc w:val="right"/>
              <w:rPr>
                <w:rFonts w:ascii="Calibri" w:hAnsi="Calibri" w:cs="Calibri"/>
                <w:szCs w:val="22"/>
                <w:lang w:eastAsia="ja-JP"/>
              </w:rPr>
            </w:pPr>
            <w:r w:rsidRPr="009C7F3B">
              <w:rPr>
                <w:rFonts w:ascii="Calibri" w:hAnsi="Calibri" w:cs="Calibri"/>
                <w:szCs w:val="22"/>
                <w:lang w:eastAsia="ja-JP"/>
              </w:rPr>
              <w:t>39</w:t>
            </w:r>
          </w:p>
        </w:tc>
      </w:tr>
      <w:tr w:rsidR="00152B4F" w:rsidRPr="009C7F3B" w14:paraId="3EE70E99" w14:textId="77777777" w:rsidTr="009039E0">
        <w:trPr>
          <w:trHeight w:val="230"/>
        </w:trPr>
        <w:tc>
          <w:tcPr>
            <w:tcW w:w="3997" w:type="dxa"/>
            <w:tcBorders>
              <w:top w:val="nil"/>
              <w:left w:val="single" w:sz="4" w:space="0" w:color="auto"/>
              <w:bottom w:val="single" w:sz="4" w:space="0" w:color="auto"/>
              <w:right w:val="single" w:sz="4" w:space="0" w:color="auto"/>
            </w:tcBorders>
            <w:shd w:val="clear" w:color="000000" w:fill="D9D9D9"/>
            <w:noWrap/>
            <w:vAlign w:val="bottom"/>
          </w:tcPr>
          <w:p w14:paraId="6D4861A6" w14:textId="77777777" w:rsidR="00152B4F" w:rsidRPr="009C7F3B" w:rsidRDefault="00152B4F" w:rsidP="009039E0">
            <w:pPr>
              <w:pStyle w:val="TableHeading"/>
              <w:rPr>
                <w:color w:val="auto"/>
                <w:szCs w:val="22"/>
              </w:rPr>
            </w:pPr>
            <w:r w:rsidRPr="009C7F3B">
              <w:rPr>
                <w:color w:val="auto"/>
                <w:szCs w:val="22"/>
              </w:rPr>
              <w:t>26 Week Outcomes combined</w:t>
            </w:r>
          </w:p>
        </w:tc>
        <w:tc>
          <w:tcPr>
            <w:tcW w:w="1418" w:type="dxa"/>
            <w:tcBorders>
              <w:top w:val="nil"/>
              <w:left w:val="nil"/>
              <w:bottom w:val="single" w:sz="4" w:space="0" w:color="auto"/>
              <w:right w:val="single" w:sz="4" w:space="0" w:color="auto"/>
            </w:tcBorders>
            <w:noWrap/>
          </w:tcPr>
          <w:p w14:paraId="0CD6FC18" w14:textId="77777777" w:rsidR="00152B4F" w:rsidRPr="009C7F3B" w:rsidRDefault="00152B4F" w:rsidP="009039E0">
            <w:pPr>
              <w:jc w:val="right"/>
              <w:rPr>
                <w:rFonts w:cs="Calibri"/>
                <w:szCs w:val="22"/>
              </w:rPr>
            </w:pPr>
          </w:p>
        </w:tc>
        <w:tc>
          <w:tcPr>
            <w:tcW w:w="1435" w:type="dxa"/>
            <w:tcBorders>
              <w:top w:val="nil"/>
              <w:left w:val="nil"/>
              <w:bottom w:val="single" w:sz="4" w:space="0" w:color="auto"/>
              <w:right w:val="single" w:sz="4" w:space="0" w:color="auto"/>
            </w:tcBorders>
            <w:noWrap/>
          </w:tcPr>
          <w:p w14:paraId="2E91CFA7" w14:textId="77777777" w:rsidR="00152B4F" w:rsidRPr="009C7F3B" w:rsidRDefault="00152B4F" w:rsidP="009039E0">
            <w:pPr>
              <w:jc w:val="right"/>
              <w:rPr>
                <w:rFonts w:cs="Calibri"/>
                <w:szCs w:val="22"/>
              </w:rPr>
            </w:pPr>
          </w:p>
        </w:tc>
        <w:tc>
          <w:tcPr>
            <w:tcW w:w="1400" w:type="dxa"/>
            <w:tcBorders>
              <w:top w:val="nil"/>
              <w:left w:val="nil"/>
              <w:bottom w:val="single" w:sz="4" w:space="0" w:color="auto"/>
              <w:right w:val="single" w:sz="4" w:space="0" w:color="auto"/>
            </w:tcBorders>
          </w:tcPr>
          <w:p w14:paraId="2AD81695" w14:textId="77777777" w:rsidR="00152B4F" w:rsidRPr="009C7F3B" w:rsidRDefault="00152B4F" w:rsidP="009039E0">
            <w:pPr>
              <w:jc w:val="right"/>
              <w:rPr>
                <w:rFonts w:cs="Calibri"/>
                <w:szCs w:val="22"/>
              </w:rPr>
            </w:pPr>
          </w:p>
        </w:tc>
      </w:tr>
      <w:tr w:rsidR="00152B4F" w:rsidRPr="009C7F3B" w14:paraId="5BA35659" w14:textId="77777777" w:rsidTr="009039E0">
        <w:trPr>
          <w:trHeight w:val="230"/>
        </w:trPr>
        <w:tc>
          <w:tcPr>
            <w:tcW w:w="3997" w:type="dxa"/>
            <w:tcBorders>
              <w:top w:val="nil"/>
              <w:left w:val="single" w:sz="4" w:space="0" w:color="auto"/>
              <w:bottom w:val="single" w:sz="4" w:space="0" w:color="auto"/>
              <w:right w:val="single" w:sz="4" w:space="0" w:color="auto"/>
            </w:tcBorders>
            <w:shd w:val="clear" w:color="000000" w:fill="D9D9D9"/>
            <w:noWrap/>
            <w:vAlign w:val="bottom"/>
          </w:tcPr>
          <w:p w14:paraId="4127CD76" w14:textId="77777777" w:rsidR="00152B4F" w:rsidRPr="009C7F3B" w:rsidRDefault="00152B4F" w:rsidP="009039E0">
            <w:pPr>
              <w:pStyle w:val="TableHeading"/>
              <w:ind w:left="720"/>
              <w:rPr>
                <w:color w:val="auto"/>
                <w:szCs w:val="22"/>
              </w:rPr>
            </w:pPr>
            <w:r w:rsidRPr="009C7F3B">
              <w:rPr>
                <w:rFonts w:asciiTheme="majorHAnsi" w:hAnsiTheme="majorHAnsi" w:cs="Calibri"/>
                <w:color w:val="auto"/>
                <w:szCs w:val="22"/>
              </w:rPr>
              <w:t>26 Week Full</w:t>
            </w:r>
          </w:p>
        </w:tc>
        <w:tc>
          <w:tcPr>
            <w:tcW w:w="1418" w:type="dxa"/>
            <w:tcBorders>
              <w:top w:val="nil"/>
              <w:left w:val="nil"/>
              <w:bottom w:val="single" w:sz="4" w:space="0" w:color="auto"/>
              <w:right w:val="single" w:sz="4" w:space="0" w:color="auto"/>
            </w:tcBorders>
            <w:noWrap/>
          </w:tcPr>
          <w:p w14:paraId="2F020574" w14:textId="77777777" w:rsidR="00152B4F" w:rsidRPr="009C7F3B" w:rsidRDefault="00152B4F" w:rsidP="009039E0">
            <w:pPr>
              <w:jc w:val="right"/>
              <w:rPr>
                <w:rFonts w:cs="Calibri"/>
                <w:szCs w:val="22"/>
              </w:rPr>
            </w:pPr>
            <w:r w:rsidRPr="009C7F3B">
              <w:rPr>
                <w:rFonts w:ascii="Calibri" w:hAnsi="Calibri" w:cs="Calibri"/>
                <w:szCs w:val="22"/>
                <w:lang w:eastAsia="ja-JP"/>
              </w:rPr>
              <w:t>26</w:t>
            </w:r>
          </w:p>
        </w:tc>
        <w:tc>
          <w:tcPr>
            <w:tcW w:w="1435" w:type="dxa"/>
            <w:tcBorders>
              <w:top w:val="nil"/>
              <w:left w:val="nil"/>
              <w:bottom w:val="single" w:sz="4" w:space="0" w:color="auto"/>
              <w:right w:val="single" w:sz="4" w:space="0" w:color="auto"/>
            </w:tcBorders>
            <w:noWrap/>
          </w:tcPr>
          <w:p w14:paraId="7B9807F5" w14:textId="77777777" w:rsidR="00152B4F" w:rsidRPr="009C7F3B" w:rsidRDefault="00152B4F" w:rsidP="009039E0">
            <w:pPr>
              <w:jc w:val="right"/>
              <w:rPr>
                <w:rFonts w:cs="Calibri"/>
                <w:szCs w:val="22"/>
              </w:rPr>
            </w:pPr>
            <w:r w:rsidRPr="009C7F3B">
              <w:rPr>
                <w:rFonts w:ascii="Calibri" w:hAnsi="Calibri" w:cs="Calibri"/>
                <w:szCs w:val="22"/>
                <w:lang w:eastAsia="ja-JP"/>
              </w:rPr>
              <w:t>75</w:t>
            </w:r>
          </w:p>
        </w:tc>
        <w:tc>
          <w:tcPr>
            <w:tcW w:w="1400" w:type="dxa"/>
            <w:tcBorders>
              <w:top w:val="nil"/>
              <w:left w:val="nil"/>
              <w:bottom w:val="single" w:sz="4" w:space="0" w:color="auto"/>
              <w:right w:val="single" w:sz="4" w:space="0" w:color="auto"/>
            </w:tcBorders>
          </w:tcPr>
          <w:p w14:paraId="12763386" w14:textId="77777777" w:rsidR="00152B4F" w:rsidRPr="009C7F3B" w:rsidRDefault="00152B4F" w:rsidP="009039E0">
            <w:pPr>
              <w:jc w:val="right"/>
              <w:rPr>
                <w:rFonts w:ascii="Calibri" w:hAnsi="Calibri" w:cs="Calibri"/>
                <w:szCs w:val="22"/>
                <w:lang w:eastAsia="ja-JP"/>
              </w:rPr>
            </w:pPr>
            <w:r w:rsidRPr="009C7F3B">
              <w:rPr>
                <w:rFonts w:ascii="Calibri" w:hAnsi="Calibri" w:cs="Calibri"/>
                <w:szCs w:val="22"/>
                <w:lang w:eastAsia="ja-JP"/>
              </w:rPr>
              <w:t>35</w:t>
            </w:r>
          </w:p>
        </w:tc>
      </w:tr>
      <w:tr w:rsidR="00152B4F" w:rsidRPr="009C7F3B" w14:paraId="3D36B40E" w14:textId="77777777" w:rsidTr="009039E0">
        <w:trPr>
          <w:trHeight w:val="230"/>
        </w:trPr>
        <w:tc>
          <w:tcPr>
            <w:tcW w:w="3997" w:type="dxa"/>
            <w:tcBorders>
              <w:top w:val="nil"/>
              <w:left w:val="single" w:sz="4" w:space="0" w:color="auto"/>
              <w:bottom w:val="single" w:sz="4" w:space="0" w:color="auto"/>
              <w:right w:val="single" w:sz="4" w:space="0" w:color="auto"/>
            </w:tcBorders>
            <w:shd w:val="clear" w:color="000000" w:fill="D9D9D9"/>
            <w:noWrap/>
            <w:vAlign w:val="bottom"/>
            <w:hideMark/>
          </w:tcPr>
          <w:p w14:paraId="243476CA" w14:textId="77777777" w:rsidR="00152B4F" w:rsidRPr="009C7F3B" w:rsidRDefault="00152B4F" w:rsidP="009039E0">
            <w:pPr>
              <w:pStyle w:val="TableHeading"/>
              <w:ind w:left="720"/>
              <w:rPr>
                <w:color w:val="auto"/>
                <w:szCs w:val="22"/>
              </w:rPr>
            </w:pPr>
            <w:r w:rsidRPr="009C7F3B">
              <w:rPr>
                <w:color w:val="auto"/>
                <w:szCs w:val="22"/>
              </w:rPr>
              <w:t>26 Week Pathway</w:t>
            </w:r>
          </w:p>
        </w:tc>
        <w:tc>
          <w:tcPr>
            <w:tcW w:w="1418" w:type="dxa"/>
            <w:tcBorders>
              <w:top w:val="nil"/>
              <w:left w:val="nil"/>
              <w:bottom w:val="single" w:sz="4" w:space="0" w:color="auto"/>
              <w:right w:val="single" w:sz="4" w:space="0" w:color="auto"/>
            </w:tcBorders>
            <w:noWrap/>
          </w:tcPr>
          <w:p w14:paraId="0BBDF0CA" w14:textId="77777777" w:rsidR="00152B4F" w:rsidRPr="009C7F3B" w:rsidRDefault="00152B4F" w:rsidP="009039E0">
            <w:pPr>
              <w:jc w:val="right"/>
              <w:rPr>
                <w:rFonts w:cs="Calibri"/>
                <w:szCs w:val="22"/>
              </w:rPr>
            </w:pPr>
            <w:r w:rsidRPr="009C7F3B">
              <w:rPr>
                <w:rFonts w:ascii="Calibri" w:hAnsi="Calibri" w:cs="Calibri"/>
                <w:szCs w:val="22"/>
                <w:lang w:eastAsia="ja-JP"/>
              </w:rPr>
              <w:t>13</w:t>
            </w:r>
          </w:p>
        </w:tc>
        <w:tc>
          <w:tcPr>
            <w:tcW w:w="1435" w:type="dxa"/>
            <w:tcBorders>
              <w:top w:val="nil"/>
              <w:left w:val="nil"/>
              <w:bottom w:val="single" w:sz="4" w:space="0" w:color="auto"/>
              <w:right w:val="single" w:sz="4" w:space="0" w:color="auto"/>
            </w:tcBorders>
            <w:noWrap/>
          </w:tcPr>
          <w:p w14:paraId="10CB1ADA" w14:textId="77777777" w:rsidR="00152B4F" w:rsidRPr="009C7F3B" w:rsidRDefault="00152B4F" w:rsidP="009039E0">
            <w:pPr>
              <w:jc w:val="right"/>
              <w:rPr>
                <w:rFonts w:cs="Calibri"/>
                <w:szCs w:val="22"/>
              </w:rPr>
            </w:pPr>
            <w:r w:rsidRPr="009C7F3B">
              <w:rPr>
                <w:rFonts w:ascii="Calibri" w:hAnsi="Calibri" w:cs="Calibri"/>
                <w:szCs w:val="22"/>
                <w:lang w:eastAsia="ja-JP"/>
              </w:rPr>
              <w:t>40</w:t>
            </w:r>
          </w:p>
        </w:tc>
        <w:tc>
          <w:tcPr>
            <w:tcW w:w="1400" w:type="dxa"/>
            <w:tcBorders>
              <w:top w:val="nil"/>
              <w:left w:val="nil"/>
              <w:bottom w:val="single" w:sz="4" w:space="0" w:color="auto"/>
              <w:right w:val="single" w:sz="4" w:space="0" w:color="auto"/>
            </w:tcBorders>
          </w:tcPr>
          <w:p w14:paraId="5AD1C9C7" w14:textId="77777777" w:rsidR="00152B4F" w:rsidRPr="009C7F3B" w:rsidRDefault="00152B4F" w:rsidP="009039E0">
            <w:pPr>
              <w:jc w:val="right"/>
              <w:rPr>
                <w:rFonts w:ascii="Calibri" w:hAnsi="Calibri" w:cs="Calibri"/>
                <w:szCs w:val="22"/>
                <w:lang w:eastAsia="ja-JP"/>
              </w:rPr>
            </w:pPr>
            <w:r w:rsidRPr="009C7F3B">
              <w:rPr>
                <w:rFonts w:ascii="Calibri" w:hAnsi="Calibri" w:cs="Calibri"/>
                <w:szCs w:val="22"/>
                <w:lang w:eastAsia="ja-JP"/>
              </w:rPr>
              <w:t>33</w:t>
            </w:r>
          </w:p>
        </w:tc>
      </w:tr>
      <w:tr w:rsidR="00152B4F" w:rsidRPr="009C7F3B" w14:paraId="41C31AD5" w14:textId="77777777" w:rsidTr="009039E0">
        <w:trPr>
          <w:trHeight w:val="230"/>
        </w:trPr>
        <w:tc>
          <w:tcPr>
            <w:tcW w:w="3997" w:type="dxa"/>
            <w:tcBorders>
              <w:top w:val="nil"/>
              <w:left w:val="single" w:sz="4" w:space="0" w:color="auto"/>
              <w:bottom w:val="single" w:sz="4" w:space="0" w:color="auto"/>
              <w:right w:val="single" w:sz="4" w:space="0" w:color="auto"/>
            </w:tcBorders>
            <w:shd w:val="clear" w:color="000000" w:fill="D9D9D9"/>
            <w:noWrap/>
            <w:vAlign w:val="bottom"/>
            <w:hideMark/>
          </w:tcPr>
          <w:p w14:paraId="76A651FA" w14:textId="77777777" w:rsidR="00152B4F" w:rsidRPr="009C7F3B" w:rsidRDefault="00152B4F" w:rsidP="009039E0">
            <w:pPr>
              <w:pStyle w:val="TableHeading"/>
              <w:ind w:left="720"/>
              <w:rPr>
                <w:color w:val="auto"/>
                <w:szCs w:val="22"/>
              </w:rPr>
            </w:pPr>
            <w:r w:rsidRPr="009C7F3B">
              <w:rPr>
                <w:rFonts w:asciiTheme="majorHAnsi" w:hAnsiTheme="majorHAnsi" w:cs="Calibri"/>
                <w:color w:val="auto"/>
                <w:szCs w:val="22"/>
              </w:rPr>
              <w:t>26 Week Bonus Outcomes/Work Assist</w:t>
            </w:r>
          </w:p>
        </w:tc>
        <w:tc>
          <w:tcPr>
            <w:tcW w:w="1418" w:type="dxa"/>
            <w:tcBorders>
              <w:top w:val="nil"/>
              <w:left w:val="nil"/>
              <w:bottom w:val="single" w:sz="4" w:space="0" w:color="auto"/>
              <w:right w:val="single" w:sz="4" w:space="0" w:color="auto"/>
            </w:tcBorders>
            <w:noWrap/>
          </w:tcPr>
          <w:p w14:paraId="65A3DC4E" w14:textId="77777777" w:rsidR="00152B4F" w:rsidRPr="009C7F3B" w:rsidRDefault="00152B4F" w:rsidP="009039E0">
            <w:pPr>
              <w:jc w:val="right"/>
              <w:rPr>
                <w:rFonts w:cs="Calibri"/>
                <w:szCs w:val="22"/>
              </w:rPr>
            </w:pPr>
            <w:r w:rsidRPr="009C7F3B">
              <w:rPr>
                <w:rFonts w:ascii="Calibri" w:hAnsi="Calibri" w:cs="Calibri"/>
                <w:szCs w:val="22"/>
                <w:lang w:eastAsia="ja-JP"/>
              </w:rPr>
              <w:t>6</w:t>
            </w:r>
          </w:p>
        </w:tc>
        <w:tc>
          <w:tcPr>
            <w:tcW w:w="1435" w:type="dxa"/>
            <w:tcBorders>
              <w:top w:val="nil"/>
              <w:left w:val="nil"/>
              <w:bottom w:val="single" w:sz="4" w:space="0" w:color="auto"/>
              <w:right w:val="single" w:sz="4" w:space="0" w:color="auto"/>
            </w:tcBorders>
            <w:noWrap/>
          </w:tcPr>
          <w:p w14:paraId="5A47792C" w14:textId="77777777" w:rsidR="00152B4F" w:rsidRPr="009C7F3B" w:rsidRDefault="00152B4F" w:rsidP="009039E0">
            <w:pPr>
              <w:jc w:val="right"/>
              <w:rPr>
                <w:rFonts w:cs="Calibri"/>
                <w:szCs w:val="22"/>
              </w:rPr>
            </w:pPr>
            <w:r w:rsidRPr="009C7F3B">
              <w:rPr>
                <w:rFonts w:ascii="Calibri" w:hAnsi="Calibri" w:cs="Calibri"/>
                <w:szCs w:val="22"/>
                <w:lang w:eastAsia="ja-JP"/>
              </w:rPr>
              <w:t>10</w:t>
            </w:r>
          </w:p>
        </w:tc>
        <w:tc>
          <w:tcPr>
            <w:tcW w:w="1400" w:type="dxa"/>
            <w:tcBorders>
              <w:top w:val="nil"/>
              <w:left w:val="nil"/>
              <w:bottom w:val="single" w:sz="4" w:space="0" w:color="auto"/>
              <w:right w:val="single" w:sz="4" w:space="0" w:color="auto"/>
            </w:tcBorders>
          </w:tcPr>
          <w:p w14:paraId="030068DA" w14:textId="77777777" w:rsidR="00152B4F" w:rsidRPr="009C7F3B" w:rsidRDefault="00152B4F" w:rsidP="009039E0">
            <w:pPr>
              <w:jc w:val="right"/>
              <w:rPr>
                <w:rFonts w:ascii="Calibri" w:hAnsi="Calibri" w:cs="Calibri"/>
                <w:szCs w:val="22"/>
                <w:lang w:eastAsia="ja-JP"/>
              </w:rPr>
            </w:pPr>
            <w:r w:rsidRPr="009C7F3B">
              <w:rPr>
                <w:rFonts w:ascii="Calibri" w:hAnsi="Calibri" w:cs="Calibri"/>
                <w:szCs w:val="22"/>
                <w:lang w:eastAsia="ja-JP"/>
              </w:rPr>
              <w:t>60</w:t>
            </w:r>
          </w:p>
        </w:tc>
      </w:tr>
      <w:tr w:rsidR="00152B4F" w:rsidRPr="009C7F3B" w14:paraId="2648C934" w14:textId="77777777" w:rsidTr="009039E0">
        <w:trPr>
          <w:trHeight w:val="230"/>
        </w:trPr>
        <w:tc>
          <w:tcPr>
            <w:tcW w:w="39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E93A97" w14:textId="77777777" w:rsidR="00152B4F" w:rsidRPr="009C7F3B" w:rsidRDefault="00152B4F" w:rsidP="009039E0">
            <w:pPr>
              <w:pStyle w:val="TableHeading"/>
              <w:rPr>
                <w:color w:val="auto"/>
                <w:szCs w:val="22"/>
              </w:rPr>
            </w:pPr>
            <w:r w:rsidRPr="009C7F3B">
              <w:rPr>
                <w:color w:val="auto"/>
                <w:szCs w:val="22"/>
              </w:rPr>
              <w:t>52 Week Outcomes combined</w:t>
            </w:r>
          </w:p>
        </w:tc>
        <w:tc>
          <w:tcPr>
            <w:tcW w:w="1418" w:type="dxa"/>
            <w:tcBorders>
              <w:top w:val="single" w:sz="4" w:space="0" w:color="auto"/>
              <w:left w:val="nil"/>
              <w:bottom w:val="single" w:sz="4" w:space="0" w:color="auto"/>
              <w:right w:val="single" w:sz="4" w:space="0" w:color="auto"/>
            </w:tcBorders>
            <w:noWrap/>
          </w:tcPr>
          <w:p w14:paraId="3279A233" w14:textId="77777777" w:rsidR="00152B4F" w:rsidRPr="009C7F3B" w:rsidRDefault="00152B4F" w:rsidP="009039E0">
            <w:pPr>
              <w:jc w:val="right"/>
              <w:rPr>
                <w:rFonts w:cs="Calibri"/>
                <w:szCs w:val="22"/>
              </w:rPr>
            </w:pPr>
          </w:p>
        </w:tc>
        <w:tc>
          <w:tcPr>
            <w:tcW w:w="1435" w:type="dxa"/>
            <w:tcBorders>
              <w:top w:val="single" w:sz="4" w:space="0" w:color="auto"/>
              <w:left w:val="nil"/>
              <w:bottom w:val="single" w:sz="4" w:space="0" w:color="auto"/>
              <w:right w:val="single" w:sz="4" w:space="0" w:color="auto"/>
            </w:tcBorders>
            <w:noWrap/>
          </w:tcPr>
          <w:p w14:paraId="7F50555E" w14:textId="77777777" w:rsidR="00152B4F" w:rsidRPr="009C7F3B" w:rsidRDefault="00152B4F" w:rsidP="009039E0">
            <w:pPr>
              <w:jc w:val="right"/>
              <w:rPr>
                <w:rFonts w:cs="Calibri"/>
                <w:szCs w:val="22"/>
              </w:rPr>
            </w:pPr>
          </w:p>
        </w:tc>
        <w:tc>
          <w:tcPr>
            <w:tcW w:w="1400" w:type="dxa"/>
            <w:tcBorders>
              <w:top w:val="single" w:sz="4" w:space="0" w:color="auto"/>
              <w:left w:val="nil"/>
              <w:bottom w:val="single" w:sz="4" w:space="0" w:color="auto"/>
              <w:right w:val="single" w:sz="4" w:space="0" w:color="auto"/>
            </w:tcBorders>
          </w:tcPr>
          <w:p w14:paraId="47E7E4FE" w14:textId="77777777" w:rsidR="00152B4F" w:rsidRPr="009C7F3B" w:rsidRDefault="00152B4F" w:rsidP="009039E0">
            <w:pPr>
              <w:jc w:val="right"/>
              <w:rPr>
                <w:rFonts w:cs="Calibri"/>
                <w:szCs w:val="22"/>
              </w:rPr>
            </w:pPr>
          </w:p>
        </w:tc>
      </w:tr>
      <w:tr w:rsidR="00152B4F" w:rsidRPr="009C7F3B" w14:paraId="2A25F002" w14:textId="77777777" w:rsidTr="009039E0">
        <w:trPr>
          <w:trHeight w:val="230"/>
        </w:trPr>
        <w:tc>
          <w:tcPr>
            <w:tcW w:w="39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15B9D11" w14:textId="77777777" w:rsidR="00152B4F" w:rsidRPr="009C7F3B" w:rsidRDefault="00152B4F" w:rsidP="009039E0">
            <w:pPr>
              <w:pStyle w:val="TableHeading"/>
              <w:ind w:left="720"/>
              <w:rPr>
                <w:color w:val="auto"/>
                <w:szCs w:val="22"/>
              </w:rPr>
            </w:pPr>
            <w:r w:rsidRPr="009C7F3B">
              <w:rPr>
                <w:rFonts w:asciiTheme="majorHAnsi" w:hAnsiTheme="majorHAnsi" w:cs="Calibri"/>
                <w:color w:val="auto"/>
                <w:szCs w:val="22"/>
              </w:rPr>
              <w:t>52 Week Full</w:t>
            </w:r>
          </w:p>
        </w:tc>
        <w:tc>
          <w:tcPr>
            <w:tcW w:w="1418" w:type="dxa"/>
            <w:tcBorders>
              <w:top w:val="single" w:sz="4" w:space="0" w:color="auto"/>
              <w:left w:val="nil"/>
              <w:bottom w:val="single" w:sz="4" w:space="0" w:color="auto"/>
              <w:right w:val="single" w:sz="4" w:space="0" w:color="auto"/>
            </w:tcBorders>
            <w:noWrap/>
          </w:tcPr>
          <w:p w14:paraId="42A57276" w14:textId="77777777" w:rsidR="00152B4F" w:rsidRPr="009C7F3B" w:rsidRDefault="00152B4F" w:rsidP="009039E0">
            <w:pPr>
              <w:jc w:val="right"/>
              <w:rPr>
                <w:rFonts w:cs="Calibri"/>
                <w:szCs w:val="22"/>
              </w:rPr>
            </w:pPr>
            <w:r w:rsidRPr="009C7F3B">
              <w:rPr>
                <w:rFonts w:ascii="Calibri" w:hAnsi="Calibri" w:cs="Calibri"/>
                <w:szCs w:val="22"/>
                <w:lang w:eastAsia="ja-JP"/>
              </w:rPr>
              <w:t>22</w:t>
            </w:r>
          </w:p>
        </w:tc>
        <w:tc>
          <w:tcPr>
            <w:tcW w:w="1435" w:type="dxa"/>
            <w:tcBorders>
              <w:top w:val="single" w:sz="4" w:space="0" w:color="auto"/>
              <w:left w:val="nil"/>
              <w:bottom w:val="single" w:sz="4" w:space="0" w:color="auto"/>
              <w:right w:val="single" w:sz="4" w:space="0" w:color="auto"/>
            </w:tcBorders>
            <w:noWrap/>
          </w:tcPr>
          <w:p w14:paraId="6024F82D" w14:textId="77777777" w:rsidR="00152B4F" w:rsidRPr="009C7F3B" w:rsidRDefault="00152B4F" w:rsidP="009039E0">
            <w:pPr>
              <w:jc w:val="right"/>
              <w:rPr>
                <w:rFonts w:cs="Calibri"/>
                <w:szCs w:val="22"/>
              </w:rPr>
            </w:pPr>
            <w:r w:rsidRPr="009C7F3B">
              <w:rPr>
                <w:rFonts w:ascii="Calibri" w:hAnsi="Calibri" w:cs="Calibri"/>
                <w:szCs w:val="22"/>
                <w:lang w:eastAsia="ja-JP"/>
              </w:rPr>
              <w:t>35</w:t>
            </w:r>
          </w:p>
        </w:tc>
        <w:tc>
          <w:tcPr>
            <w:tcW w:w="1400" w:type="dxa"/>
            <w:tcBorders>
              <w:top w:val="single" w:sz="4" w:space="0" w:color="auto"/>
              <w:left w:val="nil"/>
              <w:bottom w:val="single" w:sz="4" w:space="0" w:color="auto"/>
              <w:right w:val="single" w:sz="4" w:space="0" w:color="auto"/>
            </w:tcBorders>
          </w:tcPr>
          <w:p w14:paraId="0551B1FD" w14:textId="77777777" w:rsidR="00152B4F" w:rsidRPr="009C7F3B" w:rsidRDefault="00152B4F" w:rsidP="009039E0">
            <w:pPr>
              <w:jc w:val="right"/>
              <w:rPr>
                <w:rFonts w:ascii="Calibri" w:hAnsi="Calibri" w:cs="Calibri"/>
                <w:szCs w:val="22"/>
                <w:lang w:eastAsia="ja-JP"/>
              </w:rPr>
            </w:pPr>
            <w:r w:rsidRPr="009C7F3B">
              <w:rPr>
                <w:rFonts w:ascii="Calibri" w:hAnsi="Calibri" w:cs="Calibri"/>
                <w:szCs w:val="22"/>
                <w:lang w:eastAsia="ja-JP"/>
              </w:rPr>
              <w:t>62.9</w:t>
            </w:r>
          </w:p>
        </w:tc>
      </w:tr>
      <w:tr w:rsidR="00152B4F" w:rsidRPr="009C7F3B" w14:paraId="62D640A3" w14:textId="77777777" w:rsidTr="009039E0">
        <w:trPr>
          <w:trHeight w:val="230"/>
        </w:trPr>
        <w:tc>
          <w:tcPr>
            <w:tcW w:w="39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C753FF1" w14:textId="77777777" w:rsidR="00152B4F" w:rsidRPr="009C7F3B" w:rsidRDefault="00152B4F" w:rsidP="009039E0">
            <w:pPr>
              <w:pStyle w:val="TableHeading"/>
              <w:ind w:left="720"/>
              <w:rPr>
                <w:color w:val="auto"/>
                <w:szCs w:val="22"/>
              </w:rPr>
            </w:pPr>
            <w:r w:rsidRPr="009C7F3B">
              <w:rPr>
                <w:color w:val="auto"/>
                <w:szCs w:val="22"/>
              </w:rPr>
              <w:t>52 Week Pathway</w:t>
            </w:r>
          </w:p>
        </w:tc>
        <w:tc>
          <w:tcPr>
            <w:tcW w:w="1418" w:type="dxa"/>
            <w:tcBorders>
              <w:top w:val="single" w:sz="4" w:space="0" w:color="auto"/>
              <w:left w:val="nil"/>
              <w:bottom w:val="single" w:sz="4" w:space="0" w:color="auto"/>
              <w:right w:val="single" w:sz="4" w:space="0" w:color="auto"/>
            </w:tcBorders>
            <w:noWrap/>
          </w:tcPr>
          <w:p w14:paraId="0922B168" w14:textId="77777777" w:rsidR="00152B4F" w:rsidRPr="009C7F3B" w:rsidRDefault="00152B4F" w:rsidP="009039E0">
            <w:pPr>
              <w:jc w:val="right"/>
              <w:rPr>
                <w:rFonts w:cs="Calibri"/>
                <w:szCs w:val="22"/>
              </w:rPr>
            </w:pPr>
            <w:r w:rsidRPr="009C7F3B">
              <w:rPr>
                <w:rFonts w:ascii="Calibri" w:hAnsi="Calibri" w:cs="Calibri"/>
                <w:szCs w:val="22"/>
                <w:lang w:eastAsia="ja-JP"/>
              </w:rPr>
              <w:t>13</w:t>
            </w:r>
          </w:p>
        </w:tc>
        <w:tc>
          <w:tcPr>
            <w:tcW w:w="1435" w:type="dxa"/>
            <w:tcBorders>
              <w:top w:val="single" w:sz="4" w:space="0" w:color="auto"/>
              <w:left w:val="nil"/>
              <w:bottom w:val="single" w:sz="4" w:space="0" w:color="auto"/>
              <w:right w:val="single" w:sz="4" w:space="0" w:color="auto"/>
            </w:tcBorders>
            <w:noWrap/>
          </w:tcPr>
          <w:p w14:paraId="12FCA6BF" w14:textId="77777777" w:rsidR="00152B4F" w:rsidRPr="009C7F3B" w:rsidRDefault="00152B4F" w:rsidP="009039E0">
            <w:pPr>
              <w:jc w:val="right"/>
              <w:rPr>
                <w:rFonts w:cs="Calibri"/>
                <w:szCs w:val="22"/>
              </w:rPr>
            </w:pPr>
            <w:r w:rsidRPr="009C7F3B">
              <w:rPr>
                <w:rFonts w:ascii="Calibri" w:hAnsi="Calibri" w:cs="Calibri"/>
                <w:szCs w:val="22"/>
                <w:lang w:eastAsia="ja-JP"/>
              </w:rPr>
              <w:t>30</w:t>
            </w:r>
          </w:p>
        </w:tc>
        <w:tc>
          <w:tcPr>
            <w:tcW w:w="1400" w:type="dxa"/>
            <w:tcBorders>
              <w:top w:val="single" w:sz="4" w:space="0" w:color="auto"/>
              <w:left w:val="nil"/>
              <w:bottom w:val="single" w:sz="4" w:space="0" w:color="auto"/>
              <w:right w:val="single" w:sz="4" w:space="0" w:color="auto"/>
            </w:tcBorders>
          </w:tcPr>
          <w:p w14:paraId="01959733" w14:textId="77777777" w:rsidR="00152B4F" w:rsidRPr="009C7F3B" w:rsidRDefault="00152B4F" w:rsidP="009039E0">
            <w:pPr>
              <w:jc w:val="right"/>
              <w:rPr>
                <w:rFonts w:ascii="Calibri" w:hAnsi="Calibri" w:cs="Calibri"/>
                <w:szCs w:val="22"/>
                <w:lang w:eastAsia="ja-JP"/>
              </w:rPr>
            </w:pPr>
            <w:r w:rsidRPr="009C7F3B">
              <w:rPr>
                <w:rFonts w:ascii="Calibri" w:hAnsi="Calibri" w:cs="Calibri"/>
                <w:szCs w:val="22"/>
                <w:lang w:eastAsia="ja-JP"/>
              </w:rPr>
              <w:t>43.3</w:t>
            </w:r>
          </w:p>
        </w:tc>
      </w:tr>
      <w:tr w:rsidR="00152B4F" w:rsidRPr="00E962BF" w14:paraId="081B68EE" w14:textId="77777777" w:rsidTr="009039E0">
        <w:trPr>
          <w:trHeight w:val="230"/>
        </w:trPr>
        <w:tc>
          <w:tcPr>
            <w:tcW w:w="39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07AA780" w14:textId="77777777" w:rsidR="00152B4F" w:rsidRPr="009C7F3B" w:rsidRDefault="00152B4F" w:rsidP="009039E0">
            <w:pPr>
              <w:pStyle w:val="TableHeading"/>
              <w:rPr>
                <w:color w:val="auto"/>
                <w:szCs w:val="22"/>
              </w:rPr>
            </w:pPr>
            <w:r w:rsidRPr="009C7F3B">
              <w:rPr>
                <w:color w:val="auto"/>
                <w:szCs w:val="22"/>
              </w:rPr>
              <w:t>Ongoing Support</w:t>
            </w:r>
          </w:p>
        </w:tc>
        <w:tc>
          <w:tcPr>
            <w:tcW w:w="1418" w:type="dxa"/>
            <w:tcBorders>
              <w:top w:val="single" w:sz="4" w:space="0" w:color="auto"/>
              <w:left w:val="nil"/>
              <w:bottom w:val="single" w:sz="4" w:space="0" w:color="auto"/>
              <w:right w:val="single" w:sz="4" w:space="0" w:color="auto"/>
            </w:tcBorders>
            <w:noWrap/>
          </w:tcPr>
          <w:p w14:paraId="0C78A93A" w14:textId="77777777" w:rsidR="00152B4F" w:rsidRPr="009C7F3B" w:rsidRDefault="00152B4F" w:rsidP="009039E0">
            <w:pPr>
              <w:jc w:val="right"/>
              <w:rPr>
                <w:rFonts w:cs="Calibri"/>
                <w:szCs w:val="22"/>
              </w:rPr>
            </w:pPr>
            <w:r w:rsidRPr="009C7F3B">
              <w:rPr>
                <w:rFonts w:ascii="Calibri" w:hAnsi="Calibri" w:cs="Calibri"/>
                <w:szCs w:val="22"/>
                <w:lang w:eastAsia="ja-JP"/>
              </w:rPr>
              <w:t>12</w:t>
            </w:r>
          </w:p>
        </w:tc>
        <w:tc>
          <w:tcPr>
            <w:tcW w:w="1435" w:type="dxa"/>
            <w:tcBorders>
              <w:top w:val="single" w:sz="4" w:space="0" w:color="auto"/>
              <w:left w:val="nil"/>
              <w:bottom w:val="single" w:sz="4" w:space="0" w:color="auto"/>
              <w:right w:val="single" w:sz="4" w:space="0" w:color="auto"/>
            </w:tcBorders>
            <w:noWrap/>
          </w:tcPr>
          <w:p w14:paraId="0C00D3BD" w14:textId="77777777" w:rsidR="00152B4F" w:rsidRPr="009C7F3B" w:rsidRDefault="00152B4F" w:rsidP="009039E0">
            <w:pPr>
              <w:jc w:val="right"/>
              <w:rPr>
                <w:rFonts w:cs="Calibri"/>
                <w:szCs w:val="22"/>
              </w:rPr>
            </w:pPr>
            <w:r w:rsidRPr="009C7F3B">
              <w:rPr>
                <w:rFonts w:ascii="Calibri" w:hAnsi="Calibri" w:cs="Calibri"/>
                <w:szCs w:val="22"/>
                <w:lang w:eastAsia="ja-JP"/>
              </w:rPr>
              <w:t>15</w:t>
            </w:r>
          </w:p>
        </w:tc>
        <w:tc>
          <w:tcPr>
            <w:tcW w:w="1400" w:type="dxa"/>
            <w:tcBorders>
              <w:top w:val="single" w:sz="4" w:space="0" w:color="auto"/>
              <w:left w:val="nil"/>
              <w:bottom w:val="single" w:sz="4" w:space="0" w:color="auto"/>
              <w:right w:val="single" w:sz="4" w:space="0" w:color="auto"/>
            </w:tcBorders>
          </w:tcPr>
          <w:p w14:paraId="16C7BFF2" w14:textId="77777777" w:rsidR="00152B4F" w:rsidRPr="006B5DB5" w:rsidRDefault="00152B4F" w:rsidP="009039E0">
            <w:pPr>
              <w:jc w:val="right"/>
              <w:rPr>
                <w:rFonts w:ascii="Calibri" w:hAnsi="Calibri" w:cs="Calibri"/>
                <w:szCs w:val="22"/>
                <w:lang w:eastAsia="ja-JP"/>
              </w:rPr>
            </w:pPr>
            <w:r w:rsidRPr="009C7F3B">
              <w:rPr>
                <w:rFonts w:ascii="Calibri" w:hAnsi="Calibri" w:cs="Calibri"/>
                <w:szCs w:val="22"/>
                <w:lang w:eastAsia="ja-JP"/>
              </w:rPr>
              <w:t>80</w:t>
            </w:r>
          </w:p>
        </w:tc>
      </w:tr>
    </w:tbl>
    <w:p w14:paraId="1E9526EA" w14:textId="77777777" w:rsidR="00152B4F" w:rsidRDefault="00152B4F" w:rsidP="00152B4F"/>
    <w:p w14:paraId="5B02982D" w14:textId="77777777" w:rsidR="00152B4F" w:rsidRDefault="006F6048" w:rsidP="00152B4F">
      <w:pPr>
        <w:rPr>
          <w:szCs w:val="22"/>
        </w:rPr>
      </w:pPr>
      <w:r>
        <w:pict w14:anchorId="39125F7A">
          <v:rect id="_x0000_i1027" style="width:415.3pt;height:1.5pt" o:hralign="center" o:hrstd="t" o:hr="t" fillcolor="#a0a0a0" stroked="f"/>
        </w:pict>
      </w:r>
    </w:p>
    <w:p w14:paraId="0D94E6E5" w14:textId="77777777" w:rsidR="00152B4F" w:rsidRDefault="00152B4F" w:rsidP="00152B4F">
      <w:pPr>
        <w:spacing w:after="480"/>
        <w:contextualSpacing/>
        <w:rPr>
          <w:rFonts w:eastAsia="Times New Roman"/>
          <w:szCs w:val="22"/>
          <w:lang w:eastAsia="en-AU"/>
        </w:rPr>
      </w:pPr>
    </w:p>
    <w:p w14:paraId="246A8BED" w14:textId="77777777" w:rsidR="00152B4F" w:rsidRDefault="00152B4F" w:rsidP="00152B4F">
      <w:pPr>
        <w:rPr>
          <w:rFonts w:ascii="Calibri" w:hAnsi="Calibri" w:cs="Calibri"/>
          <w:color w:val="000000"/>
          <w:szCs w:val="22"/>
          <w:lang w:eastAsia="en-AU"/>
        </w:rPr>
      </w:pPr>
      <w:r>
        <w:rPr>
          <w:szCs w:val="22"/>
        </w:rPr>
        <w:br w:type="page"/>
      </w:r>
    </w:p>
    <w:p w14:paraId="2686C76F" w14:textId="77777777" w:rsidR="00152B4F" w:rsidRDefault="00152B4F" w:rsidP="00152B4F">
      <w:pPr>
        <w:pStyle w:val="Default"/>
        <w:rPr>
          <w:sz w:val="22"/>
          <w:szCs w:val="22"/>
        </w:rPr>
      </w:pPr>
    </w:p>
    <w:p w14:paraId="1B9DB9FA" w14:textId="77777777" w:rsidR="00152B4F" w:rsidRDefault="006F6048" w:rsidP="00152B4F">
      <w:pPr>
        <w:spacing w:after="240"/>
        <w:rPr>
          <w:b/>
          <w:szCs w:val="22"/>
        </w:rPr>
      </w:pPr>
      <w:r>
        <w:pict w14:anchorId="10E58EAF">
          <v:rect id="_x0000_i1028" style="width:415.3pt;height:1.5pt" o:hralign="center" o:hrstd="t" o:hr="t" fillcolor="#a0a0a0" stroked="f"/>
        </w:pict>
      </w:r>
    </w:p>
    <w:p w14:paraId="0CF47EB2" w14:textId="77777777" w:rsidR="00152B4F" w:rsidRPr="006B3912" w:rsidRDefault="00152B4F" w:rsidP="00152B4F">
      <w:pPr>
        <w:rPr>
          <w:b/>
        </w:rPr>
      </w:pPr>
      <w:r w:rsidRPr="006B3912">
        <w:rPr>
          <w:b/>
        </w:rPr>
        <w:t>Step 2: Calculate Expected Performance</w:t>
      </w:r>
    </w:p>
    <w:p w14:paraId="1AAD2219" w14:textId="77777777" w:rsidR="00152B4F" w:rsidRPr="00E962BF" w:rsidRDefault="00152B4F" w:rsidP="00152B4F">
      <w:pPr>
        <w:rPr>
          <w:szCs w:val="22"/>
        </w:rPr>
      </w:pPr>
      <w:r>
        <w:rPr>
          <w:szCs w:val="22"/>
        </w:rPr>
        <w:t>Using</w:t>
      </w:r>
      <w:r w:rsidRPr="00E962BF">
        <w:rPr>
          <w:szCs w:val="22"/>
        </w:rPr>
        <w:t xml:space="preserve"> statistical regression, which takes account of variable </w:t>
      </w:r>
      <w:r>
        <w:rPr>
          <w:szCs w:val="22"/>
        </w:rPr>
        <w:t>Participant</w:t>
      </w:r>
      <w:r w:rsidRPr="00E962BF">
        <w:rPr>
          <w:szCs w:val="22"/>
        </w:rPr>
        <w:t xml:space="preserve"> and labour market characteristics and the number of </w:t>
      </w:r>
      <w:r>
        <w:rPr>
          <w:szCs w:val="22"/>
        </w:rPr>
        <w:t>P</w:t>
      </w:r>
      <w:r w:rsidRPr="00E962BF">
        <w:rPr>
          <w:szCs w:val="22"/>
        </w:rPr>
        <w:t xml:space="preserve">articipants in the denominator, the Star Ratings model calculates: </w:t>
      </w:r>
    </w:p>
    <w:p w14:paraId="7F01CBBB" w14:textId="77777777" w:rsidR="00152B4F" w:rsidRDefault="00152B4F" w:rsidP="00152B4F">
      <w:pPr>
        <w:numPr>
          <w:ilvl w:val="0"/>
          <w:numId w:val="23"/>
        </w:numPr>
        <w:rPr>
          <w:szCs w:val="22"/>
        </w:rPr>
      </w:pPr>
      <w:r w:rsidRPr="00E962BF">
        <w:rPr>
          <w:szCs w:val="22"/>
        </w:rPr>
        <w:t xml:space="preserve">the number of outcomes that the </w:t>
      </w:r>
      <w:r>
        <w:rPr>
          <w:szCs w:val="22"/>
        </w:rPr>
        <w:t>Site could be expected to achieve.</w:t>
      </w:r>
    </w:p>
    <w:p w14:paraId="02F1BD0C" w14:textId="77777777" w:rsidR="00152B4F" w:rsidRDefault="00152B4F" w:rsidP="00152B4F">
      <w:pPr>
        <w:rPr>
          <w:szCs w:val="22"/>
        </w:rPr>
      </w:pPr>
    </w:p>
    <w:p w14:paraId="0EEE2F6F" w14:textId="77777777" w:rsidR="00152B4F" w:rsidRDefault="006F6048" w:rsidP="00152B4F">
      <w:pPr>
        <w:rPr>
          <w:szCs w:val="22"/>
        </w:rPr>
      </w:pPr>
      <w:r>
        <w:pict w14:anchorId="519F8E5D">
          <v:rect id="_x0000_i1029" style="width:415.3pt;height:1.5pt" o:hralign="center" o:hrstd="t" o:hr="t" fillcolor="#a0a0a0" stroked="f"/>
        </w:pict>
      </w:r>
    </w:p>
    <w:p w14:paraId="629E6009" w14:textId="77777777" w:rsidR="00152B4F" w:rsidRDefault="00152B4F" w:rsidP="00152B4F">
      <w:pPr>
        <w:spacing w:after="240"/>
        <w:contextualSpacing/>
        <w:rPr>
          <w:rFonts w:eastAsia="Times New Roman"/>
          <w:szCs w:val="22"/>
          <w:lang w:eastAsia="en-AU"/>
        </w:rPr>
      </w:pPr>
    </w:p>
    <w:p w14:paraId="70D71847" w14:textId="77777777" w:rsidR="00152B4F" w:rsidRPr="00E962BF" w:rsidRDefault="00152B4F" w:rsidP="00152B4F">
      <w:pPr>
        <w:pStyle w:val="ListParagraph"/>
        <w:rPr>
          <w:rFonts w:cs="Calibri"/>
          <w:b/>
          <w:color w:val="000000"/>
          <w:szCs w:val="22"/>
        </w:rPr>
      </w:pPr>
      <w:r w:rsidRPr="00E962BF">
        <w:rPr>
          <w:rFonts w:cs="Calibri"/>
          <w:b/>
          <w:color w:val="000000"/>
          <w:szCs w:val="22"/>
        </w:rPr>
        <w:t>Step 2 Example</w:t>
      </w:r>
    </w:p>
    <w:p w14:paraId="06CB41ED" w14:textId="77777777" w:rsidR="00152B4F" w:rsidRDefault="00152B4F" w:rsidP="00152B4F">
      <w:pPr>
        <w:pStyle w:val="ListParagraph"/>
        <w:rPr>
          <w:rFonts w:cs="Calibri"/>
          <w:color w:val="000000"/>
          <w:szCs w:val="22"/>
        </w:rPr>
      </w:pPr>
      <w:r w:rsidRPr="00E962BF">
        <w:rPr>
          <w:szCs w:val="22"/>
        </w:rPr>
        <w:t xml:space="preserve">The Star Ratings model in assessing </w:t>
      </w:r>
      <w:r w:rsidRPr="000F2CBC">
        <w:rPr>
          <w:i/>
          <w:szCs w:val="22"/>
        </w:rPr>
        <w:t>13 Week Full Outcomes data</w:t>
      </w:r>
      <w:r w:rsidRPr="000F2CBC">
        <w:rPr>
          <w:szCs w:val="22"/>
        </w:rPr>
        <w:t xml:space="preserve"> for all Sites across Australia in DES-ESS, calculates that Site X with 150 Participants in the denominator could reasonably be expected to have achieved 15 </w:t>
      </w:r>
      <w:r w:rsidRPr="000F2CBC">
        <w:rPr>
          <w:i/>
          <w:szCs w:val="22"/>
        </w:rPr>
        <w:t>13 Week Full Outcomes</w:t>
      </w:r>
      <w:r w:rsidRPr="000F2CBC">
        <w:rPr>
          <w:szCs w:val="22"/>
        </w:rPr>
        <w:t>. In this example, Site X has more disadvantaged participants and lower</w:t>
      </w:r>
      <w:r>
        <w:rPr>
          <w:szCs w:val="22"/>
        </w:rPr>
        <w:t xml:space="preserve"> local labour market conditions.</w:t>
      </w:r>
      <w:r w:rsidRPr="00E962BF">
        <w:rPr>
          <w:rFonts w:cs="Calibri"/>
          <w:color w:val="000000"/>
          <w:szCs w:val="22"/>
        </w:rPr>
        <w:t xml:space="preserve"> Similarly, the number of expected outcomes is </w:t>
      </w:r>
      <w:r>
        <w:rPr>
          <w:rFonts w:cs="Calibri"/>
          <w:color w:val="000000"/>
          <w:szCs w:val="22"/>
        </w:rPr>
        <w:t xml:space="preserve">also </w:t>
      </w:r>
      <w:r w:rsidRPr="00E962BF">
        <w:rPr>
          <w:rFonts w:cs="Calibri"/>
          <w:color w:val="000000"/>
          <w:szCs w:val="22"/>
        </w:rPr>
        <w:t>calculated for the other performance measures as shown in the following table.</w:t>
      </w:r>
    </w:p>
    <w:p w14:paraId="3EACC464" w14:textId="77777777" w:rsidR="00152B4F" w:rsidRPr="00CA227A" w:rsidRDefault="00152B4F" w:rsidP="00152B4F">
      <w:pPr>
        <w:contextualSpacing/>
        <w:rPr>
          <w:rFonts w:eastAsia="Times New Roman"/>
          <w:szCs w:val="22"/>
          <w:lang w:eastAsia="en-AU"/>
        </w:rPr>
      </w:pPr>
    </w:p>
    <w:tbl>
      <w:tblPr>
        <w:tblW w:w="8533" w:type="dxa"/>
        <w:tblInd w:w="-5" w:type="dxa"/>
        <w:tblLook w:val="04A0" w:firstRow="1" w:lastRow="0" w:firstColumn="1" w:lastColumn="0" w:noHBand="0" w:noVBand="1"/>
      </w:tblPr>
      <w:tblGrid>
        <w:gridCol w:w="4564"/>
        <w:gridCol w:w="1435"/>
        <w:gridCol w:w="1117"/>
        <w:gridCol w:w="1417"/>
      </w:tblGrid>
      <w:tr w:rsidR="00152B4F" w:rsidRPr="004F56BD" w14:paraId="081A414F" w14:textId="77777777" w:rsidTr="009039E0">
        <w:trPr>
          <w:trHeight w:val="230"/>
          <w:tblHeader/>
        </w:trPr>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F6F903" w14:textId="77777777" w:rsidR="00152B4F" w:rsidRPr="000F2CBC" w:rsidRDefault="00152B4F" w:rsidP="009039E0">
            <w:pPr>
              <w:pStyle w:val="TableHeading"/>
              <w:spacing w:before="60" w:beforeAutospacing="0" w:after="60" w:afterAutospacing="0"/>
              <w:rPr>
                <w:color w:val="auto"/>
                <w:szCs w:val="22"/>
              </w:rPr>
            </w:pPr>
            <w:r w:rsidRPr="000F2CBC">
              <w:rPr>
                <w:color w:val="auto"/>
                <w:szCs w:val="22"/>
              </w:rPr>
              <w:t>Performance Measure</w:t>
            </w:r>
          </w:p>
        </w:tc>
        <w:tc>
          <w:tcPr>
            <w:tcW w:w="1435" w:type="dxa"/>
            <w:tcBorders>
              <w:top w:val="single" w:sz="4" w:space="0" w:color="auto"/>
              <w:left w:val="nil"/>
              <w:bottom w:val="single" w:sz="4" w:space="0" w:color="auto"/>
              <w:right w:val="single" w:sz="4" w:space="0" w:color="auto"/>
            </w:tcBorders>
            <w:shd w:val="clear" w:color="auto" w:fill="FFFFFF" w:themeFill="background1"/>
            <w:vAlign w:val="bottom"/>
          </w:tcPr>
          <w:p w14:paraId="11BBA2E9" w14:textId="77777777" w:rsidR="00152B4F" w:rsidRPr="000F2CBC" w:rsidRDefault="00152B4F" w:rsidP="009039E0">
            <w:pPr>
              <w:pStyle w:val="TableHeading"/>
              <w:spacing w:before="60" w:beforeAutospacing="0" w:after="60" w:afterAutospacing="0"/>
              <w:jc w:val="center"/>
              <w:rPr>
                <w:color w:val="auto"/>
                <w:szCs w:val="22"/>
              </w:rPr>
            </w:pPr>
            <w:r w:rsidRPr="000F2CBC">
              <w:rPr>
                <w:color w:val="auto"/>
                <w:szCs w:val="22"/>
              </w:rPr>
              <w:t>Denominator</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658EAC" w14:textId="77777777" w:rsidR="00152B4F" w:rsidRPr="000F2CBC" w:rsidRDefault="00152B4F" w:rsidP="009039E0">
            <w:pPr>
              <w:pStyle w:val="TableHeading"/>
              <w:spacing w:before="60" w:beforeAutospacing="0" w:after="60" w:afterAutospacing="0"/>
              <w:jc w:val="center"/>
              <w:rPr>
                <w:color w:val="auto"/>
                <w:szCs w:val="22"/>
              </w:rPr>
            </w:pPr>
            <w:r w:rsidRPr="000F2CBC">
              <w:rPr>
                <w:color w:val="auto"/>
                <w:szCs w:val="22"/>
              </w:rPr>
              <w:t>Expected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1F4801" w14:textId="77777777" w:rsidR="00152B4F" w:rsidRPr="000F2CBC" w:rsidRDefault="00152B4F" w:rsidP="009039E0">
            <w:pPr>
              <w:pStyle w:val="TableHeading"/>
              <w:spacing w:before="60" w:beforeAutospacing="0" w:after="60" w:afterAutospacing="0"/>
              <w:jc w:val="center"/>
              <w:rPr>
                <w:color w:val="auto"/>
                <w:szCs w:val="22"/>
              </w:rPr>
            </w:pPr>
            <w:r w:rsidRPr="000F2CBC">
              <w:rPr>
                <w:color w:val="auto"/>
                <w:szCs w:val="22"/>
              </w:rPr>
              <w:t>Expected performance rate (%)</w:t>
            </w:r>
          </w:p>
        </w:tc>
      </w:tr>
      <w:tr w:rsidR="00152B4F" w:rsidRPr="004F56BD" w14:paraId="5842EACD" w14:textId="77777777" w:rsidTr="009039E0">
        <w:trPr>
          <w:trHeight w:val="230"/>
        </w:trPr>
        <w:tc>
          <w:tcPr>
            <w:tcW w:w="4564" w:type="dxa"/>
            <w:tcBorders>
              <w:top w:val="nil"/>
              <w:left w:val="single" w:sz="4" w:space="0" w:color="auto"/>
              <w:bottom w:val="nil"/>
              <w:right w:val="single" w:sz="4" w:space="0" w:color="auto"/>
            </w:tcBorders>
            <w:shd w:val="clear" w:color="000000" w:fill="D9D9D9"/>
            <w:noWrap/>
            <w:vAlign w:val="bottom"/>
            <w:hideMark/>
          </w:tcPr>
          <w:p w14:paraId="7248193C" w14:textId="77777777" w:rsidR="00152B4F" w:rsidRPr="000F2CBC" w:rsidRDefault="00152B4F" w:rsidP="009039E0">
            <w:pPr>
              <w:pStyle w:val="TableHeading"/>
              <w:rPr>
                <w:color w:val="auto"/>
                <w:szCs w:val="22"/>
              </w:rPr>
            </w:pPr>
            <w:r w:rsidRPr="000F2CBC">
              <w:rPr>
                <w:color w:val="auto"/>
                <w:szCs w:val="22"/>
              </w:rPr>
              <w:t>13 Week Full Outcomes</w:t>
            </w:r>
          </w:p>
        </w:tc>
        <w:tc>
          <w:tcPr>
            <w:tcW w:w="1435" w:type="dxa"/>
            <w:tcBorders>
              <w:top w:val="nil"/>
              <w:left w:val="nil"/>
              <w:bottom w:val="nil"/>
              <w:right w:val="single" w:sz="4" w:space="0" w:color="auto"/>
            </w:tcBorders>
          </w:tcPr>
          <w:p w14:paraId="52FD1313" w14:textId="77777777" w:rsidR="00152B4F" w:rsidRPr="000F2CBC" w:rsidRDefault="00152B4F" w:rsidP="009039E0">
            <w:pPr>
              <w:jc w:val="right"/>
              <w:rPr>
                <w:rFonts w:cs="Calibri"/>
                <w:color w:val="000000" w:themeColor="text1"/>
                <w:szCs w:val="22"/>
              </w:rPr>
            </w:pPr>
            <w:r w:rsidRPr="000F2CBC">
              <w:rPr>
                <w:color w:val="000000" w:themeColor="text1"/>
              </w:rPr>
              <w:t>150</w:t>
            </w:r>
          </w:p>
        </w:tc>
        <w:tc>
          <w:tcPr>
            <w:tcW w:w="1117" w:type="dxa"/>
            <w:tcBorders>
              <w:top w:val="nil"/>
              <w:left w:val="single" w:sz="4" w:space="0" w:color="auto"/>
              <w:bottom w:val="nil"/>
              <w:right w:val="single" w:sz="4" w:space="0" w:color="auto"/>
            </w:tcBorders>
            <w:noWrap/>
          </w:tcPr>
          <w:p w14:paraId="51D1988B" w14:textId="77777777" w:rsidR="00152B4F" w:rsidRPr="000F2CBC" w:rsidRDefault="00152B4F" w:rsidP="009039E0">
            <w:pPr>
              <w:jc w:val="right"/>
              <w:rPr>
                <w:rFonts w:cs="Calibri"/>
                <w:color w:val="000000" w:themeColor="text1"/>
                <w:szCs w:val="22"/>
              </w:rPr>
            </w:pPr>
            <w:r w:rsidRPr="000F2CBC">
              <w:rPr>
                <w:color w:val="000000" w:themeColor="text1"/>
              </w:rPr>
              <w:t>15</w:t>
            </w:r>
          </w:p>
        </w:tc>
        <w:tc>
          <w:tcPr>
            <w:tcW w:w="1417" w:type="dxa"/>
            <w:tcBorders>
              <w:top w:val="nil"/>
              <w:left w:val="single" w:sz="4" w:space="0" w:color="auto"/>
              <w:bottom w:val="nil"/>
              <w:right w:val="single" w:sz="4" w:space="0" w:color="auto"/>
            </w:tcBorders>
          </w:tcPr>
          <w:p w14:paraId="70D5E1C3" w14:textId="77777777" w:rsidR="00152B4F" w:rsidRPr="000F2CBC" w:rsidRDefault="00152B4F" w:rsidP="009039E0">
            <w:pPr>
              <w:jc w:val="right"/>
              <w:rPr>
                <w:color w:val="000000" w:themeColor="text1"/>
              </w:rPr>
            </w:pPr>
            <w:r w:rsidRPr="000F2CBC">
              <w:rPr>
                <w:color w:val="000000" w:themeColor="text1"/>
              </w:rPr>
              <w:t>10</w:t>
            </w:r>
          </w:p>
        </w:tc>
      </w:tr>
      <w:tr w:rsidR="00152B4F" w:rsidRPr="004F56BD" w14:paraId="61397497" w14:textId="77777777" w:rsidTr="009039E0">
        <w:trPr>
          <w:trHeight w:val="230"/>
        </w:trPr>
        <w:tc>
          <w:tcPr>
            <w:tcW w:w="456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A36A925" w14:textId="77777777" w:rsidR="00152B4F" w:rsidRPr="000F2CBC" w:rsidRDefault="00152B4F" w:rsidP="009039E0">
            <w:pPr>
              <w:pStyle w:val="TableHeading"/>
              <w:rPr>
                <w:color w:val="auto"/>
                <w:szCs w:val="22"/>
              </w:rPr>
            </w:pPr>
            <w:r w:rsidRPr="000F2CBC">
              <w:rPr>
                <w:color w:val="auto"/>
                <w:szCs w:val="22"/>
              </w:rPr>
              <w:t>26 Week Outcomes combined</w:t>
            </w:r>
          </w:p>
        </w:tc>
        <w:tc>
          <w:tcPr>
            <w:tcW w:w="1435" w:type="dxa"/>
            <w:tcBorders>
              <w:top w:val="single" w:sz="4" w:space="0" w:color="auto"/>
              <w:left w:val="nil"/>
              <w:bottom w:val="single" w:sz="4" w:space="0" w:color="auto"/>
              <w:right w:val="single" w:sz="4" w:space="0" w:color="auto"/>
            </w:tcBorders>
          </w:tcPr>
          <w:p w14:paraId="3E03AEC8" w14:textId="77777777" w:rsidR="00152B4F" w:rsidRPr="000F2CBC" w:rsidRDefault="00152B4F" w:rsidP="009039E0">
            <w:pPr>
              <w:jc w:val="right"/>
              <w:rPr>
                <w:rFonts w:cs="Calibri"/>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noWrap/>
          </w:tcPr>
          <w:p w14:paraId="2E550D4B" w14:textId="77777777" w:rsidR="00152B4F" w:rsidRPr="000F2CBC" w:rsidRDefault="00152B4F" w:rsidP="009039E0">
            <w:pPr>
              <w:jc w:val="right"/>
              <w:rPr>
                <w:rFonts w:cs="Calibri"/>
                <w:color w:val="000000" w:themeColor="text1"/>
                <w:szCs w:val="22"/>
              </w:rPr>
            </w:pPr>
          </w:p>
        </w:tc>
        <w:tc>
          <w:tcPr>
            <w:tcW w:w="1417" w:type="dxa"/>
            <w:tcBorders>
              <w:top w:val="single" w:sz="4" w:space="0" w:color="auto"/>
              <w:left w:val="single" w:sz="4" w:space="0" w:color="auto"/>
              <w:bottom w:val="single" w:sz="4" w:space="0" w:color="auto"/>
              <w:right w:val="single" w:sz="4" w:space="0" w:color="auto"/>
            </w:tcBorders>
          </w:tcPr>
          <w:p w14:paraId="0FEBB989" w14:textId="77777777" w:rsidR="00152B4F" w:rsidRPr="000F2CBC" w:rsidRDefault="00152B4F" w:rsidP="009039E0">
            <w:pPr>
              <w:jc w:val="right"/>
              <w:rPr>
                <w:rFonts w:cs="Calibri"/>
                <w:color w:val="000000" w:themeColor="text1"/>
                <w:szCs w:val="22"/>
              </w:rPr>
            </w:pPr>
          </w:p>
        </w:tc>
      </w:tr>
      <w:tr w:rsidR="00152B4F" w:rsidRPr="004F56BD" w14:paraId="2D3AB5CB" w14:textId="77777777" w:rsidTr="009039E0">
        <w:trPr>
          <w:trHeight w:val="230"/>
        </w:trPr>
        <w:tc>
          <w:tcPr>
            <w:tcW w:w="456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43AAB0E" w14:textId="77777777" w:rsidR="00152B4F" w:rsidRPr="000F2CBC" w:rsidRDefault="00152B4F" w:rsidP="009039E0">
            <w:pPr>
              <w:pStyle w:val="TableHeading"/>
              <w:ind w:left="720"/>
              <w:rPr>
                <w:color w:val="auto"/>
                <w:szCs w:val="22"/>
              </w:rPr>
            </w:pPr>
            <w:r w:rsidRPr="000F2CBC">
              <w:rPr>
                <w:rFonts w:asciiTheme="majorHAnsi" w:hAnsiTheme="majorHAnsi" w:cs="Calibri"/>
                <w:color w:val="auto"/>
                <w:szCs w:val="22"/>
              </w:rPr>
              <w:t>26 Week Full</w:t>
            </w:r>
          </w:p>
        </w:tc>
        <w:tc>
          <w:tcPr>
            <w:tcW w:w="1435" w:type="dxa"/>
            <w:tcBorders>
              <w:top w:val="single" w:sz="4" w:space="0" w:color="auto"/>
              <w:left w:val="nil"/>
              <w:bottom w:val="single" w:sz="4" w:space="0" w:color="auto"/>
              <w:right w:val="single" w:sz="4" w:space="0" w:color="auto"/>
            </w:tcBorders>
          </w:tcPr>
          <w:p w14:paraId="09C12F00" w14:textId="77777777" w:rsidR="00152B4F" w:rsidRPr="000F2CBC" w:rsidRDefault="00152B4F" w:rsidP="009039E0">
            <w:pPr>
              <w:jc w:val="right"/>
              <w:rPr>
                <w:rFonts w:cs="Calibri"/>
                <w:color w:val="000000" w:themeColor="text1"/>
                <w:szCs w:val="22"/>
              </w:rPr>
            </w:pPr>
            <w:r w:rsidRPr="000F2CBC">
              <w:rPr>
                <w:color w:val="000000" w:themeColor="text1"/>
              </w:rPr>
              <w:t>75</w:t>
            </w:r>
          </w:p>
        </w:tc>
        <w:tc>
          <w:tcPr>
            <w:tcW w:w="1117" w:type="dxa"/>
            <w:tcBorders>
              <w:top w:val="single" w:sz="4" w:space="0" w:color="auto"/>
              <w:left w:val="single" w:sz="4" w:space="0" w:color="auto"/>
              <w:bottom w:val="single" w:sz="4" w:space="0" w:color="auto"/>
              <w:right w:val="single" w:sz="4" w:space="0" w:color="auto"/>
            </w:tcBorders>
            <w:noWrap/>
          </w:tcPr>
          <w:p w14:paraId="5334D0AA" w14:textId="77777777" w:rsidR="00152B4F" w:rsidRPr="000F2CBC" w:rsidRDefault="00152B4F" w:rsidP="009039E0">
            <w:pPr>
              <w:jc w:val="right"/>
              <w:rPr>
                <w:rFonts w:cs="Calibri"/>
                <w:color w:val="000000" w:themeColor="text1"/>
                <w:szCs w:val="22"/>
              </w:rPr>
            </w:pPr>
            <w:r w:rsidRPr="000F2CBC">
              <w:rPr>
                <w:color w:val="000000" w:themeColor="text1"/>
              </w:rPr>
              <w:t>10</w:t>
            </w:r>
          </w:p>
        </w:tc>
        <w:tc>
          <w:tcPr>
            <w:tcW w:w="1417" w:type="dxa"/>
            <w:tcBorders>
              <w:top w:val="single" w:sz="4" w:space="0" w:color="auto"/>
              <w:left w:val="single" w:sz="4" w:space="0" w:color="auto"/>
              <w:bottom w:val="single" w:sz="4" w:space="0" w:color="auto"/>
              <w:right w:val="single" w:sz="4" w:space="0" w:color="auto"/>
            </w:tcBorders>
          </w:tcPr>
          <w:p w14:paraId="2C35F668" w14:textId="77777777" w:rsidR="00152B4F" w:rsidRPr="000F2CBC" w:rsidRDefault="00152B4F" w:rsidP="009039E0">
            <w:pPr>
              <w:jc w:val="right"/>
              <w:rPr>
                <w:color w:val="000000" w:themeColor="text1"/>
              </w:rPr>
            </w:pPr>
            <w:r w:rsidRPr="000F2CBC">
              <w:rPr>
                <w:color w:val="000000" w:themeColor="text1"/>
              </w:rPr>
              <w:t>13</w:t>
            </w:r>
          </w:p>
        </w:tc>
      </w:tr>
      <w:tr w:rsidR="00152B4F" w:rsidRPr="004F56BD" w14:paraId="1DD7F908" w14:textId="77777777" w:rsidTr="009039E0">
        <w:trPr>
          <w:trHeight w:val="230"/>
        </w:trPr>
        <w:tc>
          <w:tcPr>
            <w:tcW w:w="45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5D078F" w14:textId="77777777" w:rsidR="00152B4F" w:rsidRPr="000F2CBC" w:rsidRDefault="00152B4F" w:rsidP="009039E0">
            <w:pPr>
              <w:pStyle w:val="TableHeading"/>
              <w:ind w:left="720"/>
              <w:rPr>
                <w:color w:val="auto"/>
                <w:szCs w:val="22"/>
              </w:rPr>
            </w:pPr>
            <w:r w:rsidRPr="000F2CBC">
              <w:rPr>
                <w:color w:val="auto"/>
                <w:szCs w:val="22"/>
              </w:rPr>
              <w:t>26 Week Pathway</w:t>
            </w:r>
          </w:p>
        </w:tc>
        <w:tc>
          <w:tcPr>
            <w:tcW w:w="1435" w:type="dxa"/>
            <w:tcBorders>
              <w:top w:val="single" w:sz="4" w:space="0" w:color="auto"/>
              <w:left w:val="nil"/>
              <w:bottom w:val="single" w:sz="4" w:space="0" w:color="auto"/>
              <w:right w:val="single" w:sz="4" w:space="0" w:color="auto"/>
            </w:tcBorders>
          </w:tcPr>
          <w:p w14:paraId="4BF7D87B" w14:textId="77777777" w:rsidR="00152B4F" w:rsidRPr="000F2CBC" w:rsidRDefault="00152B4F" w:rsidP="009039E0">
            <w:pPr>
              <w:jc w:val="right"/>
              <w:rPr>
                <w:rFonts w:cs="Calibri"/>
                <w:color w:val="000000" w:themeColor="text1"/>
                <w:szCs w:val="22"/>
              </w:rPr>
            </w:pPr>
            <w:r w:rsidRPr="000F2CBC">
              <w:rPr>
                <w:color w:val="000000" w:themeColor="text1"/>
              </w:rPr>
              <w:t>40</w:t>
            </w:r>
          </w:p>
        </w:tc>
        <w:tc>
          <w:tcPr>
            <w:tcW w:w="1117" w:type="dxa"/>
            <w:tcBorders>
              <w:top w:val="single" w:sz="4" w:space="0" w:color="auto"/>
              <w:left w:val="single" w:sz="4" w:space="0" w:color="auto"/>
              <w:bottom w:val="single" w:sz="4" w:space="0" w:color="auto"/>
              <w:right w:val="single" w:sz="4" w:space="0" w:color="auto"/>
            </w:tcBorders>
            <w:noWrap/>
          </w:tcPr>
          <w:p w14:paraId="7E38D739" w14:textId="77777777" w:rsidR="00152B4F" w:rsidRPr="000F2CBC" w:rsidRDefault="00152B4F" w:rsidP="009039E0">
            <w:pPr>
              <w:jc w:val="right"/>
              <w:rPr>
                <w:rFonts w:cs="Calibri"/>
                <w:color w:val="000000" w:themeColor="text1"/>
                <w:szCs w:val="22"/>
                <w:highlight w:val="yellow"/>
              </w:rPr>
            </w:pPr>
            <w:r w:rsidRPr="000F2CBC">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tcPr>
          <w:p w14:paraId="65A59F2A" w14:textId="77777777" w:rsidR="00152B4F" w:rsidRPr="000F2CBC" w:rsidRDefault="00152B4F" w:rsidP="009039E0">
            <w:pPr>
              <w:jc w:val="right"/>
              <w:rPr>
                <w:color w:val="000000" w:themeColor="text1"/>
              </w:rPr>
            </w:pPr>
            <w:r w:rsidRPr="000F2CBC">
              <w:rPr>
                <w:color w:val="000000" w:themeColor="text1"/>
              </w:rPr>
              <w:t>5</w:t>
            </w:r>
          </w:p>
        </w:tc>
      </w:tr>
      <w:tr w:rsidR="00152B4F" w:rsidRPr="004F56BD" w14:paraId="12AE7D45" w14:textId="77777777" w:rsidTr="009039E0">
        <w:trPr>
          <w:trHeight w:val="230"/>
        </w:trPr>
        <w:tc>
          <w:tcPr>
            <w:tcW w:w="4564" w:type="dxa"/>
            <w:tcBorders>
              <w:top w:val="nil"/>
              <w:left w:val="single" w:sz="4" w:space="0" w:color="auto"/>
              <w:bottom w:val="single" w:sz="4" w:space="0" w:color="auto"/>
              <w:right w:val="single" w:sz="4" w:space="0" w:color="auto"/>
            </w:tcBorders>
            <w:shd w:val="clear" w:color="000000" w:fill="D9D9D9"/>
            <w:noWrap/>
            <w:vAlign w:val="bottom"/>
            <w:hideMark/>
          </w:tcPr>
          <w:p w14:paraId="01797B88" w14:textId="77777777" w:rsidR="00152B4F" w:rsidRPr="000F2CBC" w:rsidRDefault="00152B4F" w:rsidP="009039E0">
            <w:pPr>
              <w:pStyle w:val="TableHeading"/>
              <w:ind w:left="720"/>
              <w:rPr>
                <w:color w:val="auto"/>
                <w:szCs w:val="22"/>
              </w:rPr>
            </w:pPr>
            <w:r w:rsidRPr="000F2CBC">
              <w:rPr>
                <w:rFonts w:asciiTheme="majorHAnsi" w:hAnsiTheme="majorHAnsi" w:cs="Calibri"/>
                <w:color w:val="auto"/>
                <w:szCs w:val="22"/>
              </w:rPr>
              <w:t>26 Week Bonus Outcomes/Work Assist</w:t>
            </w:r>
          </w:p>
        </w:tc>
        <w:tc>
          <w:tcPr>
            <w:tcW w:w="1435" w:type="dxa"/>
            <w:tcBorders>
              <w:top w:val="nil"/>
              <w:left w:val="nil"/>
              <w:bottom w:val="single" w:sz="4" w:space="0" w:color="auto"/>
              <w:right w:val="single" w:sz="4" w:space="0" w:color="auto"/>
            </w:tcBorders>
          </w:tcPr>
          <w:p w14:paraId="2C84B8CB" w14:textId="77777777" w:rsidR="00152B4F" w:rsidRPr="000F2CBC" w:rsidRDefault="00152B4F" w:rsidP="009039E0">
            <w:pPr>
              <w:jc w:val="right"/>
              <w:rPr>
                <w:rFonts w:cs="Calibri"/>
                <w:color w:val="000000" w:themeColor="text1"/>
                <w:szCs w:val="22"/>
              </w:rPr>
            </w:pPr>
            <w:r w:rsidRPr="000F2CBC">
              <w:rPr>
                <w:color w:val="000000" w:themeColor="text1"/>
              </w:rPr>
              <w:t>10</w:t>
            </w:r>
          </w:p>
        </w:tc>
        <w:tc>
          <w:tcPr>
            <w:tcW w:w="1117" w:type="dxa"/>
            <w:tcBorders>
              <w:top w:val="nil"/>
              <w:left w:val="single" w:sz="4" w:space="0" w:color="auto"/>
              <w:bottom w:val="single" w:sz="4" w:space="0" w:color="auto"/>
              <w:right w:val="single" w:sz="4" w:space="0" w:color="auto"/>
            </w:tcBorders>
            <w:noWrap/>
          </w:tcPr>
          <w:p w14:paraId="7AB219E9" w14:textId="77777777" w:rsidR="00152B4F" w:rsidRPr="000F2CBC" w:rsidRDefault="00152B4F" w:rsidP="009039E0">
            <w:pPr>
              <w:jc w:val="right"/>
              <w:rPr>
                <w:rFonts w:cs="Calibri"/>
                <w:color w:val="000000" w:themeColor="text1"/>
                <w:szCs w:val="22"/>
              </w:rPr>
            </w:pPr>
            <w:r w:rsidRPr="000F2CBC">
              <w:rPr>
                <w:color w:val="000000" w:themeColor="text1"/>
              </w:rPr>
              <w:t>1</w:t>
            </w:r>
          </w:p>
        </w:tc>
        <w:tc>
          <w:tcPr>
            <w:tcW w:w="1417" w:type="dxa"/>
            <w:tcBorders>
              <w:top w:val="nil"/>
              <w:left w:val="single" w:sz="4" w:space="0" w:color="auto"/>
              <w:bottom w:val="single" w:sz="4" w:space="0" w:color="auto"/>
              <w:right w:val="single" w:sz="4" w:space="0" w:color="auto"/>
            </w:tcBorders>
          </w:tcPr>
          <w:p w14:paraId="1D990701" w14:textId="77777777" w:rsidR="00152B4F" w:rsidRPr="000F2CBC" w:rsidRDefault="00152B4F" w:rsidP="009039E0">
            <w:pPr>
              <w:jc w:val="right"/>
              <w:rPr>
                <w:color w:val="000000" w:themeColor="text1"/>
              </w:rPr>
            </w:pPr>
            <w:r w:rsidRPr="000F2CBC">
              <w:rPr>
                <w:color w:val="000000" w:themeColor="text1"/>
              </w:rPr>
              <w:t>10</w:t>
            </w:r>
          </w:p>
        </w:tc>
      </w:tr>
      <w:tr w:rsidR="00152B4F" w:rsidRPr="004F56BD" w14:paraId="0E38678D" w14:textId="77777777" w:rsidTr="009039E0">
        <w:trPr>
          <w:trHeight w:val="230"/>
        </w:trPr>
        <w:tc>
          <w:tcPr>
            <w:tcW w:w="4564" w:type="dxa"/>
            <w:tcBorders>
              <w:top w:val="nil"/>
              <w:left w:val="single" w:sz="4" w:space="0" w:color="auto"/>
              <w:bottom w:val="single" w:sz="4" w:space="0" w:color="auto"/>
              <w:right w:val="single" w:sz="4" w:space="0" w:color="auto"/>
            </w:tcBorders>
            <w:shd w:val="clear" w:color="000000" w:fill="D9D9D9"/>
            <w:noWrap/>
            <w:vAlign w:val="bottom"/>
          </w:tcPr>
          <w:p w14:paraId="4B08739E" w14:textId="77777777" w:rsidR="00152B4F" w:rsidRPr="000F2CBC" w:rsidRDefault="00152B4F" w:rsidP="009039E0">
            <w:pPr>
              <w:pStyle w:val="TableHeading"/>
              <w:rPr>
                <w:color w:val="auto"/>
                <w:szCs w:val="22"/>
              </w:rPr>
            </w:pPr>
            <w:r w:rsidRPr="000F2CBC">
              <w:rPr>
                <w:color w:val="auto"/>
                <w:szCs w:val="22"/>
              </w:rPr>
              <w:t>52 Week Outcomes combined</w:t>
            </w:r>
          </w:p>
        </w:tc>
        <w:tc>
          <w:tcPr>
            <w:tcW w:w="1435" w:type="dxa"/>
            <w:tcBorders>
              <w:top w:val="nil"/>
              <w:left w:val="nil"/>
              <w:bottom w:val="single" w:sz="4" w:space="0" w:color="auto"/>
              <w:right w:val="single" w:sz="4" w:space="0" w:color="auto"/>
            </w:tcBorders>
          </w:tcPr>
          <w:p w14:paraId="1E484D0A" w14:textId="77777777" w:rsidR="00152B4F" w:rsidRPr="000F2CBC" w:rsidRDefault="00152B4F" w:rsidP="009039E0">
            <w:pPr>
              <w:jc w:val="right"/>
              <w:rPr>
                <w:rFonts w:cs="Calibri"/>
                <w:color w:val="000000" w:themeColor="text1"/>
                <w:szCs w:val="22"/>
              </w:rPr>
            </w:pPr>
          </w:p>
        </w:tc>
        <w:tc>
          <w:tcPr>
            <w:tcW w:w="1117" w:type="dxa"/>
            <w:tcBorders>
              <w:top w:val="nil"/>
              <w:left w:val="single" w:sz="4" w:space="0" w:color="auto"/>
              <w:bottom w:val="single" w:sz="4" w:space="0" w:color="auto"/>
              <w:right w:val="single" w:sz="4" w:space="0" w:color="auto"/>
            </w:tcBorders>
            <w:noWrap/>
          </w:tcPr>
          <w:p w14:paraId="56C04DE6" w14:textId="77777777" w:rsidR="00152B4F" w:rsidRPr="000F2CBC" w:rsidRDefault="00152B4F" w:rsidP="009039E0">
            <w:pPr>
              <w:jc w:val="right"/>
              <w:rPr>
                <w:rFonts w:cs="Calibri"/>
                <w:color w:val="000000" w:themeColor="text1"/>
                <w:szCs w:val="22"/>
              </w:rPr>
            </w:pPr>
          </w:p>
        </w:tc>
        <w:tc>
          <w:tcPr>
            <w:tcW w:w="1417" w:type="dxa"/>
            <w:tcBorders>
              <w:top w:val="nil"/>
              <w:left w:val="single" w:sz="4" w:space="0" w:color="auto"/>
              <w:bottom w:val="single" w:sz="4" w:space="0" w:color="auto"/>
              <w:right w:val="single" w:sz="4" w:space="0" w:color="auto"/>
            </w:tcBorders>
          </w:tcPr>
          <w:p w14:paraId="2A796585" w14:textId="77777777" w:rsidR="00152B4F" w:rsidRPr="000F2CBC" w:rsidRDefault="00152B4F" w:rsidP="009039E0">
            <w:pPr>
              <w:jc w:val="right"/>
              <w:rPr>
                <w:rFonts w:cs="Calibri"/>
                <w:color w:val="000000" w:themeColor="text1"/>
                <w:szCs w:val="22"/>
              </w:rPr>
            </w:pPr>
          </w:p>
        </w:tc>
      </w:tr>
      <w:tr w:rsidR="00152B4F" w:rsidRPr="004F56BD" w14:paraId="0BEE1407" w14:textId="77777777" w:rsidTr="009039E0">
        <w:trPr>
          <w:trHeight w:val="230"/>
        </w:trPr>
        <w:tc>
          <w:tcPr>
            <w:tcW w:w="4564" w:type="dxa"/>
            <w:tcBorders>
              <w:top w:val="nil"/>
              <w:left w:val="single" w:sz="4" w:space="0" w:color="auto"/>
              <w:bottom w:val="single" w:sz="4" w:space="0" w:color="auto"/>
              <w:right w:val="single" w:sz="4" w:space="0" w:color="auto"/>
            </w:tcBorders>
            <w:shd w:val="clear" w:color="000000" w:fill="D9D9D9"/>
            <w:noWrap/>
            <w:vAlign w:val="bottom"/>
          </w:tcPr>
          <w:p w14:paraId="24E94399" w14:textId="77777777" w:rsidR="00152B4F" w:rsidRPr="000F2CBC" w:rsidRDefault="00152B4F" w:rsidP="009039E0">
            <w:pPr>
              <w:pStyle w:val="TableHeading"/>
              <w:ind w:left="720"/>
              <w:rPr>
                <w:color w:val="auto"/>
                <w:szCs w:val="22"/>
              </w:rPr>
            </w:pPr>
            <w:r w:rsidRPr="000F2CBC">
              <w:rPr>
                <w:rFonts w:asciiTheme="majorHAnsi" w:hAnsiTheme="majorHAnsi" w:cs="Calibri"/>
                <w:color w:val="auto"/>
                <w:szCs w:val="22"/>
              </w:rPr>
              <w:t>52 Week Full</w:t>
            </w:r>
          </w:p>
        </w:tc>
        <w:tc>
          <w:tcPr>
            <w:tcW w:w="1435" w:type="dxa"/>
            <w:tcBorders>
              <w:top w:val="nil"/>
              <w:left w:val="nil"/>
              <w:bottom w:val="single" w:sz="4" w:space="0" w:color="auto"/>
              <w:right w:val="single" w:sz="4" w:space="0" w:color="auto"/>
            </w:tcBorders>
          </w:tcPr>
          <w:p w14:paraId="23D300FA" w14:textId="77777777" w:rsidR="00152B4F" w:rsidRPr="000F2CBC" w:rsidRDefault="00152B4F" w:rsidP="009039E0">
            <w:pPr>
              <w:jc w:val="right"/>
              <w:rPr>
                <w:rFonts w:cs="Calibri"/>
                <w:color w:val="000000" w:themeColor="text1"/>
                <w:szCs w:val="22"/>
              </w:rPr>
            </w:pPr>
            <w:r w:rsidRPr="000F2CBC">
              <w:rPr>
                <w:color w:val="000000" w:themeColor="text1"/>
              </w:rPr>
              <w:t>35</w:t>
            </w:r>
          </w:p>
        </w:tc>
        <w:tc>
          <w:tcPr>
            <w:tcW w:w="1117" w:type="dxa"/>
            <w:tcBorders>
              <w:top w:val="nil"/>
              <w:left w:val="single" w:sz="4" w:space="0" w:color="auto"/>
              <w:bottom w:val="single" w:sz="4" w:space="0" w:color="auto"/>
              <w:right w:val="single" w:sz="4" w:space="0" w:color="auto"/>
            </w:tcBorders>
            <w:noWrap/>
          </w:tcPr>
          <w:p w14:paraId="70D939BB" w14:textId="77777777" w:rsidR="00152B4F" w:rsidRPr="000F2CBC" w:rsidRDefault="00152B4F" w:rsidP="009039E0">
            <w:pPr>
              <w:jc w:val="right"/>
              <w:rPr>
                <w:rFonts w:cs="Calibri"/>
                <w:color w:val="000000" w:themeColor="text1"/>
                <w:szCs w:val="22"/>
              </w:rPr>
            </w:pPr>
            <w:r w:rsidRPr="000F2CBC">
              <w:rPr>
                <w:color w:val="000000" w:themeColor="text1"/>
              </w:rPr>
              <w:t>10</w:t>
            </w:r>
          </w:p>
        </w:tc>
        <w:tc>
          <w:tcPr>
            <w:tcW w:w="1417" w:type="dxa"/>
            <w:tcBorders>
              <w:top w:val="nil"/>
              <w:left w:val="single" w:sz="4" w:space="0" w:color="auto"/>
              <w:bottom w:val="single" w:sz="4" w:space="0" w:color="auto"/>
              <w:right w:val="single" w:sz="4" w:space="0" w:color="auto"/>
            </w:tcBorders>
          </w:tcPr>
          <w:p w14:paraId="58889CA4" w14:textId="77777777" w:rsidR="00152B4F" w:rsidRPr="000F2CBC" w:rsidRDefault="00152B4F" w:rsidP="009039E0">
            <w:pPr>
              <w:jc w:val="right"/>
              <w:rPr>
                <w:color w:val="000000" w:themeColor="text1"/>
              </w:rPr>
            </w:pPr>
            <w:r w:rsidRPr="000F2CBC">
              <w:rPr>
                <w:color w:val="000000" w:themeColor="text1"/>
              </w:rPr>
              <w:t>28.6</w:t>
            </w:r>
          </w:p>
        </w:tc>
      </w:tr>
      <w:tr w:rsidR="00152B4F" w:rsidRPr="004F56BD" w14:paraId="586B3FCC" w14:textId="77777777" w:rsidTr="009039E0">
        <w:trPr>
          <w:trHeight w:val="230"/>
        </w:trPr>
        <w:tc>
          <w:tcPr>
            <w:tcW w:w="4564" w:type="dxa"/>
            <w:tcBorders>
              <w:top w:val="nil"/>
              <w:left w:val="single" w:sz="4" w:space="0" w:color="auto"/>
              <w:bottom w:val="single" w:sz="4" w:space="0" w:color="auto"/>
              <w:right w:val="single" w:sz="4" w:space="0" w:color="auto"/>
            </w:tcBorders>
            <w:shd w:val="clear" w:color="000000" w:fill="D9D9D9"/>
            <w:noWrap/>
            <w:vAlign w:val="bottom"/>
            <w:hideMark/>
          </w:tcPr>
          <w:p w14:paraId="4782F8DB" w14:textId="77777777" w:rsidR="00152B4F" w:rsidRPr="000F2CBC" w:rsidRDefault="00152B4F" w:rsidP="009039E0">
            <w:pPr>
              <w:pStyle w:val="TableHeading"/>
              <w:ind w:left="720"/>
              <w:rPr>
                <w:color w:val="auto"/>
                <w:szCs w:val="22"/>
              </w:rPr>
            </w:pPr>
            <w:r w:rsidRPr="000F2CBC">
              <w:rPr>
                <w:color w:val="auto"/>
                <w:szCs w:val="22"/>
              </w:rPr>
              <w:t>52 Week Pathway</w:t>
            </w:r>
          </w:p>
        </w:tc>
        <w:tc>
          <w:tcPr>
            <w:tcW w:w="1435" w:type="dxa"/>
            <w:tcBorders>
              <w:top w:val="nil"/>
              <w:left w:val="nil"/>
              <w:bottom w:val="single" w:sz="4" w:space="0" w:color="auto"/>
              <w:right w:val="single" w:sz="4" w:space="0" w:color="auto"/>
            </w:tcBorders>
          </w:tcPr>
          <w:p w14:paraId="0691B8C3" w14:textId="77777777" w:rsidR="00152B4F" w:rsidRPr="000F2CBC" w:rsidRDefault="00152B4F" w:rsidP="009039E0">
            <w:pPr>
              <w:jc w:val="right"/>
              <w:rPr>
                <w:rFonts w:cs="Calibri"/>
                <w:color w:val="000000" w:themeColor="text1"/>
                <w:szCs w:val="22"/>
              </w:rPr>
            </w:pPr>
            <w:r w:rsidRPr="000F2CBC">
              <w:rPr>
                <w:color w:val="000000" w:themeColor="text1"/>
              </w:rPr>
              <w:t>30</w:t>
            </w:r>
          </w:p>
        </w:tc>
        <w:tc>
          <w:tcPr>
            <w:tcW w:w="1117" w:type="dxa"/>
            <w:tcBorders>
              <w:top w:val="nil"/>
              <w:left w:val="single" w:sz="4" w:space="0" w:color="auto"/>
              <w:bottom w:val="single" w:sz="4" w:space="0" w:color="auto"/>
              <w:right w:val="single" w:sz="4" w:space="0" w:color="auto"/>
            </w:tcBorders>
            <w:noWrap/>
          </w:tcPr>
          <w:p w14:paraId="1F69C418" w14:textId="77777777" w:rsidR="00152B4F" w:rsidRPr="000F2CBC" w:rsidRDefault="00152B4F" w:rsidP="009039E0">
            <w:pPr>
              <w:jc w:val="right"/>
              <w:rPr>
                <w:rFonts w:cs="Calibri"/>
                <w:color w:val="000000" w:themeColor="text1"/>
                <w:szCs w:val="22"/>
              </w:rPr>
            </w:pPr>
            <w:r w:rsidRPr="000F2CBC">
              <w:rPr>
                <w:color w:val="000000" w:themeColor="text1"/>
              </w:rPr>
              <w:t>5</w:t>
            </w:r>
          </w:p>
        </w:tc>
        <w:tc>
          <w:tcPr>
            <w:tcW w:w="1417" w:type="dxa"/>
            <w:tcBorders>
              <w:top w:val="nil"/>
              <w:left w:val="single" w:sz="4" w:space="0" w:color="auto"/>
              <w:bottom w:val="single" w:sz="4" w:space="0" w:color="auto"/>
              <w:right w:val="single" w:sz="4" w:space="0" w:color="auto"/>
            </w:tcBorders>
          </w:tcPr>
          <w:p w14:paraId="3794897D" w14:textId="77777777" w:rsidR="00152B4F" w:rsidRPr="000F2CBC" w:rsidRDefault="00152B4F" w:rsidP="009039E0">
            <w:pPr>
              <w:jc w:val="right"/>
              <w:rPr>
                <w:color w:val="000000" w:themeColor="text1"/>
              </w:rPr>
            </w:pPr>
            <w:r w:rsidRPr="000F2CBC">
              <w:rPr>
                <w:color w:val="000000" w:themeColor="text1"/>
              </w:rPr>
              <w:t>16.7</w:t>
            </w:r>
          </w:p>
        </w:tc>
      </w:tr>
      <w:tr w:rsidR="00152B4F" w:rsidRPr="00E962BF" w14:paraId="51834048" w14:textId="77777777" w:rsidTr="009039E0">
        <w:trPr>
          <w:trHeight w:val="230"/>
        </w:trPr>
        <w:tc>
          <w:tcPr>
            <w:tcW w:w="45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7B6893" w14:textId="77777777" w:rsidR="00152B4F" w:rsidRPr="000F2CBC" w:rsidRDefault="00152B4F" w:rsidP="009039E0">
            <w:pPr>
              <w:pStyle w:val="TableHeading"/>
              <w:rPr>
                <w:color w:val="auto"/>
                <w:szCs w:val="22"/>
              </w:rPr>
            </w:pPr>
            <w:r w:rsidRPr="000F2CBC">
              <w:rPr>
                <w:color w:val="auto"/>
                <w:szCs w:val="22"/>
              </w:rPr>
              <w:t>Ongoing Support</w:t>
            </w:r>
          </w:p>
        </w:tc>
        <w:tc>
          <w:tcPr>
            <w:tcW w:w="1435" w:type="dxa"/>
            <w:tcBorders>
              <w:top w:val="single" w:sz="4" w:space="0" w:color="auto"/>
              <w:left w:val="nil"/>
              <w:bottom w:val="single" w:sz="4" w:space="0" w:color="auto"/>
              <w:right w:val="single" w:sz="4" w:space="0" w:color="auto"/>
            </w:tcBorders>
          </w:tcPr>
          <w:p w14:paraId="0A67A5B9" w14:textId="77777777" w:rsidR="00152B4F" w:rsidRPr="000F2CBC" w:rsidRDefault="00152B4F" w:rsidP="009039E0">
            <w:pPr>
              <w:jc w:val="right"/>
              <w:rPr>
                <w:rFonts w:cs="Calibri"/>
                <w:color w:val="000000" w:themeColor="text1"/>
                <w:szCs w:val="22"/>
              </w:rPr>
            </w:pPr>
            <w:r w:rsidRPr="000F2CBC">
              <w:rPr>
                <w:color w:val="000000" w:themeColor="text1"/>
              </w:rPr>
              <w:t>15</w:t>
            </w:r>
          </w:p>
        </w:tc>
        <w:tc>
          <w:tcPr>
            <w:tcW w:w="1117" w:type="dxa"/>
            <w:tcBorders>
              <w:top w:val="single" w:sz="4" w:space="0" w:color="auto"/>
              <w:left w:val="single" w:sz="4" w:space="0" w:color="auto"/>
              <w:bottom w:val="single" w:sz="4" w:space="0" w:color="auto"/>
              <w:right w:val="single" w:sz="4" w:space="0" w:color="auto"/>
            </w:tcBorders>
            <w:noWrap/>
          </w:tcPr>
          <w:p w14:paraId="454D6746" w14:textId="77777777" w:rsidR="00152B4F" w:rsidRPr="000F2CBC" w:rsidRDefault="00152B4F" w:rsidP="009039E0">
            <w:pPr>
              <w:jc w:val="right"/>
              <w:rPr>
                <w:rFonts w:cs="Calibri"/>
                <w:color w:val="000000" w:themeColor="text1"/>
                <w:szCs w:val="22"/>
              </w:rPr>
            </w:pPr>
            <w:r w:rsidRPr="000F2CBC">
              <w:rPr>
                <w:color w:val="000000" w:themeColor="text1"/>
              </w:rPr>
              <w:t>13</w:t>
            </w:r>
          </w:p>
        </w:tc>
        <w:tc>
          <w:tcPr>
            <w:tcW w:w="1417" w:type="dxa"/>
            <w:tcBorders>
              <w:top w:val="single" w:sz="4" w:space="0" w:color="auto"/>
              <w:left w:val="single" w:sz="4" w:space="0" w:color="auto"/>
              <w:bottom w:val="single" w:sz="4" w:space="0" w:color="auto"/>
              <w:right w:val="single" w:sz="4" w:space="0" w:color="auto"/>
            </w:tcBorders>
          </w:tcPr>
          <w:p w14:paraId="457FC3B1" w14:textId="77777777" w:rsidR="00152B4F" w:rsidRPr="000F2CBC" w:rsidRDefault="00152B4F" w:rsidP="009039E0">
            <w:pPr>
              <w:jc w:val="right"/>
              <w:rPr>
                <w:color w:val="000000" w:themeColor="text1"/>
              </w:rPr>
            </w:pPr>
            <w:r w:rsidRPr="000F2CBC">
              <w:rPr>
                <w:color w:val="000000" w:themeColor="text1"/>
              </w:rPr>
              <w:t>86.7</w:t>
            </w:r>
          </w:p>
        </w:tc>
      </w:tr>
    </w:tbl>
    <w:p w14:paraId="3345E1F9" w14:textId="77777777" w:rsidR="00152B4F" w:rsidRPr="00B11142" w:rsidRDefault="00152B4F" w:rsidP="00152B4F">
      <w:pPr>
        <w:rPr>
          <w:rFonts w:ascii="Calibri" w:hAnsi="Calibri"/>
          <w:lang w:eastAsia="en-AU"/>
        </w:rPr>
      </w:pPr>
    </w:p>
    <w:p w14:paraId="1AFAE2CE" w14:textId="77777777" w:rsidR="00152B4F" w:rsidRDefault="006F6048" w:rsidP="00152B4F">
      <w:pPr>
        <w:rPr>
          <w:szCs w:val="22"/>
        </w:rPr>
      </w:pPr>
      <w:r>
        <w:pict w14:anchorId="712567DD">
          <v:rect id="_x0000_i1030" style="width:415.3pt;height:1.5pt" o:hralign="center" o:hrstd="t" o:hr="t" fillcolor="#a0a0a0" stroked="f"/>
        </w:pict>
      </w:r>
    </w:p>
    <w:p w14:paraId="25DBA80B" w14:textId="77777777" w:rsidR="00152B4F" w:rsidRDefault="00152B4F" w:rsidP="00152B4F">
      <w:pPr>
        <w:spacing w:after="480"/>
        <w:contextualSpacing/>
        <w:rPr>
          <w:rFonts w:eastAsia="Times New Roman"/>
          <w:szCs w:val="22"/>
          <w:lang w:eastAsia="en-AU"/>
        </w:rPr>
      </w:pPr>
    </w:p>
    <w:p w14:paraId="76CA721A" w14:textId="77777777" w:rsidR="00152B4F" w:rsidRDefault="00152B4F" w:rsidP="00152B4F">
      <w:pPr>
        <w:rPr>
          <w:rFonts w:ascii="Calibri" w:hAnsi="Calibri"/>
          <w:i/>
          <w:lang w:eastAsia="en-AU"/>
        </w:rPr>
      </w:pPr>
      <w:r>
        <w:rPr>
          <w:rFonts w:ascii="Calibri" w:hAnsi="Calibri"/>
          <w:i/>
          <w:lang w:eastAsia="en-AU"/>
        </w:rPr>
        <w:br w:type="page"/>
      </w:r>
    </w:p>
    <w:p w14:paraId="4F8853EB" w14:textId="77777777" w:rsidR="00152B4F" w:rsidRDefault="006F6048" w:rsidP="00152B4F">
      <w:pPr>
        <w:spacing w:after="240"/>
        <w:rPr>
          <w:b/>
          <w:szCs w:val="22"/>
        </w:rPr>
      </w:pPr>
      <w:r>
        <w:pict w14:anchorId="430E8092">
          <v:rect id="_x0000_i1031" style="width:415.3pt;height:1.5pt" o:hralign="center" o:hrstd="t" o:hr="t" fillcolor="#a0a0a0" stroked="f"/>
        </w:pict>
      </w:r>
    </w:p>
    <w:p w14:paraId="3C083D9B" w14:textId="77777777" w:rsidR="00152B4F" w:rsidRPr="000F2CBC" w:rsidRDefault="00152B4F" w:rsidP="00152B4F">
      <w:pPr>
        <w:rPr>
          <w:b/>
        </w:rPr>
      </w:pPr>
      <w:r w:rsidRPr="000F2CBC">
        <w:rPr>
          <w:b/>
        </w:rPr>
        <w:t>Step 3: Calculate Ratio of Actual Outcomes to Expected Outcomes</w:t>
      </w:r>
    </w:p>
    <w:p w14:paraId="233037FB" w14:textId="77777777" w:rsidR="00152B4F" w:rsidRPr="000F2CBC" w:rsidRDefault="00152B4F" w:rsidP="00152B4F">
      <w:pPr>
        <w:rPr>
          <w:szCs w:val="22"/>
        </w:rPr>
      </w:pPr>
      <w:r w:rsidRPr="000F2CBC">
        <w:rPr>
          <w:szCs w:val="22"/>
        </w:rPr>
        <w:t>The Star Ratings calculates the ratio of actual outcomes to expected outcomes.</w:t>
      </w:r>
    </w:p>
    <w:p w14:paraId="0BE05567" w14:textId="77777777" w:rsidR="00152B4F" w:rsidRPr="000F2CBC" w:rsidRDefault="00152B4F" w:rsidP="00152B4F">
      <w:pPr>
        <w:rPr>
          <w:szCs w:val="22"/>
        </w:rPr>
      </w:pPr>
      <w:r w:rsidRPr="000F2CBC">
        <w:rPr>
          <w:szCs w:val="22"/>
        </w:rPr>
        <w:t xml:space="preserve">For the calculation of Step 3 for the combined 26 Week Outcomes/Work Assist and the combined 52 Week Outcomes, please refer to </w:t>
      </w:r>
      <w:r w:rsidRPr="000F2CBC">
        <w:rPr>
          <w:szCs w:val="22"/>
          <w:u w:val="single"/>
        </w:rPr>
        <w:t>Attachment B</w:t>
      </w:r>
      <w:r w:rsidRPr="000F2CBC">
        <w:rPr>
          <w:szCs w:val="22"/>
        </w:rPr>
        <w:t>.</w:t>
      </w:r>
    </w:p>
    <w:p w14:paraId="38391341" w14:textId="77777777" w:rsidR="00152B4F" w:rsidRPr="000F2CBC" w:rsidRDefault="00152B4F" w:rsidP="00152B4F">
      <w:pPr>
        <w:tabs>
          <w:tab w:val="left" w:pos="915"/>
        </w:tabs>
        <w:rPr>
          <w:szCs w:val="22"/>
        </w:rPr>
      </w:pPr>
    </w:p>
    <w:p w14:paraId="00A47F5B" w14:textId="77777777" w:rsidR="00152B4F" w:rsidRPr="000F2CBC" w:rsidRDefault="006F6048" w:rsidP="00152B4F">
      <w:pPr>
        <w:tabs>
          <w:tab w:val="left" w:pos="915"/>
        </w:tabs>
      </w:pPr>
      <w:r>
        <w:pict w14:anchorId="1E674179">
          <v:rect id="_x0000_i1032" style="width:415.3pt;height:1.5pt" o:hralign="center" o:hrstd="t" o:hr="t" fillcolor="#a0a0a0" stroked="f"/>
        </w:pict>
      </w:r>
    </w:p>
    <w:p w14:paraId="41B67843" w14:textId="77777777" w:rsidR="00152B4F" w:rsidRPr="000F2CBC" w:rsidRDefault="00152B4F" w:rsidP="00152B4F">
      <w:pPr>
        <w:tabs>
          <w:tab w:val="left" w:pos="915"/>
        </w:tabs>
        <w:rPr>
          <w:szCs w:val="22"/>
        </w:rPr>
      </w:pPr>
    </w:p>
    <w:p w14:paraId="103070A5" w14:textId="77777777" w:rsidR="00152B4F" w:rsidRPr="000F2CBC" w:rsidRDefault="00152B4F" w:rsidP="00152B4F">
      <w:pPr>
        <w:ind w:firstLine="720"/>
        <w:rPr>
          <w:b/>
          <w:szCs w:val="22"/>
        </w:rPr>
      </w:pPr>
      <w:r w:rsidRPr="000F2CBC">
        <w:rPr>
          <w:b/>
          <w:szCs w:val="22"/>
        </w:rPr>
        <w:t>Step 3 Example</w:t>
      </w:r>
    </w:p>
    <w:p w14:paraId="2D5E21C4" w14:textId="77777777" w:rsidR="00152B4F" w:rsidRPr="000F2CBC" w:rsidRDefault="00152B4F" w:rsidP="00152B4F">
      <w:pPr>
        <w:ind w:left="720"/>
        <w:rPr>
          <w:szCs w:val="22"/>
        </w:rPr>
      </w:pPr>
      <w:r w:rsidRPr="000F2CBC">
        <w:rPr>
          <w:szCs w:val="22"/>
        </w:rPr>
        <w:t>The model calculates the actual to expected rate ratios for Site X as shown in the following table.</w:t>
      </w:r>
    </w:p>
    <w:p w14:paraId="0F421C0C" w14:textId="77777777" w:rsidR="00152B4F" w:rsidRPr="000F2CBC" w:rsidRDefault="00152B4F" w:rsidP="00152B4F">
      <w:pPr>
        <w:ind w:left="720"/>
        <w:rPr>
          <w:szCs w:val="22"/>
        </w:rPr>
      </w:pPr>
    </w:p>
    <w:tbl>
      <w:tblPr>
        <w:tblW w:w="8364" w:type="dxa"/>
        <w:tblInd w:w="-10" w:type="dxa"/>
        <w:tblLook w:val="04A0" w:firstRow="1" w:lastRow="0" w:firstColumn="1" w:lastColumn="0" w:noHBand="0" w:noVBand="1"/>
      </w:tblPr>
      <w:tblGrid>
        <w:gridCol w:w="4678"/>
        <w:gridCol w:w="1276"/>
        <w:gridCol w:w="1134"/>
        <w:gridCol w:w="1276"/>
      </w:tblGrid>
      <w:tr w:rsidR="00152B4F" w:rsidRPr="000F2CBC" w14:paraId="5DC23495" w14:textId="77777777" w:rsidTr="009039E0">
        <w:trPr>
          <w:trHeight w:val="300"/>
        </w:trPr>
        <w:tc>
          <w:tcPr>
            <w:tcW w:w="4678"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763AA28B" w14:textId="77777777" w:rsidR="00152B4F" w:rsidRPr="000F2CBC" w:rsidRDefault="00152B4F" w:rsidP="009039E0">
            <w:pPr>
              <w:spacing w:before="60" w:after="60"/>
              <w:rPr>
                <w:rFonts w:cs="Calibri"/>
                <w:b/>
                <w:bCs/>
                <w:szCs w:val="22"/>
              </w:rPr>
            </w:pPr>
            <w:r w:rsidRPr="000F2CBC">
              <w:rPr>
                <w:rFonts w:cs="Calibri"/>
                <w:b/>
                <w:bCs/>
                <w:szCs w:val="22"/>
              </w:rPr>
              <w:t>Performance Measure</w:t>
            </w:r>
          </w:p>
        </w:tc>
        <w:tc>
          <w:tcPr>
            <w:tcW w:w="1276"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427A9273" w14:textId="77777777" w:rsidR="00152B4F" w:rsidRPr="000F2CBC" w:rsidRDefault="00152B4F" w:rsidP="009039E0">
            <w:pPr>
              <w:spacing w:before="60" w:after="60"/>
              <w:jc w:val="center"/>
              <w:rPr>
                <w:rFonts w:cs="Calibri"/>
                <w:b/>
                <w:bCs/>
                <w:szCs w:val="22"/>
              </w:rPr>
            </w:pPr>
            <w:r w:rsidRPr="000F2CBC">
              <w:rPr>
                <w:rFonts w:cs="Calibri"/>
                <w:b/>
                <w:bCs/>
                <w:szCs w:val="22"/>
              </w:rPr>
              <w:t>Actual</w:t>
            </w:r>
          </w:p>
        </w:tc>
        <w:tc>
          <w:tcPr>
            <w:tcW w:w="1134"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73512B9A" w14:textId="77777777" w:rsidR="00152B4F" w:rsidRPr="000F2CBC" w:rsidRDefault="00152B4F" w:rsidP="009039E0">
            <w:pPr>
              <w:spacing w:before="60" w:after="60"/>
              <w:jc w:val="center"/>
              <w:rPr>
                <w:rFonts w:cs="Calibri"/>
                <w:b/>
                <w:bCs/>
                <w:szCs w:val="22"/>
              </w:rPr>
            </w:pPr>
            <w:r w:rsidRPr="000F2CBC">
              <w:rPr>
                <w:rFonts w:cs="Calibri"/>
                <w:b/>
                <w:bCs/>
                <w:szCs w:val="22"/>
              </w:rPr>
              <w:t>Expected</w:t>
            </w:r>
          </w:p>
        </w:tc>
        <w:tc>
          <w:tcPr>
            <w:tcW w:w="1276" w:type="dxa"/>
            <w:tcBorders>
              <w:top w:val="single" w:sz="8" w:space="0" w:color="auto"/>
              <w:left w:val="nil"/>
              <w:bottom w:val="single" w:sz="4" w:space="0" w:color="auto"/>
              <w:right w:val="single" w:sz="8" w:space="0" w:color="auto"/>
            </w:tcBorders>
            <w:shd w:val="clear" w:color="auto" w:fill="FFFFFF" w:themeFill="background1"/>
            <w:vAlign w:val="center"/>
            <w:hideMark/>
          </w:tcPr>
          <w:p w14:paraId="0C02AD62" w14:textId="77777777" w:rsidR="00152B4F" w:rsidRPr="000F2CBC" w:rsidRDefault="00152B4F" w:rsidP="009039E0">
            <w:pPr>
              <w:spacing w:before="60" w:after="60"/>
              <w:jc w:val="center"/>
              <w:rPr>
                <w:rFonts w:cs="Calibri"/>
                <w:b/>
                <w:bCs/>
                <w:szCs w:val="22"/>
              </w:rPr>
            </w:pPr>
            <w:r w:rsidRPr="000F2CBC">
              <w:rPr>
                <w:rFonts w:cs="Calibri"/>
                <w:b/>
                <w:bCs/>
                <w:szCs w:val="22"/>
              </w:rPr>
              <w:t>Ratio</w:t>
            </w:r>
          </w:p>
        </w:tc>
      </w:tr>
      <w:tr w:rsidR="00152B4F" w:rsidRPr="000F2CBC" w14:paraId="5E3B6AA3" w14:textId="77777777" w:rsidTr="009039E0">
        <w:trPr>
          <w:trHeight w:val="315"/>
        </w:trPr>
        <w:tc>
          <w:tcPr>
            <w:tcW w:w="4678" w:type="dxa"/>
            <w:tcBorders>
              <w:top w:val="nil"/>
              <w:left w:val="single" w:sz="8" w:space="0" w:color="auto"/>
              <w:bottom w:val="nil"/>
              <w:right w:val="single" w:sz="8" w:space="0" w:color="auto"/>
            </w:tcBorders>
            <w:shd w:val="clear" w:color="000000" w:fill="D9D9D9"/>
            <w:noWrap/>
            <w:vAlign w:val="bottom"/>
            <w:hideMark/>
          </w:tcPr>
          <w:p w14:paraId="7E6829DE" w14:textId="77777777" w:rsidR="00152B4F" w:rsidRPr="000F2CBC" w:rsidRDefault="00152B4F" w:rsidP="009039E0">
            <w:pPr>
              <w:pStyle w:val="TableHeading"/>
              <w:rPr>
                <w:color w:val="auto"/>
                <w:szCs w:val="22"/>
              </w:rPr>
            </w:pPr>
            <w:r w:rsidRPr="000F2CBC">
              <w:rPr>
                <w:color w:val="auto"/>
                <w:szCs w:val="22"/>
              </w:rPr>
              <w:t>13 Week Full Outcomes</w:t>
            </w:r>
          </w:p>
        </w:tc>
        <w:tc>
          <w:tcPr>
            <w:tcW w:w="1276" w:type="dxa"/>
            <w:tcBorders>
              <w:top w:val="nil"/>
              <w:left w:val="nil"/>
              <w:bottom w:val="nil"/>
              <w:right w:val="single" w:sz="8" w:space="0" w:color="auto"/>
            </w:tcBorders>
            <w:noWrap/>
          </w:tcPr>
          <w:p w14:paraId="7D1B1F82" w14:textId="77777777" w:rsidR="00152B4F" w:rsidRPr="000F2CBC" w:rsidRDefault="00152B4F" w:rsidP="009039E0">
            <w:pPr>
              <w:jc w:val="right"/>
              <w:rPr>
                <w:rFonts w:cs="Calibri"/>
                <w:color w:val="000000" w:themeColor="text1"/>
                <w:szCs w:val="22"/>
              </w:rPr>
            </w:pPr>
            <w:r w:rsidRPr="000F2CBC">
              <w:t xml:space="preserve"> 58 </w:t>
            </w:r>
          </w:p>
        </w:tc>
        <w:tc>
          <w:tcPr>
            <w:tcW w:w="1134" w:type="dxa"/>
            <w:tcBorders>
              <w:top w:val="nil"/>
              <w:left w:val="nil"/>
              <w:bottom w:val="nil"/>
              <w:right w:val="single" w:sz="8" w:space="0" w:color="auto"/>
            </w:tcBorders>
            <w:noWrap/>
          </w:tcPr>
          <w:p w14:paraId="1494B3CB" w14:textId="77777777" w:rsidR="00152B4F" w:rsidRPr="000F2CBC" w:rsidRDefault="00152B4F" w:rsidP="009039E0">
            <w:pPr>
              <w:jc w:val="right"/>
              <w:rPr>
                <w:rFonts w:cs="Calibri"/>
                <w:color w:val="000000" w:themeColor="text1"/>
                <w:szCs w:val="22"/>
              </w:rPr>
            </w:pPr>
            <w:r w:rsidRPr="000F2CBC">
              <w:t>15</w:t>
            </w:r>
          </w:p>
        </w:tc>
        <w:tc>
          <w:tcPr>
            <w:tcW w:w="1276" w:type="dxa"/>
            <w:tcBorders>
              <w:top w:val="nil"/>
              <w:left w:val="nil"/>
              <w:bottom w:val="single" w:sz="8" w:space="0" w:color="auto"/>
              <w:right w:val="single" w:sz="8" w:space="0" w:color="auto"/>
            </w:tcBorders>
            <w:noWrap/>
          </w:tcPr>
          <w:p w14:paraId="27C22613" w14:textId="77777777" w:rsidR="00152B4F" w:rsidRPr="000F2CBC" w:rsidRDefault="00152B4F" w:rsidP="009039E0">
            <w:pPr>
              <w:jc w:val="right"/>
              <w:rPr>
                <w:rFonts w:cs="Calibri"/>
                <w:color w:val="000000" w:themeColor="text1"/>
                <w:szCs w:val="22"/>
              </w:rPr>
            </w:pPr>
            <w:r w:rsidRPr="000F2CBC">
              <w:t xml:space="preserve"> 3.87 </w:t>
            </w:r>
          </w:p>
        </w:tc>
      </w:tr>
      <w:tr w:rsidR="00152B4F" w:rsidRPr="000F2CBC" w14:paraId="1E4D7360" w14:textId="77777777" w:rsidTr="009039E0">
        <w:trPr>
          <w:trHeight w:val="315"/>
        </w:trPr>
        <w:tc>
          <w:tcPr>
            <w:tcW w:w="467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876D0D9" w14:textId="77777777" w:rsidR="00152B4F" w:rsidRPr="000F2CBC" w:rsidRDefault="00152B4F" w:rsidP="009039E0">
            <w:pPr>
              <w:pStyle w:val="TableHeading"/>
              <w:rPr>
                <w:color w:val="auto"/>
                <w:szCs w:val="22"/>
              </w:rPr>
            </w:pPr>
            <w:r w:rsidRPr="000F2CBC">
              <w:rPr>
                <w:color w:val="auto"/>
                <w:szCs w:val="22"/>
              </w:rPr>
              <w:t>26 Week Outcomes combined</w:t>
            </w:r>
          </w:p>
        </w:tc>
        <w:tc>
          <w:tcPr>
            <w:tcW w:w="1276" w:type="dxa"/>
            <w:tcBorders>
              <w:top w:val="single" w:sz="8" w:space="0" w:color="auto"/>
              <w:left w:val="nil"/>
              <w:bottom w:val="single" w:sz="8" w:space="0" w:color="auto"/>
              <w:right w:val="single" w:sz="8" w:space="0" w:color="auto"/>
            </w:tcBorders>
            <w:noWrap/>
          </w:tcPr>
          <w:p w14:paraId="7136E24E" w14:textId="77777777" w:rsidR="00152B4F" w:rsidRPr="000F2CBC" w:rsidRDefault="00152B4F" w:rsidP="009039E0">
            <w:pPr>
              <w:jc w:val="right"/>
              <w:rPr>
                <w:rFonts w:cs="Calibri"/>
                <w:color w:val="000000" w:themeColor="text1"/>
                <w:szCs w:val="22"/>
              </w:rPr>
            </w:pPr>
          </w:p>
        </w:tc>
        <w:tc>
          <w:tcPr>
            <w:tcW w:w="1134" w:type="dxa"/>
            <w:tcBorders>
              <w:top w:val="single" w:sz="8" w:space="0" w:color="auto"/>
              <w:left w:val="nil"/>
              <w:bottom w:val="single" w:sz="8" w:space="0" w:color="auto"/>
              <w:right w:val="single" w:sz="8" w:space="0" w:color="auto"/>
            </w:tcBorders>
            <w:noWrap/>
          </w:tcPr>
          <w:p w14:paraId="6194C37E" w14:textId="77777777" w:rsidR="00152B4F" w:rsidRPr="000F2CBC" w:rsidRDefault="00152B4F" w:rsidP="009039E0">
            <w:pPr>
              <w:jc w:val="right"/>
              <w:rPr>
                <w:rFonts w:cs="Calibri"/>
                <w:color w:val="000000" w:themeColor="text1"/>
                <w:szCs w:val="22"/>
              </w:rPr>
            </w:pPr>
          </w:p>
        </w:tc>
        <w:tc>
          <w:tcPr>
            <w:tcW w:w="1276" w:type="dxa"/>
            <w:tcBorders>
              <w:top w:val="nil"/>
              <w:left w:val="nil"/>
              <w:bottom w:val="single" w:sz="8" w:space="0" w:color="auto"/>
              <w:right w:val="single" w:sz="8" w:space="0" w:color="auto"/>
            </w:tcBorders>
            <w:noWrap/>
          </w:tcPr>
          <w:p w14:paraId="231CAE0A" w14:textId="77777777" w:rsidR="00152B4F" w:rsidRPr="000F2CBC" w:rsidRDefault="00152B4F" w:rsidP="009039E0">
            <w:pPr>
              <w:jc w:val="right"/>
              <w:rPr>
                <w:rFonts w:cs="Calibri"/>
                <w:color w:val="000000" w:themeColor="text1"/>
                <w:szCs w:val="22"/>
              </w:rPr>
            </w:pPr>
            <w:r w:rsidRPr="000F2CBC">
              <w:t xml:space="preserve"> 2.78 </w:t>
            </w:r>
          </w:p>
        </w:tc>
      </w:tr>
      <w:tr w:rsidR="00152B4F" w:rsidRPr="000F2CBC" w14:paraId="0FF8A21D"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1C4FF721" w14:textId="77777777" w:rsidR="00152B4F" w:rsidRPr="000F2CBC" w:rsidRDefault="00152B4F" w:rsidP="009039E0">
            <w:pPr>
              <w:pStyle w:val="TableHeading"/>
              <w:ind w:left="720"/>
              <w:rPr>
                <w:color w:val="auto"/>
                <w:szCs w:val="22"/>
              </w:rPr>
            </w:pPr>
            <w:r w:rsidRPr="000F2CBC">
              <w:rPr>
                <w:rFonts w:asciiTheme="majorHAnsi" w:hAnsiTheme="majorHAnsi" w:cs="Calibri"/>
                <w:color w:val="auto"/>
                <w:szCs w:val="22"/>
              </w:rPr>
              <w:t>26 Week Full</w:t>
            </w:r>
          </w:p>
        </w:tc>
        <w:tc>
          <w:tcPr>
            <w:tcW w:w="1276" w:type="dxa"/>
            <w:tcBorders>
              <w:top w:val="nil"/>
              <w:left w:val="nil"/>
              <w:bottom w:val="single" w:sz="8" w:space="0" w:color="auto"/>
              <w:right w:val="single" w:sz="8" w:space="0" w:color="auto"/>
            </w:tcBorders>
            <w:noWrap/>
          </w:tcPr>
          <w:p w14:paraId="42C86AE1" w14:textId="77777777" w:rsidR="00152B4F" w:rsidRPr="000F2CBC" w:rsidRDefault="00152B4F" w:rsidP="009039E0">
            <w:pPr>
              <w:jc w:val="right"/>
              <w:rPr>
                <w:rFonts w:cs="Calibri"/>
                <w:color w:val="000000" w:themeColor="text1"/>
                <w:szCs w:val="22"/>
              </w:rPr>
            </w:pPr>
            <w:r w:rsidRPr="000F2CBC">
              <w:t>26</w:t>
            </w:r>
          </w:p>
        </w:tc>
        <w:tc>
          <w:tcPr>
            <w:tcW w:w="1134" w:type="dxa"/>
            <w:tcBorders>
              <w:top w:val="nil"/>
              <w:left w:val="nil"/>
              <w:bottom w:val="single" w:sz="8" w:space="0" w:color="auto"/>
              <w:right w:val="single" w:sz="8" w:space="0" w:color="auto"/>
            </w:tcBorders>
            <w:noWrap/>
          </w:tcPr>
          <w:p w14:paraId="1DB914EE" w14:textId="77777777" w:rsidR="00152B4F" w:rsidRPr="000F2CBC" w:rsidRDefault="00152B4F" w:rsidP="009039E0">
            <w:pPr>
              <w:jc w:val="right"/>
              <w:rPr>
                <w:rFonts w:cs="Calibri"/>
                <w:color w:val="000000" w:themeColor="text1"/>
                <w:szCs w:val="22"/>
              </w:rPr>
            </w:pPr>
            <w:r w:rsidRPr="000F2CBC">
              <w:t>10</w:t>
            </w:r>
          </w:p>
        </w:tc>
        <w:tc>
          <w:tcPr>
            <w:tcW w:w="1276" w:type="dxa"/>
            <w:tcBorders>
              <w:top w:val="nil"/>
              <w:left w:val="nil"/>
              <w:bottom w:val="single" w:sz="8" w:space="0" w:color="auto"/>
              <w:right w:val="single" w:sz="8" w:space="0" w:color="auto"/>
            </w:tcBorders>
            <w:noWrap/>
          </w:tcPr>
          <w:p w14:paraId="6064A41C" w14:textId="77777777" w:rsidR="00152B4F" w:rsidRPr="000F2CBC" w:rsidRDefault="00152B4F" w:rsidP="009039E0">
            <w:pPr>
              <w:jc w:val="right"/>
              <w:rPr>
                <w:rFonts w:cs="Calibri"/>
                <w:color w:val="000000" w:themeColor="text1"/>
                <w:szCs w:val="22"/>
              </w:rPr>
            </w:pPr>
            <w:r w:rsidRPr="000F2CBC">
              <w:t xml:space="preserve"> 2.60 </w:t>
            </w:r>
          </w:p>
        </w:tc>
      </w:tr>
      <w:tr w:rsidR="00152B4F" w:rsidRPr="000F2CBC" w14:paraId="2C439D2A"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506FE124" w14:textId="77777777" w:rsidR="00152B4F" w:rsidRPr="000F2CBC" w:rsidRDefault="00152B4F" w:rsidP="009039E0">
            <w:pPr>
              <w:pStyle w:val="TableHeading"/>
              <w:ind w:left="720"/>
              <w:rPr>
                <w:color w:val="auto"/>
                <w:szCs w:val="22"/>
              </w:rPr>
            </w:pPr>
            <w:r w:rsidRPr="000F2CBC">
              <w:rPr>
                <w:color w:val="auto"/>
                <w:szCs w:val="22"/>
              </w:rPr>
              <w:t>26 Week Pathway</w:t>
            </w:r>
          </w:p>
        </w:tc>
        <w:tc>
          <w:tcPr>
            <w:tcW w:w="1276" w:type="dxa"/>
            <w:tcBorders>
              <w:top w:val="nil"/>
              <w:left w:val="nil"/>
              <w:bottom w:val="single" w:sz="8" w:space="0" w:color="auto"/>
              <w:right w:val="single" w:sz="8" w:space="0" w:color="auto"/>
            </w:tcBorders>
            <w:noWrap/>
          </w:tcPr>
          <w:p w14:paraId="6F1CFB2A" w14:textId="77777777" w:rsidR="00152B4F" w:rsidRPr="000F2CBC" w:rsidRDefault="00152B4F" w:rsidP="009039E0">
            <w:pPr>
              <w:jc w:val="right"/>
              <w:rPr>
                <w:rFonts w:cs="Calibri"/>
                <w:color w:val="000000" w:themeColor="text1"/>
                <w:szCs w:val="22"/>
              </w:rPr>
            </w:pPr>
            <w:r w:rsidRPr="000F2CBC">
              <w:t>13</w:t>
            </w:r>
          </w:p>
        </w:tc>
        <w:tc>
          <w:tcPr>
            <w:tcW w:w="1134" w:type="dxa"/>
            <w:tcBorders>
              <w:top w:val="nil"/>
              <w:left w:val="nil"/>
              <w:bottom w:val="single" w:sz="8" w:space="0" w:color="auto"/>
              <w:right w:val="single" w:sz="8" w:space="0" w:color="auto"/>
            </w:tcBorders>
            <w:noWrap/>
          </w:tcPr>
          <w:p w14:paraId="45DC7956" w14:textId="77777777" w:rsidR="00152B4F" w:rsidRPr="000F2CBC" w:rsidRDefault="00152B4F" w:rsidP="009039E0">
            <w:pPr>
              <w:jc w:val="right"/>
              <w:rPr>
                <w:rFonts w:cs="Calibri"/>
                <w:color w:val="000000" w:themeColor="text1"/>
                <w:szCs w:val="22"/>
              </w:rPr>
            </w:pPr>
            <w:r w:rsidRPr="000F2CBC">
              <w:t>2</w:t>
            </w:r>
          </w:p>
        </w:tc>
        <w:tc>
          <w:tcPr>
            <w:tcW w:w="1276" w:type="dxa"/>
            <w:tcBorders>
              <w:top w:val="nil"/>
              <w:left w:val="nil"/>
              <w:bottom w:val="single" w:sz="8" w:space="0" w:color="auto"/>
              <w:right w:val="single" w:sz="8" w:space="0" w:color="auto"/>
            </w:tcBorders>
            <w:noWrap/>
          </w:tcPr>
          <w:p w14:paraId="3627B47B" w14:textId="77777777" w:rsidR="00152B4F" w:rsidRPr="000F2CBC" w:rsidRDefault="00152B4F" w:rsidP="009039E0">
            <w:pPr>
              <w:jc w:val="right"/>
              <w:rPr>
                <w:rFonts w:cs="Calibri"/>
                <w:color w:val="000000" w:themeColor="text1"/>
                <w:szCs w:val="22"/>
              </w:rPr>
            </w:pPr>
            <w:r w:rsidRPr="000F2CBC">
              <w:t xml:space="preserve"> 6.50 </w:t>
            </w:r>
          </w:p>
        </w:tc>
      </w:tr>
      <w:tr w:rsidR="00152B4F" w:rsidRPr="000F2CBC" w14:paraId="59E5813D"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38F11CDD" w14:textId="77777777" w:rsidR="00152B4F" w:rsidRPr="000F2CBC" w:rsidRDefault="00152B4F" w:rsidP="009039E0">
            <w:pPr>
              <w:pStyle w:val="TableHeading"/>
              <w:ind w:left="720"/>
              <w:rPr>
                <w:color w:val="auto"/>
                <w:szCs w:val="22"/>
              </w:rPr>
            </w:pPr>
            <w:r w:rsidRPr="000F2CBC">
              <w:rPr>
                <w:rFonts w:asciiTheme="majorHAnsi" w:hAnsiTheme="majorHAnsi" w:cs="Calibri"/>
                <w:color w:val="auto"/>
                <w:szCs w:val="22"/>
              </w:rPr>
              <w:t>26 Week Bonus Outcomes/Work Assist</w:t>
            </w:r>
          </w:p>
        </w:tc>
        <w:tc>
          <w:tcPr>
            <w:tcW w:w="1276" w:type="dxa"/>
            <w:tcBorders>
              <w:top w:val="nil"/>
              <w:left w:val="nil"/>
              <w:bottom w:val="single" w:sz="8" w:space="0" w:color="auto"/>
              <w:right w:val="single" w:sz="8" w:space="0" w:color="auto"/>
            </w:tcBorders>
            <w:noWrap/>
          </w:tcPr>
          <w:p w14:paraId="14ED2480" w14:textId="77777777" w:rsidR="00152B4F" w:rsidRPr="000F2CBC" w:rsidRDefault="00152B4F" w:rsidP="009039E0">
            <w:pPr>
              <w:jc w:val="right"/>
              <w:rPr>
                <w:rFonts w:cs="Calibri"/>
                <w:color w:val="000000" w:themeColor="text1"/>
                <w:szCs w:val="22"/>
              </w:rPr>
            </w:pPr>
            <w:r w:rsidRPr="000F2CBC">
              <w:t>6</w:t>
            </w:r>
          </w:p>
        </w:tc>
        <w:tc>
          <w:tcPr>
            <w:tcW w:w="1134" w:type="dxa"/>
            <w:tcBorders>
              <w:top w:val="nil"/>
              <w:left w:val="nil"/>
              <w:bottom w:val="single" w:sz="8" w:space="0" w:color="auto"/>
              <w:right w:val="single" w:sz="8" w:space="0" w:color="auto"/>
            </w:tcBorders>
            <w:noWrap/>
          </w:tcPr>
          <w:p w14:paraId="689E10A6" w14:textId="77777777" w:rsidR="00152B4F" w:rsidRPr="000F2CBC" w:rsidRDefault="00152B4F" w:rsidP="009039E0">
            <w:pPr>
              <w:jc w:val="right"/>
              <w:rPr>
                <w:rFonts w:cs="Calibri"/>
                <w:color w:val="000000" w:themeColor="text1"/>
                <w:szCs w:val="22"/>
              </w:rPr>
            </w:pPr>
            <w:r w:rsidRPr="000F2CBC">
              <w:t>1</w:t>
            </w:r>
          </w:p>
        </w:tc>
        <w:tc>
          <w:tcPr>
            <w:tcW w:w="1276" w:type="dxa"/>
            <w:tcBorders>
              <w:top w:val="nil"/>
              <w:left w:val="nil"/>
              <w:bottom w:val="single" w:sz="8" w:space="0" w:color="auto"/>
              <w:right w:val="single" w:sz="8" w:space="0" w:color="auto"/>
            </w:tcBorders>
            <w:noWrap/>
          </w:tcPr>
          <w:p w14:paraId="12F19B75" w14:textId="77777777" w:rsidR="00152B4F" w:rsidRPr="000F2CBC" w:rsidRDefault="00152B4F" w:rsidP="009039E0">
            <w:pPr>
              <w:jc w:val="right"/>
              <w:rPr>
                <w:rFonts w:cs="Calibri"/>
                <w:color w:val="000000" w:themeColor="text1"/>
                <w:szCs w:val="22"/>
              </w:rPr>
            </w:pPr>
            <w:r w:rsidRPr="000F2CBC">
              <w:t xml:space="preserve"> 6.00 </w:t>
            </w:r>
          </w:p>
        </w:tc>
      </w:tr>
      <w:tr w:rsidR="00152B4F" w:rsidRPr="000F2CBC" w14:paraId="169FB948"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549BE1AB" w14:textId="77777777" w:rsidR="00152B4F" w:rsidRPr="000F2CBC" w:rsidRDefault="00152B4F" w:rsidP="009039E0">
            <w:pPr>
              <w:pStyle w:val="TableHeading"/>
              <w:rPr>
                <w:color w:val="auto"/>
                <w:szCs w:val="22"/>
              </w:rPr>
            </w:pPr>
            <w:r w:rsidRPr="000F2CBC">
              <w:rPr>
                <w:color w:val="auto"/>
                <w:szCs w:val="22"/>
              </w:rPr>
              <w:t>52 Week Outcomes combined</w:t>
            </w:r>
          </w:p>
        </w:tc>
        <w:tc>
          <w:tcPr>
            <w:tcW w:w="1276" w:type="dxa"/>
            <w:tcBorders>
              <w:top w:val="nil"/>
              <w:left w:val="nil"/>
              <w:bottom w:val="single" w:sz="8" w:space="0" w:color="auto"/>
              <w:right w:val="single" w:sz="8" w:space="0" w:color="auto"/>
            </w:tcBorders>
            <w:noWrap/>
          </w:tcPr>
          <w:p w14:paraId="7B2D3529" w14:textId="77777777" w:rsidR="00152B4F" w:rsidRPr="000F2CBC" w:rsidRDefault="00152B4F" w:rsidP="009039E0">
            <w:pPr>
              <w:jc w:val="right"/>
              <w:rPr>
                <w:rFonts w:cs="Calibri"/>
                <w:color w:val="000000" w:themeColor="text1"/>
                <w:szCs w:val="22"/>
              </w:rPr>
            </w:pPr>
          </w:p>
        </w:tc>
        <w:tc>
          <w:tcPr>
            <w:tcW w:w="1134" w:type="dxa"/>
            <w:tcBorders>
              <w:top w:val="nil"/>
              <w:left w:val="nil"/>
              <w:bottom w:val="single" w:sz="8" w:space="0" w:color="auto"/>
              <w:right w:val="single" w:sz="8" w:space="0" w:color="auto"/>
            </w:tcBorders>
            <w:noWrap/>
          </w:tcPr>
          <w:p w14:paraId="105D5025" w14:textId="77777777" w:rsidR="00152B4F" w:rsidRPr="000F2CBC" w:rsidRDefault="00152B4F" w:rsidP="009039E0">
            <w:pPr>
              <w:jc w:val="right"/>
              <w:rPr>
                <w:rFonts w:cs="Calibri"/>
                <w:color w:val="000000" w:themeColor="text1"/>
                <w:szCs w:val="22"/>
              </w:rPr>
            </w:pPr>
          </w:p>
        </w:tc>
        <w:tc>
          <w:tcPr>
            <w:tcW w:w="1276" w:type="dxa"/>
            <w:tcBorders>
              <w:top w:val="nil"/>
              <w:left w:val="nil"/>
              <w:bottom w:val="single" w:sz="8" w:space="0" w:color="auto"/>
              <w:right w:val="single" w:sz="8" w:space="0" w:color="auto"/>
            </w:tcBorders>
            <w:noWrap/>
          </w:tcPr>
          <w:p w14:paraId="66D864CB" w14:textId="77777777" w:rsidR="00152B4F" w:rsidRPr="000F2CBC" w:rsidRDefault="00152B4F" w:rsidP="009039E0">
            <w:pPr>
              <w:jc w:val="right"/>
              <w:rPr>
                <w:rFonts w:cs="Calibri"/>
                <w:color w:val="000000" w:themeColor="text1"/>
                <w:szCs w:val="22"/>
              </w:rPr>
            </w:pPr>
            <w:r w:rsidRPr="000F2CBC">
              <w:t xml:space="preserve"> 2.02 </w:t>
            </w:r>
          </w:p>
        </w:tc>
      </w:tr>
      <w:tr w:rsidR="00152B4F" w:rsidRPr="000F2CBC" w14:paraId="1ED3DA4C"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0893CA77" w14:textId="77777777" w:rsidR="00152B4F" w:rsidRPr="000F2CBC" w:rsidRDefault="00152B4F" w:rsidP="009039E0">
            <w:pPr>
              <w:pStyle w:val="TableHeading"/>
              <w:ind w:left="720"/>
              <w:rPr>
                <w:color w:val="auto"/>
                <w:szCs w:val="22"/>
              </w:rPr>
            </w:pPr>
            <w:r w:rsidRPr="000F2CBC">
              <w:rPr>
                <w:rFonts w:asciiTheme="majorHAnsi" w:hAnsiTheme="majorHAnsi" w:cs="Calibri"/>
                <w:color w:val="auto"/>
                <w:szCs w:val="22"/>
              </w:rPr>
              <w:t>52 Week Full</w:t>
            </w:r>
          </w:p>
        </w:tc>
        <w:tc>
          <w:tcPr>
            <w:tcW w:w="1276" w:type="dxa"/>
            <w:tcBorders>
              <w:top w:val="nil"/>
              <w:left w:val="nil"/>
              <w:bottom w:val="single" w:sz="8" w:space="0" w:color="auto"/>
              <w:right w:val="single" w:sz="8" w:space="0" w:color="auto"/>
            </w:tcBorders>
            <w:noWrap/>
          </w:tcPr>
          <w:p w14:paraId="28CAD966" w14:textId="77777777" w:rsidR="00152B4F" w:rsidRPr="000F2CBC" w:rsidRDefault="00152B4F" w:rsidP="009039E0">
            <w:pPr>
              <w:jc w:val="right"/>
              <w:rPr>
                <w:rFonts w:cs="Calibri"/>
                <w:color w:val="000000" w:themeColor="text1"/>
                <w:szCs w:val="22"/>
              </w:rPr>
            </w:pPr>
            <w:r w:rsidRPr="000F2CBC">
              <w:t>22</w:t>
            </w:r>
          </w:p>
        </w:tc>
        <w:tc>
          <w:tcPr>
            <w:tcW w:w="1134" w:type="dxa"/>
            <w:tcBorders>
              <w:top w:val="nil"/>
              <w:left w:val="nil"/>
              <w:bottom w:val="single" w:sz="8" w:space="0" w:color="auto"/>
              <w:right w:val="single" w:sz="8" w:space="0" w:color="auto"/>
            </w:tcBorders>
            <w:noWrap/>
          </w:tcPr>
          <w:p w14:paraId="0902F14E" w14:textId="77777777" w:rsidR="00152B4F" w:rsidRPr="000F2CBC" w:rsidRDefault="00152B4F" w:rsidP="009039E0">
            <w:pPr>
              <w:jc w:val="right"/>
              <w:rPr>
                <w:rFonts w:cs="Calibri"/>
                <w:color w:val="000000" w:themeColor="text1"/>
                <w:szCs w:val="22"/>
              </w:rPr>
            </w:pPr>
            <w:r w:rsidRPr="000F2CBC">
              <w:t>10</w:t>
            </w:r>
          </w:p>
        </w:tc>
        <w:tc>
          <w:tcPr>
            <w:tcW w:w="1276" w:type="dxa"/>
            <w:tcBorders>
              <w:top w:val="nil"/>
              <w:left w:val="nil"/>
              <w:bottom w:val="single" w:sz="8" w:space="0" w:color="auto"/>
              <w:right w:val="single" w:sz="8" w:space="0" w:color="auto"/>
            </w:tcBorders>
            <w:noWrap/>
          </w:tcPr>
          <w:p w14:paraId="50EFE93E" w14:textId="77777777" w:rsidR="00152B4F" w:rsidRPr="000F2CBC" w:rsidRDefault="00152B4F" w:rsidP="009039E0">
            <w:pPr>
              <w:jc w:val="right"/>
              <w:rPr>
                <w:rFonts w:cs="Calibri"/>
                <w:color w:val="000000" w:themeColor="text1"/>
                <w:szCs w:val="22"/>
              </w:rPr>
            </w:pPr>
            <w:r w:rsidRPr="000F2CBC">
              <w:t xml:space="preserve"> 2.20 </w:t>
            </w:r>
          </w:p>
        </w:tc>
      </w:tr>
      <w:tr w:rsidR="00152B4F" w:rsidRPr="000F2CBC" w14:paraId="53CABCF5"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406A693B" w14:textId="77777777" w:rsidR="00152B4F" w:rsidRPr="000F2CBC" w:rsidRDefault="00152B4F" w:rsidP="009039E0">
            <w:pPr>
              <w:pStyle w:val="TableHeading"/>
              <w:ind w:left="720"/>
              <w:rPr>
                <w:color w:val="auto"/>
                <w:szCs w:val="22"/>
              </w:rPr>
            </w:pPr>
            <w:r w:rsidRPr="000F2CBC">
              <w:rPr>
                <w:color w:val="auto"/>
                <w:szCs w:val="22"/>
              </w:rPr>
              <w:t>52 Week Pathway</w:t>
            </w:r>
          </w:p>
        </w:tc>
        <w:tc>
          <w:tcPr>
            <w:tcW w:w="1276" w:type="dxa"/>
            <w:tcBorders>
              <w:top w:val="nil"/>
              <w:left w:val="nil"/>
              <w:bottom w:val="single" w:sz="8" w:space="0" w:color="auto"/>
              <w:right w:val="single" w:sz="8" w:space="0" w:color="auto"/>
            </w:tcBorders>
            <w:noWrap/>
          </w:tcPr>
          <w:p w14:paraId="4D53CB2F" w14:textId="77777777" w:rsidR="00152B4F" w:rsidRPr="000F2CBC" w:rsidRDefault="00152B4F" w:rsidP="009039E0">
            <w:pPr>
              <w:jc w:val="right"/>
              <w:rPr>
                <w:rFonts w:cs="Calibri"/>
                <w:color w:val="000000" w:themeColor="text1"/>
                <w:szCs w:val="22"/>
              </w:rPr>
            </w:pPr>
            <w:r w:rsidRPr="000F2CBC">
              <w:t>13</w:t>
            </w:r>
          </w:p>
        </w:tc>
        <w:tc>
          <w:tcPr>
            <w:tcW w:w="1134" w:type="dxa"/>
            <w:tcBorders>
              <w:top w:val="nil"/>
              <w:left w:val="nil"/>
              <w:bottom w:val="single" w:sz="8" w:space="0" w:color="auto"/>
              <w:right w:val="single" w:sz="8" w:space="0" w:color="auto"/>
            </w:tcBorders>
            <w:noWrap/>
          </w:tcPr>
          <w:p w14:paraId="22A6A03E" w14:textId="77777777" w:rsidR="00152B4F" w:rsidRPr="000F2CBC" w:rsidRDefault="00152B4F" w:rsidP="009039E0">
            <w:pPr>
              <w:jc w:val="right"/>
              <w:rPr>
                <w:rFonts w:cs="Calibri"/>
                <w:color w:val="000000" w:themeColor="text1"/>
                <w:szCs w:val="22"/>
              </w:rPr>
            </w:pPr>
            <w:r w:rsidRPr="000F2CBC">
              <w:t>10</w:t>
            </w:r>
          </w:p>
        </w:tc>
        <w:tc>
          <w:tcPr>
            <w:tcW w:w="1276" w:type="dxa"/>
            <w:tcBorders>
              <w:top w:val="nil"/>
              <w:left w:val="nil"/>
              <w:bottom w:val="single" w:sz="8" w:space="0" w:color="auto"/>
              <w:right w:val="single" w:sz="8" w:space="0" w:color="auto"/>
            </w:tcBorders>
            <w:noWrap/>
          </w:tcPr>
          <w:p w14:paraId="6D5E4004" w14:textId="77777777" w:rsidR="00152B4F" w:rsidRPr="000F2CBC" w:rsidRDefault="00152B4F" w:rsidP="009039E0">
            <w:pPr>
              <w:jc w:val="right"/>
              <w:rPr>
                <w:rFonts w:cs="Calibri"/>
                <w:color w:val="000000" w:themeColor="text1"/>
                <w:szCs w:val="22"/>
              </w:rPr>
            </w:pPr>
            <w:r w:rsidRPr="000F2CBC">
              <w:t xml:space="preserve"> 1.30 </w:t>
            </w:r>
          </w:p>
        </w:tc>
      </w:tr>
      <w:tr w:rsidR="00152B4F" w:rsidRPr="000F2CBC" w14:paraId="2F30BC5F" w14:textId="77777777" w:rsidTr="009039E0">
        <w:trPr>
          <w:trHeight w:val="315"/>
        </w:trPr>
        <w:tc>
          <w:tcPr>
            <w:tcW w:w="4678" w:type="dxa"/>
            <w:tcBorders>
              <w:top w:val="nil"/>
              <w:left w:val="single" w:sz="8" w:space="0" w:color="auto"/>
              <w:bottom w:val="single" w:sz="8" w:space="0" w:color="auto"/>
              <w:right w:val="single" w:sz="8" w:space="0" w:color="auto"/>
            </w:tcBorders>
            <w:shd w:val="clear" w:color="000000" w:fill="D9D9D9"/>
            <w:noWrap/>
            <w:vAlign w:val="bottom"/>
            <w:hideMark/>
          </w:tcPr>
          <w:p w14:paraId="23BFE53D" w14:textId="77777777" w:rsidR="00152B4F" w:rsidRPr="000F2CBC" w:rsidRDefault="00152B4F" w:rsidP="009039E0">
            <w:pPr>
              <w:pStyle w:val="TableHeading"/>
              <w:rPr>
                <w:color w:val="auto"/>
                <w:szCs w:val="22"/>
              </w:rPr>
            </w:pPr>
            <w:r w:rsidRPr="000F2CBC">
              <w:rPr>
                <w:color w:val="auto"/>
                <w:szCs w:val="22"/>
              </w:rPr>
              <w:t>Ongoing Support</w:t>
            </w:r>
          </w:p>
        </w:tc>
        <w:tc>
          <w:tcPr>
            <w:tcW w:w="1276" w:type="dxa"/>
            <w:tcBorders>
              <w:top w:val="nil"/>
              <w:left w:val="nil"/>
              <w:bottom w:val="single" w:sz="8" w:space="0" w:color="auto"/>
              <w:right w:val="single" w:sz="8" w:space="0" w:color="auto"/>
            </w:tcBorders>
            <w:noWrap/>
            <w:hideMark/>
          </w:tcPr>
          <w:p w14:paraId="13CA0DA9" w14:textId="77777777" w:rsidR="00152B4F" w:rsidRPr="000F2CBC" w:rsidRDefault="00152B4F" w:rsidP="009039E0">
            <w:pPr>
              <w:jc w:val="right"/>
              <w:rPr>
                <w:rFonts w:cs="Calibri"/>
                <w:color w:val="000000" w:themeColor="text1"/>
                <w:szCs w:val="22"/>
              </w:rPr>
            </w:pPr>
            <w:r w:rsidRPr="000F2CBC">
              <w:t>12</w:t>
            </w:r>
          </w:p>
        </w:tc>
        <w:tc>
          <w:tcPr>
            <w:tcW w:w="1134" w:type="dxa"/>
            <w:tcBorders>
              <w:top w:val="nil"/>
              <w:left w:val="nil"/>
              <w:bottom w:val="single" w:sz="8" w:space="0" w:color="auto"/>
              <w:right w:val="single" w:sz="8" w:space="0" w:color="auto"/>
            </w:tcBorders>
            <w:noWrap/>
            <w:hideMark/>
          </w:tcPr>
          <w:p w14:paraId="497ABE39" w14:textId="77777777" w:rsidR="00152B4F" w:rsidRPr="000F2CBC" w:rsidRDefault="00152B4F" w:rsidP="009039E0">
            <w:pPr>
              <w:jc w:val="right"/>
              <w:rPr>
                <w:rFonts w:cs="Calibri"/>
                <w:color w:val="000000" w:themeColor="text1"/>
                <w:szCs w:val="22"/>
              </w:rPr>
            </w:pPr>
            <w:r w:rsidRPr="000F2CBC">
              <w:t>13</w:t>
            </w:r>
          </w:p>
        </w:tc>
        <w:tc>
          <w:tcPr>
            <w:tcW w:w="1276" w:type="dxa"/>
            <w:tcBorders>
              <w:top w:val="nil"/>
              <w:left w:val="nil"/>
              <w:bottom w:val="single" w:sz="8" w:space="0" w:color="auto"/>
              <w:right w:val="single" w:sz="8" w:space="0" w:color="auto"/>
            </w:tcBorders>
            <w:noWrap/>
            <w:hideMark/>
          </w:tcPr>
          <w:p w14:paraId="04E06288" w14:textId="77777777" w:rsidR="00152B4F" w:rsidRPr="000F2CBC" w:rsidRDefault="00152B4F" w:rsidP="009039E0">
            <w:pPr>
              <w:jc w:val="right"/>
              <w:rPr>
                <w:rFonts w:cs="Calibri"/>
                <w:color w:val="000000" w:themeColor="text1"/>
                <w:szCs w:val="22"/>
              </w:rPr>
            </w:pPr>
            <w:r w:rsidRPr="000F2CBC">
              <w:t xml:space="preserve"> 0.92 </w:t>
            </w:r>
          </w:p>
        </w:tc>
      </w:tr>
    </w:tbl>
    <w:p w14:paraId="7BB74E7E" w14:textId="77777777" w:rsidR="00152B4F" w:rsidRPr="000F2CBC" w:rsidRDefault="00152B4F" w:rsidP="00152B4F">
      <w:pPr>
        <w:ind w:left="1134" w:hanging="567"/>
        <w:rPr>
          <w:sz w:val="18"/>
          <w:szCs w:val="18"/>
        </w:rPr>
      </w:pPr>
      <w:r w:rsidRPr="000F2CBC">
        <w:rPr>
          <w:sz w:val="18"/>
          <w:szCs w:val="18"/>
        </w:rPr>
        <w:t xml:space="preserve">Note: </w:t>
      </w:r>
      <w:r w:rsidRPr="000F2CBC">
        <w:rPr>
          <w:sz w:val="18"/>
          <w:szCs w:val="18"/>
        </w:rPr>
        <w:tab/>
        <w:t xml:space="preserve">The 26 Week Full, Pathway and Bonus Outcome/Work Assist actual and expected results are combined into one single ratio. See </w:t>
      </w:r>
      <w:r w:rsidRPr="000F2CBC">
        <w:rPr>
          <w:sz w:val="18"/>
          <w:szCs w:val="18"/>
          <w:u w:val="single"/>
        </w:rPr>
        <w:t>Attachment B</w:t>
      </w:r>
      <w:r w:rsidRPr="000F2CBC">
        <w:rPr>
          <w:sz w:val="18"/>
          <w:szCs w:val="18"/>
        </w:rPr>
        <w:t xml:space="preserve"> for more detail on how this occurs. Similarly, the 52 Week Outcome actual and expected results are combined into one single ratio. See </w:t>
      </w:r>
      <w:r w:rsidRPr="000F2CBC">
        <w:rPr>
          <w:sz w:val="18"/>
          <w:szCs w:val="18"/>
          <w:u w:val="single"/>
        </w:rPr>
        <w:t>Attachment B</w:t>
      </w:r>
      <w:r w:rsidRPr="000F2CBC">
        <w:rPr>
          <w:sz w:val="18"/>
          <w:szCs w:val="18"/>
        </w:rPr>
        <w:t xml:space="preserve"> for more detail on how this combining process occurs.</w:t>
      </w:r>
    </w:p>
    <w:p w14:paraId="424B2AA4" w14:textId="77777777" w:rsidR="00152B4F" w:rsidRPr="00564A84" w:rsidRDefault="00152B4F" w:rsidP="00152B4F">
      <w:pPr>
        <w:pStyle w:val="ListParagraph"/>
        <w:ind w:left="1080"/>
        <w:rPr>
          <w:sz w:val="20"/>
          <w:szCs w:val="20"/>
          <w:highlight w:val="yellow"/>
        </w:rPr>
      </w:pPr>
    </w:p>
    <w:p w14:paraId="58AF9A96" w14:textId="77777777" w:rsidR="00152B4F" w:rsidRDefault="006F6048" w:rsidP="00152B4F">
      <w:pPr>
        <w:rPr>
          <w:szCs w:val="22"/>
        </w:rPr>
      </w:pPr>
      <w:r>
        <w:pict w14:anchorId="7A479007">
          <v:rect id="_x0000_i1033" style="width:415.3pt;height:1.5pt" o:hralign="center" o:hrstd="t" o:hr="t" fillcolor="#a0a0a0" stroked="f"/>
        </w:pict>
      </w:r>
    </w:p>
    <w:p w14:paraId="63CA517E" w14:textId="77777777" w:rsidR="00152B4F" w:rsidRDefault="00152B4F" w:rsidP="00152B4F">
      <w:pPr>
        <w:spacing w:after="480"/>
        <w:contextualSpacing/>
        <w:rPr>
          <w:rFonts w:eastAsia="Times New Roman"/>
          <w:szCs w:val="22"/>
          <w:lang w:eastAsia="en-AU"/>
        </w:rPr>
      </w:pPr>
    </w:p>
    <w:p w14:paraId="63A54948" w14:textId="77777777" w:rsidR="00152B4F" w:rsidRDefault="00152B4F" w:rsidP="00152B4F">
      <w:pPr>
        <w:rPr>
          <w:szCs w:val="22"/>
        </w:rPr>
      </w:pPr>
      <w:r>
        <w:rPr>
          <w:szCs w:val="22"/>
        </w:rPr>
        <w:br w:type="page"/>
      </w:r>
    </w:p>
    <w:p w14:paraId="56F92852" w14:textId="77777777" w:rsidR="00152B4F" w:rsidRDefault="006F6048" w:rsidP="00152B4F">
      <w:r>
        <w:pict w14:anchorId="266D4AEA">
          <v:rect id="_x0000_i1034" style="width:415.3pt;height:1.5pt" o:hralign="center" o:hrstd="t" o:hr="t" fillcolor="#a0a0a0" stroked="f"/>
        </w:pict>
      </w:r>
    </w:p>
    <w:p w14:paraId="2F8CB179" w14:textId="77777777" w:rsidR="00152B4F" w:rsidRDefault="00152B4F" w:rsidP="00152B4F">
      <w:pPr>
        <w:rPr>
          <w:b/>
          <w:szCs w:val="22"/>
        </w:rPr>
      </w:pPr>
    </w:p>
    <w:p w14:paraId="43814713" w14:textId="77777777" w:rsidR="00152B4F" w:rsidRPr="006B3912" w:rsidRDefault="00152B4F" w:rsidP="00152B4F">
      <w:pPr>
        <w:rPr>
          <w:b/>
        </w:rPr>
      </w:pPr>
      <w:r w:rsidRPr="006B3912">
        <w:rPr>
          <w:b/>
        </w:rPr>
        <w:t>Step 4: Standardise the Ratios to Performance Measure Scores between 0 and 4</w:t>
      </w:r>
    </w:p>
    <w:p w14:paraId="51906EC1" w14:textId="77777777" w:rsidR="00152B4F" w:rsidRDefault="00152B4F" w:rsidP="00152B4F">
      <w:pPr>
        <w:tabs>
          <w:tab w:val="left" w:pos="915"/>
        </w:tabs>
        <w:rPr>
          <w:szCs w:val="22"/>
        </w:rPr>
      </w:pPr>
      <w:r w:rsidRPr="00E962BF">
        <w:rPr>
          <w:szCs w:val="22"/>
        </w:rPr>
        <w:t xml:space="preserve">The model standardises the ratios to performance measure scores and places them on a scale from 0 to 4. This ensures that the performance measure weightings as set out in </w:t>
      </w:r>
      <w:r w:rsidRPr="000F2CBC">
        <w:t>Table </w:t>
      </w:r>
      <w:r>
        <w:rPr>
          <w:szCs w:val="22"/>
        </w:rPr>
        <w:t>one</w:t>
      </w:r>
      <w:r w:rsidRPr="00E962BF">
        <w:rPr>
          <w:szCs w:val="22"/>
        </w:rPr>
        <w:t xml:space="preserve"> are applied correctly.</w:t>
      </w:r>
    </w:p>
    <w:p w14:paraId="2CF5CD90" w14:textId="77777777" w:rsidR="00152B4F" w:rsidRDefault="00152B4F" w:rsidP="00152B4F">
      <w:pPr>
        <w:rPr>
          <w:szCs w:val="22"/>
        </w:rPr>
      </w:pPr>
    </w:p>
    <w:p w14:paraId="6CDBD2EB" w14:textId="77777777" w:rsidR="00152B4F" w:rsidRDefault="006F6048" w:rsidP="00152B4F">
      <w:r>
        <w:pict w14:anchorId="49DFBBEA">
          <v:rect id="_x0000_i1035" style="width:415.3pt;height:1.5pt" o:hralign="center" o:hrstd="t" o:hr="t" fillcolor="#a0a0a0" stroked="f"/>
        </w:pict>
      </w:r>
    </w:p>
    <w:p w14:paraId="483777C2" w14:textId="77777777" w:rsidR="00152B4F" w:rsidRDefault="00152B4F" w:rsidP="00152B4F">
      <w:pPr>
        <w:rPr>
          <w:szCs w:val="22"/>
        </w:rPr>
      </w:pPr>
    </w:p>
    <w:p w14:paraId="12FA2705" w14:textId="77777777" w:rsidR="00152B4F" w:rsidRPr="00E962BF" w:rsidRDefault="00152B4F" w:rsidP="00152B4F">
      <w:pPr>
        <w:ind w:firstLine="720"/>
        <w:rPr>
          <w:b/>
          <w:szCs w:val="22"/>
        </w:rPr>
      </w:pPr>
      <w:r w:rsidRPr="00E962BF">
        <w:rPr>
          <w:b/>
          <w:szCs w:val="22"/>
        </w:rPr>
        <w:t>Step 4 Example</w:t>
      </w:r>
    </w:p>
    <w:p w14:paraId="21B7A09E" w14:textId="77777777" w:rsidR="00152B4F" w:rsidRDefault="00152B4F" w:rsidP="00152B4F">
      <w:pPr>
        <w:ind w:left="720"/>
        <w:rPr>
          <w:szCs w:val="22"/>
        </w:rPr>
      </w:pPr>
      <w:r w:rsidRPr="00E962BF">
        <w:rPr>
          <w:szCs w:val="22"/>
        </w:rPr>
        <w:t>The model transforms the performance measure ratios for Site X to the</w:t>
      </w:r>
      <w:r>
        <w:rPr>
          <w:szCs w:val="22"/>
        </w:rPr>
        <w:t xml:space="preserve"> standardised</w:t>
      </w:r>
      <w:r w:rsidRPr="00E962BF">
        <w:rPr>
          <w:szCs w:val="22"/>
        </w:rPr>
        <w:t xml:space="preserve"> performance measure scores shown in the following table. </w:t>
      </w:r>
    </w:p>
    <w:p w14:paraId="1C9990E9" w14:textId="77777777" w:rsidR="00152B4F" w:rsidRPr="00E962BF" w:rsidRDefault="00152B4F" w:rsidP="00152B4F">
      <w:pPr>
        <w:ind w:left="720"/>
        <w:rPr>
          <w:szCs w:val="22"/>
        </w:rPr>
      </w:pPr>
    </w:p>
    <w:tbl>
      <w:tblPr>
        <w:tblW w:w="8222" w:type="dxa"/>
        <w:tblInd w:w="-10" w:type="dxa"/>
        <w:tblLayout w:type="fixed"/>
        <w:tblLook w:val="04A0" w:firstRow="1" w:lastRow="0" w:firstColumn="1" w:lastColumn="0" w:noHBand="0" w:noVBand="1"/>
      </w:tblPr>
      <w:tblGrid>
        <w:gridCol w:w="4536"/>
        <w:gridCol w:w="1701"/>
        <w:gridCol w:w="1985"/>
      </w:tblGrid>
      <w:tr w:rsidR="00152B4F" w:rsidRPr="00E962BF" w14:paraId="52F4AE89" w14:textId="77777777" w:rsidTr="009039E0">
        <w:trPr>
          <w:trHeight w:val="415"/>
        </w:trPr>
        <w:tc>
          <w:tcPr>
            <w:tcW w:w="4536"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4A59075F" w14:textId="77777777" w:rsidR="00152B4F" w:rsidRPr="000F2CBC" w:rsidRDefault="00152B4F" w:rsidP="009039E0">
            <w:pPr>
              <w:spacing w:before="60" w:after="60"/>
              <w:rPr>
                <w:rFonts w:cs="Calibri"/>
                <w:b/>
                <w:bCs/>
                <w:szCs w:val="22"/>
              </w:rPr>
            </w:pPr>
            <w:r w:rsidRPr="000F2CBC">
              <w:rPr>
                <w:rFonts w:cs="Calibri"/>
                <w:b/>
                <w:bCs/>
                <w:szCs w:val="22"/>
              </w:rPr>
              <w:t>Performance Measure</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14:paraId="547CA15A" w14:textId="77777777" w:rsidR="00152B4F" w:rsidRPr="00060458" w:rsidRDefault="00152B4F" w:rsidP="009039E0">
            <w:pPr>
              <w:spacing w:before="60" w:after="60"/>
              <w:jc w:val="center"/>
              <w:rPr>
                <w:rFonts w:cs="Calibri"/>
                <w:b/>
                <w:bCs/>
                <w:szCs w:val="22"/>
              </w:rPr>
            </w:pPr>
            <w:r w:rsidRPr="00060458">
              <w:rPr>
                <w:rFonts w:cs="Calibri"/>
                <w:b/>
                <w:bCs/>
                <w:szCs w:val="22"/>
              </w:rPr>
              <w:t>Ratio</w:t>
            </w:r>
          </w:p>
        </w:tc>
        <w:tc>
          <w:tcPr>
            <w:tcW w:w="1985" w:type="dxa"/>
            <w:tcBorders>
              <w:top w:val="single" w:sz="8" w:space="0" w:color="auto"/>
              <w:left w:val="nil"/>
              <w:bottom w:val="single" w:sz="4" w:space="0" w:color="auto"/>
              <w:right w:val="single" w:sz="8" w:space="0" w:color="auto"/>
            </w:tcBorders>
            <w:shd w:val="clear" w:color="auto" w:fill="FFFFFF" w:themeFill="background1"/>
            <w:vAlign w:val="center"/>
            <w:hideMark/>
          </w:tcPr>
          <w:p w14:paraId="4C46CB5E" w14:textId="77777777" w:rsidR="00152B4F" w:rsidRPr="00060458" w:rsidRDefault="00152B4F" w:rsidP="009039E0">
            <w:pPr>
              <w:spacing w:before="60" w:after="60"/>
              <w:jc w:val="center"/>
              <w:rPr>
                <w:rFonts w:cs="Calibri"/>
                <w:b/>
                <w:bCs/>
                <w:szCs w:val="22"/>
              </w:rPr>
            </w:pPr>
            <w:r w:rsidRPr="00060458">
              <w:rPr>
                <w:rFonts w:cs="Calibri"/>
                <w:b/>
                <w:bCs/>
                <w:szCs w:val="22"/>
              </w:rPr>
              <w:t>Standardised Score</w:t>
            </w:r>
          </w:p>
        </w:tc>
      </w:tr>
      <w:tr w:rsidR="00152B4F" w:rsidRPr="00E962BF" w14:paraId="3AD9EA09" w14:textId="77777777" w:rsidTr="009039E0">
        <w:trPr>
          <w:trHeight w:val="315"/>
        </w:trPr>
        <w:tc>
          <w:tcPr>
            <w:tcW w:w="4536" w:type="dxa"/>
            <w:tcBorders>
              <w:top w:val="nil"/>
              <w:left w:val="single" w:sz="8" w:space="0" w:color="auto"/>
              <w:bottom w:val="nil"/>
              <w:right w:val="single" w:sz="8" w:space="0" w:color="auto"/>
            </w:tcBorders>
            <w:shd w:val="clear" w:color="000000" w:fill="D9D9D9"/>
            <w:noWrap/>
            <w:vAlign w:val="bottom"/>
            <w:hideMark/>
          </w:tcPr>
          <w:p w14:paraId="0FD8B25C" w14:textId="77777777" w:rsidR="00152B4F" w:rsidRPr="000F2CBC" w:rsidRDefault="00152B4F" w:rsidP="009039E0">
            <w:pPr>
              <w:rPr>
                <w:rFonts w:cs="Calibri"/>
                <w:b/>
                <w:bCs/>
                <w:szCs w:val="22"/>
              </w:rPr>
            </w:pPr>
            <w:r w:rsidRPr="000F2CBC">
              <w:rPr>
                <w:b/>
                <w:szCs w:val="22"/>
              </w:rPr>
              <w:t>13 Week Full Outcomes</w:t>
            </w:r>
          </w:p>
        </w:tc>
        <w:tc>
          <w:tcPr>
            <w:tcW w:w="1701" w:type="dxa"/>
            <w:tcBorders>
              <w:top w:val="nil"/>
              <w:left w:val="nil"/>
              <w:bottom w:val="single" w:sz="8" w:space="0" w:color="auto"/>
              <w:right w:val="single" w:sz="8" w:space="0" w:color="auto"/>
            </w:tcBorders>
            <w:noWrap/>
          </w:tcPr>
          <w:p w14:paraId="073F3F2E" w14:textId="77777777" w:rsidR="00152B4F" w:rsidRPr="006B5DB5" w:rsidRDefault="00152B4F" w:rsidP="009039E0">
            <w:pPr>
              <w:jc w:val="right"/>
              <w:rPr>
                <w:rFonts w:cs="Calibri"/>
                <w:color w:val="000000" w:themeColor="text1"/>
                <w:szCs w:val="22"/>
              </w:rPr>
            </w:pPr>
            <w:r w:rsidRPr="006B5DB5">
              <w:rPr>
                <w:color w:val="000000" w:themeColor="text1"/>
              </w:rPr>
              <w:t xml:space="preserve"> 3.87 </w:t>
            </w:r>
          </w:p>
        </w:tc>
        <w:tc>
          <w:tcPr>
            <w:tcW w:w="1985" w:type="dxa"/>
            <w:tcBorders>
              <w:top w:val="nil"/>
              <w:left w:val="nil"/>
              <w:bottom w:val="single" w:sz="8" w:space="0" w:color="auto"/>
              <w:right w:val="single" w:sz="8" w:space="0" w:color="auto"/>
            </w:tcBorders>
            <w:noWrap/>
            <w:vAlign w:val="center"/>
          </w:tcPr>
          <w:p w14:paraId="20676D54" w14:textId="77777777" w:rsidR="00152B4F" w:rsidRPr="009E33F4" w:rsidRDefault="00152B4F" w:rsidP="009039E0">
            <w:pPr>
              <w:jc w:val="right"/>
              <w:rPr>
                <w:color w:val="000000" w:themeColor="text1"/>
              </w:rPr>
            </w:pPr>
            <w:r w:rsidRPr="009E33F4">
              <w:rPr>
                <w:color w:val="000000" w:themeColor="text1"/>
              </w:rPr>
              <w:t>4.00</w:t>
            </w:r>
          </w:p>
        </w:tc>
      </w:tr>
      <w:tr w:rsidR="00152B4F" w:rsidRPr="00E962BF" w14:paraId="7459E6BF" w14:textId="77777777" w:rsidTr="009039E0">
        <w:trPr>
          <w:trHeight w:val="315"/>
        </w:trPr>
        <w:tc>
          <w:tcPr>
            <w:tcW w:w="453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4F42FCA" w14:textId="77777777" w:rsidR="00152B4F" w:rsidRPr="000F2CBC" w:rsidRDefault="00152B4F" w:rsidP="009039E0">
            <w:pPr>
              <w:rPr>
                <w:rFonts w:cs="Calibri"/>
                <w:b/>
                <w:bCs/>
                <w:szCs w:val="22"/>
              </w:rPr>
            </w:pPr>
            <w:r w:rsidRPr="000F2CBC">
              <w:rPr>
                <w:b/>
                <w:szCs w:val="22"/>
              </w:rPr>
              <w:t>26 Week Outcomes combined</w:t>
            </w:r>
          </w:p>
        </w:tc>
        <w:tc>
          <w:tcPr>
            <w:tcW w:w="1701" w:type="dxa"/>
            <w:tcBorders>
              <w:top w:val="nil"/>
              <w:left w:val="nil"/>
              <w:bottom w:val="single" w:sz="8" w:space="0" w:color="auto"/>
              <w:right w:val="single" w:sz="8" w:space="0" w:color="auto"/>
            </w:tcBorders>
            <w:noWrap/>
          </w:tcPr>
          <w:p w14:paraId="36DA2E07" w14:textId="77777777" w:rsidR="00152B4F" w:rsidRPr="006B5DB5" w:rsidRDefault="00152B4F" w:rsidP="009039E0">
            <w:pPr>
              <w:jc w:val="right"/>
              <w:rPr>
                <w:rFonts w:cs="Calibri"/>
                <w:color w:val="000000" w:themeColor="text1"/>
                <w:szCs w:val="22"/>
              </w:rPr>
            </w:pPr>
            <w:r>
              <w:rPr>
                <w:color w:val="000000" w:themeColor="text1"/>
              </w:rPr>
              <w:t>2.78</w:t>
            </w:r>
            <w:r w:rsidRPr="006B5DB5">
              <w:rPr>
                <w:color w:val="000000" w:themeColor="text1"/>
              </w:rPr>
              <w:t xml:space="preserve"> </w:t>
            </w:r>
          </w:p>
        </w:tc>
        <w:tc>
          <w:tcPr>
            <w:tcW w:w="1985" w:type="dxa"/>
            <w:tcBorders>
              <w:top w:val="nil"/>
              <w:left w:val="nil"/>
              <w:bottom w:val="single" w:sz="8" w:space="0" w:color="auto"/>
              <w:right w:val="single" w:sz="8" w:space="0" w:color="auto"/>
            </w:tcBorders>
            <w:noWrap/>
            <w:vAlign w:val="center"/>
          </w:tcPr>
          <w:p w14:paraId="6B248D9E" w14:textId="77777777" w:rsidR="00152B4F" w:rsidRPr="009E33F4" w:rsidRDefault="00152B4F" w:rsidP="009039E0">
            <w:pPr>
              <w:jc w:val="right"/>
              <w:rPr>
                <w:color w:val="000000" w:themeColor="text1"/>
              </w:rPr>
            </w:pPr>
            <w:r w:rsidRPr="009E33F4">
              <w:rPr>
                <w:color w:val="000000" w:themeColor="text1"/>
              </w:rPr>
              <w:t>3.00</w:t>
            </w:r>
          </w:p>
        </w:tc>
      </w:tr>
      <w:tr w:rsidR="00152B4F" w:rsidRPr="00E962BF" w14:paraId="5895F141"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37F6336F" w14:textId="77777777" w:rsidR="00152B4F" w:rsidRPr="000F2CBC" w:rsidRDefault="00152B4F" w:rsidP="009039E0">
            <w:pPr>
              <w:ind w:left="720"/>
              <w:rPr>
                <w:rFonts w:cs="Calibri"/>
                <w:b/>
                <w:bCs/>
                <w:szCs w:val="22"/>
              </w:rPr>
            </w:pPr>
            <w:r w:rsidRPr="000F2CBC">
              <w:rPr>
                <w:rFonts w:cs="Calibri"/>
                <w:b/>
                <w:szCs w:val="22"/>
              </w:rPr>
              <w:t>26 Week Full</w:t>
            </w:r>
          </w:p>
        </w:tc>
        <w:tc>
          <w:tcPr>
            <w:tcW w:w="1701" w:type="dxa"/>
            <w:tcBorders>
              <w:top w:val="nil"/>
              <w:left w:val="nil"/>
              <w:bottom w:val="single" w:sz="8" w:space="0" w:color="auto"/>
              <w:right w:val="single" w:sz="8" w:space="0" w:color="auto"/>
            </w:tcBorders>
            <w:noWrap/>
          </w:tcPr>
          <w:p w14:paraId="7B200183" w14:textId="77777777" w:rsidR="00152B4F" w:rsidRPr="006B5DB5" w:rsidRDefault="00152B4F" w:rsidP="009039E0">
            <w:pPr>
              <w:jc w:val="right"/>
              <w:rPr>
                <w:rFonts w:cs="Calibri"/>
                <w:color w:val="000000" w:themeColor="text1"/>
                <w:szCs w:val="22"/>
              </w:rPr>
            </w:pPr>
          </w:p>
        </w:tc>
        <w:tc>
          <w:tcPr>
            <w:tcW w:w="1985" w:type="dxa"/>
            <w:tcBorders>
              <w:top w:val="nil"/>
              <w:left w:val="nil"/>
              <w:bottom w:val="single" w:sz="8" w:space="0" w:color="auto"/>
              <w:right w:val="single" w:sz="8" w:space="0" w:color="auto"/>
            </w:tcBorders>
            <w:noWrap/>
            <w:vAlign w:val="center"/>
          </w:tcPr>
          <w:p w14:paraId="15E6F6C7" w14:textId="77777777" w:rsidR="00152B4F" w:rsidRPr="009E33F4" w:rsidRDefault="00152B4F" w:rsidP="009039E0">
            <w:pPr>
              <w:jc w:val="right"/>
              <w:rPr>
                <w:color w:val="000000" w:themeColor="text1"/>
              </w:rPr>
            </w:pPr>
          </w:p>
        </w:tc>
      </w:tr>
      <w:tr w:rsidR="00152B4F" w:rsidRPr="00E962BF" w14:paraId="3D8EF3F3"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0B5536F7" w14:textId="77777777" w:rsidR="00152B4F" w:rsidRPr="000F2CBC" w:rsidRDefault="00152B4F" w:rsidP="009039E0">
            <w:pPr>
              <w:ind w:left="720"/>
              <w:rPr>
                <w:rFonts w:cs="Calibri"/>
                <w:b/>
                <w:bCs/>
                <w:szCs w:val="22"/>
              </w:rPr>
            </w:pPr>
            <w:r w:rsidRPr="000F2CBC">
              <w:rPr>
                <w:b/>
                <w:szCs w:val="22"/>
              </w:rPr>
              <w:t>26 Week Pathway</w:t>
            </w:r>
          </w:p>
        </w:tc>
        <w:tc>
          <w:tcPr>
            <w:tcW w:w="1701" w:type="dxa"/>
            <w:tcBorders>
              <w:top w:val="nil"/>
              <w:left w:val="nil"/>
              <w:bottom w:val="single" w:sz="8" w:space="0" w:color="auto"/>
              <w:right w:val="single" w:sz="8" w:space="0" w:color="auto"/>
            </w:tcBorders>
            <w:noWrap/>
          </w:tcPr>
          <w:p w14:paraId="5F2A47DE" w14:textId="77777777" w:rsidR="00152B4F" w:rsidRPr="006B5DB5" w:rsidRDefault="00152B4F" w:rsidP="009039E0">
            <w:pPr>
              <w:jc w:val="right"/>
              <w:rPr>
                <w:rFonts w:cs="Calibri"/>
                <w:color w:val="000000" w:themeColor="text1"/>
                <w:szCs w:val="22"/>
              </w:rPr>
            </w:pPr>
          </w:p>
        </w:tc>
        <w:tc>
          <w:tcPr>
            <w:tcW w:w="1985" w:type="dxa"/>
            <w:tcBorders>
              <w:top w:val="nil"/>
              <w:left w:val="nil"/>
              <w:bottom w:val="single" w:sz="8" w:space="0" w:color="auto"/>
              <w:right w:val="single" w:sz="8" w:space="0" w:color="auto"/>
            </w:tcBorders>
            <w:noWrap/>
            <w:vAlign w:val="center"/>
          </w:tcPr>
          <w:p w14:paraId="7413FAF1" w14:textId="77777777" w:rsidR="00152B4F" w:rsidRPr="009E33F4" w:rsidRDefault="00152B4F" w:rsidP="009039E0">
            <w:pPr>
              <w:jc w:val="right"/>
              <w:rPr>
                <w:color w:val="000000" w:themeColor="text1"/>
              </w:rPr>
            </w:pPr>
          </w:p>
        </w:tc>
      </w:tr>
      <w:tr w:rsidR="00152B4F" w:rsidRPr="00E962BF" w14:paraId="4B981F35"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3031899E" w14:textId="77777777" w:rsidR="00152B4F" w:rsidRPr="000F2CBC" w:rsidRDefault="00152B4F" w:rsidP="009039E0">
            <w:pPr>
              <w:ind w:left="720"/>
              <w:rPr>
                <w:rFonts w:cs="Calibri"/>
                <w:b/>
                <w:bCs/>
                <w:szCs w:val="22"/>
              </w:rPr>
            </w:pPr>
            <w:r w:rsidRPr="000F2CBC">
              <w:rPr>
                <w:rFonts w:cs="Calibri"/>
                <w:b/>
                <w:szCs w:val="22"/>
              </w:rPr>
              <w:t>26 Week Bonus Outcomes/Work Assist</w:t>
            </w:r>
          </w:p>
        </w:tc>
        <w:tc>
          <w:tcPr>
            <w:tcW w:w="1701" w:type="dxa"/>
            <w:tcBorders>
              <w:top w:val="nil"/>
              <w:left w:val="nil"/>
              <w:bottom w:val="single" w:sz="8" w:space="0" w:color="auto"/>
              <w:right w:val="single" w:sz="8" w:space="0" w:color="auto"/>
            </w:tcBorders>
            <w:noWrap/>
          </w:tcPr>
          <w:p w14:paraId="77795227" w14:textId="77777777" w:rsidR="00152B4F" w:rsidRPr="006B5DB5" w:rsidRDefault="00152B4F" w:rsidP="009039E0">
            <w:pPr>
              <w:jc w:val="right"/>
              <w:rPr>
                <w:rFonts w:cs="Calibri"/>
                <w:color w:val="000000" w:themeColor="text1"/>
                <w:szCs w:val="22"/>
              </w:rPr>
            </w:pPr>
          </w:p>
        </w:tc>
        <w:tc>
          <w:tcPr>
            <w:tcW w:w="1985" w:type="dxa"/>
            <w:tcBorders>
              <w:top w:val="nil"/>
              <w:left w:val="nil"/>
              <w:bottom w:val="single" w:sz="8" w:space="0" w:color="auto"/>
              <w:right w:val="single" w:sz="8" w:space="0" w:color="auto"/>
            </w:tcBorders>
            <w:noWrap/>
            <w:vAlign w:val="center"/>
          </w:tcPr>
          <w:p w14:paraId="0451A79F" w14:textId="77777777" w:rsidR="00152B4F" w:rsidRPr="009E33F4" w:rsidRDefault="00152B4F" w:rsidP="009039E0">
            <w:pPr>
              <w:jc w:val="right"/>
              <w:rPr>
                <w:color w:val="000000" w:themeColor="text1"/>
              </w:rPr>
            </w:pPr>
          </w:p>
        </w:tc>
      </w:tr>
      <w:tr w:rsidR="00152B4F" w:rsidRPr="00E962BF" w14:paraId="1E562DC7"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25F200AF" w14:textId="77777777" w:rsidR="00152B4F" w:rsidRPr="000F2CBC" w:rsidRDefault="00152B4F" w:rsidP="009039E0">
            <w:pPr>
              <w:rPr>
                <w:rFonts w:cs="Calibri"/>
                <w:b/>
                <w:bCs/>
                <w:szCs w:val="22"/>
              </w:rPr>
            </w:pPr>
            <w:r w:rsidRPr="000F2CBC">
              <w:rPr>
                <w:b/>
                <w:szCs w:val="22"/>
              </w:rPr>
              <w:t>52 Week Outcomes combined</w:t>
            </w:r>
          </w:p>
        </w:tc>
        <w:tc>
          <w:tcPr>
            <w:tcW w:w="1701" w:type="dxa"/>
            <w:tcBorders>
              <w:top w:val="nil"/>
              <w:left w:val="nil"/>
              <w:bottom w:val="single" w:sz="8" w:space="0" w:color="auto"/>
              <w:right w:val="single" w:sz="8" w:space="0" w:color="auto"/>
            </w:tcBorders>
            <w:noWrap/>
          </w:tcPr>
          <w:p w14:paraId="5010F78A" w14:textId="77777777" w:rsidR="00152B4F" w:rsidRPr="006B5DB5" w:rsidRDefault="00152B4F" w:rsidP="009039E0">
            <w:pPr>
              <w:jc w:val="right"/>
              <w:rPr>
                <w:rFonts w:cs="Calibri"/>
                <w:color w:val="000000" w:themeColor="text1"/>
                <w:szCs w:val="22"/>
              </w:rPr>
            </w:pPr>
            <w:r w:rsidRPr="006B5DB5">
              <w:rPr>
                <w:color w:val="000000" w:themeColor="text1"/>
              </w:rPr>
              <w:t xml:space="preserve"> 2.</w:t>
            </w:r>
            <w:r>
              <w:rPr>
                <w:color w:val="000000" w:themeColor="text1"/>
              </w:rPr>
              <w:t>02</w:t>
            </w:r>
            <w:r w:rsidRPr="006B5DB5">
              <w:rPr>
                <w:color w:val="000000" w:themeColor="text1"/>
              </w:rPr>
              <w:t xml:space="preserve"> </w:t>
            </w:r>
          </w:p>
        </w:tc>
        <w:tc>
          <w:tcPr>
            <w:tcW w:w="1985" w:type="dxa"/>
            <w:tcBorders>
              <w:top w:val="nil"/>
              <w:left w:val="nil"/>
              <w:bottom w:val="single" w:sz="8" w:space="0" w:color="auto"/>
              <w:right w:val="single" w:sz="8" w:space="0" w:color="auto"/>
            </w:tcBorders>
            <w:noWrap/>
            <w:vAlign w:val="center"/>
          </w:tcPr>
          <w:p w14:paraId="35F54B4A" w14:textId="77777777" w:rsidR="00152B4F" w:rsidRPr="009E33F4" w:rsidRDefault="00152B4F" w:rsidP="009039E0">
            <w:pPr>
              <w:jc w:val="right"/>
              <w:rPr>
                <w:color w:val="000000" w:themeColor="text1"/>
              </w:rPr>
            </w:pPr>
            <w:r w:rsidRPr="009E33F4">
              <w:rPr>
                <w:color w:val="000000" w:themeColor="text1"/>
              </w:rPr>
              <w:t>2.16</w:t>
            </w:r>
          </w:p>
        </w:tc>
      </w:tr>
      <w:tr w:rsidR="00152B4F" w:rsidRPr="00E962BF" w14:paraId="1131B403"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6B26E13D" w14:textId="77777777" w:rsidR="00152B4F" w:rsidRPr="000F2CBC" w:rsidRDefault="00152B4F" w:rsidP="009039E0">
            <w:pPr>
              <w:ind w:left="720"/>
              <w:rPr>
                <w:rFonts w:cs="Calibri"/>
                <w:b/>
                <w:bCs/>
                <w:szCs w:val="22"/>
              </w:rPr>
            </w:pPr>
            <w:r w:rsidRPr="000F2CBC">
              <w:rPr>
                <w:rFonts w:cs="Calibri"/>
                <w:b/>
                <w:szCs w:val="22"/>
              </w:rPr>
              <w:t>52 Week Full</w:t>
            </w:r>
          </w:p>
        </w:tc>
        <w:tc>
          <w:tcPr>
            <w:tcW w:w="1701" w:type="dxa"/>
            <w:tcBorders>
              <w:top w:val="nil"/>
              <w:left w:val="nil"/>
              <w:bottom w:val="single" w:sz="8" w:space="0" w:color="auto"/>
              <w:right w:val="single" w:sz="8" w:space="0" w:color="auto"/>
            </w:tcBorders>
            <w:noWrap/>
          </w:tcPr>
          <w:p w14:paraId="4D9BD8F8" w14:textId="77777777" w:rsidR="00152B4F" w:rsidRPr="006B5DB5" w:rsidRDefault="00152B4F" w:rsidP="009039E0">
            <w:pPr>
              <w:jc w:val="right"/>
              <w:rPr>
                <w:rFonts w:cs="Calibri"/>
                <w:color w:val="000000" w:themeColor="text1"/>
                <w:szCs w:val="22"/>
              </w:rPr>
            </w:pPr>
          </w:p>
        </w:tc>
        <w:tc>
          <w:tcPr>
            <w:tcW w:w="1985" w:type="dxa"/>
            <w:tcBorders>
              <w:top w:val="nil"/>
              <w:left w:val="nil"/>
              <w:bottom w:val="single" w:sz="8" w:space="0" w:color="auto"/>
              <w:right w:val="single" w:sz="8" w:space="0" w:color="auto"/>
            </w:tcBorders>
            <w:noWrap/>
            <w:vAlign w:val="center"/>
          </w:tcPr>
          <w:p w14:paraId="6EDF8D04" w14:textId="77777777" w:rsidR="00152B4F" w:rsidRPr="009E33F4" w:rsidRDefault="00152B4F" w:rsidP="009039E0">
            <w:pPr>
              <w:jc w:val="right"/>
              <w:rPr>
                <w:color w:val="000000" w:themeColor="text1"/>
              </w:rPr>
            </w:pPr>
          </w:p>
        </w:tc>
      </w:tr>
      <w:tr w:rsidR="00152B4F" w:rsidRPr="00E962BF" w14:paraId="0E636C58"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3AD39DBF" w14:textId="77777777" w:rsidR="00152B4F" w:rsidRPr="000F2CBC" w:rsidRDefault="00152B4F" w:rsidP="009039E0">
            <w:pPr>
              <w:ind w:left="720"/>
              <w:rPr>
                <w:rFonts w:cs="Calibri"/>
                <w:b/>
                <w:bCs/>
                <w:szCs w:val="22"/>
              </w:rPr>
            </w:pPr>
            <w:r w:rsidRPr="000F2CBC">
              <w:rPr>
                <w:b/>
                <w:szCs w:val="22"/>
              </w:rPr>
              <w:t>52 Week Pathway</w:t>
            </w:r>
          </w:p>
        </w:tc>
        <w:tc>
          <w:tcPr>
            <w:tcW w:w="1701" w:type="dxa"/>
            <w:tcBorders>
              <w:top w:val="nil"/>
              <w:left w:val="nil"/>
              <w:bottom w:val="single" w:sz="8" w:space="0" w:color="auto"/>
              <w:right w:val="single" w:sz="8" w:space="0" w:color="auto"/>
            </w:tcBorders>
            <w:noWrap/>
            <w:hideMark/>
          </w:tcPr>
          <w:p w14:paraId="63578D3D" w14:textId="77777777" w:rsidR="00152B4F" w:rsidRPr="006B5DB5" w:rsidRDefault="00152B4F" w:rsidP="009039E0">
            <w:pPr>
              <w:jc w:val="right"/>
              <w:rPr>
                <w:rFonts w:cs="Calibri"/>
                <w:color w:val="000000" w:themeColor="text1"/>
                <w:szCs w:val="22"/>
              </w:rPr>
            </w:pPr>
          </w:p>
        </w:tc>
        <w:tc>
          <w:tcPr>
            <w:tcW w:w="1985" w:type="dxa"/>
            <w:tcBorders>
              <w:top w:val="nil"/>
              <w:left w:val="nil"/>
              <w:bottom w:val="single" w:sz="8" w:space="0" w:color="auto"/>
              <w:right w:val="single" w:sz="8" w:space="0" w:color="auto"/>
            </w:tcBorders>
            <w:noWrap/>
            <w:vAlign w:val="center"/>
            <w:hideMark/>
          </w:tcPr>
          <w:p w14:paraId="30D249BC" w14:textId="77777777" w:rsidR="00152B4F" w:rsidRPr="009E33F4" w:rsidRDefault="00152B4F" w:rsidP="009039E0">
            <w:pPr>
              <w:jc w:val="right"/>
              <w:rPr>
                <w:color w:val="000000" w:themeColor="text1"/>
              </w:rPr>
            </w:pPr>
          </w:p>
        </w:tc>
      </w:tr>
      <w:tr w:rsidR="00152B4F" w:rsidRPr="00E962BF" w14:paraId="063A369E" w14:textId="77777777" w:rsidTr="009039E0">
        <w:trPr>
          <w:trHeight w:val="315"/>
        </w:trPr>
        <w:tc>
          <w:tcPr>
            <w:tcW w:w="4536" w:type="dxa"/>
            <w:tcBorders>
              <w:top w:val="nil"/>
              <w:left w:val="single" w:sz="8" w:space="0" w:color="auto"/>
              <w:bottom w:val="single" w:sz="8" w:space="0" w:color="auto"/>
              <w:right w:val="single" w:sz="8" w:space="0" w:color="auto"/>
            </w:tcBorders>
            <w:shd w:val="clear" w:color="000000" w:fill="D9D9D9"/>
            <w:noWrap/>
            <w:vAlign w:val="bottom"/>
            <w:hideMark/>
          </w:tcPr>
          <w:p w14:paraId="1740248B" w14:textId="77777777" w:rsidR="00152B4F" w:rsidRPr="000F2CBC" w:rsidRDefault="00152B4F" w:rsidP="009039E0">
            <w:pPr>
              <w:rPr>
                <w:rFonts w:cs="Calibri"/>
                <w:b/>
                <w:bCs/>
                <w:szCs w:val="22"/>
              </w:rPr>
            </w:pPr>
            <w:r w:rsidRPr="000F2CBC">
              <w:rPr>
                <w:b/>
                <w:szCs w:val="22"/>
              </w:rPr>
              <w:t>Ongoing Support</w:t>
            </w:r>
          </w:p>
        </w:tc>
        <w:tc>
          <w:tcPr>
            <w:tcW w:w="1701" w:type="dxa"/>
            <w:tcBorders>
              <w:top w:val="nil"/>
              <w:left w:val="nil"/>
              <w:bottom w:val="single" w:sz="8" w:space="0" w:color="auto"/>
              <w:right w:val="single" w:sz="8" w:space="0" w:color="auto"/>
            </w:tcBorders>
            <w:noWrap/>
            <w:hideMark/>
          </w:tcPr>
          <w:p w14:paraId="12C6A14B" w14:textId="77777777" w:rsidR="00152B4F" w:rsidRPr="006B5DB5" w:rsidRDefault="00152B4F" w:rsidP="009039E0">
            <w:pPr>
              <w:jc w:val="right"/>
              <w:rPr>
                <w:rFonts w:cs="Calibri"/>
                <w:color w:val="000000" w:themeColor="text1"/>
                <w:szCs w:val="22"/>
              </w:rPr>
            </w:pPr>
            <w:r w:rsidRPr="006B5DB5">
              <w:rPr>
                <w:color w:val="000000" w:themeColor="text1"/>
              </w:rPr>
              <w:t xml:space="preserve"> </w:t>
            </w:r>
            <w:r>
              <w:rPr>
                <w:color w:val="000000" w:themeColor="text1"/>
              </w:rPr>
              <w:t>0</w:t>
            </w:r>
            <w:r w:rsidRPr="006B5DB5">
              <w:rPr>
                <w:color w:val="000000" w:themeColor="text1"/>
              </w:rPr>
              <w:t>.</w:t>
            </w:r>
            <w:r>
              <w:rPr>
                <w:color w:val="000000" w:themeColor="text1"/>
              </w:rPr>
              <w:t>92</w:t>
            </w:r>
            <w:r w:rsidRPr="006B5DB5">
              <w:rPr>
                <w:color w:val="000000" w:themeColor="text1"/>
              </w:rPr>
              <w:t xml:space="preserve"> </w:t>
            </w:r>
          </w:p>
        </w:tc>
        <w:tc>
          <w:tcPr>
            <w:tcW w:w="1985" w:type="dxa"/>
            <w:tcBorders>
              <w:top w:val="nil"/>
              <w:left w:val="nil"/>
              <w:bottom w:val="single" w:sz="8" w:space="0" w:color="auto"/>
              <w:right w:val="single" w:sz="8" w:space="0" w:color="auto"/>
            </w:tcBorders>
            <w:noWrap/>
            <w:vAlign w:val="center"/>
            <w:hideMark/>
          </w:tcPr>
          <w:p w14:paraId="692687F2" w14:textId="77777777" w:rsidR="00152B4F" w:rsidRPr="009E33F4" w:rsidRDefault="00152B4F" w:rsidP="009039E0">
            <w:pPr>
              <w:jc w:val="right"/>
              <w:rPr>
                <w:color w:val="000000" w:themeColor="text1"/>
              </w:rPr>
            </w:pPr>
            <w:r w:rsidRPr="009E33F4">
              <w:rPr>
                <w:color w:val="000000" w:themeColor="text1"/>
              </w:rPr>
              <w:t>1.97</w:t>
            </w:r>
          </w:p>
        </w:tc>
      </w:tr>
    </w:tbl>
    <w:p w14:paraId="024E0DDD" w14:textId="77777777" w:rsidR="00152B4F" w:rsidRDefault="00152B4F" w:rsidP="00152B4F"/>
    <w:p w14:paraId="07768F2F" w14:textId="77777777" w:rsidR="00152B4F" w:rsidRDefault="006F6048" w:rsidP="00152B4F">
      <w:pPr>
        <w:rPr>
          <w:szCs w:val="22"/>
        </w:rPr>
      </w:pPr>
      <w:r>
        <w:pict w14:anchorId="2738CFBC">
          <v:rect id="_x0000_i1036" style="width:415.3pt;height:1.5pt" o:hralign="center" o:hrstd="t" o:hr="t" fillcolor="#a0a0a0" stroked="f"/>
        </w:pict>
      </w:r>
    </w:p>
    <w:p w14:paraId="6A5FC4E2" w14:textId="77777777" w:rsidR="00152B4F" w:rsidRDefault="00152B4F" w:rsidP="00152B4F">
      <w:pPr>
        <w:rPr>
          <w:szCs w:val="22"/>
        </w:rPr>
      </w:pPr>
      <w:r>
        <w:rPr>
          <w:szCs w:val="22"/>
        </w:rPr>
        <w:br w:type="page"/>
      </w:r>
    </w:p>
    <w:p w14:paraId="7710F585" w14:textId="77777777" w:rsidR="00152B4F" w:rsidRDefault="006F6048" w:rsidP="00152B4F">
      <w:pPr>
        <w:spacing w:after="240"/>
      </w:pPr>
      <w:r>
        <w:pict w14:anchorId="49861CF6">
          <v:rect id="_x0000_i1037" style="width:415.3pt;height:1.5pt" o:hralign="center" o:hrstd="t" o:hr="t" fillcolor="#a0a0a0" stroked="f"/>
        </w:pict>
      </w:r>
    </w:p>
    <w:p w14:paraId="60A7E1A8" w14:textId="77777777" w:rsidR="00152B4F" w:rsidRPr="006B3912" w:rsidRDefault="00152B4F" w:rsidP="00152B4F">
      <w:pPr>
        <w:rPr>
          <w:b/>
        </w:rPr>
      </w:pPr>
      <w:r w:rsidRPr="006B3912">
        <w:rPr>
          <w:b/>
        </w:rPr>
        <w:t>Step 5: Calculate the Overall Performance Score</w:t>
      </w:r>
    </w:p>
    <w:p w14:paraId="2388CB11" w14:textId="77777777" w:rsidR="00152B4F" w:rsidRDefault="00152B4F" w:rsidP="00152B4F">
      <w:pPr>
        <w:rPr>
          <w:szCs w:val="22"/>
        </w:rPr>
      </w:pPr>
      <w:r w:rsidRPr="00E962BF">
        <w:rPr>
          <w:szCs w:val="22"/>
        </w:rPr>
        <w:t xml:space="preserve">Each performance measure score for a </w:t>
      </w:r>
      <w:r>
        <w:rPr>
          <w:szCs w:val="22"/>
        </w:rPr>
        <w:t>Site</w:t>
      </w:r>
      <w:r w:rsidRPr="00E962BF">
        <w:rPr>
          <w:szCs w:val="22"/>
        </w:rPr>
        <w:t xml:space="preserve"> is multiplied by the weighting in </w:t>
      </w:r>
      <w:r w:rsidRPr="006B5DB5">
        <w:rPr>
          <w:szCs w:val="22"/>
        </w:rPr>
        <w:t xml:space="preserve">Table </w:t>
      </w:r>
      <w:r>
        <w:rPr>
          <w:szCs w:val="22"/>
        </w:rPr>
        <w:t>one</w:t>
      </w:r>
      <w:r w:rsidRPr="00E962BF">
        <w:rPr>
          <w:szCs w:val="22"/>
        </w:rPr>
        <w:t xml:space="preserve"> to give a weighted score. All weighted scores are then aggregated to calculate the </w:t>
      </w:r>
      <w:r w:rsidRPr="006D435D">
        <w:rPr>
          <w:szCs w:val="22"/>
        </w:rPr>
        <w:t>Site X performance</w:t>
      </w:r>
      <w:r w:rsidRPr="00E962BF">
        <w:rPr>
          <w:szCs w:val="22"/>
        </w:rPr>
        <w:t xml:space="preserve"> score. </w:t>
      </w:r>
    </w:p>
    <w:p w14:paraId="51E30744" w14:textId="77777777" w:rsidR="00152B4F" w:rsidRPr="00E962BF" w:rsidRDefault="006F6048" w:rsidP="00152B4F">
      <w:pPr>
        <w:rPr>
          <w:szCs w:val="22"/>
        </w:rPr>
      </w:pPr>
      <w:r>
        <w:pict w14:anchorId="3911F604">
          <v:rect id="_x0000_i1038" style="width:415.3pt;height:1.5pt" o:hralign="center" o:hrstd="t" o:hr="t" fillcolor="#a0a0a0" stroked="f"/>
        </w:pict>
      </w:r>
    </w:p>
    <w:p w14:paraId="0D9AAF79" w14:textId="77777777" w:rsidR="00152B4F" w:rsidRPr="000F2CBC" w:rsidRDefault="00152B4F" w:rsidP="00152B4F">
      <w:pPr>
        <w:ind w:firstLine="720"/>
        <w:rPr>
          <w:b/>
          <w:szCs w:val="22"/>
        </w:rPr>
      </w:pPr>
      <w:r w:rsidRPr="000F2CBC">
        <w:rPr>
          <w:b/>
          <w:szCs w:val="22"/>
        </w:rPr>
        <w:t>Step 5 Example</w:t>
      </w:r>
    </w:p>
    <w:p w14:paraId="024A5A6D" w14:textId="77777777" w:rsidR="00152B4F" w:rsidRPr="000F2CBC" w:rsidRDefault="00152B4F" w:rsidP="00152B4F">
      <w:pPr>
        <w:ind w:left="720"/>
      </w:pPr>
      <w:r w:rsidRPr="000F2CBC">
        <w:t xml:space="preserve">The calculation of the performance score for Site X (DES-ESS) is shown in the following table. The weightings are applied to each of the performance measure standardised scores. The weighted scores are summed together to give the overall score for the Site. </w:t>
      </w:r>
    </w:p>
    <w:p w14:paraId="797BB42D" w14:textId="77777777" w:rsidR="00152B4F" w:rsidRPr="000F2CBC" w:rsidRDefault="00152B4F" w:rsidP="00152B4F">
      <w:pPr>
        <w:ind w:left="720"/>
      </w:pPr>
    </w:p>
    <w:p w14:paraId="19BC257A" w14:textId="77777777" w:rsidR="00152B4F" w:rsidRPr="000F2CBC" w:rsidRDefault="00152B4F" w:rsidP="00152B4F">
      <w:pPr>
        <w:ind w:left="720"/>
      </w:pPr>
      <w:r w:rsidRPr="000F2CBC">
        <w:t xml:space="preserve">The reader should note that the 26 Week Outcome score is weighted by a 40 per cent weighting, while the 52 Week Outcomes combined score is weighted by 25 per cent. The weightings for the Full, Pathway and Bonus outcomes individually were applied in Step 3. See </w:t>
      </w:r>
      <w:r w:rsidRPr="000F2CBC">
        <w:rPr>
          <w:u w:val="single"/>
        </w:rPr>
        <w:t>Attachment B</w:t>
      </w:r>
      <w:r w:rsidRPr="000F2CBC">
        <w:t xml:space="preserve"> for further information on the combined score process for the 26 and 52 Week performance measures. </w:t>
      </w:r>
    </w:p>
    <w:p w14:paraId="61F67EED" w14:textId="77777777" w:rsidR="00152B4F" w:rsidRPr="000F2CBC" w:rsidRDefault="00152B4F" w:rsidP="00152B4F">
      <w:pPr>
        <w:ind w:firstLine="720"/>
        <w:rPr>
          <w:szCs w:val="22"/>
        </w:rPr>
      </w:pPr>
    </w:p>
    <w:tbl>
      <w:tblPr>
        <w:tblW w:w="8647" w:type="dxa"/>
        <w:tblInd w:w="-10" w:type="dxa"/>
        <w:tblLayout w:type="fixed"/>
        <w:tblLook w:val="04A0" w:firstRow="1" w:lastRow="0" w:firstColumn="1" w:lastColumn="0" w:noHBand="0" w:noVBand="1"/>
      </w:tblPr>
      <w:tblGrid>
        <w:gridCol w:w="4560"/>
        <w:gridCol w:w="1418"/>
        <w:gridCol w:w="1275"/>
        <w:gridCol w:w="1394"/>
      </w:tblGrid>
      <w:tr w:rsidR="00152B4F" w:rsidRPr="000F2CBC" w14:paraId="35B7BD39" w14:textId="77777777" w:rsidTr="009039E0">
        <w:trPr>
          <w:trHeight w:val="385"/>
        </w:trPr>
        <w:tc>
          <w:tcPr>
            <w:tcW w:w="4560"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4870407C" w14:textId="77777777" w:rsidR="00152B4F" w:rsidRPr="000F2CBC" w:rsidRDefault="00152B4F" w:rsidP="009039E0">
            <w:pPr>
              <w:spacing w:before="60" w:after="60"/>
              <w:rPr>
                <w:rFonts w:cs="Calibri"/>
                <w:b/>
                <w:bCs/>
                <w:szCs w:val="22"/>
              </w:rPr>
            </w:pPr>
            <w:r w:rsidRPr="000F2CBC">
              <w:rPr>
                <w:rFonts w:cs="Calibri"/>
                <w:b/>
                <w:bCs/>
                <w:szCs w:val="22"/>
              </w:rPr>
              <w:t>Performance Measure</w:t>
            </w:r>
          </w:p>
        </w:tc>
        <w:tc>
          <w:tcPr>
            <w:tcW w:w="1418" w:type="dxa"/>
            <w:tcBorders>
              <w:top w:val="single" w:sz="8" w:space="0" w:color="auto"/>
              <w:left w:val="nil"/>
              <w:bottom w:val="single" w:sz="4" w:space="0" w:color="auto"/>
              <w:right w:val="single" w:sz="8" w:space="0" w:color="auto"/>
            </w:tcBorders>
            <w:shd w:val="clear" w:color="auto" w:fill="FFFFFF" w:themeFill="background1"/>
            <w:vAlign w:val="center"/>
            <w:hideMark/>
          </w:tcPr>
          <w:p w14:paraId="1566AE97" w14:textId="77777777" w:rsidR="00152B4F" w:rsidRPr="000F2CBC" w:rsidRDefault="00152B4F" w:rsidP="009039E0">
            <w:pPr>
              <w:spacing w:before="60" w:after="60"/>
              <w:jc w:val="center"/>
              <w:rPr>
                <w:rFonts w:cs="Calibri"/>
                <w:b/>
                <w:bCs/>
                <w:szCs w:val="22"/>
              </w:rPr>
            </w:pPr>
            <w:r w:rsidRPr="000F2CBC">
              <w:rPr>
                <w:rFonts w:cs="Calibri"/>
                <w:b/>
                <w:bCs/>
                <w:szCs w:val="22"/>
              </w:rPr>
              <w:t>Standardised Score</w:t>
            </w:r>
          </w:p>
        </w:tc>
        <w:tc>
          <w:tcPr>
            <w:tcW w:w="1275" w:type="dxa"/>
            <w:tcBorders>
              <w:top w:val="single" w:sz="8" w:space="0" w:color="auto"/>
              <w:left w:val="nil"/>
              <w:bottom w:val="single" w:sz="4" w:space="0" w:color="auto"/>
              <w:right w:val="single" w:sz="8" w:space="0" w:color="auto"/>
            </w:tcBorders>
            <w:shd w:val="clear" w:color="auto" w:fill="FFFFFF" w:themeFill="background1"/>
            <w:vAlign w:val="center"/>
            <w:hideMark/>
          </w:tcPr>
          <w:p w14:paraId="1F448CA8" w14:textId="77777777" w:rsidR="00152B4F" w:rsidRPr="000F2CBC" w:rsidRDefault="00152B4F" w:rsidP="009039E0">
            <w:pPr>
              <w:spacing w:before="60" w:after="60"/>
              <w:jc w:val="center"/>
              <w:rPr>
                <w:rFonts w:cs="Calibri"/>
                <w:b/>
                <w:bCs/>
                <w:szCs w:val="22"/>
              </w:rPr>
            </w:pPr>
            <w:r w:rsidRPr="000F2CBC">
              <w:rPr>
                <w:rFonts w:cs="Calibri"/>
                <w:b/>
                <w:bCs/>
                <w:szCs w:val="22"/>
              </w:rPr>
              <w:t>Weighting</w:t>
            </w:r>
          </w:p>
        </w:tc>
        <w:tc>
          <w:tcPr>
            <w:tcW w:w="1394" w:type="dxa"/>
            <w:tcBorders>
              <w:top w:val="single" w:sz="8" w:space="0" w:color="auto"/>
              <w:left w:val="nil"/>
              <w:bottom w:val="single" w:sz="4" w:space="0" w:color="auto"/>
              <w:right w:val="single" w:sz="8" w:space="0" w:color="auto"/>
            </w:tcBorders>
            <w:shd w:val="clear" w:color="auto" w:fill="FFFFFF" w:themeFill="background1"/>
            <w:vAlign w:val="center"/>
            <w:hideMark/>
          </w:tcPr>
          <w:p w14:paraId="23D4CC8B" w14:textId="77777777" w:rsidR="00152B4F" w:rsidRPr="000F2CBC" w:rsidRDefault="00152B4F" w:rsidP="009039E0">
            <w:pPr>
              <w:spacing w:before="60" w:after="60"/>
              <w:jc w:val="center"/>
              <w:rPr>
                <w:rFonts w:cs="Calibri"/>
                <w:b/>
                <w:bCs/>
                <w:szCs w:val="22"/>
              </w:rPr>
            </w:pPr>
            <w:r w:rsidRPr="000F2CBC">
              <w:rPr>
                <w:rFonts w:cs="Calibri"/>
                <w:b/>
                <w:bCs/>
                <w:szCs w:val="22"/>
              </w:rPr>
              <w:t>Weighted Score</w:t>
            </w:r>
          </w:p>
        </w:tc>
      </w:tr>
      <w:tr w:rsidR="00152B4F" w:rsidRPr="000F2CBC" w14:paraId="6FA891DD" w14:textId="77777777" w:rsidTr="009039E0">
        <w:trPr>
          <w:trHeight w:val="315"/>
        </w:trPr>
        <w:tc>
          <w:tcPr>
            <w:tcW w:w="4560" w:type="dxa"/>
            <w:tcBorders>
              <w:top w:val="nil"/>
              <w:left w:val="single" w:sz="8" w:space="0" w:color="auto"/>
              <w:bottom w:val="nil"/>
              <w:right w:val="single" w:sz="8" w:space="0" w:color="auto"/>
            </w:tcBorders>
            <w:shd w:val="clear" w:color="000000" w:fill="D9D9D9"/>
            <w:noWrap/>
            <w:vAlign w:val="bottom"/>
            <w:hideMark/>
          </w:tcPr>
          <w:p w14:paraId="64E30D8B" w14:textId="77777777" w:rsidR="00152B4F" w:rsidRPr="000F2CBC" w:rsidRDefault="00152B4F" w:rsidP="009039E0">
            <w:pPr>
              <w:rPr>
                <w:rFonts w:cs="Calibri"/>
                <w:b/>
                <w:bCs/>
                <w:szCs w:val="22"/>
              </w:rPr>
            </w:pPr>
            <w:r w:rsidRPr="000F2CBC">
              <w:rPr>
                <w:b/>
                <w:szCs w:val="22"/>
              </w:rPr>
              <w:t>13 Week Full Outcomes</w:t>
            </w:r>
          </w:p>
        </w:tc>
        <w:tc>
          <w:tcPr>
            <w:tcW w:w="1418" w:type="dxa"/>
            <w:tcBorders>
              <w:top w:val="nil"/>
              <w:left w:val="nil"/>
              <w:bottom w:val="single" w:sz="8" w:space="0" w:color="auto"/>
              <w:right w:val="single" w:sz="8" w:space="0" w:color="auto"/>
            </w:tcBorders>
            <w:noWrap/>
            <w:vAlign w:val="center"/>
          </w:tcPr>
          <w:p w14:paraId="758B8587"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4.00</w:t>
            </w:r>
          </w:p>
        </w:tc>
        <w:tc>
          <w:tcPr>
            <w:tcW w:w="1275" w:type="dxa"/>
            <w:tcBorders>
              <w:top w:val="nil"/>
              <w:left w:val="nil"/>
              <w:bottom w:val="single" w:sz="8" w:space="0" w:color="auto"/>
              <w:right w:val="single" w:sz="8" w:space="0" w:color="auto"/>
            </w:tcBorders>
            <w:noWrap/>
            <w:vAlign w:val="center"/>
          </w:tcPr>
          <w:p w14:paraId="048E8BCD" w14:textId="77777777" w:rsidR="00152B4F" w:rsidRPr="009E33F4" w:rsidRDefault="00152B4F" w:rsidP="009039E0">
            <w:pPr>
              <w:jc w:val="right"/>
              <w:rPr>
                <w:rFonts w:ascii="Calibri" w:hAnsi="Calibri" w:cs="Calibri"/>
                <w:color w:val="000000"/>
                <w:szCs w:val="22"/>
              </w:rPr>
            </w:pPr>
            <w:r>
              <w:rPr>
                <w:rFonts w:ascii="Calibri" w:hAnsi="Calibri" w:cs="Calibri"/>
                <w:color w:val="000000"/>
                <w:szCs w:val="22"/>
              </w:rPr>
              <w:t>0.20</w:t>
            </w:r>
          </w:p>
        </w:tc>
        <w:tc>
          <w:tcPr>
            <w:tcW w:w="1394" w:type="dxa"/>
            <w:tcBorders>
              <w:top w:val="nil"/>
              <w:left w:val="nil"/>
              <w:bottom w:val="single" w:sz="8" w:space="0" w:color="auto"/>
              <w:right w:val="single" w:sz="8" w:space="0" w:color="auto"/>
            </w:tcBorders>
            <w:noWrap/>
            <w:vAlign w:val="center"/>
          </w:tcPr>
          <w:p w14:paraId="6B95DF68"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0.80</w:t>
            </w:r>
          </w:p>
        </w:tc>
      </w:tr>
      <w:tr w:rsidR="00152B4F" w:rsidRPr="000F2CBC" w14:paraId="296C2265" w14:textId="77777777" w:rsidTr="009039E0">
        <w:trPr>
          <w:trHeight w:val="315"/>
        </w:trPr>
        <w:tc>
          <w:tcPr>
            <w:tcW w:w="45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0F0B982" w14:textId="77777777" w:rsidR="00152B4F" w:rsidRPr="000F2CBC" w:rsidRDefault="00152B4F" w:rsidP="009039E0">
            <w:pPr>
              <w:rPr>
                <w:rFonts w:cs="Calibri"/>
                <w:b/>
                <w:bCs/>
                <w:szCs w:val="22"/>
              </w:rPr>
            </w:pPr>
            <w:r w:rsidRPr="000F2CBC">
              <w:rPr>
                <w:b/>
                <w:szCs w:val="22"/>
              </w:rPr>
              <w:t>26 Week Outcomes combined</w:t>
            </w:r>
          </w:p>
        </w:tc>
        <w:tc>
          <w:tcPr>
            <w:tcW w:w="1418" w:type="dxa"/>
            <w:tcBorders>
              <w:top w:val="nil"/>
              <w:left w:val="nil"/>
              <w:bottom w:val="single" w:sz="8" w:space="0" w:color="auto"/>
              <w:right w:val="single" w:sz="8" w:space="0" w:color="auto"/>
            </w:tcBorders>
            <w:noWrap/>
            <w:vAlign w:val="center"/>
          </w:tcPr>
          <w:p w14:paraId="1E096B33"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3.00</w:t>
            </w:r>
          </w:p>
        </w:tc>
        <w:tc>
          <w:tcPr>
            <w:tcW w:w="1275" w:type="dxa"/>
            <w:tcBorders>
              <w:top w:val="nil"/>
              <w:left w:val="nil"/>
              <w:bottom w:val="single" w:sz="8" w:space="0" w:color="auto"/>
              <w:right w:val="single" w:sz="8" w:space="0" w:color="auto"/>
            </w:tcBorders>
            <w:noWrap/>
            <w:vAlign w:val="center"/>
          </w:tcPr>
          <w:p w14:paraId="6A623521" w14:textId="77777777" w:rsidR="00152B4F" w:rsidRPr="009E33F4" w:rsidRDefault="00152B4F" w:rsidP="009039E0">
            <w:pPr>
              <w:jc w:val="right"/>
              <w:rPr>
                <w:rFonts w:ascii="Calibri" w:hAnsi="Calibri" w:cs="Calibri"/>
                <w:color w:val="000000"/>
                <w:szCs w:val="22"/>
              </w:rPr>
            </w:pPr>
            <w:r>
              <w:rPr>
                <w:rFonts w:ascii="Calibri" w:hAnsi="Calibri" w:cs="Calibri"/>
                <w:color w:val="000000"/>
                <w:szCs w:val="22"/>
              </w:rPr>
              <w:t>0.40</w:t>
            </w:r>
          </w:p>
        </w:tc>
        <w:tc>
          <w:tcPr>
            <w:tcW w:w="1394" w:type="dxa"/>
            <w:tcBorders>
              <w:top w:val="nil"/>
              <w:left w:val="nil"/>
              <w:bottom w:val="single" w:sz="8" w:space="0" w:color="auto"/>
              <w:right w:val="single" w:sz="8" w:space="0" w:color="auto"/>
            </w:tcBorders>
            <w:noWrap/>
            <w:vAlign w:val="center"/>
          </w:tcPr>
          <w:p w14:paraId="549D1644"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1.20</w:t>
            </w:r>
          </w:p>
        </w:tc>
      </w:tr>
      <w:tr w:rsidR="00152B4F" w:rsidRPr="000F2CBC" w14:paraId="37F01C69"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3470418D" w14:textId="77777777" w:rsidR="00152B4F" w:rsidRPr="000F2CBC" w:rsidRDefault="00152B4F" w:rsidP="009039E0">
            <w:pPr>
              <w:ind w:left="720"/>
              <w:rPr>
                <w:rFonts w:cs="Calibri"/>
                <w:b/>
                <w:bCs/>
                <w:szCs w:val="22"/>
              </w:rPr>
            </w:pPr>
            <w:r w:rsidRPr="000F2CBC">
              <w:rPr>
                <w:rFonts w:cs="Calibri"/>
                <w:b/>
                <w:szCs w:val="22"/>
              </w:rPr>
              <w:t>26 Week Full</w:t>
            </w:r>
          </w:p>
        </w:tc>
        <w:tc>
          <w:tcPr>
            <w:tcW w:w="1418" w:type="dxa"/>
            <w:tcBorders>
              <w:top w:val="nil"/>
              <w:left w:val="nil"/>
              <w:bottom w:val="single" w:sz="8" w:space="0" w:color="auto"/>
              <w:right w:val="single" w:sz="8" w:space="0" w:color="auto"/>
            </w:tcBorders>
            <w:noWrap/>
            <w:vAlign w:val="center"/>
          </w:tcPr>
          <w:p w14:paraId="518F954A" w14:textId="77777777" w:rsidR="00152B4F" w:rsidRPr="009E33F4" w:rsidRDefault="00152B4F" w:rsidP="009039E0">
            <w:pPr>
              <w:jc w:val="right"/>
              <w:rPr>
                <w:rFonts w:ascii="Calibri" w:hAnsi="Calibri" w:cs="Calibri"/>
                <w:color w:val="000000"/>
                <w:szCs w:val="22"/>
              </w:rPr>
            </w:pPr>
          </w:p>
        </w:tc>
        <w:tc>
          <w:tcPr>
            <w:tcW w:w="1275" w:type="dxa"/>
            <w:tcBorders>
              <w:top w:val="nil"/>
              <w:left w:val="nil"/>
              <w:bottom w:val="single" w:sz="8" w:space="0" w:color="auto"/>
              <w:right w:val="single" w:sz="8" w:space="0" w:color="auto"/>
            </w:tcBorders>
            <w:noWrap/>
            <w:vAlign w:val="center"/>
          </w:tcPr>
          <w:p w14:paraId="0C5F1446" w14:textId="77777777" w:rsidR="00152B4F" w:rsidRPr="009E33F4" w:rsidRDefault="00152B4F" w:rsidP="009039E0">
            <w:pPr>
              <w:jc w:val="right"/>
              <w:rPr>
                <w:rFonts w:ascii="Calibri" w:hAnsi="Calibri" w:cs="Calibri"/>
                <w:color w:val="000000"/>
                <w:szCs w:val="22"/>
              </w:rPr>
            </w:pPr>
          </w:p>
        </w:tc>
        <w:tc>
          <w:tcPr>
            <w:tcW w:w="1394" w:type="dxa"/>
            <w:tcBorders>
              <w:top w:val="nil"/>
              <w:left w:val="nil"/>
              <w:bottom w:val="single" w:sz="8" w:space="0" w:color="auto"/>
              <w:right w:val="single" w:sz="8" w:space="0" w:color="auto"/>
            </w:tcBorders>
            <w:noWrap/>
            <w:vAlign w:val="center"/>
          </w:tcPr>
          <w:p w14:paraId="3699737C" w14:textId="77777777" w:rsidR="00152B4F" w:rsidRPr="009E33F4" w:rsidRDefault="00152B4F" w:rsidP="009039E0">
            <w:pPr>
              <w:jc w:val="right"/>
              <w:rPr>
                <w:rFonts w:ascii="Calibri" w:hAnsi="Calibri" w:cs="Calibri"/>
                <w:color w:val="000000"/>
                <w:szCs w:val="22"/>
              </w:rPr>
            </w:pPr>
          </w:p>
        </w:tc>
      </w:tr>
      <w:tr w:rsidR="00152B4F" w:rsidRPr="000F2CBC" w14:paraId="29C9AFF8"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117EC31C" w14:textId="77777777" w:rsidR="00152B4F" w:rsidRPr="000F2CBC" w:rsidRDefault="00152B4F" w:rsidP="009039E0">
            <w:pPr>
              <w:ind w:left="720"/>
              <w:rPr>
                <w:rFonts w:cs="Calibri"/>
                <w:b/>
                <w:bCs/>
                <w:szCs w:val="22"/>
              </w:rPr>
            </w:pPr>
            <w:r w:rsidRPr="000F2CBC">
              <w:rPr>
                <w:b/>
                <w:szCs w:val="22"/>
              </w:rPr>
              <w:t>26 Week Pathway</w:t>
            </w:r>
          </w:p>
        </w:tc>
        <w:tc>
          <w:tcPr>
            <w:tcW w:w="1418" w:type="dxa"/>
            <w:tcBorders>
              <w:top w:val="nil"/>
              <w:left w:val="nil"/>
              <w:bottom w:val="single" w:sz="8" w:space="0" w:color="auto"/>
              <w:right w:val="single" w:sz="8" w:space="0" w:color="auto"/>
            </w:tcBorders>
            <w:noWrap/>
            <w:vAlign w:val="center"/>
          </w:tcPr>
          <w:p w14:paraId="470FD047" w14:textId="77777777" w:rsidR="00152B4F" w:rsidRPr="009E33F4" w:rsidRDefault="00152B4F" w:rsidP="009039E0">
            <w:pPr>
              <w:jc w:val="right"/>
              <w:rPr>
                <w:rFonts w:ascii="Calibri" w:hAnsi="Calibri" w:cs="Calibri"/>
                <w:color w:val="000000"/>
                <w:szCs w:val="22"/>
              </w:rPr>
            </w:pPr>
          </w:p>
        </w:tc>
        <w:tc>
          <w:tcPr>
            <w:tcW w:w="1275" w:type="dxa"/>
            <w:tcBorders>
              <w:top w:val="nil"/>
              <w:left w:val="nil"/>
              <w:bottom w:val="single" w:sz="8" w:space="0" w:color="auto"/>
              <w:right w:val="single" w:sz="8" w:space="0" w:color="auto"/>
            </w:tcBorders>
            <w:noWrap/>
            <w:vAlign w:val="center"/>
          </w:tcPr>
          <w:p w14:paraId="44B61C18" w14:textId="77777777" w:rsidR="00152B4F" w:rsidRPr="009E33F4" w:rsidRDefault="00152B4F" w:rsidP="009039E0">
            <w:pPr>
              <w:jc w:val="right"/>
              <w:rPr>
                <w:rFonts w:ascii="Calibri" w:hAnsi="Calibri" w:cs="Calibri"/>
                <w:color w:val="000000"/>
                <w:szCs w:val="22"/>
              </w:rPr>
            </w:pPr>
          </w:p>
        </w:tc>
        <w:tc>
          <w:tcPr>
            <w:tcW w:w="1394" w:type="dxa"/>
            <w:tcBorders>
              <w:top w:val="nil"/>
              <w:left w:val="nil"/>
              <w:bottom w:val="single" w:sz="8" w:space="0" w:color="auto"/>
              <w:right w:val="single" w:sz="8" w:space="0" w:color="auto"/>
            </w:tcBorders>
            <w:noWrap/>
            <w:vAlign w:val="center"/>
          </w:tcPr>
          <w:p w14:paraId="19609891" w14:textId="77777777" w:rsidR="00152B4F" w:rsidRPr="009E33F4" w:rsidRDefault="00152B4F" w:rsidP="009039E0">
            <w:pPr>
              <w:jc w:val="right"/>
              <w:rPr>
                <w:rFonts w:ascii="Calibri" w:hAnsi="Calibri" w:cs="Calibri"/>
                <w:color w:val="000000"/>
                <w:szCs w:val="22"/>
              </w:rPr>
            </w:pPr>
          </w:p>
        </w:tc>
      </w:tr>
      <w:tr w:rsidR="00152B4F" w:rsidRPr="000F2CBC" w14:paraId="04E5A7DC"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397086E6" w14:textId="77777777" w:rsidR="00152B4F" w:rsidRPr="000F2CBC" w:rsidRDefault="00152B4F" w:rsidP="009039E0">
            <w:pPr>
              <w:ind w:left="720"/>
              <w:rPr>
                <w:rFonts w:cs="Calibri"/>
                <w:b/>
                <w:bCs/>
                <w:szCs w:val="22"/>
              </w:rPr>
            </w:pPr>
            <w:r w:rsidRPr="000F2CBC">
              <w:rPr>
                <w:rFonts w:cs="Calibri"/>
                <w:b/>
                <w:szCs w:val="22"/>
              </w:rPr>
              <w:t>26 Week Bonus Outcomes/Work Assist</w:t>
            </w:r>
          </w:p>
        </w:tc>
        <w:tc>
          <w:tcPr>
            <w:tcW w:w="1418" w:type="dxa"/>
            <w:tcBorders>
              <w:top w:val="nil"/>
              <w:left w:val="nil"/>
              <w:bottom w:val="single" w:sz="8" w:space="0" w:color="auto"/>
              <w:right w:val="single" w:sz="8" w:space="0" w:color="auto"/>
            </w:tcBorders>
            <w:noWrap/>
            <w:vAlign w:val="center"/>
          </w:tcPr>
          <w:p w14:paraId="2CF3FC2C" w14:textId="77777777" w:rsidR="00152B4F" w:rsidRPr="009E33F4" w:rsidRDefault="00152B4F" w:rsidP="009039E0">
            <w:pPr>
              <w:jc w:val="right"/>
              <w:rPr>
                <w:rFonts w:ascii="Calibri" w:hAnsi="Calibri" w:cs="Calibri"/>
                <w:color w:val="000000"/>
                <w:szCs w:val="22"/>
              </w:rPr>
            </w:pPr>
          </w:p>
        </w:tc>
        <w:tc>
          <w:tcPr>
            <w:tcW w:w="1275" w:type="dxa"/>
            <w:tcBorders>
              <w:top w:val="nil"/>
              <w:left w:val="nil"/>
              <w:bottom w:val="single" w:sz="8" w:space="0" w:color="auto"/>
              <w:right w:val="single" w:sz="8" w:space="0" w:color="auto"/>
            </w:tcBorders>
            <w:noWrap/>
            <w:vAlign w:val="center"/>
          </w:tcPr>
          <w:p w14:paraId="271DFCED" w14:textId="77777777" w:rsidR="00152B4F" w:rsidRPr="009E33F4" w:rsidRDefault="00152B4F" w:rsidP="009039E0">
            <w:pPr>
              <w:jc w:val="right"/>
              <w:rPr>
                <w:rFonts w:ascii="Calibri" w:hAnsi="Calibri" w:cs="Calibri"/>
                <w:color w:val="000000"/>
                <w:szCs w:val="22"/>
              </w:rPr>
            </w:pPr>
          </w:p>
        </w:tc>
        <w:tc>
          <w:tcPr>
            <w:tcW w:w="1394" w:type="dxa"/>
            <w:tcBorders>
              <w:top w:val="nil"/>
              <w:left w:val="nil"/>
              <w:bottom w:val="single" w:sz="8" w:space="0" w:color="auto"/>
              <w:right w:val="single" w:sz="8" w:space="0" w:color="auto"/>
            </w:tcBorders>
            <w:noWrap/>
            <w:vAlign w:val="center"/>
          </w:tcPr>
          <w:p w14:paraId="447CDAE0" w14:textId="77777777" w:rsidR="00152B4F" w:rsidRPr="009E33F4" w:rsidRDefault="00152B4F" w:rsidP="009039E0">
            <w:pPr>
              <w:jc w:val="right"/>
              <w:rPr>
                <w:rFonts w:ascii="Calibri" w:hAnsi="Calibri" w:cs="Calibri"/>
                <w:color w:val="000000"/>
                <w:szCs w:val="22"/>
              </w:rPr>
            </w:pPr>
          </w:p>
        </w:tc>
      </w:tr>
      <w:tr w:rsidR="00152B4F" w:rsidRPr="000F2CBC" w14:paraId="6EC46B86"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79654649" w14:textId="77777777" w:rsidR="00152B4F" w:rsidRPr="000F2CBC" w:rsidRDefault="00152B4F" w:rsidP="009039E0">
            <w:pPr>
              <w:rPr>
                <w:rFonts w:cs="Calibri"/>
                <w:b/>
                <w:bCs/>
                <w:szCs w:val="22"/>
              </w:rPr>
            </w:pPr>
            <w:r w:rsidRPr="000F2CBC">
              <w:rPr>
                <w:b/>
                <w:szCs w:val="22"/>
              </w:rPr>
              <w:t>52 Week Outcomes combined</w:t>
            </w:r>
          </w:p>
        </w:tc>
        <w:tc>
          <w:tcPr>
            <w:tcW w:w="1418" w:type="dxa"/>
            <w:tcBorders>
              <w:top w:val="nil"/>
              <w:left w:val="nil"/>
              <w:bottom w:val="single" w:sz="8" w:space="0" w:color="auto"/>
              <w:right w:val="single" w:sz="8" w:space="0" w:color="auto"/>
            </w:tcBorders>
            <w:noWrap/>
            <w:vAlign w:val="center"/>
          </w:tcPr>
          <w:p w14:paraId="3D465488"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2.16</w:t>
            </w:r>
          </w:p>
        </w:tc>
        <w:tc>
          <w:tcPr>
            <w:tcW w:w="1275" w:type="dxa"/>
            <w:tcBorders>
              <w:top w:val="nil"/>
              <w:left w:val="nil"/>
              <w:bottom w:val="single" w:sz="8" w:space="0" w:color="auto"/>
              <w:right w:val="single" w:sz="8" w:space="0" w:color="auto"/>
            </w:tcBorders>
            <w:noWrap/>
            <w:vAlign w:val="center"/>
          </w:tcPr>
          <w:p w14:paraId="4E25C28B" w14:textId="77777777" w:rsidR="00152B4F" w:rsidRPr="009E33F4" w:rsidRDefault="00152B4F" w:rsidP="009039E0">
            <w:pPr>
              <w:jc w:val="right"/>
              <w:rPr>
                <w:rFonts w:ascii="Calibri" w:hAnsi="Calibri" w:cs="Calibri"/>
                <w:color w:val="000000"/>
                <w:szCs w:val="22"/>
              </w:rPr>
            </w:pPr>
            <w:r>
              <w:rPr>
                <w:rFonts w:ascii="Calibri" w:hAnsi="Calibri" w:cs="Calibri"/>
                <w:color w:val="000000"/>
                <w:szCs w:val="22"/>
              </w:rPr>
              <w:t>0.25</w:t>
            </w:r>
          </w:p>
        </w:tc>
        <w:tc>
          <w:tcPr>
            <w:tcW w:w="1394" w:type="dxa"/>
            <w:tcBorders>
              <w:top w:val="nil"/>
              <w:left w:val="nil"/>
              <w:bottom w:val="single" w:sz="8" w:space="0" w:color="auto"/>
              <w:right w:val="single" w:sz="8" w:space="0" w:color="auto"/>
            </w:tcBorders>
            <w:noWrap/>
            <w:vAlign w:val="center"/>
          </w:tcPr>
          <w:p w14:paraId="19A51FDF"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0.54</w:t>
            </w:r>
          </w:p>
        </w:tc>
      </w:tr>
      <w:tr w:rsidR="00152B4F" w:rsidRPr="000F2CBC" w14:paraId="0866EE5D"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005DF8C2" w14:textId="77777777" w:rsidR="00152B4F" w:rsidRPr="000F2CBC" w:rsidRDefault="00152B4F" w:rsidP="009039E0">
            <w:pPr>
              <w:ind w:left="720"/>
              <w:rPr>
                <w:rFonts w:cs="Calibri"/>
                <w:b/>
                <w:bCs/>
                <w:szCs w:val="22"/>
              </w:rPr>
            </w:pPr>
            <w:r w:rsidRPr="000F2CBC">
              <w:rPr>
                <w:rFonts w:cs="Calibri"/>
                <w:b/>
                <w:szCs w:val="22"/>
              </w:rPr>
              <w:t>52 Week Full</w:t>
            </w:r>
          </w:p>
        </w:tc>
        <w:tc>
          <w:tcPr>
            <w:tcW w:w="1418" w:type="dxa"/>
            <w:tcBorders>
              <w:top w:val="nil"/>
              <w:left w:val="nil"/>
              <w:bottom w:val="single" w:sz="8" w:space="0" w:color="auto"/>
              <w:right w:val="single" w:sz="8" w:space="0" w:color="auto"/>
            </w:tcBorders>
            <w:noWrap/>
            <w:vAlign w:val="center"/>
            <w:hideMark/>
          </w:tcPr>
          <w:p w14:paraId="301CCE5E" w14:textId="77777777" w:rsidR="00152B4F" w:rsidRPr="009E33F4" w:rsidRDefault="00152B4F" w:rsidP="009039E0">
            <w:pPr>
              <w:jc w:val="right"/>
              <w:rPr>
                <w:rFonts w:ascii="Calibri" w:hAnsi="Calibri" w:cs="Calibri"/>
                <w:color w:val="000000"/>
                <w:szCs w:val="22"/>
              </w:rPr>
            </w:pPr>
          </w:p>
        </w:tc>
        <w:tc>
          <w:tcPr>
            <w:tcW w:w="1275" w:type="dxa"/>
            <w:tcBorders>
              <w:top w:val="nil"/>
              <w:left w:val="nil"/>
              <w:bottom w:val="single" w:sz="8" w:space="0" w:color="auto"/>
              <w:right w:val="single" w:sz="8" w:space="0" w:color="auto"/>
            </w:tcBorders>
            <w:noWrap/>
            <w:vAlign w:val="center"/>
            <w:hideMark/>
          </w:tcPr>
          <w:p w14:paraId="5C25C636" w14:textId="77777777" w:rsidR="00152B4F" w:rsidRPr="009E33F4" w:rsidRDefault="00152B4F" w:rsidP="009039E0">
            <w:pPr>
              <w:jc w:val="right"/>
              <w:rPr>
                <w:rFonts w:ascii="Calibri" w:hAnsi="Calibri" w:cs="Calibri"/>
                <w:color w:val="000000"/>
                <w:szCs w:val="22"/>
              </w:rPr>
            </w:pPr>
          </w:p>
        </w:tc>
        <w:tc>
          <w:tcPr>
            <w:tcW w:w="1394" w:type="dxa"/>
            <w:tcBorders>
              <w:top w:val="nil"/>
              <w:left w:val="nil"/>
              <w:bottom w:val="single" w:sz="8" w:space="0" w:color="auto"/>
              <w:right w:val="single" w:sz="8" w:space="0" w:color="auto"/>
            </w:tcBorders>
            <w:noWrap/>
            <w:vAlign w:val="center"/>
            <w:hideMark/>
          </w:tcPr>
          <w:p w14:paraId="3031FA95" w14:textId="77777777" w:rsidR="00152B4F" w:rsidRPr="009E33F4" w:rsidRDefault="00152B4F" w:rsidP="009039E0">
            <w:pPr>
              <w:jc w:val="right"/>
              <w:rPr>
                <w:rFonts w:ascii="Calibri" w:hAnsi="Calibri" w:cs="Calibri"/>
                <w:color w:val="000000"/>
                <w:szCs w:val="22"/>
              </w:rPr>
            </w:pPr>
          </w:p>
        </w:tc>
      </w:tr>
      <w:tr w:rsidR="00152B4F" w:rsidRPr="000F2CBC" w14:paraId="21EE765E"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6FD31D28" w14:textId="77777777" w:rsidR="00152B4F" w:rsidRPr="000F2CBC" w:rsidRDefault="00152B4F" w:rsidP="009039E0">
            <w:pPr>
              <w:ind w:left="720"/>
              <w:rPr>
                <w:rFonts w:cs="Calibri"/>
                <w:b/>
                <w:bCs/>
                <w:szCs w:val="22"/>
              </w:rPr>
            </w:pPr>
            <w:r w:rsidRPr="000F2CBC">
              <w:rPr>
                <w:b/>
                <w:szCs w:val="22"/>
              </w:rPr>
              <w:t>52 Week Pathway</w:t>
            </w:r>
          </w:p>
        </w:tc>
        <w:tc>
          <w:tcPr>
            <w:tcW w:w="1418" w:type="dxa"/>
            <w:tcBorders>
              <w:top w:val="nil"/>
              <w:left w:val="nil"/>
              <w:bottom w:val="single" w:sz="8" w:space="0" w:color="auto"/>
              <w:right w:val="single" w:sz="8" w:space="0" w:color="auto"/>
            </w:tcBorders>
            <w:noWrap/>
            <w:vAlign w:val="center"/>
            <w:hideMark/>
          </w:tcPr>
          <w:p w14:paraId="11126A4A" w14:textId="77777777" w:rsidR="00152B4F" w:rsidRPr="009E33F4" w:rsidRDefault="00152B4F" w:rsidP="009039E0">
            <w:pPr>
              <w:jc w:val="right"/>
              <w:rPr>
                <w:rFonts w:ascii="Calibri" w:hAnsi="Calibri" w:cs="Calibri"/>
                <w:color w:val="000000"/>
                <w:szCs w:val="22"/>
              </w:rPr>
            </w:pPr>
          </w:p>
        </w:tc>
        <w:tc>
          <w:tcPr>
            <w:tcW w:w="1275" w:type="dxa"/>
            <w:tcBorders>
              <w:top w:val="nil"/>
              <w:left w:val="nil"/>
              <w:bottom w:val="single" w:sz="8" w:space="0" w:color="auto"/>
              <w:right w:val="single" w:sz="8" w:space="0" w:color="auto"/>
            </w:tcBorders>
            <w:noWrap/>
            <w:vAlign w:val="center"/>
            <w:hideMark/>
          </w:tcPr>
          <w:p w14:paraId="0A845BF2" w14:textId="77777777" w:rsidR="00152B4F" w:rsidRPr="009E33F4" w:rsidRDefault="00152B4F" w:rsidP="009039E0">
            <w:pPr>
              <w:jc w:val="right"/>
              <w:rPr>
                <w:rFonts w:ascii="Calibri" w:hAnsi="Calibri" w:cs="Calibri"/>
                <w:color w:val="000000"/>
                <w:szCs w:val="22"/>
              </w:rPr>
            </w:pPr>
          </w:p>
        </w:tc>
        <w:tc>
          <w:tcPr>
            <w:tcW w:w="1394" w:type="dxa"/>
            <w:tcBorders>
              <w:top w:val="nil"/>
              <w:left w:val="nil"/>
              <w:bottom w:val="single" w:sz="8" w:space="0" w:color="auto"/>
              <w:right w:val="single" w:sz="8" w:space="0" w:color="auto"/>
            </w:tcBorders>
            <w:noWrap/>
            <w:vAlign w:val="center"/>
            <w:hideMark/>
          </w:tcPr>
          <w:p w14:paraId="12C81C32" w14:textId="77777777" w:rsidR="00152B4F" w:rsidRPr="009E33F4" w:rsidRDefault="00152B4F" w:rsidP="009039E0">
            <w:pPr>
              <w:jc w:val="right"/>
              <w:rPr>
                <w:rFonts w:ascii="Calibri" w:hAnsi="Calibri" w:cs="Calibri"/>
                <w:color w:val="000000"/>
                <w:szCs w:val="22"/>
              </w:rPr>
            </w:pPr>
          </w:p>
        </w:tc>
      </w:tr>
      <w:tr w:rsidR="00152B4F" w:rsidRPr="000F2CBC" w14:paraId="711754F5" w14:textId="77777777" w:rsidTr="009039E0">
        <w:trPr>
          <w:trHeight w:val="315"/>
        </w:trPr>
        <w:tc>
          <w:tcPr>
            <w:tcW w:w="4560" w:type="dxa"/>
            <w:tcBorders>
              <w:top w:val="nil"/>
              <w:left w:val="single" w:sz="8" w:space="0" w:color="auto"/>
              <w:bottom w:val="single" w:sz="8" w:space="0" w:color="auto"/>
              <w:right w:val="single" w:sz="8" w:space="0" w:color="auto"/>
            </w:tcBorders>
            <w:shd w:val="clear" w:color="000000" w:fill="D9D9D9"/>
            <w:noWrap/>
            <w:vAlign w:val="bottom"/>
            <w:hideMark/>
          </w:tcPr>
          <w:p w14:paraId="543FC392" w14:textId="77777777" w:rsidR="00152B4F" w:rsidRPr="000F2CBC" w:rsidRDefault="00152B4F" w:rsidP="009039E0">
            <w:pPr>
              <w:rPr>
                <w:rFonts w:cs="Calibri"/>
                <w:b/>
                <w:bCs/>
                <w:szCs w:val="22"/>
              </w:rPr>
            </w:pPr>
            <w:r w:rsidRPr="000F2CBC">
              <w:rPr>
                <w:b/>
                <w:szCs w:val="22"/>
              </w:rPr>
              <w:t>Ongoing Support</w:t>
            </w:r>
          </w:p>
        </w:tc>
        <w:tc>
          <w:tcPr>
            <w:tcW w:w="1418" w:type="dxa"/>
            <w:tcBorders>
              <w:top w:val="nil"/>
              <w:left w:val="nil"/>
              <w:bottom w:val="single" w:sz="8" w:space="0" w:color="auto"/>
              <w:right w:val="single" w:sz="8" w:space="0" w:color="auto"/>
            </w:tcBorders>
            <w:noWrap/>
            <w:vAlign w:val="center"/>
            <w:hideMark/>
          </w:tcPr>
          <w:p w14:paraId="2D3EA68F"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1.97</w:t>
            </w:r>
          </w:p>
        </w:tc>
        <w:tc>
          <w:tcPr>
            <w:tcW w:w="1275" w:type="dxa"/>
            <w:tcBorders>
              <w:top w:val="nil"/>
              <w:left w:val="nil"/>
              <w:bottom w:val="single" w:sz="8" w:space="0" w:color="auto"/>
              <w:right w:val="single" w:sz="8" w:space="0" w:color="auto"/>
            </w:tcBorders>
            <w:noWrap/>
            <w:vAlign w:val="center"/>
            <w:hideMark/>
          </w:tcPr>
          <w:p w14:paraId="578892B7" w14:textId="77777777" w:rsidR="00152B4F" w:rsidRPr="009E33F4" w:rsidRDefault="00152B4F" w:rsidP="009039E0">
            <w:pPr>
              <w:jc w:val="right"/>
              <w:rPr>
                <w:rFonts w:ascii="Calibri" w:hAnsi="Calibri" w:cs="Calibri"/>
                <w:color w:val="000000"/>
                <w:szCs w:val="22"/>
              </w:rPr>
            </w:pPr>
            <w:r>
              <w:rPr>
                <w:rFonts w:ascii="Calibri" w:hAnsi="Calibri" w:cs="Calibri"/>
                <w:color w:val="000000"/>
                <w:szCs w:val="22"/>
              </w:rPr>
              <w:t>0.15</w:t>
            </w:r>
          </w:p>
        </w:tc>
        <w:tc>
          <w:tcPr>
            <w:tcW w:w="1394" w:type="dxa"/>
            <w:tcBorders>
              <w:top w:val="nil"/>
              <w:left w:val="nil"/>
              <w:bottom w:val="single" w:sz="8" w:space="0" w:color="auto"/>
              <w:right w:val="single" w:sz="8" w:space="0" w:color="auto"/>
            </w:tcBorders>
            <w:noWrap/>
            <w:vAlign w:val="center"/>
            <w:hideMark/>
          </w:tcPr>
          <w:p w14:paraId="2D715D5C" w14:textId="77777777" w:rsidR="00152B4F" w:rsidRPr="009E33F4" w:rsidRDefault="00152B4F" w:rsidP="009039E0">
            <w:pPr>
              <w:jc w:val="right"/>
              <w:rPr>
                <w:rFonts w:ascii="Calibri" w:hAnsi="Calibri" w:cs="Calibri"/>
                <w:color w:val="000000"/>
                <w:szCs w:val="22"/>
              </w:rPr>
            </w:pPr>
            <w:r w:rsidRPr="009E33F4">
              <w:rPr>
                <w:rFonts w:ascii="Calibri" w:hAnsi="Calibri" w:cs="Calibri"/>
                <w:color w:val="000000"/>
                <w:szCs w:val="22"/>
              </w:rPr>
              <w:t>0.30</w:t>
            </w:r>
          </w:p>
        </w:tc>
      </w:tr>
      <w:tr w:rsidR="00152B4F" w:rsidRPr="000F2CBC" w14:paraId="6B276B54" w14:textId="77777777" w:rsidTr="009039E0">
        <w:trPr>
          <w:trHeight w:val="315"/>
        </w:trPr>
        <w:tc>
          <w:tcPr>
            <w:tcW w:w="4560" w:type="dxa"/>
            <w:tcBorders>
              <w:top w:val="nil"/>
              <w:left w:val="nil"/>
              <w:bottom w:val="nil"/>
              <w:right w:val="nil"/>
            </w:tcBorders>
            <w:noWrap/>
            <w:vAlign w:val="bottom"/>
            <w:hideMark/>
          </w:tcPr>
          <w:p w14:paraId="2723203C" w14:textId="77777777" w:rsidR="00152B4F" w:rsidRPr="000F2CBC" w:rsidRDefault="00152B4F" w:rsidP="009039E0">
            <w:pPr>
              <w:rPr>
                <w:rFonts w:cs="Calibri"/>
                <w:color w:val="000000"/>
                <w:szCs w:val="22"/>
              </w:rPr>
            </w:pPr>
          </w:p>
        </w:tc>
        <w:tc>
          <w:tcPr>
            <w:tcW w:w="1418" w:type="dxa"/>
            <w:tcBorders>
              <w:top w:val="nil"/>
              <w:left w:val="nil"/>
              <w:bottom w:val="nil"/>
              <w:right w:val="nil"/>
            </w:tcBorders>
            <w:noWrap/>
            <w:hideMark/>
          </w:tcPr>
          <w:p w14:paraId="09986090" w14:textId="77777777" w:rsidR="00152B4F" w:rsidRPr="000F2CBC" w:rsidRDefault="00152B4F" w:rsidP="009039E0">
            <w:pPr>
              <w:rPr>
                <w:rFonts w:cs="Calibri"/>
                <w:color w:val="000000"/>
                <w:szCs w:val="22"/>
              </w:rPr>
            </w:pPr>
          </w:p>
        </w:tc>
        <w:tc>
          <w:tcPr>
            <w:tcW w:w="1275" w:type="dxa"/>
            <w:tcBorders>
              <w:top w:val="nil"/>
              <w:left w:val="nil"/>
              <w:bottom w:val="nil"/>
              <w:right w:val="nil"/>
            </w:tcBorders>
            <w:noWrap/>
            <w:hideMark/>
          </w:tcPr>
          <w:p w14:paraId="35BD21B8" w14:textId="77777777" w:rsidR="00152B4F" w:rsidRPr="000F2CBC" w:rsidRDefault="00152B4F" w:rsidP="009039E0">
            <w:pPr>
              <w:rPr>
                <w:rFonts w:cs="Calibri"/>
                <w:color w:val="000000"/>
                <w:szCs w:val="22"/>
              </w:rPr>
            </w:pPr>
          </w:p>
        </w:tc>
        <w:tc>
          <w:tcPr>
            <w:tcW w:w="1394" w:type="dxa"/>
            <w:tcBorders>
              <w:top w:val="nil"/>
              <w:left w:val="nil"/>
              <w:bottom w:val="nil"/>
              <w:right w:val="nil"/>
            </w:tcBorders>
            <w:noWrap/>
            <w:hideMark/>
          </w:tcPr>
          <w:p w14:paraId="33C36C88" w14:textId="77777777" w:rsidR="00152B4F" w:rsidRPr="000F2CBC" w:rsidRDefault="00152B4F" w:rsidP="009039E0">
            <w:pPr>
              <w:rPr>
                <w:rFonts w:cs="Calibri"/>
                <w:color w:val="000000"/>
                <w:szCs w:val="22"/>
              </w:rPr>
            </w:pPr>
          </w:p>
        </w:tc>
      </w:tr>
      <w:tr w:rsidR="00152B4F" w:rsidRPr="00E962BF" w14:paraId="2412607C" w14:textId="77777777" w:rsidTr="009039E0">
        <w:trPr>
          <w:trHeight w:val="315"/>
        </w:trPr>
        <w:tc>
          <w:tcPr>
            <w:tcW w:w="4560" w:type="dxa"/>
            <w:tcBorders>
              <w:top w:val="single" w:sz="8" w:space="0" w:color="auto"/>
              <w:left w:val="single" w:sz="8" w:space="0" w:color="auto"/>
              <w:bottom w:val="single" w:sz="8" w:space="0" w:color="auto"/>
              <w:right w:val="nil"/>
            </w:tcBorders>
            <w:shd w:val="clear" w:color="000000" w:fill="D9D9D9"/>
            <w:noWrap/>
            <w:vAlign w:val="center"/>
            <w:hideMark/>
          </w:tcPr>
          <w:p w14:paraId="624D721F" w14:textId="77777777" w:rsidR="00152B4F" w:rsidRPr="000F2CBC" w:rsidRDefault="00152B4F" w:rsidP="009039E0">
            <w:pPr>
              <w:rPr>
                <w:rFonts w:cs="Calibri"/>
                <w:b/>
                <w:bCs/>
                <w:szCs w:val="22"/>
              </w:rPr>
            </w:pPr>
            <w:r w:rsidRPr="000F2CBC">
              <w:rPr>
                <w:rFonts w:cs="Calibri"/>
                <w:b/>
                <w:bCs/>
                <w:szCs w:val="22"/>
              </w:rPr>
              <w:t>Performance Score for Site X</w:t>
            </w:r>
          </w:p>
        </w:tc>
        <w:tc>
          <w:tcPr>
            <w:tcW w:w="1418" w:type="dxa"/>
            <w:tcBorders>
              <w:top w:val="single" w:sz="8" w:space="0" w:color="auto"/>
              <w:left w:val="nil"/>
              <w:bottom w:val="single" w:sz="8" w:space="0" w:color="auto"/>
              <w:right w:val="nil"/>
            </w:tcBorders>
            <w:shd w:val="clear" w:color="000000" w:fill="D9D9D9"/>
            <w:noWrap/>
            <w:hideMark/>
          </w:tcPr>
          <w:p w14:paraId="501FEBCC" w14:textId="77777777" w:rsidR="00152B4F" w:rsidRPr="000F2CBC" w:rsidRDefault="00152B4F" w:rsidP="009039E0">
            <w:pPr>
              <w:rPr>
                <w:rFonts w:cs="Calibri"/>
                <w:b/>
                <w:bCs/>
                <w:szCs w:val="22"/>
              </w:rPr>
            </w:pPr>
          </w:p>
        </w:tc>
        <w:tc>
          <w:tcPr>
            <w:tcW w:w="1275" w:type="dxa"/>
            <w:tcBorders>
              <w:top w:val="single" w:sz="8" w:space="0" w:color="auto"/>
              <w:left w:val="nil"/>
              <w:bottom w:val="single" w:sz="8" w:space="0" w:color="auto"/>
              <w:right w:val="nil"/>
            </w:tcBorders>
            <w:shd w:val="clear" w:color="000000" w:fill="D9D9D9"/>
            <w:noWrap/>
            <w:hideMark/>
          </w:tcPr>
          <w:p w14:paraId="73A5D775" w14:textId="77777777" w:rsidR="00152B4F" w:rsidRPr="000F2CBC" w:rsidRDefault="00152B4F" w:rsidP="009039E0">
            <w:pPr>
              <w:rPr>
                <w:rFonts w:cs="Calibri"/>
                <w:b/>
                <w:bCs/>
                <w:szCs w:val="22"/>
              </w:rPr>
            </w:pPr>
          </w:p>
        </w:tc>
        <w:tc>
          <w:tcPr>
            <w:tcW w:w="1394" w:type="dxa"/>
            <w:tcBorders>
              <w:top w:val="single" w:sz="8" w:space="0" w:color="auto"/>
              <w:left w:val="nil"/>
              <w:bottom w:val="single" w:sz="8" w:space="0" w:color="auto"/>
              <w:right w:val="single" w:sz="8" w:space="0" w:color="auto"/>
            </w:tcBorders>
            <w:shd w:val="clear" w:color="000000" w:fill="D9D9D9"/>
            <w:noWrap/>
            <w:hideMark/>
          </w:tcPr>
          <w:p w14:paraId="3C47A85A" w14:textId="77777777" w:rsidR="00152B4F" w:rsidRPr="00205158" w:rsidRDefault="00152B4F" w:rsidP="009039E0">
            <w:pPr>
              <w:jc w:val="right"/>
              <w:rPr>
                <w:rFonts w:cs="Calibri"/>
                <w:b/>
                <w:bCs/>
                <w:szCs w:val="22"/>
              </w:rPr>
            </w:pPr>
            <w:r w:rsidRPr="000F2CBC">
              <w:rPr>
                <w:b/>
              </w:rPr>
              <w:t>2.84</w:t>
            </w:r>
          </w:p>
        </w:tc>
      </w:tr>
    </w:tbl>
    <w:p w14:paraId="700C3C14" w14:textId="77777777" w:rsidR="00152B4F" w:rsidRDefault="006F6048" w:rsidP="00152B4F">
      <w:pPr>
        <w:rPr>
          <w:b/>
          <w:szCs w:val="22"/>
        </w:rPr>
      </w:pPr>
      <w:r>
        <w:pict w14:anchorId="0117B978">
          <v:rect id="_x0000_i1039" style="width:415.3pt;height:1.5pt" o:hralign="center" o:hrstd="t" o:hr="t" fillcolor="#a0a0a0" stroked="f"/>
        </w:pict>
      </w:r>
    </w:p>
    <w:p w14:paraId="2069AC9A" w14:textId="77777777" w:rsidR="00152B4F" w:rsidRDefault="00152B4F" w:rsidP="00152B4F">
      <w:pPr>
        <w:rPr>
          <w:szCs w:val="22"/>
        </w:rPr>
      </w:pPr>
      <w:r>
        <w:rPr>
          <w:szCs w:val="22"/>
        </w:rPr>
        <w:br w:type="page"/>
      </w:r>
    </w:p>
    <w:p w14:paraId="110F41A0" w14:textId="77777777" w:rsidR="00152B4F" w:rsidRDefault="006F6048" w:rsidP="00152B4F">
      <w:pPr>
        <w:spacing w:after="240"/>
      </w:pPr>
      <w:r>
        <w:pict w14:anchorId="0632E50C">
          <v:rect id="_x0000_i1040" style="width:415.3pt;height:1.5pt" o:hralign="center" o:hrstd="t" o:hr="t" fillcolor="#a0a0a0" stroked="f"/>
        </w:pict>
      </w:r>
    </w:p>
    <w:p w14:paraId="11555B03" w14:textId="77777777" w:rsidR="00152B4F" w:rsidRPr="006B3912" w:rsidRDefault="00152B4F" w:rsidP="00152B4F">
      <w:pPr>
        <w:rPr>
          <w:b/>
        </w:rPr>
      </w:pPr>
      <w:r w:rsidRPr="006B3912">
        <w:rPr>
          <w:b/>
        </w:rPr>
        <w:t>Step 6: Calculate the Star Percentage and Star Rating</w:t>
      </w:r>
    </w:p>
    <w:p w14:paraId="12914B4C" w14:textId="77777777" w:rsidR="00152B4F" w:rsidRPr="00E962BF" w:rsidRDefault="00152B4F" w:rsidP="00152B4F">
      <w:pPr>
        <w:rPr>
          <w:szCs w:val="22"/>
        </w:rPr>
      </w:pPr>
      <w:r>
        <w:rPr>
          <w:szCs w:val="22"/>
        </w:rPr>
        <w:t>From the overall</w:t>
      </w:r>
      <w:r w:rsidRPr="00E962BF">
        <w:rPr>
          <w:szCs w:val="22"/>
        </w:rPr>
        <w:t xml:space="preserve"> performance scores for all </w:t>
      </w:r>
      <w:r>
        <w:rPr>
          <w:szCs w:val="22"/>
        </w:rPr>
        <w:t>Site</w:t>
      </w:r>
      <w:r w:rsidRPr="00E962BF">
        <w:rPr>
          <w:szCs w:val="22"/>
        </w:rPr>
        <w:t xml:space="preserve">s across Australia, the national average </w:t>
      </w:r>
      <w:r>
        <w:rPr>
          <w:szCs w:val="22"/>
        </w:rPr>
        <w:t>Site</w:t>
      </w:r>
      <w:r w:rsidRPr="00E962BF">
        <w:rPr>
          <w:szCs w:val="22"/>
        </w:rPr>
        <w:t xml:space="preserve"> performance score is calculated. The example below shows a national average </w:t>
      </w:r>
      <w:r>
        <w:rPr>
          <w:szCs w:val="22"/>
        </w:rPr>
        <w:t>Site performance score of 2.00.</w:t>
      </w:r>
    </w:p>
    <w:p w14:paraId="6B0267D7" w14:textId="77777777" w:rsidR="00152B4F" w:rsidRPr="00E962BF" w:rsidRDefault="00152B4F" w:rsidP="00152B4F">
      <w:pPr>
        <w:rPr>
          <w:szCs w:val="22"/>
        </w:rPr>
      </w:pPr>
    </w:p>
    <w:p w14:paraId="56569D03" w14:textId="77777777" w:rsidR="00152B4F" w:rsidRPr="00BD1C8F" w:rsidRDefault="00152B4F" w:rsidP="00152B4F">
      <w:pPr>
        <w:rPr>
          <w:szCs w:val="22"/>
        </w:rPr>
      </w:pPr>
      <w:r w:rsidRPr="00E962BF">
        <w:rPr>
          <w:szCs w:val="22"/>
        </w:rPr>
        <w:t xml:space="preserve">Each </w:t>
      </w:r>
      <w:r>
        <w:rPr>
          <w:szCs w:val="22"/>
        </w:rPr>
        <w:t>Site</w:t>
      </w:r>
      <w:r w:rsidRPr="00E962BF">
        <w:rPr>
          <w:szCs w:val="22"/>
        </w:rPr>
        <w:t xml:space="preserve">’s Star Percentage is then calculated by comparing their performance score with the national average </w:t>
      </w:r>
      <w:r>
        <w:rPr>
          <w:szCs w:val="22"/>
        </w:rPr>
        <w:t>Site</w:t>
      </w:r>
      <w:r w:rsidRPr="00E962BF">
        <w:rPr>
          <w:szCs w:val="22"/>
        </w:rPr>
        <w:t xml:space="preserve"> performance score. </w:t>
      </w:r>
      <w:r w:rsidRPr="00A01C61">
        <w:rPr>
          <w:szCs w:val="22"/>
        </w:rPr>
        <w:t xml:space="preserve">The Star Percentage is always </w:t>
      </w:r>
      <w:r>
        <w:rPr>
          <w:szCs w:val="22"/>
        </w:rPr>
        <w:t>truncated</w:t>
      </w:r>
      <w:r w:rsidRPr="00A01C61">
        <w:rPr>
          <w:szCs w:val="22"/>
        </w:rPr>
        <w:t xml:space="preserve"> to the integer, meaning that the decimal components are always removed. For example, a Star Percentage of 19.82 is</w:t>
      </w:r>
      <w:r>
        <w:rPr>
          <w:szCs w:val="22"/>
        </w:rPr>
        <w:t xml:space="preserve"> truncated</w:t>
      </w:r>
      <w:r w:rsidRPr="00A01C61">
        <w:rPr>
          <w:szCs w:val="22"/>
        </w:rPr>
        <w:t xml:space="preserve"> to ‘+ 19’, and a Star Percentage of -19.82 is rounded down to ‘- 19’.</w:t>
      </w:r>
    </w:p>
    <w:p w14:paraId="53D26A4F" w14:textId="77777777" w:rsidR="00152B4F" w:rsidRPr="00E962BF" w:rsidRDefault="00152B4F" w:rsidP="00152B4F">
      <w:pPr>
        <w:rPr>
          <w:szCs w:val="22"/>
        </w:rPr>
      </w:pPr>
    </w:p>
    <w:p w14:paraId="4A4539F5" w14:textId="77777777" w:rsidR="00152B4F" w:rsidRDefault="00152B4F" w:rsidP="00152B4F">
      <w:pPr>
        <w:rPr>
          <w:szCs w:val="22"/>
        </w:rPr>
      </w:pPr>
      <w:r w:rsidRPr="00E962BF">
        <w:rPr>
          <w:szCs w:val="22"/>
        </w:rPr>
        <w:t xml:space="preserve">Star Ratings are then allocated to each </w:t>
      </w:r>
      <w:r>
        <w:rPr>
          <w:szCs w:val="22"/>
        </w:rPr>
        <w:t>Site</w:t>
      </w:r>
      <w:r w:rsidRPr="00E962BF">
        <w:rPr>
          <w:szCs w:val="22"/>
        </w:rPr>
        <w:t xml:space="preserve"> on the basis of the distribution in </w:t>
      </w:r>
      <w:r w:rsidRPr="006B5DB5">
        <w:rPr>
          <w:szCs w:val="22"/>
        </w:rPr>
        <w:t xml:space="preserve">Table </w:t>
      </w:r>
      <w:r>
        <w:rPr>
          <w:szCs w:val="22"/>
        </w:rPr>
        <w:t>six</w:t>
      </w:r>
      <w:r w:rsidRPr="006D435D">
        <w:rPr>
          <w:szCs w:val="22"/>
        </w:rPr>
        <w:t>.</w:t>
      </w:r>
    </w:p>
    <w:p w14:paraId="5CCD3D00" w14:textId="77777777" w:rsidR="00152B4F" w:rsidRDefault="006F6048" w:rsidP="00152B4F">
      <w:r>
        <w:pict w14:anchorId="6989B687">
          <v:rect id="_x0000_i1041" style="width:415.3pt;height:1.5pt" o:hralign="center" o:hrstd="t" o:hr="t" fillcolor="#a0a0a0" stroked="f"/>
        </w:pict>
      </w:r>
    </w:p>
    <w:p w14:paraId="48AA1067" w14:textId="77777777" w:rsidR="00152B4F" w:rsidRPr="00E962BF" w:rsidRDefault="00152B4F" w:rsidP="00152B4F">
      <w:pPr>
        <w:ind w:firstLine="720"/>
        <w:rPr>
          <w:b/>
          <w:szCs w:val="22"/>
        </w:rPr>
      </w:pPr>
      <w:r w:rsidRPr="00E962BF">
        <w:rPr>
          <w:b/>
          <w:szCs w:val="22"/>
        </w:rPr>
        <w:t>Step 6 Example</w:t>
      </w:r>
    </w:p>
    <w:p w14:paraId="3F440C5F" w14:textId="77777777" w:rsidR="00152B4F" w:rsidRDefault="00152B4F" w:rsidP="00152B4F">
      <w:pPr>
        <w:ind w:firstLine="720"/>
        <w:rPr>
          <w:szCs w:val="22"/>
        </w:rPr>
      </w:pPr>
      <w:r>
        <w:rPr>
          <w:szCs w:val="22"/>
        </w:rPr>
        <w:t>The</w:t>
      </w:r>
      <w:r w:rsidRPr="00E962BF">
        <w:rPr>
          <w:szCs w:val="22"/>
        </w:rPr>
        <w:t xml:space="preserve"> Star Percentage and Star Rating for Site X is calculated as follows. </w:t>
      </w:r>
    </w:p>
    <w:p w14:paraId="309B60E5" w14:textId="77777777" w:rsidR="00152B4F" w:rsidRDefault="00152B4F" w:rsidP="00152B4F">
      <w:pPr>
        <w:ind w:firstLine="720"/>
        <w:rPr>
          <w:szCs w:val="22"/>
        </w:rPr>
      </w:pPr>
    </w:p>
    <w:p w14:paraId="53E0F680" w14:textId="77777777" w:rsidR="00152B4F" w:rsidRDefault="00152B4F" w:rsidP="00152B4F">
      <w:pPr>
        <w:tabs>
          <w:tab w:val="left" w:pos="5245"/>
          <w:tab w:val="left" w:pos="5387"/>
          <w:tab w:val="left" w:pos="5670"/>
        </w:tabs>
        <w:ind w:firstLine="720"/>
        <w:rPr>
          <w:szCs w:val="22"/>
        </w:rPr>
      </w:pPr>
      <w:r>
        <w:rPr>
          <w:szCs w:val="22"/>
        </w:rPr>
        <w:t>Performance Score for Site X =</w:t>
      </w:r>
      <w:r>
        <w:rPr>
          <w:szCs w:val="22"/>
        </w:rPr>
        <w:tab/>
        <w:t>2.84</w:t>
      </w:r>
    </w:p>
    <w:p w14:paraId="785D6703" w14:textId="77777777" w:rsidR="00152B4F" w:rsidRPr="00BE58A0" w:rsidRDefault="00152B4F" w:rsidP="00152B4F">
      <w:pPr>
        <w:ind w:firstLine="720"/>
        <w:rPr>
          <w:sz w:val="10"/>
          <w:szCs w:val="10"/>
        </w:rPr>
      </w:pPr>
    </w:p>
    <w:p w14:paraId="3245C81D" w14:textId="77777777" w:rsidR="00152B4F" w:rsidRDefault="00152B4F" w:rsidP="00152B4F">
      <w:pPr>
        <w:tabs>
          <w:tab w:val="left" w:pos="5245"/>
        </w:tabs>
        <w:ind w:firstLine="720"/>
        <w:rPr>
          <w:szCs w:val="22"/>
        </w:rPr>
      </w:pPr>
      <w:r>
        <w:rPr>
          <w:szCs w:val="22"/>
        </w:rPr>
        <w:t>National Average Site X Performance Score =</w:t>
      </w:r>
      <w:r>
        <w:rPr>
          <w:szCs w:val="22"/>
        </w:rPr>
        <w:tab/>
        <w:t>2.00</w:t>
      </w:r>
    </w:p>
    <w:p w14:paraId="3A1ADB46" w14:textId="77777777" w:rsidR="00152B4F" w:rsidRDefault="00152B4F" w:rsidP="00152B4F">
      <w:pPr>
        <w:tabs>
          <w:tab w:val="left" w:pos="5245"/>
        </w:tabs>
        <w:ind w:firstLine="720"/>
        <w:rPr>
          <w:szCs w:val="22"/>
        </w:rPr>
      </w:pPr>
      <w:r>
        <w:rPr>
          <w:szCs w:val="22"/>
        </w:rPr>
        <w:t>Site X Star Percentage = (2.84-2.00)/2.00 * 100 =</w:t>
      </w:r>
      <w:r>
        <w:rPr>
          <w:szCs w:val="22"/>
        </w:rPr>
        <w:tab/>
        <w:t>42</w:t>
      </w:r>
    </w:p>
    <w:p w14:paraId="335AE4FF" w14:textId="77777777" w:rsidR="00152B4F" w:rsidRPr="00BE58A0" w:rsidRDefault="00152B4F" w:rsidP="00152B4F">
      <w:pPr>
        <w:ind w:firstLine="720"/>
        <w:rPr>
          <w:sz w:val="10"/>
          <w:szCs w:val="10"/>
        </w:rPr>
      </w:pPr>
    </w:p>
    <w:p w14:paraId="410FD8F0" w14:textId="77777777" w:rsidR="00152B4F" w:rsidRDefault="00152B4F" w:rsidP="00152B4F">
      <w:pPr>
        <w:tabs>
          <w:tab w:val="left" w:pos="5245"/>
        </w:tabs>
        <w:ind w:firstLine="720"/>
        <w:rPr>
          <w:szCs w:val="22"/>
        </w:rPr>
      </w:pPr>
      <w:r>
        <w:rPr>
          <w:szCs w:val="22"/>
        </w:rPr>
        <w:t>Site X Star Rating =</w:t>
      </w:r>
      <w:r>
        <w:rPr>
          <w:szCs w:val="22"/>
        </w:rPr>
        <w:tab/>
      </w:r>
      <w:r>
        <w:rPr>
          <w:b/>
          <w:szCs w:val="22"/>
        </w:rPr>
        <w:t>5-Star</w:t>
      </w:r>
    </w:p>
    <w:p w14:paraId="180241E9" w14:textId="77777777" w:rsidR="00152B4F" w:rsidRDefault="00152B4F" w:rsidP="00152B4F">
      <w:pPr>
        <w:ind w:firstLine="720"/>
        <w:rPr>
          <w:szCs w:val="22"/>
        </w:rPr>
      </w:pPr>
    </w:p>
    <w:p w14:paraId="29A74F81" w14:textId="77777777" w:rsidR="00152B4F" w:rsidRDefault="00152B4F" w:rsidP="00152B4F">
      <w:pPr>
        <w:rPr>
          <w:szCs w:val="22"/>
        </w:rPr>
      </w:pPr>
      <w:r>
        <w:rPr>
          <w:szCs w:val="22"/>
        </w:rPr>
        <w:t>as ‘+42’ Star Percentage is above the 5-Star threshold of 40 per cent or more, the Site receives 5-Stars.</w:t>
      </w:r>
    </w:p>
    <w:p w14:paraId="12A1C2C3" w14:textId="77777777" w:rsidR="00152B4F" w:rsidRDefault="006F6048" w:rsidP="00152B4F">
      <w:pPr>
        <w:spacing w:after="240"/>
      </w:pPr>
      <w:r>
        <w:pict w14:anchorId="632C5515">
          <v:rect id="_x0000_i1042" style="width:415.3pt;height:1.5pt" o:hralign="center" o:hrstd="t" o:hr="t" fillcolor="#a0a0a0" stroked="f"/>
        </w:pict>
      </w:r>
    </w:p>
    <w:p w14:paraId="62B95D79" w14:textId="77777777" w:rsidR="00152B4F" w:rsidRPr="00E962BF" w:rsidRDefault="00152B4F" w:rsidP="00152B4F">
      <w:pPr>
        <w:rPr>
          <w:szCs w:val="22"/>
        </w:rPr>
      </w:pPr>
      <w:r w:rsidRPr="00E962BF">
        <w:rPr>
          <w:szCs w:val="22"/>
        </w:rPr>
        <w:br w:type="page"/>
      </w:r>
    </w:p>
    <w:p w14:paraId="7C43D25B" w14:textId="77777777" w:rsidR="00152B4F" w:rsidRDefault="00152B4F" w:rsidP="00152B4F">
      <w:pPr>
        <w:pStyle w:val="Heading3"/>
      </w:pPr>
      <w:bookmarkStart w:id="48" w:name="_Toc47098284"/>
      <w:r>
        <w:t>Additional Business Rules</w:t>
      </w:r>
      <w:bookmarkEnd w:id="48"/>
    </w:p>
    <w:p w14:paraId="50E9E05F" w14:textId="77777777" w:rsidR="00152B4F" w:rsidRPr="005155F3" w:rsidRDefault="00152B4F" w:rsidP="00152B4F"/>
    <w:p w14:paraId="475ACE67" w14:textId="56528074" w:rsidR="00BF11E7" w:rsidRPr="00BF11E7" w:rsidRDefault="00152B4F" w:rsidP="00BF11E7">
      <w:pPr>
        <w:pStyle w:val="Heading5"/>
      </w:pPr>
      <w:r w:rsidRPr="0069755A">
        <w:t>Thresholds for Calculated Ratings (Minimum Data Requirements)</w:t>
      </w:r>
    </w:p>
    <w:p w14:paraId="4E5B0828" w14:textId="77777777" w:rsidR="00152B4F" w:rsidRDefault="00152B4F" w:rsidP="00152B4F">
      <w:pPr>
        <w:pStyle w:val="Default"/>
        <w:rPr>
          <w:color w:val="auto"/>
          <w:sz w:val="22"/>
          <w:szCs w:val="23"/>
        </w:rPr>
      </w:pPr>
      <w:r w:rsidRPr="001E5543">
        <w:rPr>
          <w:color w:val="auto"/>
          <w:sz w:val="22"/>
          <w:szCs w:val="23"/>
        </w:rPr>
        <w:t xml:space="preserve">To ensure the robustness and statistical </w:t>
      </w:r>
      <w:r>
        <w:rPr>
          <w:color w:val="auto"/>
          <w:sz w:val="22"/>
          <w:szCs w:val="23"/>
        </w:rPr>
        <w:t>validity of the assessments, a Star R</w:t>
      </w:r>
      <w:r w:rsidRPr="001E5543">
        <w:rPr>
          <w:color w:val="auto"/>
          <w:sz w:val="22"/>
          <w:szCs w:val="23"/>
        </w:rPr>
        <w:t xml:space="preserve">ating will only be awarded for a </w:t>
      </w:r>
      <w:r>
        <w:rPr>
          <w:color w:val="auto"/>
          <w:sz w:val="22"/>
          <w:szCs w:val="23"/>
        </w:rPr>
        <w:t>S</w:t>
      </w:r>
      <w:r w:rsidRPr="001E5543">
        <w:rPr>
          <w:color w:val="auto"/>
          <w:sz w:val="22"/>
          <w:szCs w:val="23"/>
        </w:rPr>
        <w:t xml:space="preserve">ite or </w:t>
      </w:r>
      <w:r>
        <w:rPr>
          <w:color w:val="auto"/>
          <w:sz w:val="22"/>
          <w:szCs w:val="23"/>
        </w:rPr>
        <w:t>Contract</w:t>
      </w:r>
      <w:r w:rsidRPr="001E5543">
        <w:rPr>
          <w:color w:val="auto"/>
          <w:sz w:val="22"/>
          <w:szCs w:val="23"/>
        </w:rPr>
        <w:t xml:space="preserve"> once the following has been achieved:</w:t>
      </w:r>
    </w:p>
    <w:p w14:paraId="1554BCED" w14:textId="77777777" w:rsidR="00152B4F" w:rsidRDefault="00152B4F" w:rsidP="00152B4F">
      <w:pPr>
        <w:pStyle w:val="Default"/>
        <w:numPr>
          <w:ilvl w:val="0"/>
          <w:numId w:val="25"/>
        </w:numPr>
        <w:rPr>
          <w:color w:val="auto"/>
          <w:sz w:val="22"/>
          <w:szCs w:val="23"/>
        </w:rPr>
      </w:pPr>
      <w:r>
        <w:rPr>
          <w:color w:val="auto"/>
          <w:sz w:val="22"/>
          <w:szCs w:val="23"/>
        </w:rPr>
        <w:t>Disability Management Service</w:t>
      </w:r>
    </w:p>
    <w:p w14:paraId="6EE09421" w14:textId="77777777" w:rsidR="00152B4F" w:rsidRDefault="00152B4F" w:rsidP="00152B4F">
      <w:pPr>
        <w:pStyle w:val="Default"/>
        <w:ind w:left="720"/>
        <w:rPr>
          <w:color w:val="auto"/>
          <w:sz w:val="22"/>
          <w:szCs w:val="23"/>
        </w:rPr>
      </w:pPr>
      <w:r>
        <w:rPr>
          <w:color w:val="auto"/>
          <w:sz w:val="22"/>
          <w:szCs w:val="23"/>
        </w:rPr>
        <w:t>A minimum of 20 Participants in the denominator for the 13 Week Full Outcomes measure</w:t>
      </w:r>
    </w:p>
    <w:p w14:paraId="389FB37E" w14:textId="77777777" w:rsidR="00152B4F" w:rsidRDefault="00152B4F" w:rsidP="00152B4F">
      <w:pPr>
        <w:pStyle w:val="Default"/>
        <w:numPr>
          <w:ilvl w:val="0"/>
          <w:numId w:val="25"/>
        </w:numPr>
        <w:rPr>
          <w:color w:val="auto"/>
          <w:sz w:val="22"/>
          <w:szCs w:val="23"/>
        </w:rPr>
      </w:pPr>
      <w:r>
        <w:rPr>
          <w:color w:val="auto"/>
          <w:sz w:val="22"/>
          <w:szCs w:val="23"/>
        </w:rPr>
        <w:t>Employment Support Service</w:t>
      </w:r>
      <w:r>
        <w:rPr>
          <w:color w:val="auto"/>
          <w:sz w:val="22"/>
          <w:szCs w:val="23"/>
        </w:rPr>
        <w:br/>
        <w:t>A minimum of 20 Participants (combined) in the denominators for the measures:</w:t>
      </w:r>
    </w:p>
    <w:p w14:paraId="61B5CC34" w14:textId="77777777" w:rsidR="00152B4F" w:rsidRDefault="00152B4F" w:rsidP="00152B4F">
      <w:pPr>
        <w:pStyle w:val="Default"/>
        <w:ind w:left="720" w:firstLine="720"/>
        <w:rPr>
          <w:sz w:val="22"/>
          <w:szCs w:val="23"/>
        </w:rPr>
      </w:pPr>
      <w:r w:rsidRPr="001E5543">
        <w:rPr>
          <w:sz w:val="22"/>
          <w:szCs w:val="23"/>
        </w:rPr>
        <w:t>-</w:t>
      </w:r>
      <w:r>
        <w:rPr>
          <w:sz w:val="22"/>
          <w:szCs w:val="23"/>
        </w:rPr>
        <w:t xml:space="preserve"> 13 Week Full O</w:t>
      </w:r>
      <w:r w:rsidRPr="001E5543">
        <w:rPr>
          <w:sz w:val="22"/>
          <w:szCs w:val="23"/>
        </w:rPr>
        <w:t>utcome</w:t>
      </w:r>
      <w:r>
        <w:rPr>
          <w:sz w:val="22"/>
          <w:szCs w:val="23"/>
        </w:rPr>
        <w:t xml:space="preserve">s </w:t>
      </w:r>
      <w:r w:rsidRPr="001E5543">
        <w:rPr>
          <w:sz w:val="22"/>
          <w:szCs w:val="23"/>
        </w:rPr>
        <w:t>(</w:t>
      </w:r>
      <w:r>
        <w:rPr>
          <w:sz w:val="22"/>
          <w:szCs w:val="23"/>
        </w:rPr>
        <w:t>minimum of 5 Participants</w:t>
      </w:r>
      <w:r w:rsidRPr="001E5543">
        <w:rPr>
          <w:sz w:val="22"/>
          <w:szCs w:val="23"/>
        </w:rPr>
        <w:t>)</w:t>
      </w:r>
    </w:p>
    <w:p w14:paraId="1667C228" w14:textId="77777777" w:rsidR="00152B4F" w:rsidRDefault="00152B4F" w:rsidP="00152B4F">
      <w:pPr>
        <w:pStyle w:val="Default"/>
        <w:ind w:left="720" w:firstLine="720"/>
        <w:rPr>
          <w:sz w:val="22"/>
          <w:szCs w:val="23"/>
        </w:rPr>
      </w:pPr>
      <w:r w:rsidRPr="001E5543">
        <w:rPr>
          <w:sz w:val="22"/>
          <w:szCs w:val="23"/>
        </w:rPr>
        <w:t>-</w:t>
      </w:r>
      <w:r>
        <w:rPr>
          <w:sz w:val="22"/>
          <w:szCs w:val="23"/>
        </w:rPr>
        <w:t xml:space="preserve"> </w:t>
      </w:r>
      <w:r w:rsidRPr="001E5543">
        <w:rPr>
          <w:sz w:val="22"/>
          <w:szCs w:val="23"/>
        </w:rPr>
        <w:t>Ongoing support</w:t>
      </w:r>
    </w:p>
    <w:p w14:paraId="25903526" w14:textId="77777777" w:rsidR="00152B4F" w:rsidRDefault="00152B4F" w:rsidP="00152B4F"/>
    <w:p w14:paraId="2853CA9F" w14:textId="77777777" w:rsidR="00152B4F" w:rsidRPr="00753F17" w:rsidRDefault="00152B4F" w:rsidP="00152B4F">
      <w:pPr>
        <w:pStyle w:val="Default"/>
        <w:rPr>
          <w:sz w:val="22"/>
          <w:szCs w:val="22"/>
        </w:rPr>
      </w:pPr>
      <w:r>
        <w:rPr>
          <w:sz w:val="22"/>
          <w:szCs w:val="22"/>
        </w:rPr>
        <w:t>S</w:t>
      </w:r>
      <w:r w:rsidRPr="008B46C9">
        <w:rPr>
          <w:sz w:val="22"/>
          <w:szCs w:val="22"/>
        </w:rPr>
        <w:t>om</w:t>
      </w:r>
      <w:r>
        <w:rPr>
          <w:sz w:val="22"/>
          <w:szCs w:val="22"/>
        </w:rPr>
        <w:t>e Contracts or S</w:t>
      </w:r>
      <w:r w:rsidRPr="008B46C9">
        <w:rPr>
          <w:sz w:val="22"/>
          <w:szCs w:val="22"/>
        </w:rPr>
        <w:t xml:space="preserve">ites may have insufficient data to receive a </w:t>
      </w:r>
      <w:r>
        <w:rPr>
          <w:sz w:val="22"/>
          <w:szCs w:val="22"/>
        </w:rPr>
        <w:t>Star R</w:t>
      </w:r>
      <w:r w:rsidRPr="008B46C9">
        <w:rPr>
          <w:sz w:val="22"/>
          <w:szCs w:val="22"/>
        </w:rPr>
        <w:t>ating. If a</w:t>
      </w:r>
      <w:r>
        <w:rPr>
          <w:sz w:val="22"/>
          <w:szCs w:val="22"/>
        </w:rPr>
        <w:t xml:space="preserve"> Contract or Site is not issued with a Star R</w:t>
      </w:r>
      <w:r w:rsidRPr="008B46C9">
        <w:rPr>
          <w:sz w:val="22"/>
          <w:szCs w:val="22"/>
        </w:rPr>
        <w:t>ating this does not signal poor performance.</w:t>
      </w:r>
      <w:r>
        <w:rPr>
          <w:sz w:val="22"/>
          <w:szCs w:val="22"/>
        </w:rPr>
        <w:t xml:space="preserve">  </w:t>
      </w:r>
      <w:r w:rsidRPr="00C41C17">
        <w:rPr>
          <w:sz w:val="22"/>
        </w:rPr>
        <w:t>Where a Site has insufficient data</w:t>
      </w:r>
      <w:r w:rsidRPr="00C41C17">
        <w:t xml:space="preserve"> </w:t>
      </w:r>
      <w:r w:rsidRPr="00753F17">
        <w:rPr>
          <w:sz w:val="22"/>
          <w:szCs w:val="22"/>
        </w:rPr>
        <w:t>for a Site level Star Rating, any of its performance data still contributes to the overall Contract level Star Rating.</w:t>
      </w:r>
    </w:p>
    <w:p w14:paraId="31910B1B" w14:textId="77777777" w:rsidR="00152B4F" w:rsidRPr="009D5925" w:rsidRDefault="00152B4F" w:rsidP="00152B4F">
      <w:pPr>
        <w:pStyle w:val="Default"/>
        <w:rPr>
          <w:sz w:val="22"/>
        </w:rPr>
      </w:pPr>
    </w:p>
    <w:p w14:paraId="2463E061" w14:textId="77777777" w:rsidR="00152B4F" w:rsidRDefault="00152B4F" w:rsidP="00152B4F">
      <w:pPr>
        <w:pStyle w:val="Default"/>
        <w:rPr>
          <w:sz w:val="22"/>
          <w:szCs w:val="22"/>
        </w:rPr>
      </w:pPr>
      <w:r w:rsidRPr="00C41C17">
        <w:rPr>
          <w:sz w:val="22"/>
          <w:szCs w:val="22"/>
        </w:rPr>
        <w:t>It is possible that due to the two year rolling assessment period and variations in referrals over time, a Site or Contract may oscillate over and under 20 eligible Participants (i.e. sufficient data) from one ratings release to the next. In the first instance that a Site moves from being above the threshold to below the threshold, then the department will publish the Site’s previous rating. If a Site is below the threshold for two consecutive ratings periods then the department will publish a rating of insufficient data for that site.</w:t>
      </w:r>
    </w:p>
    <w:p w14:paraId="26A3AD5A" w14:textId="77777777" w:rsidR="00152B4F" w:rsidRDefault="00152B4F" w:rsidP="00152B4F">
      <w:pPr>
        <w:tabs>
          <w:tab w:val="left" w:pos="915"/>
        </w:tabs>
        <w:rPr>
          <w:szCs w:val="22"/>
        </w:rPr>
      </w:pPr>
    </w:p>
    <w:p w14:paraId="703E0D70" w14:textId="77777777" w:rsidR="00152B4F" w:rsidRDefault="00152B4F" w:rsidP="00152B4F">
      <w:pPr>
        <w:pStyle w:val="Heading5"/>
      </w:pPr>
      <w:r>
        <w:t>Zero Participants in the denominator for a Performance Measure</w:t>
      </w:r>
    </w:p>
    <w:p w14:paraId="1796874A" w14:textId="77777777" w:rsidR="00152B4F" w:rsidRDefault="00152B4F" w:rsidP="00152B4F">
      <w:r>
        <w:t>In some instances, a DES Site or Contract will have zero Participants in the denominator for a particular performance measure. Where there are zero Participants in the denominator for a performance measure, then the weighting for that measure will be scaled up to other remaining measures.</w:t>
      </w:r>
    </w:p>
    <w:p w14:paraId="04D0D044" w14:textId="77777777" w:rsidR="00152B4F" w:rsidRDefault="00152B4F" w:rsidP="00152B4F"/>
    <w:p w14:paraId="59D284E3" w14:textId="77777777" w:rsidR="00152B4F" w:rsidRDefault="00152B4F" w:rsidP="00152B4F">
      <w:r>
        <w:t xml:space="preserve">This is most likely to occur in relation to either the Pathway or Bonus Outcome performance measure. For example, if there are zero observations in the denominator for the Pathway performance measure as the Site solely assists Participants with an 8 hour benchmark, then the five per cent weighting of the Pathway performance measure will be distributed to the Full and Bonus outcome measure, proportionate to the weighting of the Full and Bonus outcome measure. See </w:t>
      </w:r>
      <w:r w:rsidRPr="00A01C61">
        <w:rPr>
          <w:u w:val="single"/>
        </w:rPr>
        <w:t xml:space="preserve">Attachment </w:t>
      </w:r>
      <w:r>
        <w:rPr>
          <w:u w:val="single"/>
        </w:rPr>
        <w:t>C</w:t>
      </w:r>
      <w:r>
        <w:t xml:space="preserve"> for a more detailed explanation of how this will occur.</w:t>
      </w:r>
    </w:p>
    <w:p w14:paraId="7C40DD8A" w14:textId="77777777" w:rsidR="00152B4F" w:rsidRDefault="00152B4F" w:rsidP="00152B4F">
      <w:pPr>
        <w:rPr>
          <w:szCs w:val="22"/>
          <w:highlight w:val="yellow"/>
          <w:lang w:eastAsia="ja-JP"/>
        </w:rPr>
      </w:pPr>
    </w:p>
    <w:p w14:paraId="5F7FF89B" w14:textId="77777777" w:rsidR="00152B4F" w:rsidRPr="00C41C17" w:rsidRDefault="00152B4F" w:rsidP="00152B4F">
      <w:pPr>
        <w:pStyle w:val="Heading5"/>
        <w:rPr>
          <w:lang w:eastAsia="ja-JP"/>
        </w:rPr>
      </w:pPr>
      <w:r w:rsidRPr="00C41C17">
        <w:rPr>
          <w:lang w:eastAsia="ja-JP"/>
        </w:rPr>
        <w:t>Very small numbers in the denominator for a performance measure</w:t>
      </w:r>
    </w:p>
    <w:p w14:paraId="4B714DB7" w14:textId="77777777" w:rsidR="00152B4F" w:rsidRDefault="00152B4F" w:rsidP="00152B4F">
      <w:pPr>
        <w:rPr>
          <w:szCs w:val="22"/>
          <w:lang w:eastAsia="ja-JP"/>
        </w:rPr>
      </w:pPr>
      <w:r w:rsidRPr="00C41C17">
        <w:rPr>
          <w:szCs w:val="22"/>
          <w:lang w:eastAsia="ja-JP"/>
        </w:rPr>
        <w:t xml:space="preserve">Where there are very small numbers of </w:t>
      </w:r>
      <w:r>
        <w:rPr>
          <w:szCs w:val="22"/>
          <w:lang w:eastAsia="ja-JP"/>
        </w:rPr>
        <w:t>P</w:t>
      </w:r>
      <w:r w:rsidRPr="00C41C17">
        <w:rPr>
          <w:szCs w:val="22"/>
          <w:lang w:eastAsia="ja-JP"/>
        </w:rPr>
        <w:t>articipants in the denominator</w:t>
      </w:r>
      <w:r>
        <w:rPr>
          <w:szCs w:val="22"/>
          <w:lang w:eastAsia="ja-JP"/>
        </w:rPr>
        <w:t>, the weighting for that performance measure will be proportionally adjusted to reduce the variability of performance associated with very small numbers.  Please refer to the examples below.</w:t>
      </w:r>
    </w:p>
    <w:p w14:paraId="54BF458A" w14:textId="77777777" w:rsidR="00152B4F" w:rsidRDefault="00152B4F" w:rsidP="00152B4F">
      <w:pPr>
        <w:rPr>
          <w:szCs w:val="22"/>
          <w:lang w:eastAsia="ja-JP"/>
        </w:rPr>
      </w:pPr>
    </w:p>
    <w:p w14:paraId="48DB93BA" w14:textId="77777777" w:rsidR="00152B4F" w:rsidRPr="00C41C17" w:rsidRDefault="00152B4F" w:rsidP="00152B4F">
      <w:pPr>
        <w:rPr>
          <w:szCs w:val="22"/>
          <w:u w:val="single"/>
          <w:lang w:eastAsia="ja-JP"/>
        </w:rPr>
      </w:pPr>
      <w:r w:rsidRPr="00C41C17">
        <w:rPr>
          <w:szCs w:val="22"/>
          <w:u w:val="single"/>
          <w:lang w:eastAsia="ja-JP"/>
        </w:rPr>
        <w:t>All performance measures except Ongoing Support</w:t>
      </w:r>
    </w:p>
    <w:p w14:paraId="2ABF232F" w14:textId="77777777" w:rsidR="00152B4F" w:rsidRDefault="00152B4F" w:rsidP="00152B4F">
      <w:pPr>
        <w:rPr>
          <w:szCs w:val="22"/>
          <w:lang w:eastAsia="ja-JP"/>
        </w:rPr>
      </w:pPr>
      <w:r>
        <w:rPr>
          <w:szCs w:val="22"/>
          <w:lang w:eastAsia="ja-JP"/>
        </w:rPr>
        <w:t>Where a performance measure has one to four Participants in the denominator, the weighting for that measure will be adjusted proportional to the number of Participants in the denominator. The adjusted weighting is relative to the prescribed measure weighted applicable for that Star Ratings period.  Any excess weighting will be reallocated among the performance measure weightings that have not been adjusted.</w:t>
      </w:r>
    </w:p>
    <w:p w14:paraId="01B58909" w14:textId="77777777" w:rsidR="00152B4F" w:rsidRPr="001A43C7" w:rsidRDefault="00152B4F" w:rsidP="00152B4F">
      <w:pPr>
        <w:pStyle w:val="Heading6"/>
        <w:spacing w:before="240"/>
        <w:rPr>
          <w:b/>
          <w:sz w:val="24"/>
        </w:rPr>
      </w:pPr>
      <w:r w:rsidRPr="001A43C7">
        <w:rPr>
          <w:b/>
          <w:color w:val="auto"/>
          <w:sz w:val="24"/>
        </w:rPr>
        <w:t>Table 7: Example DES-DMS 26 Week Full Outcomes measure weighting adjustment</w:t>
      </w:r>
    </w:p>
    <w:tbl>
      <w:tblPr>
        <w:tblStyle w:val="TableGrid"/>
        <w:tblW w:w="0" w:type="auto"/>
        <w:tblLook w:val="04A0" w:firstRow="1" w:lastRow="0" w:firstColumn="1" w:lastColumn="0" w:noHBand="0" w:noVBand="1"/>
        <w:tblCaption w:val="DES-DMS Example of 26 Week Full Outcome Weighting Adjustment"/>
        <w:tblDescription w:val="This table shows a DES-DMS 26 Week Full Outcome example of how  percentage weighting changes for a provider with less than 5 participants.   As the number of partipants in the denominator increases from zero to 5+ the weightings increase and are shown in this table."/>
      </w:tblPr>
      <w:tblGrid>
        <w:gridCol w:w="1696"/>
        <w:gridCol w:w="1418"/>
      </w:tblGrid>
      <w:tr w:rsidR="00152B4F" w14:paraId="7B473B13" w14:textId="77777777" w:rsidTr="009039E0">
        <w:trPr>
          <w:tblHeader/>
        </w:trPr>
        <w:tc>
          <w:tcPr>
            <w:tcW w:w="1696" w:type="dxa"/>
          </w:tcPr>
          <w:p w14:paraId="2C56D245" w14:textId="77777777" w:rsidR="00152B4F" w:rsidRPr="00C41C17" w:rsidRDefault="00152B4F" w:rsidP="009039E0">
            <w:pPr>
              <w:rPr>
                <w:b/>
                <w:szCs w:val="22"/>
                <w:lang w:eastAsia="ja-JP"/>
              </w:rPr>
            </w:pPr>
            <w:r w:rsidRPr="00C41C17">
              <w:rPr>
                <w:b/>
                <w:szCs w:val="22"/>
                <w:lang w:eastAsia="ja-JP"/>
              </w:rPr>
              <w:t>Denominator</w:t>
            </w:r>
          </w:p>
        </w:tc>
        <w:tc>
          <w:tcPr>
            <w:tcW w:w="1418" w:type="dxa"/>
          </w:tcPr>
          <w:p w14:paraId="19CD7D29" w14:textId="77777777" w:rsidR="00152B4F" w:rsidRPr="00C41C17" w:rsidRDefault="00152B4F" w:rsidP="009039E0">
            <w:pPr>
              <w:rPr>
                <w:b/>
                <w:szCs w:val="22"/>
                <w:lang w:eastAsia="ja-JP"/>
              </w:rPr>
            </w:pPr>
            <w:r w:rsidRPr="00C41C17">
              <w:rPr>
                <w:b/>
                <w:szCs w:val="22"/>
                <w:lang w:eastAsia="ja-JP"/>
              </w:rPr>
              <w:t>Weighting</w:t>
            </w:r>
          </w:p>
        </w:tc>
      </w:tr>
      <w:tr w:rsidR="00152B4F" w14:paraId="29EC293E" w14:textId="77777777" w:rsidTr="009039E0">
        <w:tc>
          <w:tcPr>
            <w:tcW w:w="1696" w:type="dxa"/>
          </w:tcPr>
          <w:p w14:paraId="76B2360B" w14:textId="77777777" w:rsidR="00152B4F" w:rsidRDefault="00152B4F" w:rsidP="009039E0">
            <w:pPr>
              <w:rPr>
                <w:szCs w:val="22"/>
                <w:lang w:eastAsia="ja-JP"/>
              </w:rPr>
            </w:pPr>
            <w:r>
              <w:rPr>
                <w:szCs w:val="22"/>
                <w:lang w:eastAsia="ja-JP"/>
              </w:rPr>
              <w:t>0</w:t>
            </w:r>
          </w:p>
        </w:tc>
        <w:tc>
          <w:tcPr>
            <w:tcW w:w="1418" w:type="dxa"/>
          </w:tcPr>
          <w:p w14:paraId="2DD044CD" w14:textId="77777777" w:rsidR="00152B4F" w:rsidRDefault="00152B4F" w:rsidP="009039E0">
            <w:pPr>
              <w:rPr>
                <w:szCs w:val="22"/>
                <w:lang w:eastAsia="ja-JP"/>
              </w:rPr>
            </w:pPr>
            <w:r>
              <w:rPr>
                <w:szCs w:val="22"/>
                <w:lang w:eastAsia="ja-JP"/>
              </w:rPr>
              <w:t>0 %</w:t>
            </w:r>
          </w:p>
        </w:tc>
      </w:tr>
      <w:tr w:rsidR="00152B4F" w14:paraId="72FF8C7D" w14:textId="77777777" w:rsidTr="009039E0">
        <w:tc>
          <w:tcPr>
            <w:tcW w:w="1696" w:type="dxa"/>
          </w:tcPr>
          <w:p w14:paraId="63F6EEE9" w14:textId="77777777" w:rsidR="00152B4F" w:rsidRDefault="00152B4F" w:rsidP="009039E0">
            <w:pPr>
              <w:rPr>
                <w:szCs w:val="22"/>
                <w:lang w:eastAsia="ja-JP"/>
              </w:rPr>
            </w:pPr>
            <w:r>
              <w:rPr>
                <w:szCs w:val="22"/>
                <w:lang w:eastAsia="ja-JP"/>
              </w:rPr>
              <w:t>1</w:t>
            </w:r>
          </w:p>
        </w:tc>
        <w:tc>
          <w:tcPr>
            <w:tcW w:w="1418" w:type="dxa"/>
          </w:tcPr>
          <w:p w14:paraId="1338541D" w14:textId="77777777" w:rsidR="00152B4F" w:rsidRDefault="00152B4F" w:rsidP="009039E0">
            <w:pPr>
              <w:rPr>
                <w:szCs w:val="22"/>
                <w:lang w:eastAsia="ja-JP"/>
              </w:rPr>
            </w:pPr>
            <w:r>
              <w:rPr>
                <w:szCs w:val="22"/>
                <w:lang w:eastAsia="ja-JP"/>
              </w:rPr>
              <w:t>7 %</w:t>
            </w:r>
          </w:p>
        </w:tc>
      </w:tr>
      <w:tr w:rsidR="00152B4F" w14:paraId="792689FF" w14:textId="77777777" w:rsidTr="009039E0">
        <w:tc>
          <w:tcPr>
            <w:tcW w:w="1696" w:type="dxa"/>
          </w:tcPr>
          <w:p w14:paraId="50BD7AD7" w14:textId="77777777" w:rsidR="00152B4F" w:rsidRDefault="00152B4F" w:rsidP="009039E0">
            <w:pPr>
              <w:rPr>
                <w:szCs w:val="22"/>
                <w:lang w:eastAsia="ja-JP"/>
              </w:rPr>
            </w:pPr>
            <w:r>
              <w:rPr>
                <w:szCs w:val="22"/>
                <w:lang w:eastAsia="ja-JP"/>
              </w:rPr>
              <w:t>2</w:t>
            </w:r>
          </w:p>
        </w:tc>
        <w:tc>
          <w:tcPr>
            <w:tcW w:w="1418" w:type="dxa"/>
          </w:tcPr>
          <w:p w14:paraId="101E6572" w14:textId="77777777" w:rsidR="00152B4F" w:rsidRDefault="00152B4F" w:rsidP="009039E0">
            <w:pPr>
              <w:rPr>
                <w:szCs w:val="22"/>
                <w:lang w:eastAsia="ja-JP"/>
              </w:rPr>
            </w:pPr>
            <w:r>
              <w:rPr>
                <w:szCs w:val="22"/>
                <w:lang w:eastAsia="ja-JP"/>
              </w:rPr>
              <w:t>14 %</w:t>
            </w:r>
          </w:p>
        </w:tc>
      </w:tr>
      <w:tr w:rsidR="00152B4F" w14:paraId="2F2DF885" w14:textId="77777777" w:rsidTr="009039E0">
        <w:tc>
          <w:tcPr>
            <w:tcW w:w="1696" w:type="dxa"/>
          </w:tcPr>
          <w:p w14:paraId="5688F5B2" w14:textId="77777777" w:rsidR="00152B4F" w:rsidRDefault="00152B4F" w:rsidP="009039E0">
            <w:pPr>
              <w:rPr>
                <w:szCs w:val="22"/>
                <w:lang w:eastAsia="ja-JP"/>
              </w:rPr>
            </w:pPr>
            <w:r>
              <w:rPr>
                <w:szCs w:val="22"/>
                <w:lang w:eastAsia="ja-JP"/>
              </w:rPr>
              <w:t>3</w:t>
            </w:r>
          </w:p>
        </w:tc>
        <w:tc>
          <w:tcPr>
            <w:tcW w:w="1418" w:type="dxa"/>
          </w:tcPr>
          <w:p w14:paraId="5F468375" w14:textId="77777777" w:rsidR="00152B4F" w:rsidRDefault="00152B4F" w:rsidP="009039E0">
            <w:pPr>
              <w:rPr>
                <w:szCs w:val="22"/>
                <w:lang w:eastAsia="ja-JP"/>
              </w:rPr>
            </w:pPr>
            <w:r>
              <w:rPr>
                <w:szCs w:val="22"/>
                <w:lang w:eastAsia="ja-JP"/>
              </w:rPr>
              <w:t>21 %</w:t>
            </w:r>
          </w:p>
        </w:tc>
      </w:tr>
      <w:tr w:rsidR="00152B4F" w14:paraId="2C206817" w14:textId="77777777" w:rsidTr="009039E0">
        <w:tc>
          <w:tcPr>
            <w:tcW w:w="1696" w:type="dxa"/>
          </w:tcPr>
          <w:p w14:paraId="11A3D811" w14:textId="77777777" w:rsidR="00152B4F" w:rsidRDefault="00152B4F" w:rsidP="009039E0">
            <w:pPr>
              <w:rPr>
                <w:szCs w:val="22"/>
                <w:lang w:eastAsia="ja-JP"/>
              </w:rPr>
            </w:pPr>
            <w:r>
              <w:rPr>
                <w:szCs w:val="22"/>
                <w:lang w:eastAsia="ja-JP"/>
              </w:rPr>
              <w:t>4</w:t>
            </w:r>
          </w:p>
        </w:tc>
        <w:tc>
          <w:tcPr>
            <w:tcW w:w="1418" w:type="dxa"/>
          </w:tcPr>
          <w:p w14:paraId="55A4BE2B" w14:textId="77777777" w:rsidR="00152B4F" w:rsidRDefault="00152B4F" w:rsidP="009039E0">
            <w:pPr>
              <w:rPr>
                <w:szCs w:val="22"/>
                <w:lang w:eastAsia="ja-JP"/>
              </w:rPr>
            </w:pPr>
            <w:r>
              <w:rPr>
                <w:szCs w:val="22"/>
                <w:lang w:eastAsia="ja-JP"/>
              </w:rPr>
              <w:t>28 %</w:t>
            </w:r>
          </w:p>
        </w:tc>
      </w:tr>
      <w:tr w:rsidR="00152B4F" w14:paraId="02BBA038" w14:textId="77777777" w:rsidTr="009039E0">
        <w:tc>
          <w:tcPr>
            <w:tcW w:w="1696" w:type="dxa"/>
          </w:tcPr>
          <w:p w14:paraId="7246067B" w14:textId="77777777" w:rsidR="00152B4F" w:rsidRDefault="00152B4F" w:rsidP="009039E0">
            <w:pPr>
              <w:rPr>
                <w:szCs w:val="22"/>
                <w:lang w:eastAsia="ja-JP"/>
              </w:rPr>
            </w:pPr>
            <w:r>
              <w:rPr>
                <w:szCs w:val="22"/>
                <w:lang w:eastAsia="ja-JP"/>
              </w:rPr>
              <w:t>5+</w:t>
            </w:r>
          </w:p>
        </w:tc>
        <w:tc>
          <w:tcPr>
            <w:tcW w:w="1418" w:type="dxa"/>
          </w:tcPr>
          <w:p w14:paraId="03738B82" w14:textId="77777777" w:rsidR="00152B4F" w:rsidRDefault="00152B4F" w:rsidP="009039E0">
            <w:pPr>
              <w:rPr>
                <w:szCs w:val="22"/>
                <w:lang w:eastAsia="ja-JP"/>
              </w:rPr>
            </w:pPr>
            <w:r>
              <w:rPr>
                <w:szCs w:val="22"/>
                <w:lang w:eastAsia="ja-JP"/>
              </w:rPr>
              <w:t>35 %</w:t>
            </w:r>
          </w:p>
        </w:tc>
      </w:tr>
    </w:tbl>
    <w:p w14:paraId="72FE3B57" w14:textId="77777777" w:rsidR="00152B4F" w:rsidRDefault="00152B4F" w:rsidP="00152B4F">
      <w:pPr>
        <w:rPr>
          <w:szCs w:val="22"/>
          <w:u w:val="single"/>
          <w:lang w:eastAsia="ja-JP"/>
        </w:rPr>
      </w:pPr>
    </w:p>
    <w:p w14:paraId="1E375EE3" w14:textId="77777777" w:rsidR="00152B4F" w:rsidRPr="00C41C17" w:rsidRDefault="00152B4F" w:rsidP="00152B4F">
      <w:pPr>
        <w:rPr>
          <w:szCs w:val="22"/>
          <w:u w:val="single"/>
          <w:lang w:eastAsia="ja-JP"/>
        </w:rPr>
      </w:pPr>
      <w:r w:rsidRPr="00C41C17">
        <w:rPr>
          <w:szCs w:val="22"/>
          <w:u w:val="single"/>
          <w:lang w:eastAsia="ja-JP"/>
        </w:rPr>
        <w:t>DES-ESS Ongoing Support performance measure</w:t>
      </w:r>
    </w:p>
    <w:p w14:paraId="4D3FF29F" w14:textId="77777777" w:rsidR="00152B4F" w:rsidRDefault="00152B4F" w:rsidP="00152B4F">
      <w:pPr>
        <w:rPr>
          <w:szCs w:val="22"/>
          <w:lang w:eastAsia="ja-JP"/>
        </w:rPr>
      </w:pPr>
      <w:r>
        <w:rPr>
          <w:szCs w:val="22"/>
          <w:lang w:eastAsia="ja-JP"/>
        </w:rPr>
        <w:t>Where the Ongoing Support performance measure has one to nine Participants in the denominator, the weighting will be adjusted proportional to the number of participants in the denominator. The adjusted weighting is relative to the prescribed measure weighting applicable to that Star Ratings period. Any excess weighting will be reallocated among the performance measure weightings that have not been adjusted.</w:t>
      </w:r>
    </w:p>
    <w:p w14:paraId="294B9488" w14:textId="77777777" w:rsidR="00152B4F" w:rsidRPr="001A43C7" w:rsidRDefault="00152B4F" w:rsidP="00152B4F">
      <w:pPr>
        <w:pStyle w:val="Heading6"/>
        <w:spacing w:before="240"/>
        <w:rPr>
          <w:b/>
          <w:color w:val="auto"/>
          <w:sz w:val="24"/>
        </w:rPr>
      </w:pPr>
      <w:r w:rsidRPr="001A43C7">
        <w:rPr>
          <w:b/>
          <w:color w:val="auto"/>
          <w:sz w:val="24"/>
        </w:rPr>
        <w:t>Table 8: DES-ESS Ongoing Support measure weighting adjustment</w:t>
      </w:r>
    </w:p>
    <w:tbl>
      <w:tblPr>
        <w:tblStyle w:val="TableGrid"/>
        <w:tblW w:w="0" w:type="auto"/>
        <w:tblLook w:val="04A0" w:firstRow="1" w:lastRow="0" w:firstColumn="1" w:lastColumn="0" w:noHBand="0" w:noVBand="1"/>
        <w:tblCaption w:val="DES-ESS Example of Ongoing Support Weighting Adjustment"/>
        <w:tblDescription w:val="This table shows a DES-ESS Ongoing Support example of how  percentage weighting changes for a provider with less than 5 participants.   As the number of partipants in the denominator increases from zero to 5+ the weightings increase and are shown in this table."/>
      </w:tblPr>
      <w:tblGrid>
        <w:gridCol w:w="1689"/>
        <w:gridCol w:w="1442"/>
      </w:tblGrid>
      <w:tr w:rsidR="00152B4F" w14:paraId="57CCA94B" w14:textId="77777777" w:rsidTr="009039E0">
        <w:trPr>
          <w:tblHeader/>
        </w:trPr>
        <w:tc>
          <w:tcPr>
            <w:tcW w:w="1689" w:type="dxa"/>
          </w:tcPr>
          <w:p w14:paraId="538DE5EB" w14:textId="77777777" w:rsidR="00152B4F" w:rsidRPr="00C41C17" w:rsidRDefault="00152B4F" w:rsidP="009039E0">
            <w:pPr>
              <w:rPr>
                <w:b/>
                <w:szCs w:val="22"/>
                <w:lang w:eastAsia="ja-JP"/>
              </w:rPr>
            </w:pPr>
            <w:r w:rsidRPr="00C41C17">
              <w:rPr>
                <w:b/>
                <w:szCs w:val="22"/>
                <w:lang w:eastAsia="ja-JP"/>
              </w:rPr>
              <w:t>Denominator</w:t>
            </w:r>
          </w:p>
        </w:tc>
        <w:tc>
          <w:tcPr>
            <w:tcW w:w="1442" w:type="dxa"/>
          </w:tcPr>
          <w:p w14:paraId="05BA5146" w14:textId="77777777" w:rsidR="00152B4F" w:rsidRPr="00C41C17" w:rsidRDefault="00152B4F" w:rsidP="009039E0">
            <w:pPr>
              <w:rPr>
                <w:b/>
                <w:szCs w:val="22"/>
                <w:lang w:eastAsia="ja-JP"/>
              </w:rPr>
            </w:pPr>
            <w:r w:rsidRPr="00C41C17">
              <w:rPr>
                <w:b/>
                <w:szCs w:val="22"/>
                <w:lang w:eastAsia="ja-JP"/>
              </w:rPr>
              <w:t>Weighting</w:t>
            </w:r>
          </w:p>
        </w:tc>
      </w:tr>
      <w:tr w:rsidR="00152B4F" w14:paraId="64112FF3" w14:textId="77777777" w:rsidTr="009039E0">
        <w:tc>
          <w:tcPr>
            <w:tcW w:w="1689" w:type="dxa"/>
          </w:tcPr>
          <w:p w14:paraId="61878B4B" w14:textId="77777777" w:rsidR="00152B4F" w:rsidRDefault="00152B4F" w:rsidP="009039E0">
            <w:pPr>
              <w:rPr>
                <w:szCs w:val="22"/>
                <w:lang w:eastAsia="ja-JP"/>
              </w:rPr>
            </w:pPr>
            <w:r>
              <w:rPr>
                <w:szCs w:val="22"/>
                <w:lang w:eastAsia="ja-JP"/>
              </w:rPr>
              <w:t>0</w:t>
            </w:r>
          </w:p>
        </w:tc>
        <w:tc>
          <w:tcPr>
            <w:tcW w:w="1442" w:type="dxa"/>
          </w:tcPr>
          <w:p w14:paraId="27F7AF6A" w14:textId="77777777" w:rsidR="00152B4F" w:rsidRDefault="00152B4F" w:rsidP="009039E0">
            <w:pPr>
              <w:rPr>
                <w:szCs w:val="22"/>
                <w:lang w:eastAsia="ja-JP"/>
              </w:rPr>
            </w:pPr>
            <w:r>
              <w:rPr>
                <w:szCs w:val="22"/>
                <w:lang w:eastAsia="ja-JP"/>
              </w:rPr>
              <w:t>0 %</w:t>
            </w:r>
          </w:p>
        </w:tc>
      </w:tr>
      <w:tr w:rsidR="00152B4F" w14:paraId="7CF50B61" w14:textId="77777777" w:rsidTr="009039E0">
        <w:tc>
          <w:tcPr>
            <w:tcW w:w="1689" w:type="dxa"/>
          </w:tcPr>
          <w:p w14:paraId="02697132" w14:textId="77777777" w:rsidR="00152B4F" w:rsidRDefault="00152B4F" w:rsidP="009039E0">
            <w:pPr>
              <w:rPr>
                <w:szCs w:val="22"/>
                <w:lang w:eastAsia="ja-JP"/>
              </w:rPr>
            </w:pPr>
            <w:r>
              <w:rPr>
                <w:szCs w:val="22"/>
                <w:lang w:eastAsia="ja-JP"/>
              </w:rPr>
              <w:t>1</w:t>
            </w:r>
          </w:p>
        </w:tc>
        <w:tc>
          <w:tcPr>
            <w:tcW w:w="1442" w:type="dxa"/>
          </w:tcPr>
          <w:p w14:paraId="22283E91" w14:textId="77777777" w:rsidR="00152B4F" w:rsidRDefault="00152B4F" w:rsidP="009039E0">
            <w:pPr>
              <w:rPr>
                <w:szCs w:val="22"/>
                <w:lang w:eastAsia="ja-JP"/>
              </w:rPr>
            </w:pPr>
            <w:r>
              <w:rPr>
                <w:szCs w:val="22"/>
                <w:lang w:eastAsia="ja-JP"/>
              </w:rPr>
              <w:t>1.5 %</w:t>
            </w:r>
          </w:p>
        </w:tc>
      </w:tr>
      <w:tr w:rsidR="00152B4F" w14:paraId="72B67385" w14:textId="77777777" w:rsidTr="009039E0">
        <w:tc>
          <w:tcPr>
            <w:tcW w:w="1689" w:type="dxa"/>
          </w:tcPr>
          <w:p w14:paraId="5FC27CC0" w14:textId="77777777" w:rsidR="00152B4F" w:rsidRDefault="00152B4F" w:rsidP="009039E0">
            <w:pPr>
              <w:rPr>
                <w:szCs w:val="22"/>
                <w:lang w:eastAsia="ja-JP"/>
              </w:rPr>
            </w:pPr>
            <w:r>
              <w:rPr>
                <w:szCs w:val="22"/>
                <w:lang w:eastAsia="ja-JP"/>
              </w:rPr>
              <w:t>2</w:t>
            </w:r>
          </w:p>
        </w:tc>
        <w:tc>
          <w:tcPr>
            <w:tcW w:w="1442" w:type="dxa"/>
          </w:tcPr>
          <w:p w14:paraId="4338BCF9" w14:textId="77777777" w:rsidR="00152B4F" w:rsidRDefault="00152B4F" w:rsidP="009039E0">
            <w:pPr>
              <w:rPr>
                <w:szCs w:val="22"/>
                <w:lang w:eastAsia="ja-JP"/>
              </w:rPr>
            </w:pPr>
            <w:r>
              <w:rPr>
                <w:szCs w:val="22"/>
                <w:lang w:eastAsia="ja-JP"/>
              </w:rPr>
              <w:t>3 %</w:t>
            </w:r>
          </w:p>
        </w:tc>
      </w:tr>
      <w:tr w:rsidR="00152B4F" w14:paraId="36C83374" w14:textId="77777777" w:rsidTr="009039E0">
        <w:tc>
          <w:tcPr>
            <w:tcW w:w="1689" w:type="dxa"/>
          </w:tcPr>
          <w:p w14:paraId="5C7AB811" w14:textId="77777777" w:rsidR="00152B4F" w:rsidRDefault="00152B4F" w:rsidP="009039E0">
            <w:pPr>
              <w:rPr>
                <w:szCs w:val="22"/>
                <w:lang w:eastAsia="ja-JP"/>
              </w:rPr>
            </w:pPr>
            <w:r>
              <w:rPr>
                <w:szCs w:val="22"/>
                <w:lang w:eastAsia="ja-JP"/>
              </w:rPr>
              <w:t>3</w:t>
            </w:r>
          </w:p>
        </w:tc>
        <w:tc>
          <w:tcPr>
            <w:tcW w:w="1442" w:type="dxa"/>
          </w:tcPr>
          <w:p w14:paraId="6AF43CAA" w14:textId="77777777" w:rsidR="00152B4F" w:rsidRDefault="00152B4F" w:rsidP="009039E0">
            <w:pPr>
              <w:rPr>
                <w:szCs w:val="22"/>
                <w:lang w:eastAsia="ja-JP"/>
              </w:rPr>
            </w:pPr>
            <w:r>
              <w:rPr>
                <w:szCs w:val="22"/>
                <w:lang w:eastAsia="ja-JP"/>
              </w:rPr>
              <w:t>4.5 %</w:t>
            </w:r>
          </w:p>
        </w:tc>
      </w:tr>
      <w:tr w:rsidR="00152B4F" w14:paraId="61DF6752" w14:textId="77777777" w:rsidTr="009039E0">
        <w:tc>
          <w:tcPr>
            <w:tcW w:w="1689" w:type="dxa"/>
          </w:tcPr>
          <w:p w14:paraId="396ABFFC" w14:textId="77777777" w:rsidR="00152B4F" w:rsidRDefault="00152B4F" w:rsidP="009039E0">
            <w:pPr>
              <w:rPr>
                <w:szCs w:val="22"/>
                <w:lang w:eastAsia="ja-JP"/>
              </w:rPr>
            </w:pPr>
            <w:r>
              <w:rPr>
                <w:szCs w:val="22"/>
                <w:lang w:eastAsia="ja-JP"/>
              </w:rPr>
              <w:t>4</w:t>
            </w:r>
          </w:p>
        </w:tc>
        <w:tc>
          <w:tcPr>
            <w:tcW w:w="1442" w:type="dxa"/>
          </w:tcPr>
          <w:p w14:paraId="4F53EE07" w14:textId="77777777" w:rsidR="00152B4F" w:rsidRDefault="00152B4F" w:rsidP="009039E0">
            <w:pPr>
              <w:rPr>
                <w:szCs w:val="22"/>
                <w:lang w:eastAsia="ja-JP"/>
              </w:rPr>
            </w:pPr>
            <w:r>
              <w:rPr>
                <w:szCs w:val="22"/>
                <w:lang w:eastAsia="ja-JP"/>
              </w:rPr>
              <w:t>6 %</w:t>
            </w:r>
          </w:p>
        </w:tc>
      </w:tr>
      <w:tr w:rsidR="00152B4F" w14:paraId="5E02571E" w14:textId="77777777" w:rsidTr="009039E0">
        <w:tc>
          <w:tcPr>
            <w:tcW w:w="1689" w:type="dxa"/>
          </w:tcPr>
          <w:p w14:paraId="528B9A64" w14:textId="77777777" w:rsidR="00152B4F" w:rsidRDefault="00152B4F" w:rsidP="009039E0">
            <w:pPr>
              <w:rPr>
                <w:szCs w:val="22"/>
                <w:lang w:eastAsia="ja-JP"/>
              </w:rPr>
            </w:pPr>
            <w:r>
              <w:rPr>
                <w:szCs w:val="22"/>
                <w:lang w:eastAsia="ja-JP"/>
              </w:rPr>
              <w:t>5</w:t>
            </w:r>
          </w:p>
        </w:tc>
        <w:tc>
          <w:tcPr>
            <w:tcW w:w="1442" w:type="dxa"/>
          </w:tcPr>
          <w:p w14:paraId="50AED3DB" w14:textId="77777777" w:rsidR="00152B4F" w:rsidRDefault="00152B4F" w:rsidP="009039E0">
            <w:pPr>
              <w:rPr>
                <w:szCs w:val="22"/>
                <w:lang w:eastAsia="ja-JP"/>
              </w:rPr>
            </w:pPr>
            <w:r>
              <w:rPr>
                <w:szCs w:val="22"/>
                <w:lang w:eastAsia="ja-JP"/>
              </w:rPr>
              <w:t>7.5 %</w:t>
            </w:r>
          </w:p>
        </w:tc>
      </w:tr>
      <w:tr w:rsidR="00152B4F" w14:paraId="7E72445D" w14:textId="77777777" w:rsidTr="009039E0">
        <w:tc>
          <w:tcPr>
            <w:tcW w:w="1689" w:type="dxa"/>
          </w:tcPr>
          <w:p w14:paraId="1AD4FC95" w14:textId="77777777" w:rsidR="00152B4F" w:rsidRDefault="00152B4F" w:rsidP="009039E0">
            <w:pPr>
              <w:rPr>
                <w:szCs w:val="22"/>
                <w:lang w:eastAsia="ja-JP"/>
              </w:rPr>
            </w:pPr>
            <w:r>
              <w:rPr>
                <w:szCs w:val="22"/>
                <w:lang w:eastAsia="ja-JP"/>
              </w:rPr>
              <w:t>6</w:t>
            </w:r>
          </w:p>
        </w:tc>
        <w:tc>
          <w:tcPr>
            <w:tcW w:w="1442" w:type="dxa"/>
          </w:tcPr>
          <w:p w14:paraId="77EA9C12" w14:textId="77777777" w:rsidR="00152B4F" w:rsidRDefault="00152B4F" w:rsidP="009039E0">
            <w:pPr>
              <w:rPr>
                <w:szCs w:val="22"/>
                <w:lang w:eastAsia="ja-JP"/>
              </w:rPr>
            </w:pPr>
            <w:r>
              <w:rPr>
                <w:szCs w:val="22"/>
                <w:lang w:eastAsia="ja-JP"/>
              </w:rPr>
              <w:t>9 %</w:t>
            </w:r>
          </w:p>
        </w:tc>
      </w:tr>
      <w:tr w:rsidR="00152B4F" w14:paraId="0C6287B4" w14:textId="77777777" w:rsidTr="009039E0">
        <w:tc>
          <w:tcPr>
            <w:tcW w:w="1689" w:type="dxa"/>
          </w:tcPr>
          <w:p w14:paraId="00B59E4C" w14:textId="77777777" w:rsidR="00152B4F" w:rsidRDefault="00152B4F" w:rsidP="009039E0">
            <w:pPr>
              <w:rPr>
                <w:szCs w:val="22"/>
                <w:lang w:eastAsia="ja-JP"/>
              </w:rPr>
            </w:pPr>
            <w:r>
              <w:rPr>
                <w:szCs w:val="22"/>
                <w:lang w:eastAsia="ja-JP"/>
              </w:rPr>
              <w:t>7</w:t>
            </w:r>
          </w:p>
        </w:tc>
        <w:tc>
          <w:tcPr>
            <w:tcW w:w="1442" w:type="dxa"/>
          </w:tcPr>
          <w:p w14:paraId="52867C7C" w14:textId="77777777" w:rsidR="00152B4F" w:rsidRDefault="00152B4F" w:rsidP="009039E0">
            <w:pPr>
              <w:rPr>
                <w:szCs w:val="22"/>
                <w:lang w:eastAsia="ja-JP"/>
              </w:rPr>
            </w:pPr>
            <w:r>
              <w:rPr>
                <w:szCs w:val="22"/>
                <w:lang w:eastAsia="ja-JP"/>
              </w:rPr>
              <w:t>10.5 %</w:t>
            </w:r>
          </w:p>
        </w:tc>
      </w:tr>
      <w:tr w:rsidR="00152B4F" w14:paraId="0D42D5FB" w14:textId="77777777" w:rsidTr="009039E0">
        <w:tc>
          <w:tcPr>
            <w:tcW w:w="1689" w:type="dxa"/>
          </w:tcPr>
          <w:p w14:paraId="3AFCBD7D" w14:textId="77777777" w:rsidR="00152B4F" w:rsidRDefault="00152B4F" w:rsidP="009039E0">
            <w:pPr>
              <w:rPr>
                <w:szCs w:val="22"/>
                <w:lang w:eastAsia="ja-JP"/>
              </w:rPr>
            </w:pPr>
            <w:r>
              <w:rPr>
                <w:szCs w:val="22"/>
                <w:lang w:eastAsia="ja-JP"/>
              </w:rPr>
              <w:t>8</w:t>
            </w:r>
          </w:p>
        </w:tc>
        <w:tc>
          <w:tcPr>
            <w:tcW w:w="1442" w:type="dxa"/>
          </w:tcPr>
          <w:p w14:paraId="0CFE27A0" w14:textId="77777777" w:rsidR="00152B4F" w:rsidRDefault="00152B4F" w:rsidP="009039E0">
            <w:pPr>
              <w:rPr>
                <w:szCs w:val="22"/>
                <w:lang w:eastAsia="ja-JP"/>
              </w:rPr>
            </w:pPr>
            <w:r>
              <w:rPr>
                <w:szCs w:val="22"/>
                <w:lang w:eastAsia="ja-JP"/>
              </w:rPr>
              <w:t>12 %</w:t>
            </w:r>
          </w:p>
        </w:tc>
      </w:tr>
      <w:tr w:rsidR="00152B4F" w14:paraId="1D32CF83" w14:textId="77777777" w:rsidTr="009039E0">
        <w:tc>
          <w:tcPr>
            <w:tcW w:w="1689" w:type="dxa"/>
          </w:tcPr>
          <w:p w14:paraId="5817C224" w14:textId="77777777" w:rsidR="00152B4F" w:rsidRDefault="00152B4F" w:rsidP="009039E0">
            <w:pPr>
              <w:rPr>
                <w:szCs w:val="22"/>
                <w:lang w:eastAsia="ja-JP"/>
              </w:rPr>
            </w:pPr>
            <w:r>
              <w:rPr>
                <w:szCs w:val="22"/>
                <w:lang w:eastAsia="ja-JP"/>
              </w:rPr>
              <w:t>9</w:t>
            </w:r>
          </w:p>
        </w:tc>
        <w:tc>
          <w:tcPr>
            <w:tcW w:w="1442" w:type="dxa"/>
          </w:tcPr>
          <w:p w14:paraId="227FD59E" w14:textId="77777777" w:rsidR="00152B4F" w:rsidRDefault="00152B4F" w:rsidP="009039E0">
            <w:pPr>
              <w:rPr>
                <w:szCs w:val="22"/>
                <w:lang w:eastAsia="ja-JP"/>
              </w:rPr>
            </w:pPr>
            <w:r>
              <w:rPr>
                <w:szCs w:val="22"/>
                <w:lang w:eastAsia="ja-JP"/>
              </w:rPr>
              <w:t>13.5 %</w:t>
            </w:r>
          </w:p>
        </w:tc>
      </w:tr>
      <w:tr w:rsidR="00152B4F" w14:paraId="338309E1" w14:textId="77777777" w:rsidTr="009039E0">
        <w:tc>
          <w:tcPr>
            <w:tcW w:w="1689" w:type="dxa"/>
          </w:tcPr>
          <w:p w14:paraId="414FA883" w14:textId="77777777" w:rsidR="00152B4F" w:rsidRDefault="00152B4F" w:rsidP="009039E0">
            <w:pPr>
              <w:rPr>
                <w:szCs w:val="22"/>
                <w:lang w:eastAsia="ja-JP"/>
              </w:rPr>
            </w:pPr>
            <w:r>
              <w:rPr>
                <w:szCs w:val="22"/>
                <w:lang w:eastAsia="ja-JP"/>
              </w:rPr>
              <w:t>10+</w:t>
            </w:r>
          </w:p>
        </w:tc>
        <w:tc>
          <w:tcPr>
            <w:tcW w:w="1442" w:type="dxa"/>
          </w:tcPr>
          <w:p w14:paraId="28006DDA" w14:textId="77777777" w:rsidR="00152B4F" w:rsidRDefault="00152B4F" w:rsidP="009039E0">
            <w:pPr>
              <w:rPr>
                <w:szCs w:val="22"/>
                <w:lang w:eastAsia="ja-JP"/>
              </w:rPr>
            </w:pPr>
            <w:r>
              <w:rPr>
                <w:szCs w:val="22"/>
                <w:lang w:eastAsia="ja-JP"/>
              </w:rPr>
              <w:t>15 %</w:t>
            </w:r>
          </w:p>
        </w:tc>
      </w:tr>
    </w:tbl>
    <w:p w14:paraId="451ED3BB" w14:textId="77777777" w:rsidR="00152B4F" w:rsidRPr="00694B35" w:rsidRDefault="00152B4F" w:rsidP="00152B4F">
      <w:pPr>
        <w:rPr>
          <w:szCs w:val="22"/>
          <w:lang w:eastAsia="ja-JP"/>
        </w:rPr>
      </w:pPr>
    </w:p>
    <w:p w14:paraId="4AAD825A" w14:textId="77777777" w:rsidR="00152B4F" w:rsidRPr="00694B35" w:rsidRDefault="00152B4F" w:rsidP="00152B4F">
      <w:pPr>
        <w:rPr>
          <w:rFonts w:cs="Calibri"/>
          <w:szCs w:val="22"/>
          <w:highlight w:val="yellow"/>
        </w:rPr>
      </w:pPr>
    </w:p>
    <w:p w14:paraId="7D6E933A" w14:textId="77777777" w:rsidR="00152B4F" w:rsidRPr="00CA76AB" w:rsidRDefault="00152B4F" w:rsidP="00152B4F">
      <w:pPr>
        <w:pStyle w:val="Heading5"/>
      </w:pPr>
      <w:r w:rsidRPr="00CA76AB">
        <w:t>ESAt/JCA exempt participants</w:t>
      </w:r>
    </w:p>
    <w:p w14:paraId="161324CA" w14:textId="77777777" w:rsidR="00152B4F" w:rsidRDefault="00152B4F" w:rsidP="00152B4F">
      <w:r>
        <w:t>ESAt/JCA exempt Participants do not have an ESAt/JCA report, which contains barriers and medical conditions information. Providers are required to enter the primary disability information for these Participants into the Employment Services System (ESS) for the DES Star Ratings regression calculations.</w:t>
      </w:r>
    </w:p>
    <w:p w14:paraId="777711A7" w14:textId="77777777" w:rsidR="00152B4F" w:rsidRDefault="00152B4F" w:rsidP="00152B4F"/>
    <w:p w14:paraId="2DED1D51" w14:textId="77777777" w:rsidR="00152B4F" w:rsidRDefault="00152B4F" w:rsidP="00152B4F">
      <w:r>
        <w:t>I</w:t>
      </w:r>
      <w:r w:rsidRPr="00FB4193">
        <w:t xml:space="preserve">nformation like education level, ex-offender status and Indigenous status are sourced from </w:t>
      </w:r>
      <w:r>
        <w:t xml:space="preserve">participants’ </w:t>
      </w:r>
      <w:r w:rsidRPr="00FB4193">
        <w:t xml:space="preserve">JSCI, including eligible school leavers. Providers should ensure that the JSCI is accurate and current for participants </w:t>
      </w:r>
      <w:r>
        <w:t>prior to commencing them</w:t>
      </w:r>
      <w:r w:rsidRPr="00FB4193">
        <w:t>.</w:t>
      </w:r>
    </w:p>
    <w:p w14:paraId="7C8A8AC2" w14:textId="77777777" w:rsidR="00152B4F" w:rsidRDefault="00152B4F" w:rsidP="00152B4F"/>
    <w:p w14:paraId="69FA289D" w14:textId="77777777" w:rsidR="00152B4F" w:rsidRDefault="00152B4F" w:rsidP="00152B4F">
      <w:r>
        <w:t>The Primary disability information for these participants is entered in the following location in ESSWeb (see screenshot below):</w:t>
      </w:r>
    </w:p>
    <w:p w14:paraId="3CF4FDDB" w14:textId="77777777" w:rsidR="00152B4F" w:rsidRPr="00FB4193" w:rsidRDefault="00152B4F" w:rsidP="00152B4F">
      <w:r>
        <w:t>ESSWeb &gt; Job Seeker &gt; Registration &gt; Circumstance Details section</w:t>
      </w:r>
    </w:p>
    <w:p w14:paraId="1DBB86D7" w14:textId="77777777" w:rsidR="00152B4F" w:rsidRDefault="00152B4F" w:rsidP="00152B4F">
      <w:pPr>
        <w:rPr>
          <w:color w:val="1F497D"/>
        </w:rPr>
      </w:pPr>
    </w:p>
    <w:p w14:paraId="3E309623" w14:textId="77777777" w:rsidR="00152B4F" w:rsidRDefault="00152B4F" w:rsidP="00152B4F">
      <w:pPr>
        <w:rPr>
          <w:color w:val="1F497D"/>
        </w:rPr>
      </w:pPr>
    </w:p>
    <w:p w14:paraId="68FC80BF" w14:textId="61EF4166" w:rsidR="00152B4F" w:rsidRDefault="00152B4F" w:rsidP="00152B4F">
      <w:pPr>
        <w:rPr>
          <w:color w:val="1F497D"/>
        </w:rPr>
      </w:pPr>
      <w:r w:rsidRPr="009E0333">
        <w:rPr>
          <w:noProof/>
          <w:lang w:eastAsia="en-AU"/>
        </w:rPr>
        <w:drawing>
          <wp:inline distT="0" distB="0" distL="0" distR="0" wp14:anchorId="36C8E0C5" wp14:editId="5DD57B7D">
            <wp:extent cx="5943600" cy="3800475"/>
            <wp:effectExtent l="0" t="0" r="0" b="9525"/>
            <wp:docPr id="1" name="Picture 1" descr="This shows a picture of the ESSWeb page with a Jobseekers Circumstance Details and has the Primary disability field circled in red so providers can see where to enter the Primary Disability for a participant." title="ESSWeb Screenshot - Registration Details Sum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shows a picture of the ESSWeb page with a Jobseekers Circumstance Details and has the Primary disability field circled in red so providers can see where to enter the Primary Disability for a participant." title="ESSWeb Screenshot - Registration Details Summary "/>
                    <pic:cNvPicPr/>
                  </pic:nvPicPr>
                  <pic:blipFill>
                    <a:blip r:embed="rId20"/>
                    <a:stretch>
                      <a:fillRect/>
                    </a:stretch>
                  </pic:blipFill>
                  <pic:spPr>
                    <a:xfrm>
                      <a:off x="0" y="0"/>
                      <a:ext cx="5943600" cy="3800475"/>
                    </a:xfrm>
                    <a:prstGeom prst="rect">
                      <a:avLst/>
                    </a:prstGeom>
                  </pic:spPr>
                </pic:pic>
              </a:graphicData>
            </a:graphic>
          </wp:inline>
        </w:drawing>
      </w:r>
    </w:p>
    <w:p w14:paraId="39E41CE4" w14:textId="77777777" w:rsidR="00152B4F" w:rsidRDefault="00152B4F" w:rsidP="00152B4F">
      <w:pPr>
        <w:rPr>
          <w:color w:val="1F497D"/>
        </w:rPr>
      </w:pPr>
    </w:p>
    <w:p w14:paraId="7F353A2E" w14:textId="77777777" w:rsidR="00152B4F" w:rsidRPr="00CA76AB" w:rsidRDefault="00152B4F" w:rsidP="00152B4F">
      <w:pPr>
        <w:pStyle w:val="Heading5"/>
      </w:pPr>
      <w:r w:rsidRPr="00CA76AB">
        <w:t>JSCI information and Star Ratings calculations</w:t>
      </w:r>
    </w:p>
    <w:p w14:paraId="3805F15F" w14:textId="77777777" w:rsidR="00152B4F" w:rsidRPr="00442EA0" w:rsidRDefault="00152B4F" w:rsidP="00152B4F">
      <w:pPr>
        <w:autoSpaceDE w:val="0"/>
        <w:autoSpaceDN w:val="0"/>
        <w:adjustRightInd w:val="0"/>
        <w:rPr>
          <w:rFonts w:cs="Calibri"/>
          <w:color w:val="000000"/>
          <w:szCs w:val="22"/>
        </w:rPr>
      </w:pPr>
      <w:r w:rsidRPr="00442EA0">
        <w:rPr>
          <w:rFonts w:cs="Calibri"/>
          <w:color w:val="000000"/>
          <w:szCs w:val="22"/>
        </w:rPr>
        <w:t>All D</w:t>
      </w:r>
      <w:r>
        <w:rPr>
          <w:rFonts w:cs="Calibri"/>
          <w:color w:val="000000"/>
          <w:szCs w:val="22"/>
        </w:rPr>
        <w:t>ES</w:t>
      </w:r>
      <w:r w:rsidRPr="00442EA0">
        <w:rPr>
          <w:rFonts w:cs="Calibri"/>
          <w:color w:val="000000"/>
          <w:szCs w:val="22"/>
        </w:rPr>
        <w:t xml:space="preserve"> Partici</w:t>
      </w:r>
      <w:r>
        <w:rPr>
          <w:rFonts w:cs="Calibri"/>
          <w:color w:val="000000"/>
          <w:szCs w:val="22"/>
        </w:rPr>
        <w:t>pants should have an active Job Seeker Classification Instrument (JSCI)</w:t>
      </w:r>
      <w:r w:rsidRPr="00442EA0">
        <w:rPr>
          <w:rFonts w:cs="Calibri"/>
          <w:color w:val="000000"/>
          <w:szCs w:val="22"/>
        </w:rPr>
        <w:t xml:space="preserve">, </w:t>
      </w:r>
      <w:r>
        <w:rPr>
          <w:rFonts w:cs="Calibri"/>
          <w:color w:val="000000"/>
          <w:szCs w:val="22"/>
        </w:rPr>
        <w:t>for the information to be included in the Star Ratings calculations (reviewed or entered prior to commencing the participant)</w:t>
      </w:r>
      <w:r w:rsidRPr="00442EA0">
        <w:rPr>
          <w:rFonts w:cs="Calibri"/>
          <w:color w:val="000000"/>
          <w:szCs w:val="22"/>
        </w:rPr>
        <w:t xml:space="preserve">. DES providers have access to create and update a JSCI for their own Participants and should do this when a Participant: </w:t>
      </w:r>
    </w:p>
    <w:p w14:paraId="57098A53" w14:textId="77777777" w:rsidR="00152B4F" w:rsidRPr="00442EA0" w:rsidRDefault="00152B4F" w:rsidP="00152B4F">
      <w:pPr>
        <w:pStyle w:val="ListParagraph"/>
        <w:numPr>
          <w:ilvl w:val="0"/>
          <w:numId w:val="29"/>
        </w:numPr>
        <w:autoSpaceDE w:val="0"/>
        <w:autoSpaceDN w:val="0"/>
        <w:adjustRightInd w:val="0"/>
        <w:contextualSpacing w:val="0"/>
        <w:rPr>
          <w:color w:val="000000"/>
        </w:rPr>
      </w:pPr>
      <w:r w:rsidRPr="00442EA0">
        <w:rPr>
          <w:color w:val="000000"/>
        </w:rPr>
        <w:t xml:space="preserve">is Directly Registered and is a Volunteer (Non‐activity Tested) </w:t>
      </w:r>
    </w:p>
    <w:p w14:paraId="240C7090" w14:textId="77777777" w:rsidR="00152B4F" w:rsidRDefault="00152B4F" w:rsidP="00152B4F">
      <w:pPr>
        <w:pStyle w:val="ListParagraph"/>
        <w:numPr>
          <w:ilvl w:val="0"/>
          <w:numId w:val="29"/>
        </w:numPr>
        <w:autoSpaceDE w:val="0"/>
        <w:autoSpaceDN w:val="0"/>
        <w:adjustRightInd w:val="0"/>
        <w:contextualSpacing w:val="0"/>
        <w:rPr>
          <w:color w:val="000000"/>
        </w:rPr>
      </w:pPr>
      <w:r w:rsidRPr="00442EA0">
        <w:rPr>
          <w:color w:val="000000"/>
        </w:rPr>
        <w:t xml:space="preserve">discloses new information to the DES </w:t>
      </w:r>
      <w:r>
        <w:rPr>
          <w:color w:val="000000"/>
        </w:rPr>
        <w:t>P</w:t>
      </w:r>
      <w:r w:rsidRPr="00442EA0">
        <w:rPr>
          <w:color w:val="000000"/>
        </w:rPr>
        <w:t>rovider</w:t>
      </w:r>
    </w:p>
    <w:p w14:paraId="0C47190F" w14:textId="77777777" w:rsidR="00152B4F" w:rsidRPr="00442EA0" w:rsidRDefault="00152B4F" w:rsidP="00152B4F">
      <w:pPr>
        <w:pStyle w:val="ListParagraph"/>
        <w:numPr>
          <w:ilvl w:val="0"/>
          <w:numId w:val="29"/>
        </w:numPr>
        <w:autoSpaceDE w:val="0"/>
        <w:autoSpaceDN w:val="0"/>
        <w:adjustRightInd w:val="0"/>
        <w:contextualSpacing w:val="0"/>
        <w:rPr>
          <w:color w:val="000000"/>
        </w:rPr>
      </w:pPr>
      <w:r>
        <w:rPr>
          <w:color w:val="000000"/>
        </w:rPr>
        <w:t>incorrect or missing information is identified in the current JSCI</w:t>
      </w:r>
      <w:r w:rsidRPr="00442EA0">
        <w:rPr>
          <w:color w:val="000000"/>
        </w:rPr>
        <w:t xml:space="preserve"> </w:t>
      </w:r>
      <w:r>
        <w:rPr>
          <w:color w:val="000000"/>
        </w:rPr>
        <w:t>or</w:t>
      </w:r>
    </w:p>
    <w:p w14:paraId="1E9918A3" w14:textId="77777777" w:rsidR="00152B4F" w:rsidRPr="00442EA0" w:rsidRDefault="00152B4F" w:rsidP="00152B4F">
      <w:pPr>
        <w:pStyle w:val="ListParagraph"/>
        <w:numPr>
          <w:ilvl w:val="0"/>
          <w:numId w:val="29"/>
        </w:numPr>
        <w:autoSpaceDE w:val="0"/>
        <w:autoSpaceDN w:val="0"/>
        <w:adjustRightInd w:val="0"/>
        <w:contextualSpacing w:val="0"/>
        <w:rPr>
          <w:color w:val="000000"/>
        </w:rPr>
      </w:pPr>
      <w:r w:rsidRPr="00442EA0">
        <w:rPr>
          <w:color w:val="000000"/>
        </w:rPr>
        <w:t xml:space="preserve">does not have an active JSCI. </w:t>
      </w:r>
    </w:p>
    <w:p w14:paraId="7252E3ED" w14:textId="77777777" w:rsidR="00152B4F" w:rsidRPr="00442EA0" w:rsidRDefault="00152B4F" w:rsidP="00152B4F">
      <w:pPr>
        <w:autoSpaceDE w:val="0"/>
        <w:autoSpaceDN w:val="0"/>
        <w:adjustRightInd w:val="0"/>
        <w:rPr>
          <w:rFonts w:cs="Calibri"/>
          <w:color w:val="000000"/>
          <w:szCs w:val="22"/>
        </w:rPr>
      </w:pPr>
    </w:p>
    <w:p w14:paraId="70FEFC92" w14:textId="77777777" w:rsidR="00152B4F" w:rsidRDefault="00152B4F" w:rsidP="00152B4F">
      <w:pPr>
        <w:spacing w:after="480"/>
        <w:contextualSpacing/>
        <w:rPr>
          <w:color w:val="000000"/>
          <w:szCs w:val="22"/>
        </w:rPr>
      </w:pPr>
      <w:r w:rsidRPr="00442EA0">
        <w:rPr>
          <w:color w:val="000000"/>
          <w:szCs w:val="22"/>
        </w:rPr>
        <w:t>Further information on the JSCI process can be found by referring to the Job Seeker Classification Instrument Guidelines</w:t>
      </w:r>
      <w:r>
        <w:rPr>
          <w:color w:val="000000"/>
          <w:szCs w:val="22"/>
        </w:rPr>
        <w:t>.</w:t>
      </w:r>
    </w:p>
    <w:p w14:paraId="012C6873" w14:textId="77777777" w:rsidR="00152B4F" w:rsidRDefault="00152B4F" w:rsidP="00152B4F">
      <w:pPr>
        <w:rPr>
          <w:rFonts w:eastAsiaTheme="majorEastAsia"/>
          <w:b/>
          <w:color w:val="000000"/>
          <w:szCs w:val="22"/>
        </w:rPr>
      </w:pPr>
      <w:r>
        <w:rPr>
          <w:color w:val="000000"/>
          <w:szCs w:val="22"/>
        </w:rPr>
        <w:br w:type="page"/>
      </w:r>
    </w:p>
    <w:p w14:paraId="1FAFBD8D" w14:textId="77777777" w:rsidR="00152B4F" w:rsidRPr="00CA76AB" w:rsidRDefault="00152B4F" w:rsidP="00152B4F">
      <w:pPr>
        <w:pStyle w:val="Heading5"/>
        <w:rPr>
          <w:color w:val="C00000"/>
          <w:u w:val="single"/>
        </w:rPr>
      </w:pPr>
      <w:r>
        <w:t xml:space="preserve">Treatment of new and continuing Contracts, Contract Novations, Contracts that hand back business and Ceased Contracts </w:t>
      </w:r>
    </w:p>
    <w:p w14:paraId="34077F6D" w14:textId="77777777" w:rsidR="00152B4F" w:rsidRPr="00C86929" w:rsidRDefault="00152B4F" w:rsidP="00152B4F">
      <w:pPr>
        <w:rPr>
          <w:b/>
        </w:rPr>
      </w:pPr>
    </w:p>
    <w:p w14:paraId="1EB0363B" w14:textId="77777777" w:rsidR="00152B4F" w:rsidRPr="007F0903" w:rsidRDefault="00152B4F" w:rsidP="00152B4F">
      <w:pPr>
        <w:pStyle w:val="Heading5"/>
        <w:spacing w:before="0"/>
        <w:rPr>
          <w:b w:val="0"/>
          <w:u w:val="single"/>
        </w:rPr>
      </w:pPr>
      <w:r>
        <w:rPr>
          <w:b w:val="0"/>
          <w:u w:val="single"/>
        </w:rPr>
        <w:t>New</w:t>
      </w:r>
      <w:r w:rsidRPr="007F0903">
        <w:rPr>
          <w:b w:val="0"/>
          <w:u w:val="single"/>
        </w:rPr>
        <w:t xml:space="preserve"> Contracts</w:t>
      </w:r>
    </w:p>
    <w:p w14:paraId="691D250C" w14:textId="77777777" w:rsidR="00152B4F" w:rsidRDefault="00152B4F" w:rsidP="00152B4F">
      <w:r w:rsidRPr="00DA03A6">
        <w:t xml:space="preserve">The </w:t>
      </w:r>
      <w:r>
        <w:t>D</w:t>
      </w:r>
      <w:r w:rsidRPr="00DA03A6">
        <w:t xml:space="preserve">epartment will publically release a Star Rating for new DES Contracts after they have been operating for 12 months. In the interim, the </w:t>
      </w:r>
      <w:r>
        <w:t>D</w:t>
      </w:r>
      <w:r w:rsidRPr="00DA03A6">
        <w:t xml:space="preserve">epartment will display insufficient data for publishing purposes. The department will </w:t>
      </w:r>
      <w:r>
        <w:t>calculate a</w:t>
      </w:r>
      <w:r w:rsidRPr="00DA03A6">
        <w:t xml:space="preserve"> Star Rating </w:t>
      </w:r>
      <w:r>
        <w:t>for</w:t>
      </w:r>
      <w:r w:rsidRPr="00DA03A6">
        <w:t xml:space="preserve"> the Provider after </w:t>
      </w:r>
      <w:r>
        <w:t>nine</w:t>
      </w:r>
      <w:r w:rsidRPr="00DA03A6">
        <w:t xml:space="preserve"> months of operation, but this will not be published. </w:t>
      </w:r>
    </w:p>
    <w:p w14:paraId="1E233AFB" w14:textId="77777777" w:rsidR="00152B4F" w:rsidRPr="00DA03A6" w:rsidRDefault="00152B4F" w:rsidP="00152B4F"/>
    <w:p w14:paraId="489A637C" w14:textId="77777777" w:rsidR="00152B4F" w:rsidRPr="007F0903" w:rsidRDefault="00152B4F" w:rsidP="00152B4F">
      <w:pPr>
        <w:pStyle w:val="Heading5"/>
        <w:spacing w:before="0"/>
        <w:rPr>
          <w:b w:val="0"/>
          <w:u w:val="single"/>
        </w:rPr>
      </w:pPr>
      <w:r>
        <w:rPr>
          <w:b w:val="0"/>
          <w:u w:val="single"/>
        </w:rPr>
        <w:t>Continuing</w:t>
      </w:r>
      <w:r w:rsidRPr="007F0903">
        <w:rPr>
          <w:b w:val="0"/>
          <w:u w:val="single"/>
        </w:rPr>
        <w:t xml:space="preserve"> Contracts</w:t>
      </w:r>
    </w:p>
    <w:p w14:paraId="65E75DA4" w14:textId="77777777" w:rsidR="00152B4F" w:rsidRDefault="00152B4F" w:rsidP="00152B4F">
      <w:pPr>
        <w:rPr>
          <w:szCs w:val="22"/>
        </w:rPr>
      </w:pPr>
      <w:bookmarkStart w:id="49" w:name="_Toc348434677"/>
      <w:bookmarkStart w:id="50" w:name="_Toc348439635"/>
      <w:bookmarkStart w:id="51" w:name="_Toc348440360"/>
      <w:r w:rsidRPr="005F3D9E">
        <w:rPr>
          <w:rFonts w:ascii="Calibri" w:hAnsi="Calibri"/>
          <w:szCs w:val="22"/>
        </w:rPr>
        <w:t>All DES contracts will start their performance from ‘zero’ on 1 July 2018.</w:t>
      </w:r>
      <w:r>
        <w:t xml:space="preserve">  </w:t>
      </w:r>
      <w:r>
        <w:rPr>
          <w:szCs w:val="22"/>
        </w:rPr>
        <w:t>Adjustments will be made in the Regression Model to account for continuing providers appropriately and enable fair comparison to genuinely new providers and contracts.</w:t>
      </w:r>
    </w:p>
    <w:p w14:paraId="7800555C" w14:textId="77777777" w:rsidR="00152B4F" w:rsidRPr="00DA03A6" w:rsidRDefault="00152B4F" w:rsidP="00152B4F"/>
    <w:bookmarkEnd w:id="49"/>
    <w:bookmarkEnd w:id="50"/>
    <w:bookmarkEnd w:id="51"/>
    <w:p w14:paraId="3FD7A322" w14:textId="77777777" w:rsidR="00152B4F" w:rsidRPr="007F0903" w:rsidRDefault="00152B4F" w:rsidP="00152B4F">
      <w:pPr>
        <w:pStyle w:val="Heading5"/>
        <w:spacing w:before="0"/>
        <w:rPr>
          <w:b w:val="0"/>
          <w:u w:val="single"/>
        </w:rPr>
      </w:pPr>
      <w:r w:rsidRPr="007F0903">
        <w:rPr>
          <w:b w:val="0"/>
          <w:u w:val="single"/>
        </w:rPr>
        <w:t>Contract Novations</w:t>
      </w:r>
    </w:p>
    <w:p w14:paraId="4E9A1ACE" w14:textId="77777777" w:rsidR="00152B4F" w:rsidRDefault="00152B4F" w:rsidP="00152B4F">
      <w:r w:rsidRPr="00F431A1">
        <w:t xml:space="preserve">Where a </w:t>
      </w:r>
      <w:r>
        <w:t>Provider</w:t>
      </w:r>
      <w:r w:rsidRPr="00F431A1">
        <w:t xml:space="preserve"> takes over the business of an existing Contract, as part of a Contract novation, the new Contract inherits the past performance of the original Contract.</w:t>
      </w:r>
      <w:r>
        <w:t xml:space="preserve"> </w:t>
      </w:r>
      <w:r w:rsidRPr="00F431A1">
        <w:t xml:space="preserve">The new </w:t>
      </w:r>
      <w:r>
        <w:t>Provider</w:t>
      </w:r>
      <w:r w:rsidRPr="00F431A1">
        <w:t xml:space="preserve"> is required to establish a new Contract and transfer the </w:t>
      </w:r>
      <w:r>
        <w:t>Participant</w:t>
      </w:r>
      <w:r w:rsidRPr="00F431A1">
        <w:t xml:space="preserve">s from the original Contract. Subsequent Star Ratings calculations for the new Contract will include the performance data of both the original and the new Contracts. This will continue to be the case until there is no performance data (commencements or outcomes) for the original Contract which lies within the </w:t>
      </w:r>
      <w:r w:rsidRPr="00C41C17">
        <w:t>two</w:t>
      </w:r>
      <w:r w:rsidRPr="00F431A1">
        <w:t xml:space="preserve"> year rolling assessment period.</w:t>
      </w:r>
    </w:p>
    <w:p w14:paraId="0903274F" w14:textId="77777777" w:rsidR="00152B4F" w:rsidRDefault="00152B4F" w:rsidP="00152B4F"/>
    <w:p w14:paraId="5907A657" w14:textId="77777777" w:rsidR="00152B4F" w:rsidRDefault="00152B4F" w:rsidP="00152B4F">
      <w:r>
        <w:t>The DES performance reports will be updated to reflect this joining of performance data. However, there will be up to a three month lag for the reports to be updated as contract novation details are only updated every Star Ratings period.</w:t>
      </w:r>
    </w:p>
    <w:p w14:paraId="15852AA1" w14:textId="77777777" w:rsidR="00152B4F" w:rsidRDefault="00152B4F" w:rsidP="00152B4F"/>
    <w:p w14:paraId="30C11FDB" w14:textId="77777777" w:rsidR="00152B4F" w:rsidRPr="00DA03A6" w:rsidRDefault="00152B4F" w:rsidP="00152B4F">
      <w:pPr>
        <w:pStyle w:val="Heading5"/>
        <w:spacing w:before="0"/>
        <w:rPr>
          <w:b w:val="0"/>
          <w:u w:val="single"/>
        </w:rPr>
      </w:pPr>
      <w:r w:rsidRPr="00DA03A6">
        <w:rPr>
          <w:b w:val="0"/>
          <w:u w:val="single"/>
        </w:rPr>
        <w:t>Contracts that ‘hand back’ business</w:t>
      </w:r>
    </w:p>
    <w:p w14:paraId="7BEFE554" w14:textId="77777777" w:rsidR="00152B4F" w:rsidRDefault="00152B4F" w:rsidP="00152B4F">
      <w:r w:rsidRPr="00F431A1">
        <w:t xml:space="preserve">Where a </w:t>
      </w:r>
      <w:r>
        <w:t>Provider</w:t>
      </w:r>
      <w:r w:rsidRPr="00F431A1">
        <w:t xml:space="preserve"> contacts the </w:t>
      </w:r>
      <w:r>
        <w:t>D</w:t>
      </w:r>
      <w:r w:rsidRPr="00F431A1">
        <w:t>epartment to request a ‘hand back’ of their Contract, the</w:t>
      </w:r>
      <w:r>
        <w:t xml:space="preserve"> Participant</w:t>
      </w:r>
      <w:r w:rsidRPr="00F431A1">
        <w:t xml:space="preserve">s are then allocated to other available Contract(s). The receiving Contract(s) do </w:t>
      </w:r>
      <w:r w:rsidRPr="008A3FA2">
        <w:rPr>
          <w:u w:val="single"/>
        </w:rPr>
        <w:t>not</w:t>
      </w:r>
      <w:r w:rsidRPr="00F431A1">
        <w:t xml:space="preserve"> take on any past performance of the original Contract.</w:t>
      </w:r>
    </w:p>
    <w:p w14:paraId="3D3DC060" w14:textId="77777777" w:rsidR="00152B4F" w:rsidRDefault="00152B4F" w:rsidP="00152B4F"/>
    <w:p w14:paraId="0509FC45" w14:textId="77777777" w:rsidR="00152B4F" w:rsidRPr="00C86929" w:rsidRDefault="00152B4F" w:rsidP="00152B4F">
      <w:pPr>
        <w:pStyle w:val="Heading5"/>
        <w:spacing w:before="0"/>
        <w:rPr>
          <w:u w:val="single"/>
        </w:rPr>
      </w:pPr>
      <w:r w:rsidRPr="00C86929">
        <w:rPr>
          <w:b w:val="0"/>
          <w:u w:val="single"/>
        </w:rPr>
        <w:t>Ceased Contracts</w:t>
      </w:r>
    </w:p>
    <w:p w14:paraId="6B1F8AED" w14:textId="77777777" w:rsidR="00152B4F" w:rsidRDefault="00152B4F" w:rsidP="00152B4F">
      <w:r>
        <w:t>Past performance data for all Contracts which ceased operating as a result of a purchasing process or the DES provider panel refresh process will be removed from future Star Ratings. If they were generally lower performing contracts, then the national average and future expected performance will likely be increased after they are removed from the national performance data set. Any new Contract(s) do not take on any past performance of the ceased Contracts.</w:t>
      </w:r>
    </w:p>
    <w:p w14:paraId="34219837" w14:textId="77777777" w:rsidR="00152B4F" w:rsidRDefault="00152B4F" w:rsidP="00152B4F">
      <w:pPr>
        <w:rPr>
          <w:rFonts w:eastAsiaTheme="majorEastAsia"/>
          <w:b/>
        </w:rPr>
      </w:pPr>
      <w:r>
        <w:br w:type="page"/>
      </w:r>
    </w:p>
    <w:p w14:paraId="07D94209" w14:textId="77777777" w:rsidR="00152B4F" w:rsidRDefault="00152B4F" w:rsidP="00152B4F">
      <w:pPr>
        <w:pStyle w:val="Heading5"/>
        <w:spacing w:before="360"/>
      </w:pPr>
      <w:r>
        <w:t>Treatment of New and Ceased Sites with Continuing Contracts</w:t>
      </w:r>
    </w:p>
    <w:p w14:paraId="34C714C2" w14:textId="77777777" w:rsidR="00152B4F" w:rsidRDefault="00152B4F" w:rsidP="00152B4F"/>
    <w:p w14:paraId="547426E0" w14:textId="77777777" w:rsidR="00152B4F" w:rsidRPr="00C86929" w:rsidRDefault="00152B4F" w:rsidP="00152B4F">
      <w:pPr>
        <w:pStyle w:val="Heading5"/>
        <w:spacing w:before="0"/>
        <w:rPr>
          <w:u w:val="single"/>
        </w:rPr>
      </w:pPr>
      <w:r w:rsidRPr="00C86929">
        <w:rPr>
          <w:b w:val="0"/>
          <w:u w:val="single"/>
        </w:rPr>
        <w:t>New Sites with Continuing Contracts</w:t>
      </w:r>
    </w:p>
    <w:p w14:paraId="07043565" w14:textId="77777777" w:rsidR="00152B4F" w:rsidRDefault="00152B4F" w:rsidP="00152B4F">
      <w:r>
        <w:t xml:space="preserve">New Sites with continuing Contracts will initially not receive a Star Rating. They must operate for at least nine months, even if they meet the minimum data requirements, before a Star Rating is calculated. This is to ensure that there is sufficient time for the flow of new Participants to be included in the 13 and 26 Week performance measure denominators and therefore the performance in these measure not only being reflective of the initial transfer of Participants (if applicable). </w:t>
      </w:r>
      <w:r w:rsidRPr="00AC4B9A">
        <w:t>The</w:t>
      </w:r>
      <w:r>
        <w:t xml:space="preserve"> performance associated with the New Sites will contribute to the Contract level Star Rating.</w:t>
      </w:r>
    </w:p>
    <w:p w14:paraId="47812B3F" w14:textId="77777777" w:rsidR="00152B4F" w:rsidRDefault="00152B4F" w:rsidP="00152B4F"/>
    <w:p w14:paraId="4164FBA2" w14:textId="77777777" w:rsidR="00152B4F" w:rsidRPr="00C86929" w:rsidRDefault="00152B4F" w:rsidP="00152B4F">
      <w:pPr>
        <w:pStyle w:val="Heading5"/>
        <w:spacing w:before="0"/>
        <w:rPr>
          <w:u w:val="single"/>
        </w:rPr>
      </w:pPr>
      <w:r w:rsidRPr="00C86929">
        <w:rPr>
          <w:b w:val="0"/>
          <w:u w:val="single"/>
        </w:rPr>
        <w:t>Ceased Sites with Continuing Contracts</w:t>
      </w:r>
    </w:p>
    <w:p w14:paraId="5A165755" w14:textId="77777777" w:rsidR="00152B4F" w:rsidRDefault="00152B4F" w:rsidP="00152B4F">
      <w:r>
        <w:t xml:space="preserve">Ceased Sites with Continuing Contracts will no longer receive a Star Rating.  They will continue to contribute to the Contract level Star Ratings while the Ceased Site performance data is within </w:t>
      </w:r>
      <w:r w:rsidRPr="00E625BB">
        <w:t>DES Star Rating</w:t>
      </w:r>
      <w:r>
        <w:t xml:space="preserve"> </w:t>
      </w:r>
      <w:r w:rsidRPr="00C41C17">
        <w:t>two</w:t>
      </w:r>
      <w:r>
        <w:t xml:space="preserve"> year rolling period. The influence of the performance associated with the Ceased Site will also have a lower impact over time to the Contract level Star Rating as more performance data associated with the continuing Site(s) is added.</w:t>
      </w:r>
    </w:p>
    <w:p w14:paraId="26213DC9" w14:textId="77777777" w:rsidR="00152B4F" w:rsidRDefault="00152B4F" w:rsidP="00152B4F">
      <w:r>
        <w:br w:type="page"/>
      </w:r>
    </w:p>
    <w:p w14:paraId="644BFCB1" w14:textId="77777777" w:rsidR="00152B4F" w:rsidRDefault="00152B4F" w:rsidP="00152B4F">
      <w:pPr>
        <w:pStyle w:val="Heading2"/>
      </w:pPr>
      <w:bookmarkStart w:id="52" w:name="_Toc413246189"/>
      <w:bookmarkStart w:id="53" w:name="_Toc47098285"/>
      <w:r>
        <w:t>When and how DES Star Ratings are published</w:t>
      </w:r>
      <w:bookmarkEnd w:id="52"/>
      <w:bookmarkEnd w:id="53"/>
    </w:p>
    <w:p w14:paraId="522A06BD" w14:textId="77777777" w:rsidR="00152B4F" w:rsidRDefault="00152B4F" w:rsidP="00152B4F">
      <w:pPr>
        <w:pStyle w:val="Heading3"/>
      </w:pPr>
      <w:bookmarkStart w:id="54" w:name="_Toc47098286"/>
      <w:r>
        <w:t>Timing of 2018 DES Star Rating releases</w:t>
      </w:r>
      <w:bookmarkEnd w:id="54"/>
    </w:p>
    <w:p w14:paraId="315164D7" w14:textId="77777777" w:rsidR="00152B4F" w:rsidRPr="00C41C17" w:rsidRDefault="00152B4F" w:rsidP="00152B4F">
      <w:r>
        <w:t xml:space="preserve">The first public release of ratings for the 2018 Performance Framework Star Ratings is </w:t>
      </w:r>
      <w:r w:rsidRPr="00C41C17">
        <w:t xml:space="preserve">July 2019 as per Table </w:t>
      </w:r>
      <w:r>
        <w:t>three.</w:t>
      </w:r>
      <w:r w:rsidRPr="00C41C17">
        <w:t xml:space="preserve"> DES Star Ratings are publicly released around 48 </w:t>
      </w:r>
      <w:r>
        <w:t xml:space="preserve">business </w:t>
      </w:r>
      <w:r w:rsidRPr="00C41C17">
        <w:t>hours after being supplied to Provider CEOs and generally four to six weeks (potentially less) after the end of the Star Ratings period.</w:t>
      </w:r>
    </w:p>
    <w:p w14:paraId="1A966054" w14:textId="77777777" w:rsidR="00152B4F" w:rsidRPr="00C41C17" w:rsidRDefault="00152B4F" w:rsidP="00152B4F"/>
    <w:p w14:paraId="15FA304A" w14:textId="77777777" w:rsidR="00152B4F" w:rsidRPr="00C41C17" w:rsidRDefault="00152B4F" w:rsidP="00152B4F">
      <w:pPr>
        <w:pStyle w:val="Heading3"/>
      </w:pPr>
      <w:bookmarkStart w:id="55" w:name="_Toc47098287"/>
      <w:r w:rsidRPr="00C41C17">
        <w:t>Publication of DES Star Ratings</w:t>
      </w:r>
      <w:bookmarkEnd w:id="55"/>
    </w:p>
    <w:p w14:paraId="3A1B3C15" w14:textId="77777777" w:rsidR="00152B4F" w:rsidRDefault="00152B4F" w:rsidP="00152B4F">
      <w:r w:rsidRPr="00C41C17">
        <w:t xml:space="preserve">Site level Star Ratings are publically released on </w:t>
      </w:r>
      <w:r>
        <w:t>these</w:t>
      </w:r>
      <w:r w:rsidRPr="00C41C17">
        <w:t xml:space="preserve"> websites</w:t>
      </w:r>
      <w:r>
        <w:t xml:space="preserve"> and other locations</w:t>
      </w:r>
      <w:r w:rsidRPr="00C41C17">
        <w:t>. Star Percentages are not published with this information.</w:t>
      </w:r>
    </w:p>
    <w:p w14:paraId="41DCCA1F" w14:textId="77777777" w:rsidR="00152B4F" w:rsidRPr="00D10D31" w:rsidRDefault="006F6048" w:rsidP="00152B4F">
      <w:pPr>
        <w:pStyle w:val="Default"/>
        <w:numPr>
          <w:ilvl w:val="0"/>
          <w:numId w:val="30"/>
        </w:numPr>
        <w:ind w:left="567" w:hanging="425"/>
        <w:rPr>
          <w:sz w:val="22"/>
          <w:szCs w:val="22"/>
        </w:rPr>
      </w:pPr>
      <w:hyperlink r:id="rId21" w:history="1">
        <w:r w:rsidR="00152B4F" w:rsidRPr="00D10D31">
          <w:rPr>
            <w:rStyle w:val="Hyperlink"/>
            <w:sz w:val="22"/>
            <w:szCs w:val="22"/>
          </w:rPr>
          <w:t>Australian Job Search</w:t>
        </w:r>
      </w:hyperlink>
    </w:p>
    <w:p w14:paraId="4E42CE98" w14:textId="77777777" w:rsidR="00152B4F" w:rsidRPr="00C41C17" w:rsidRDefault="006F6048" w:rsidP="00152B4F">
      <w:pPr>
        <w:pStyle w:val="Default"/>
        <w:numPr>
          <w:ilvl w:val="0"/>
          <w:numId w:val="30"/>
        </w:numPr>
        <w:ind w:left="567" w:hanging="425"/>
        <w:rPr>
          <w:rStyle w:val="Hyperlink"/>
          <w:sz w:val="22"/>
          <w:szCs w:val="22"/>
        </w:rPr>
      </w:pPr>
      <w:hyperlink r:id="rId22" w:history="1">
        <w:r w:rsidR="00152B4F">
          <w:rPr>
            <w:rStyle w:val="Hyperlink"/>
            <w:sz w:val="22"/>
            <w:szCs w:val="22"/>
          </w:rPr>
          <w:t>Job</w:t>
        </w:r>
        <w:r w:rsidR="00152B4F" w:rsidRPr="00323C77">
          <w:rPr>
            <w:rStyle w:val="Hyperlink"/>
            <w:sz w:val="22"/>
            <w:szCs w:val="22"/>
          </w:rPr>
          <w:t>Access</w:t>
        </w:r>
      </w:hyperlink>
    </w:p>
    <w:p w14:paraId="73FC740F" w14:textId="77777777" w:rsidR="00152B4F" w:rsidRPr="002F5802" w:rsidRDefault="00152B4F" w:rsidP="00152B4F">
      <w:pPr>
        <w:pStyle w:val="ListParagraph"/>
        <w:numPr>
          <w:ilvl w:val="0"/>
          <w:numId w:val="43"/>
        </w:numPr>
        <w:ind w:left="574" w:hanging="432"/>
        <w:rPr>
          <w:szCs w:val="22"/>
        </w:rPr>
      </w:pPr>
      <w:r w:rsidRPr="00C41C17">
        <w:t xml:space="preserve">Available to the </w:t>
      </w:r>
      <w:r>
        <w:t>Services Australia/Centrelink</w:t>
      </w:r>
      <w:r w:rsidRPr="00C41C17">
        <w:t xml:space="preserve"> for the referral process</w:t>
      </w:r>
    </w:p>
    <w:p w14:paraId="36FD514C" w14:textId="77777777" w:rsidR="00152B4F" w:rsidRPr="00590228" w:rsidRDefault="00152B4F" w:rsidP="00152B4F">
      <w:pPr>
        <w:pStyle w:val="ListParagraph"/>
        <w:numPr>
          <w:ilvl w:val="0"/>
          <w:numId w:val="43"/>
        </w:numPr>
        <w:ind w:left="574" w:hanging="432"/>
        <w:rPr>
          <w:szCs w:val="22"/>
        </w:rPr>
      </w:pPr>
      <w:r>
        <w:t>Transfer screen in ESSWeb</w:t>
      </w:r>
    </w:p>
    <w:p w14:paraId="2F248F2D" w14:textId="77777777" w:rsidR="00152B4F" w:rsidRDefault="00152B4F" w:rsidP="00152B4F">
      <w:pPr>
        <w:pStyle w:val="Default"/>
        <w:rPr>
          <w:sz w:val="22"/>
          <w:szCs w:val="22"/>
        </w:rPr>
      </w:pPr>
    </w:p>
    <w:p w14:paraId="28957E87" w14:textId="77777777" w:rsidR="00152B4F" w:rsidRPr="00C41C17" w:rsidRDefault="00152B4F" w:rsidP="00152B4F">
      <w:pPr>
        <w:pStyle w:val="Default"/>
        <w:rPr>
          <w:sz w:val="22"/>
          <w:szCs w:val="22"/>
        </w:rPr>
      </w:pPr>
      <w:r>
        <w:rPr>
          <w:sz w:val="22"/>
          <w:szCs w:val="22"/>
        </w:rPr>
        <w:t>All Site and Contract level Star Ratings and Star Percentages are published in the following locations.</w:t>
      </w:r>
    </w:p>
    <w:p w14:paraId="0A23B7F8" w14:textId="77777777" w:rsidR="00152B4F" w:rsidRDefault="00152B4F" w:rsidP="00152B4F">
      <w:pPr>
        <w:pStyle w:val="Default"/>
      </w:pPr>
    </w:p>
    <w:p w14:paraId="17555E0B" w14:textId="77777777" w:rsidR="00152B4F" w:rsidRPr="002F5802" w:rsidRDefault="00152B4F" w:rsidP="00152B4F">
      <w:pPr>
        <w:pStyle w:val="Default"/>
        <w:numPr>
          <w:ilvl w:val="0"/>
          <w:numId w:val="30"/>
        </w:numPr>
        <w:ind w:left="567" w:hanging="425"/>
        <w:rPr>
          <w:rStyle w:val="Hyperlink"/>
          <w:color w:val="auto"/>
          <w:sz w:val="22"/>
        </w:rPr>
      </w:pPr>
      <w:r w:rsidRPr="002F5802">
        <w:rPr>
          <w:rStyle w:val="Hyperlink"/>
          <w:color w:val="auto"/>
          <w:sz w:val="22"/>
          <w:szCs w:val="22"/>
        </w:rPr>
        <w:t>DES Provider Portal</w:t>
      </w:r>
    </w:p>
    <w:p w14:paraId="41058145" w14:textId="77777777" w:rsidR="00152B4F" w:rsidRPr="0088584F" w:rsidRDefault="006F6048" w:rsidP="00152B4F">
      <w:pPr>
        <w:pStyle w:val="Default"/>
        <w:numPr>
          <w:ilvl w:val="0"/>
          <w:numId w:val="30"/>
        </w:numPr>
        <w:ind w:left="567" w:hanging="425"/>
        <w:rPr>
          <w:rStyle w:val="Hyperlink"/>
          <w:color w:val="auto"/>
          <w:sz w:val="22"/>
          <w:szCs w:val="22"/>
        </w:rPr>
      </w:pPr>
      <w:hyperlink r:id="rId23" w:history="1">
        <w:r w:rsidR="00152B4F" w:rsidRPr="0088584F">
          <w:rPr>
            <w:rStyle w:val="Hyperlink"/>
            <w:sz w:val="22"/>
            <w:szCs w:val="22"/>
          </w:rPr>
          <w:t xml:space="preserve">Department of </w:t>
        </w:r>
        <w:r w:rsidR="00152B4F">
          <w:rPr>
            <w:rStyle w:val="Hyperlink"/>
            <w:sz w:val="22"/>
            <w:szCs w:val="22"/>
          </w:rPr>
          <w:t xml:space="preserve">Social Services </w:t>
        </w:r>
        <w:r w:rsidR="00152B4F" w:rsidRPr="0088584F">
          <w:rPr>
            <w:rStyle w:val="Hyperlink"/>
            <w:sz w:val="22"/>
            <w:szCs w:val="22"/>
          </w:rPr>
          <w:t>website</w:t>
        </w:r>
      </w:hyperlink>
    </w:p>
    <w:p w14:paraId="0B3D1387" w14:textId="77777777" w:rsidR="00152B4F" w:rsidRPr="0088584F" w:rsidRDefault="006F6048" w:rsidP="00152B4F">
      <w:pPr>
        <w:pStyle w:val="Default"/>
        <w:numPr>
          <w:ilvl w:val="0"/>
          <w:numId w:val="30"/>
        </w:numPr>
        <w:ind w:left="567" w:hanging="425"/>
        <w:rPr>
          <w:rStyle w:val="Hyperlink"/>
          <w:color w:val="auto"/>
          <w:sz w:val="22"/>
        </w:rPr>
      </w:pPr>
      <w:hyperlink r:id="rId24" w:history="1">
        <w:r w:rsidR="00152B4F" w:rsidRPr="0088584F">
          <w:rPr>
            <w:rStyle w:val="Hyperlink"/>
            <w:sz w:val="22"/>
            <w:szCs w:val="22"/>
          </w:rPr>
          <w:t>Data.gov.au</w:t>
        </w:r>
      </w:hyperlink>
    </w:p>
    <w:p w14:paraId="4122E541" w14:textId="77777777" w:rsidR="00152B4F" w:rsidRPr="0088584F" w:rsidRDefault="00152B4F" w:rsidP="00152B4F">
      <w:pPr>
        <w:pStyle w:val="Default"/>
        <w:rPr>
          <w:rStyle w:val="Hyperlink"/>
          <w:color w:val="auto"/>
          <w:sz w:val="22"/>
        </w:rPr>
      </w:pPr>
    </w:p>
    <w:p w14:paraId="72C1C5D4" w14:textId="77777777" w:rsidR="00152B4F" w:rsidRDefault="00152B4F" w:rsidP="00152B4F">
      <w:pPr>
        <w:pStyle w:val="Heading3"/>
      </w:pPr>
      <w:bookmarkStart w:id="56" w:name="_Toc47098288"/>
      <w:r>
        <w:t>DES provider level Star Ratings</w:t>
      </w:r>
      <w:bookmarkEnd w:id="56"/>
    </w:p>
    <w:p w14:paraId="0ECF4058" w14:textId="77777777" w:rsidR="00152B4F" w:rsidRDefault="00152B4F" w:rsidP="00152B4F">
      <w:pPr>
        <w:rPr>
          <w:szCs w:val="22"/>
        </w:rPr>
      </w:pPr>
      <w:r>
        <w:rPr>
          <w:szCs w:val="22"/>
        </w:rPr>
        <w:t>DES Provider level Star Ratings (by DES program) will be calculated and distributed to DES Providers. In addition, they will be published in the same locations and the Site and Contract level Star Ratings and Star Percentage. Both organisation Star Ratings and Star Percentages will be published.</w:t>
      </w:r>
    </w:p>
    <w:p w14:paraId="3FE419DB" w14:textId="77777777" w:rsidR="00152B4F" w:rsidRDefault="00152B4F" w:rsidP="00152B4F">
      <w:pPr>
        <w:rPr>
          <w:szCs w:val="22"/>
        </w:rPr>
      </w:pPr>
    </w:p>
    <w:p w14:paraId="2CC0AEA4" w14:textId="77777777" w:rsidR="00152B4F" w:rsidRDefault="00152B4F" w:rsidP="00152B4F">
      <w:pPr>
        <w:pStyle w:val="Heading3"/>
      </w:pPr>
      <w:bookmarkStart w:id="57" w:name="_Toc47098289"/>
      <w:r>
        <w:t>DES Site publishing arrangements</w:t>
      </w:r>
      <w:bookmarkEnd w:id="57"/>
    </w:p>
    <w:p w14:paraId="76F89960" w14:textId="77777777" w:rsidR="00152B4F" w:rsidRDefault="00152B4F" w:rsidP="00152B4F">
      <w:pPr>
        <w:rPr>
          <w:szCs w:val="22"/>
        </w:rPr>
      </w:pPr>
      <w:r>
        <w:rPr>
          <w:szCs w:val="22"/>
        </w:rPr>
        <w:t>Where a DES Site has insufficient data in their own right, the Contract level Star Rating for that Site will be substituted for the purposes of the public release (if available). For example, if the Contract level rating is 4-Stars and one of the Sites linked to that Contract has Insufficient Data in its own right then the 4-Star result will be published.</w:t>
      </w:r>
    </w:p>
    <w:p w14:paraId="3A20E2E0" w14:textId="77777777" w:rsidR="00152B4F" w:rsidRDefault="00152B4F" w:rsidP="00152B4F">
      <w:pPr>
        <w:rPr>
          <w:szCs w:val="22"/>
        </w:rPr>
      </w:pPr>
    </w:p>
    <w:p w14:paraId="1AAC6D8A" w14:textId="77777777" w:rsidR="00152B4F" w:rsidRPr="00641C8B" w:rsidRDefault="00152B4F" w:rsidP="00152B4F">
      <w:pPr>
        <w:rPr>
          <w:rFonts w:ascii="Calibri" w:hAnsi="Calibri" w:cs="Calibri"/>
          <w:color w:val="000000"/>
          <w:lang w:eastAsia="en-AU"/>
        </w:rPr>
      </w:pPr>
      <w:r w:rsidRPr="00641C8B">
        <w:rPr>
          <w:lang w:eastAsia="en-AU"/>
        </w:rPr>
        <w:t>Where a DES Site receives insufficient data for the first time, the previous Star Ratings are used</w:t>
      </w:r>
      <w:r>
        <w:rPr>
          <w:lang w:eastAsia="en-AU"/>
        </w:rPr>
        <w:t xml:space="preserve">.  </w:t>
      </w:r>
      <w:r w:rsidRPr="00C41C17">
        <w:rPr>
          <w:szCs w:val="22"/>
        </w:rPr>
        <w:t xml:space="preserve">Some Contracts or Sites may have insufficient data to receive a Star Rating. If a Contract or Site is not issued with a Star Rating this does not signal poor performance.  </w:t>
      </w:r>
      <w:r w:rsidRPr="00C41C17">
        <w:t>Where a Site has insufficient data for a Site level Star Rating, its performance data still contributes to the overall Contract level Star Rating.</w:t>
      </w:r>
    </w:p>
    <w:p w14:paraId="63F30984" w14:textId="77777777" w:rsidR="00152B4F" w:rsidRDefault="00152B4F" w:rsidP="00152B4F">
      <w:pPr>
        <w:rPr>
          <w:szCs w:val="22"/>
        </w:rPr>
      </w:pPr>
    </w:p>
    <w:p w14:paraId="7DC10A9B" w14:textId="77777777" w:rsidR="00152B4F" w:rsidRDefault="00152B4F" w:rsidP="00152B4F">
      <w:pPr>
        <w:rPr>
          <w:szCs w:val="22"/>
        </w:rPr>
      </w:pPr>
      <w:r>
        <w:rPr>
          <w:szCs w:val="22"/>
        </w:rPr>
        <w:t>Where a DES Site has been operating for less than twelve months but the Contract had been operating for more than 12 months, the Contract level Star Rating for the Site will be substituted for the purposed of the public release (if available). If the Contract has been operating for less than twelve months then Insufficient Data will be displayed for both the Contract and Site (as applicable).</w:t>
      </w:r>
      <w:bookmarkStart w:id="58" w:name="_Toc413246190"/>
    </w:p>
    <w:p w14:paraId="71C0CD99" w14:textId="77777777" w:rsidR="00152B4F" w:rsidRDefault="00152B4F" w:rsidP="00152B4F">
      <w:pPr>
        <w:rPr>
          <w:rFonts w:ascii="Calibri" w:hAnsi="Calibri" w:cs="Arial"/>
          <w:b/>
          <w:bCs/>
          <w:sz w:val="24"/>
          <w:szCs w:val="26"/>
          <w:lang w:eastAsia="en-AU"/>
        </w:rPr>
      </w:pPr>
    </w:p>
    <w:p w14:paraId="0C9C5900" w14:textId="77777777" w:rsidR="00152B4F" w:rsidRPr="00E7099F" w:rsidRDefault="00152B4F" w:rsidP="00152B4F">
      <w:pPr>
        <w:pStyle w:val="Heading2"/>
        <w:rPr>
          <w:color w:val="C00000"/>
          <w:u w:val="single"/>
        </w:rPr>
      </w:pPr>
      <w:bookmarkStart w:id="59" w:name="_Toc47098290"/>
      <w:r w:rsidRPr="006320B3">
        <w:t>DES performance reports</w:t>
      </w:r>
      <w:bookmarkEnd w:id="58"/>
      <w:bookmarkEnd w:id="59"/>
      <w:r w:rsidRPr="006320B3">
        <w:t xml:space="preserve"> </w:t>
      </w:r>
    </w:p>
    <w:p w14:paraId="650F168F" w14:textId="77777777" w:rsidR="00152B4F" w:rsidRPr="000202C2" w:rsidRDefault="00152B4F" w:rsidP="00152B4F">
      <w:pPr>
        <w:rPr>
          <w:szCs w:val="22"/>
        </w:rPr>
      </w:pPr>
      <w:r w:rsidRPr="000202C2">
        <w:rPr>
          <w:szCs w:val="22"/>
        </w:rPr>
        <w:t xml:space="preserve">DES Star Rating related performance reports in Table </w:t>
      </w:r>
      <w:r>
        <w:rPr>
          <w:szCs w:val="22"/>
        </w:rPr>
        <w:t>eight</w:t>
      </w:r>
      <w:r w:rsidRPr="000202C2">
        <w:rPr>
          <w:szCs w:val="22"/>
        </w:rPr>
        <w:t xml:space="preserve"> are available in the Employment Services Reporting portal and are updated on a weekly and monthly basis (unless otherwise stated).</w:t>
      </w:r>
    </w:p>
    <w:p w14:paraId="0EE169AF" w14:textId="77777777" w:rsidR="00152B4F" w:rsidRPr="000202C2" w:rsidRDefault="00152B4F" w:rsidP="00152B4F">
      <w:pPr>
        <w:pStyle w:val="TableText0"/>
        <w:spacing w:after="240"/>
      </w:pPr>
      <w:r w:rsidRPr="000202C2">
        <w:t xml:space="preserve">Table </w:t>
      </w:r>
      <w:r>
        <w:t>8</w:t>
      </w:r>
      <w:r w:rsidRPr="000202C2">
        <w:t>: 2018 DES Performance Reports</w:t>
      </w:r>
    </w:p>
    <w:tbl>
      <w:tblPr>
        <w:tblStyle w:val="TableGrid"/>
        <w:tblW w:w="0" w:type="auto"/>
        <w:tblLook w:val="04A0" w:firstRow="1" w:lastRow="0" w:firstColumn="1" w:lastColumn="0" w:noHBand="0" w:noVBand="1"/>
        <w:tblCaption w:val="2018 DES Performance Reports"/>
        <w:tblDescription w:val="This table shows the 2018 DES Performance reports that will be available for provider.  It shows the replacement report and which report they will be replacing and show the new reports that will be available."/>
      </w:tblPr>
      <w:tblGrid>
        <w:gridCol w:w="4815"/>
        <w:gridCol w:w="3481"/>
      </w:tblGrid>
      <w:tr w:rsidR="00152B4F" w:rsidRPr="000202C2" w14:paraId="486179AC" w14:textId="77777777" w:rsidTr="009039E0">
        <w:trPr>
          <w:cantSplit/>
          <w:tblHeader/>
        </w:trPr>
        <w:tc>
          <w:tcPr>
            <w:tcW w:w="4815" w:type="dxa"/>
            <w:vAlign w:val="center"/>
          </w:tcPr>
          <w:p w14:paraId="78A00A1B" w14:textId="77777777" w:rsidR="00152B4F" w:rsidRPr="000202C2" w:rsidRDefault="00152B4F" w:rsidP="009039E0">
            <w:pPr>
              <w:rPr>
                <w:b/>
              </w:rPr>
            </w:pPr>
            <w:r w:rsidRPr="000202C2">
              <w:rPr>
                <w:rFonts w:cs="Calibri"/>
                <w:b/>
                <w:bCs/>
                <w:szCs w:val="22"/>
              </w:rPr>
              <w:t>DES Performance Report Name</w:t>
            </w:r>
          </w:p>
        </w:tc>
        <w:tc>
          <w:tcPr>
            <w:tcW w:w="3481" w:type="dxa"/>
            <w:vAlign w:val="center"/>
          </w:tcPr>
          <w:p w14:paraId="2EB09C1B" w14:textId="77777777" w:rsidR="00152B4F" w:rsidRPr="000202C2" w:rsidRDefault="00152B4F" w:rsidP="009039E0">
            <w:pPr>
              <w:rPr>
                <w:b/>
              </w:rPr>
            </w:pPr>
            <w:r w:rsidRPr="000202C2">
              <w:rPr>
                <w:b/>
              </w:rPr>
              <w:t>NEW/Replacement</w:t>
            </w:r>
          </w:p>
        </w:tc>
      </w:tr>
      <w:tr w:rsidR="00152B4F" w:rsidRPr="000202C2" w14:paraId="2E4C82F5" w14:textId="77777777" w:rsidTr="009039E0">
        <w:trPr>
          <w:cantSplit/>
        </w:trPr>
        <w:tc>
          <w:tcPr>
            <w:tcW w:w="4815" w:type="dxa"/>
          </w:tcPr>
          <w:p w14:paraId="5E85885C" w14:textId="77777777" w:rsidR="00152B4F" w:rsidRPr="000202C2" w:rsidRDefault="00152B4F" w:rsidP="009039E0">
            <w:r>
              <w:rPr>
                <w:lang w:eastAsia="en-AU"/>
              </w:rPr>
              <w:t>SUB 368 – DES Outcome Rates 2018</w:t>
            </w:r>
          </w:p>
        </w:tc>
        <w:tc>
          <w:tcPr>
            <w:tcW w:w="3481" w:type="dxa"/>
          </w:tcPr>
          <w:p w14:paraId="43CD1933" w14:textId="77777777" w:rsidR="00152B4F" w:rsidRPr="000202C2" w:rsidRDefault="00152B4F" w:rsidP="009039E0">
            <w:r w:rsidRPr="000202C2">
              <w:t>Replaces DPER4</w:t>
            </w:r>
          </w:p>
        </w:tc>
      </w:tr>
      <w:tr w:rsidR="00152B4F" w:rsidRPr="000202C2" w14:paraId="1CFEF008" w14:textId="77777777" w:rsidTr="009039E0">
        <w:trPr>
          <w:cantSplit/>
        </w:trPr>
        <w:tc>
          <w:tcPr>
            <w:tcW w:w="4815" w:type="dxa"/>
          </w:tcPr>
          <w:p w14:paraId="4848CB24" w14:textId="77777777" w:rsidR="00152B4F" w:rsidRPr="000202C2" w:rsidRDefault="00152B4F" w:rsidP="009039E0">
            <w:r>
              <w:rPr>
                <w:lang w:eastAsia="en-AU"/>
              </w:rPr>
              <w:t>SUB367 – DES KPI Measures Outcome Counts 2018</w:t>
            </w:r>
          </w:p>
        </w:tc>
        <w:tc>
          <w:tcPr>
            <w:tcW w:w="3481" w:type="dxa"/>
          </w:tcPr>
          <w:p w14:paraId="2BA611A0" w14:textId="77777777" w:rsidR="00152B4F" w:rsidRPr="000202C2" w:rsidRDefault="00152B4F" w:rsidP="009039E0">
            <w:r w:rsidRPr="000202C2">
              <w:t>Replaces DPER3</w:t>
            </w:r>
          </w:p>
        </w:tc>
      </w:tr>
      <w:tr w:rsidR="00152B4F" w:rsidRPr="000202C2" w14:paraId="161F6AAD" w14:textId="77777777" w:rsidTr="009039E0">
        <w:trPr>
          <w:cantSplit/>
        </w:trPr>
        <w:tc>
          <w:tcPr>
            <w:tcW w:w="4815" w:type="dxa"/>
          </w:tcPr>
          <w:p w14:paraId="7B4B32A0" w14:textId="77777777" w:rsidR="00152B4F" w:rsidRPr="000202C2" w:rsidRDefault="00152B4F" w:rsidP="009039E0">
            <w:r>
              <w:rPr>
                <w:lang w:eastAsia="en-AU"/>
              </w:rPr>
              <w:t>SUB369 – DES KPI Measures Unit Level 2018</w:t>
            </w:r>
          </w:p>
        </w:tc>
        <w:tc>
          <w:tcPr>
            <w:tcW w:w="3481" w:type="dxa"/>
          </w:tcPr>
          <w:p w14:paraId="0EE22E85" w14:textId="77777777" w:rsidR="00152B4F" w:rsidRPr="000202C2" w:rsidRDefault="00152B4F" w:rsidP="009039E0">
            <w:r w:rsidRPr="000202C2">
              <w:t>Replaces Sub307</w:t>
            </w:r>
          </w:p>
        </w:tc>
      </w:tr>
      <w:tr w:rsidR="00152B4F" w:rsidRPr="000202C2" w14:paraId="60D07DA9" w14:textId="77777777" w:rsidTr="009039E0">
        <w:trPr>
          <w:cantSplit/>
        </w:trPr>
        <w:tc>
          <w:tcPr>
            <w:tcW w:w="4815" w:type="dxa"/>
          </w:tcPr>
          <w:p w14:paraId="4E4C37D4" w14:textId="77777777" w:rsidR="00152B4F" w:rsidRPr="000202C2" w:rsidRDefault="00152B4F" w:rsidP="009039E0">
            <w:r w:rsidRPr="000202C2">
              <w:rPr>
                <w:lang w:eastAsia="en-AU"/>
              </w:rPr>
              <w:t>DES Star Ratings additional data 2018</w:t>
            </w:r>
          </w:p>
        </w:tc>
        <w:tc>
          <w:tcPr>
            <w:tcW w:w="3481" w:type="dxa"/>
          </w:tcPr>
          <w:p w14:paraId="5D0696B5" w14:textId="77777777" w:rsidR="00152B4F" w:rsidRPr="000202C2" w:rsidRDefault="00152B4F" w:rsidP="009039E0">
            <w:r w:rsidRPr="000202C2">
              <w:rPr>
                <w:color w:val="C00000"/>
              </w:rPr>
              <w:t>NEW Report</w:t>
            </w:r>
          </w:p>
        </w:tc>
      </w:tr>
      <w:tr w:rsidR="00152B4F" w:rsidRPr="000202C2" w14:paraId="551BB1FE" w14:textId="77777777" w:rsidTr="009039E0">
        <w:trPr>
          <w:cantSplit/>
        </w:trPr>
        <w:tc>
          <w:tcPr>
            <w:tcW w:w="4815" w:type="dxa"/>
          </w:tcPr>
          <w:p w14:paraId="3971A96A" w14:textId="77777777" w:rsidR="00152B4F" w:rsidRPr="000202C2" w:rsidRDefault="00152B4F" w:rsidP="009039E0">
            <w:r w:rsidRPr="000202C2">
              <w:rPr>
                <w:lang w:eastAsia="en-AU"/>
              </w:rPr>
              <w:t>DES PM additional region summary 2018</w:t>
            </w:r>
          </w:p>
        </w:tc>
        <w:tc>
          <w:tcPr>
            <w:tcW w:w="3481" w:type="dxa"/>
          </w:tcPr>
          <w:p w14:paraId="587D2C5C" w14:textId="77777777" w:rsidR="00152B4F" w:rsidRPr="000202C2" w:rsidRDefault="00152B4F" w:rsidP="009039E0">
            <w:r w:rsidRPr="000202C2">
              <w:rPr>
                <w:color w:val="C00000"/>
              </w:rPr>
              <w:t>NEW Report</w:t>
            </w:r>
          </w:p>
        </w:tc>
      </w:tr>
      <w:tr w:rsidR="00152B4F" w:rsidRPr="000202C2" w14:paraId="34E3029A" w14:textId="77777777" w:rsidTr="009039E0">
        <w:trPr>
          <w:cantSplit/>
        </w:trPr>
        <w:tc>
          <w:tcPr>
            <w:tcW w:w="4815" w:type="dxa"/>
          </w:tcPr>
          <w:p w14:paraId="22883EAF" w14:textId="77777777" w:rsidR="00152B4F" w:rsidRPr="000202C2" w:rsidRDefault="00152B4F" w:rsidP="009039E0">
            <w:r w:rsidRPr="000202C2">
              <w:rPr>
                <w:lang w:eastAsia="en-AU"/>
              </w:rPr>
              <w:t>DES Overall Score 2018</w:t>
            </w:r>
          </w:p>
        </w:tc>
        <w:tc>
          <w:tcPr>
            <w:tcW w:w="3481" w:type="dxa"/>
          </w:tcPr>
          <w:p w14:paraId="5FD97825" w14:textId="77777777" w:rsidR="00152B4F" w:rsidRPr="000202C2" w:rsidRDefault="00152B4F" w:rsidP="009039E0">
            <w:r w:rsidRPr="000202C2">
              <w:rPr>
                <w:color w:val="C00000"/>
              </w:rPr>
              <w:t>NEW Report</w:t>
            </w:r>
          </w:p>
        </w:tc>
      </w:tr>
      <w:tr w:rsidR="00152B4F" w14:paraId="40FEAC67" w14:textId="77777777" w:rsidTr="009039E0">
        <w:trPr>
          <w:cantSplit/>
        </w:trPr>
        <w:tc>
          <w:tcPr>
            <w:tcW w:w="4815" w:type="dxa"/>
          </w:tcPr>
          <w:p w14:paraId="03E79BA6" w14:textId="77777777" w:rsidR="00152B4F" w:rsidRPr="000202C2" w:rsidRDefault="00152B4F" w:rsidP="009039E0">
            <w:pPr>
              <w:rPr>
                <w:lang w:eastAsia="en-AU"/>
              </w:rPr>
            </w:pPr>
            <w:r>
              <w:rPr>
                <w:lang w:eastAsia="en-AU"/>
              </w:rPr>
              <w:t>SUB409 – DES Star Ratings</w:t>
            </w:r>
          </w:p>
        </w:tc>
        <w:tc>
          <w:tcPr>
            <w:tcW w:w="3481" w:type="dxa"/>
          </w:tcPr>
          <w:p w14:paraId="674AF0A4" w14:textId="77777777" w:rsidR="00152B4F" w:rsidRDefault="00152B4F" w:rsidP="009039E0">
            <w:r w:rsidRPr="000202C2">
              <w:rPr>
                <w:color w:val="C00000"/>
              </w:rPr>
              <w:t>NEW Report</w:t>
            </w:r>
          </w:p>
        </w:tc>
      </w:tr>
    </w:tbl>
    <w:p w14:paraId="0528C9AF" w14:textId="77777777" w:rsidR="00152B4F" w:rsidRPr="000202C2" w:rsidRDefault="00152B4F" w:rsidP="00152B4F">
      <w:pPr>
        <w:rPr>
          <w:szCs w:val="22"/>
        </w:rPr>
      </w:pPr>
    </w:p>
    <w:p w14:paraId="08CDDF06" w14:textId="77777777" w:rsidR="00152B4F" w:rsidRPr="00B70C87" w:rsidRDefault="00152B4F" w:rsidP="00152B4F">
      <w:pPr>
        <w:pStyle w:val="Heading2"/>
      </w:pPr>
      <w:bookmarkStart w:id="60" w:name="_Toc413246191"/>
      <w:bookmarkStart w:id="61" w:name="_Toc47098291"/>
      <w:r>
        <w:t>Further information</w:t>
      </w:r>
      <w:bookmarkEnd w:id="60"/>
      <w:bookmarkEnd w:id="61"/>
    </w:p>
    <w:p w14:paraId="5CF18F3E" w14:textId="77777777" w:rsidR="00152B4F" w:rsidRPr="008848B4" w:rsidRDefault="00152B4F" w:rsidP="00152B4F">
      <w:pPr>
        <w:rPr>
          <w:szCs w:val="22"/>
        </w:rPr>
      </w:pPr>
      <w:r>
        <w:rPr>
          <w:szCs w:val="22"/>
        </w:rPr>
        <w:t xml:space="preserve">Recordings of relevant DES </w:t>
      </w:r>
      <w:r w:rsidRPr="008848B4">
        <w:rPr>
          <w:szCs w:val="22"/>
        </w:rPr>
        <w:t xml:space="preserve">Star Rating </w:t>
      </w:r>
      <w:r>
        <w:rPr>
          <w:szCs w:val="22"/>
        </w:rPr>
        <w:t>webinar</w:t>
      </w:r>
      <w:r w:rsidRPr="008848B4">
        <w:rPr>
          <w:szCs w:val="22"/>
        </w:rPr>
        <w:t xml:space="preserve"> presentations </w:t>
      </w:r>
      <w:r>
        <w:rPr>
          <w:szCs w:val="22"/>
        </w:rPr>
        <w:t>are available on the Learning </w:t>
      </w:r>
      <w:r w:rsidRPr="008848B4">
        <w:rPr>
          <w:szCs w:val="22"/>
        </w:rPr>
        <w:t>Centre</w:t>
      </w:r>
      <w:r>
        <w:rPr>
          <w:szCs w:val="22"/>
        </w:rPr>
        <w:t>, also listed below</w:t>
      </w:r>
      <w:r w:rsidRPr="008848B4">
        <w:rPr>
          <w:szCs w:val="22"/>
        </w:rPr>
        <w:t>. Additional explanatory documents are available on the Provider Portal:</w:t>
      </w:r>
    </w:p>
    <w:p w14:paraId="3A1121DA" w14:textId="77777777" w:rsidR="00152B4F" w:rsidRPr="008848B4" w:rsidRDefault="00152B4F" w:rsidP="00152B4F">
      <w:pPr>
        <w:pStyle w:val="ListParagraph"/>
        <w:numPr>
          <w:ilvl w:val="0"/>
          <w:numId w:val="20"/>
        </w:numPr>
        <w:rPr>
          <w:szCs w:val="22"/>
        </w:rPr>
      </w:pPr>
      <w:r>
        <w:rPr>
          <w:szCs w:val="22"/>
        </w:rPr>
        <w:t>2018 DES Star Ratings Transition Advice and</w:t>
      </w:r>
    </w:p>
    <w:p w14:paraId="3E4C8A5A" w14:textId="77777777" w:rsidR="00152B4F" w:rsidRPr="008848B4" w:rsidRDefault="00152B4F" w:rsidP="00152B4F">
      <w:pPr>
        <w:pStyle w:val="ListParagraph"/>
        <w:numPr>
          <w:ilvl w:val="0"/>
          <w:numId w:val="20"/>
        </w:numPr>
        <w:rPr>
          <w:szCs w:val="22"/>
        </w:rPr>
      </w:pPr>
      <w:r>
        <w:rPr>
          <w:szCs w:val="22"/>
        </w:rPr>
        <w:t xml:space="preserve">Employment Verification (Star Ratings) </w:t>
      </w:r>
      <w:r w:rsidRPr="008848B4">
        <w:rPr>
          <w:szCs w:val="22"/>
        </w:rPr>
        <w:t>Guidelines and Advice.</w:t>
      </w:r>
    </w:p>
    <w:p w14:paraId="19647697" w14:textId="77777777" w:rsidR="00152B4F" w:rsidRDefault="00152B4F" w:rsidP="00152B4F">
      <w:pPr>
        <w:rPr>
          <w:szCs w:val="22"/>
          <w:highlight w:val="green"/>
        </w:rPr>
      </w:pPr>
    </w:p>
    <w:p w14:paraId="3E2634CE" w14:textId="77777777" w:rsidR="00152B4F" w:rsidRPr="006320B3" w:rsidRDefault="00152B4F" w:rsidP="00152B4F">
      <w:pPr>
        <w:rPr>
          <w:color w:val="C00000"/>
          <w:szCs w:val="22"/>
          <w:u w:val="single"/>
        </w:rPr>
      </w:pPr>
      <w:r w:rsidRPr="008A3FA2">
        <w:rPr>
          <w:szCs w:val="22"/>
          <w:u w:val="single"/>
        </w:rPr>
        <w:t>Webinar presentations</w:t>
      </w:r>
      <w:r>
        <w:rPr>
          <w:szCs w:val="22"/>
          <w:u w:val="single"/>
        </w:rPr>
        <w:t xml:space="preserve"> posted on </w:t>
      </w:r>
      <w:r w:rsidRPr="00B20661">
        <w:t>the Learning Centre</w:t>
      </w:r>
      <w:r>
        <w:t xml:space="preserve"> </w:t>
      </w:r>
      <w:r>
        <w:rPr>
          <w:szCs w:val="22"/>
          <w:u w:val="single"/>
        </w:rPr>
        <w:t>site</w:t>
      </w:r>
    </w:p>
    <w:p w14:paraId="5AC49448" w14:textId="77777777" w:rsidR="00152B4F" w:rsidRPr="000202C2" w:rsidRDefault="00152B4F" w:rsidP="00152B4F">
      <w:pPr>
        <w:pStyle w:val="ListParagraph"/>
        <w:numPr>
          <w:ilvl w:val="0"/>
          <w:numId w:val="31"/>
        </w:numPr>
        <w:rPr>
          <w:szCs w:val="22"/>
        </w:rPr>
      </w:pPr>
      <w:r w:rsidRPr="000202C2">
        <w:rPr>
          <w:szCs w:val="22"/>
        </w:rPr>
        <w:t>2018 DES Star Ratings – part one (performance measures and calculations)</w:t>
      </w:r>
    </w:p>
    <w:p w14:paraId="42797901" w14:textId="77777777" w:rsidR="00152B4F" w:rsidRPr="000202C2" w:rsidRDefault="00152B4F" w:rsidP="00152B4F">
      <w:pPr>
        <w:pStyle w:val="ListParagraph"/>
        <w:numPr>
          <w:ilvl w:val="0"/>
          <w:numId w:val="31"/>
        </w:numPr>
        <w:rPr>
          <w:szCs w:val="22"/>
        </w:rPr>
      </w:pPr>
      <w:r w:rsidRPr="000202C2">
        <w:rPr>
          <w:szCs w:val="22"/>
        </w:rPr>
        <w:t>2018 DES Star Ratings – part two (transition to 2018 DES Star Ratings)</w:t>
      </w:r>
    </w:p>
    <w:p w14:paraId="4923F5F4" w14:textId="77777777" w:rsidR="00152B4F" w:rsidRPr="000202C2" w:rsidRDefault="00152B4F" w:rsidP="00152B4F">
      <w:pPr>
        <w:pStyle w:val="ListParagraph"/>
        <w:numPr>
          <w:ilvl w:val="0"/>
          <w:numId w:val="31"/>
        </w:numPr>
        <w:rPr>
          <w:szCs w:val="22"/>
        </w:rPr>
      </w:pPr>
      <w:r w:rsidRPr="000202C2">
        <w:rPr>
          <w:szCs w:val="22"/>
        </w:rPr>
        <w:t>2018 DES Star Ratings – a beginners guide</w:t>
      </w:r>
    </w:p>
    <w:p w14:paraId="039F5C46" w14:textId="77777777" w:rsidR="00152B4F" w:rsidRDefault="00152B4F" w:rsidP="00152B4F">
      <w:pPr>
        <w:rPr>
          <w:szCs w:val="22"/>
          <w:highlight w:val="yellow"/>
        </w:rPr>
      </w:pPr>
    </w:p>
    <w:p w14:paraId="13A3999D" w14:textId="77777777" w:rsidR="00152B4F" w:rsidRDefault="00152B4F" w:rsidP="00152B4F">
      <w:pPr>
        <w:rPr>
          <w:lang w:eastAsia="en-AU"/>
        </w:rPr>
      </w:pPr>
      <w:r>
        <w:rPr>
          <w:lang w:eastAsia="en-AU"/>
        </w:rPr>
        <w:br w:type="page"/>
      </w:r>
    </w:p>
    <w:p w14:paraId="0648C7A6" w14:textId="77777777" w:rsidR="00152B4F" w:rsidRPr="00AA6FAA" w:rsidRDefault="00152B4F" w:rsidP="00152B4F">
      <w:pPr>
        <w:pStyle w:val="Heading2"/>
        <w:spacing w:after="0"/>
        <w:jc w:val="right"/>
        <w:rPr>
          <w:sz w:val="28"/>
          <w:szCs w:val="28"/>
        </w:rPr>
      </w:pPr>
      <w:bookmarkStart w:id="62" w:name="_Toc348440487"/>
      <w:bookmarkStart w:id="63" w:name="_Toc413246192"/>
      <w:bookmarkStart w:id="64" w:name="_Toc47098292"/>
      <w:r w:rsidRPr="00AA6FAA">
        <w:rPr>
          <w:sz w:val="28"/>
          <w:szCs w:val="28"/>
        </w:rPr>
        <w:t xml:space="preserve">ATTACHMENT </w:t>
      </w:r>
      <w:bookmarkEnd w:id="62"/>
      <w:r w:rsidRPr="00AA6FAA">
        <w:rPr>
          <w:sz w:val="28"/>
          <w:szCs w:val="28"/>
        </w:rPr>
        <w:t>A</w:t>
      </w:r>
      <w:bookmarkEnd w:id="63"/>
      <w:bookmarkEnd w:id="64"/>
    </w:p>
    <w:p w14:paraId="311FD3D8" w14:textId="77777777" w:rsidR="00152B4F" w:rsidRPr="00A01C61" w:rsidRDefault="00152B4F" w:rsidP="00152B4F">
      <w:pPr>
        <w:rPr>
          <w:szCs w:val="22"/>
        </w:rPr>
      </w:pPr>
      <w:bookmarkStart w:id="65" w:name="_Toc348434679"/>
      <w:bookmarkStart w:id="66" w:name="_Toc348439637"/>
      <w:bookmarkStart w:id="67" w:name="_Toc348440362"/>
      <w:r w:rsidRPr="00A01C61">
        <w:rPr>
          <w:szCs w:val="22"/>
        </w:rPr>
        <w:t xml:space="preserve">The following explains how </w:t>
      </w:r>
      <w:r>
        <w:rPr>
          <w:szCs w:val="22"/>
        </w:rPr>
        <w:t>Participant</w:t>
      </w:r>
      <w:r w:rsidRPr="00A01C61">
        <w:rPr>
          <w:szCs w:val="22"/>
        </w:rPr>
        <w:t>s will be accounted for in the calculation of the Star Ratings if they transfer between:</w:t>
      </w:r>
    </w:p>
    <w:p w14:paraId="2D0EC336" w14:textId="77777777" w:rsidR="00152B4F" w:rsidRPr="00A01C61" w:rsidRDefault="00152B4F" w:rsidP="00152B4F">
      <w:pPr>
        <w:rPr>
          <w:szCs w:val="22"/>
        </w:rPr>
      </w:pPr>
    </w:p>
    <w:p w14:paraId="2A63BBDF" w14:textId="77777777" w:rsidR="00152B4F" w:rsidRPr="00A01C61" w:rsidRDefault="00152B4F" w:rsidP="00152B4F">
      <w:pPr>
        <w:numPr>
          <w:ilvl w:val="0"/>
          <w:numId w:val="35"/>
        </w:numPr>
        <w:rPr>
          <w:szCs w:val="22"/>
        </w:rPr>
      </w:pPr>
      <w:r w:rsidRPr="00A01C61">
        <w:rPr>
          <w:szCs w:val="22"/>
        </w:rPr>
        <w:t xml:space="preserve">Sites </w:t>
      </w:r>
    </w:p>
    <w:p w14:paraId="4F2B17E7" w14:textId="77777777" w:rsidR="00152B4F" w:rsidRPr="00A01C61" w:rsidRDefault="00152B4F" w:rsidP="00152B4F">
      <w:pPr>
        <w:numPr>
          <w:ilvl w:val="0"/>
          <w:numId w:val="35"/>
        </w:numPr>
        <w:rPr>
          <w:szCs w:val="22"/>
        </w:rPr>
      </w:pPr>
      <w:r w:rsidRPr="00A01C61">
        <w:rPr>
          <w:szCs w:val="22"/>
        </w:rPr>
        <w:t>Contracts (</w:t>
      </w:r>
      <w:r w:rsidRPr="00546E04">
        <w:rPr>
          <w:szCs w:val="22"/>
        </w:rPr>
        <w:t>i.e.</w:t>
      </w:r>
      <w:r w:rsidRPr="00A01C61">
        <w:rPr>
          <w:szCs w:val="22"/>
        </w:rPr>
        <w:t xml:space="preserve"> transfer specialisation or ESA)</w:t>
      </w:r>
    </w:p>
    <w:p w14:paraId="4340D41B" w14:textId="77777777" w:rsidR="00152B4F" w:rsidRPr="00A01C61" w:rsidRDefault="00152B4F" w:rsidP="00152B4F">
      <w:pPr>
        <w:numPr>
          <w:ilvl w:val="0"/>
          <w:numId w:val="35"/>
        </w:numPr>
        <w:rPr>
          <w:szCs w:val="22"/>
        </w:rPr>
      </w:pPr>
      <w:r w:rsidRPr="00A01C61">
        <w:rPr>
          <w:szCs w:val="22"/>
        </w:rPr>
        <w:t xml:space="preserve">DES </w:t>
      </w:r>
      <w:r>
        <w:rPr>
          <w:szCs w:val="22"/>
        </w:rPr>
        <w:t>program</w:t>
      </w:r>
      <w:r w:rsidRPr="00A01C61">
        <w:rPr>
          <w:szCs w:val="22"/>
        </w:rPr>
        <w:t>s (from DMS to ESS or vice versa).</w:t>
      </w:r>
    </w:p>
    <w:p w14:paraId="2915EBD2" w14:textId="77777777" w:rsidR="00152B4F" w:rsidRPr="00A01C61" w:rsidRDefault="00152B4F" w:rsidP="00152B4F">
      <w:pPr>
        <w:rPr>
          <w:szCs w:val="22"/>
        </w:rPr>
      </w:pPr>
    </w:p>
    <w:p w14:paraId="4904B33A" w14:textId="77777777" w:rsidR="00152B4F" w:rsidRDefault="00152B4F" w:rsidP="00152B4F">
      <w:pPr>
        <w:spacing w:after="240"/>
        <w:rPr>
          <w:szCs w:val="22"/>
        </w:rPr>
      </w:pPr>
      <w:r w:rsidRPr="00A01C61">
        <w:rPr>
          <w:szCs w:val="22"/>
        </w:rPr>
        <w:t xml:space="preserve">There are </w:t>
      </w:r>
      <w:r>
        <w:rPr>
          <w:szCs w:val="22"/>
        </w:rPr>
        <w:t>two</w:t>
      </w:r>
      <w:r w:rsidRPr="00A01C61">
        <w:rPr>
          <w:szCs w:val="22"/>
        </w:rPr>
        <w:t xml:space="preserve"> overarching transfer rules that apply to all of the performance measures. Each of the performance measures then also has individual transfer rules for the calculation of numerators, denominators and the time in assistance control variables.</w:t>
      </w:r>
    </w:p>
    <w:p w14:paraId="545C8D0A" w14:textId="77777777" w:rsidR="00152B4F" w:rsidRPr="00A01C61" w:rsidRDefault="00152B4F" w:rsidP="00152B4F">
      <w:pPr>
        <w:pStyle w:val="Heading3"/>
      </w:pPr>
      <w:bookmarkStart w:id="68" w:name="_Toc47098293"/>
      <w:r w:rsidRPr="00A01C61">
        <w:t>Overarching Rules</w:t>
      </w:r>
      <w:bookmarkEnd w:id="68"/>
    </w:p>
    <w:p w14:paraId="7D9B91B8" w14:textId="77777777" w:rsidR="00152B4F" w:rsidRPr="00A01C61" w:rsidRDefault="00152B4F" w:rsidP="00152B4F">
      <w:pPr>
        <w:pStyle w:val="ListParagraph"/>
        <w:numPr>
          <w:ilvl w:val="0"/>
          <w:numId w:val="36"/>
        </w:numPr>
        <w:rPr>
          <w:b/>
          <w:szCs w:val="22"/>
        </w:rPr>
      </w:pPr>
      <w:r w:rsidRPr="00A01C61">
        <w:rPr>
          <w:szCs w:val="22"/>
        </w:rPr>
        <w:t xml:space="preserve">A </w:t>
      </w:r>
      <w:r>
        <w:rPr>
          <w:szCs w:val="22"/>
        </w:rPr>
        <w:t>Participant</w:t>
      </w:r>
      <w:r w:rsidRPr="00A01C61">
        <w:rPr>
          <w:szCs w:val="22"/>
        </w:rPr>
        <w:t xml:space="preserve"> will be included</w:t>
      </w:r>
      <w:r>
        <w:rPr>
          <w:szCs w:val="22"/>
        </w:rPr>
        <w:t xml:space="preserve"> in the numerator</w:t>
      </w:r>
      <w:r w:rsidRPr="00A01C61">
        <w:rPr>
          <w:szCs w:val="22"/>
        </w:rPr>
        <w:t xml:space="preserve"> at a</w:t>
      </w:r>
      <w:r w:rsidRPr="00546E04">
        <w:rPr>
          <w:szCs w:val="22"/>
        </w:rPr>
        <w:t xml:space="preserve"> </w:t>
      </w:r>
      <w:r>
        <w:rPr>
          <w:szCs w:val="22"/>
        </w:rPr>
        <w:t>S</w:t>
      </w:r>
      <w:r w:rsidRPr="00A01C61">
        <w:rPr>
          <w:szCs w:val="22"/>
        </w:rPr>
        <w:t xml:space="preserve">ite where the </w:t>
      </w:r>
      <w:r>
        <w:rPr>
          <w:szCs w:val="22"/>
        </w:rPr>
        <w:t xml:space="preserve">eligible </w:t>
      </w:r>
      <w:r w:rsidRPr="00A01C61">
        <w:rPr>
          <w:szCs w:val="22"/>
        </w:rPr>
        <w:t>outcome was lodged</w:t>
      </w:r>
      <w:r>
        <w:rPr>
          <w:szCs w:val="22"/>
        </w:rPr>
        <w:t>.</w:t>
      </w:r>
    </w:p>
    <w:p w14:paraId="54323EEC" w14:textId="77777777" w:rsidR="00152B4F" w:rsidRPr="00196C8C" w:rsidRDefault="00152B4F" w:rsidP="00152B4F">
      <w:pPr>
        <w:pStyle w:val="ListParagraph"/>
        <w:numPr>
          <w:ilvl w:val="0"/>
          <w:numId w:val="36"/>
        </w:numPr>
        <w:rPr>
          <w:b/>
          <w:szCs w:val="22"/>
        </w:rPr>
      </w:pPr>
      <w:r w:rsidRPr="0035067B">
        <w:rPr>
          <w:szCs w:val="22"/>
        </w:rPr>
        <w:t>A Participant will not be included in the denominator of a Site if they have already achieved the relevant Outcome at a previous Site with the same organisation (in the same unique period of assistance).</w:t>
      </w:r>
    </w:p>
    <w:p w14:paraId="26A4BFF9" w14:textId="77777777" w:rsidR="00152B4F" w:rsidRPr="0035067B" w:rsidRDefault="00152B4F" w:rsidP="00152B4F">
      <w:pPr>
        <w:pStyle w:val="ListParagraph"/>
        <w:numPr>
          <w:ilvl w:val="0"/>
          <w:numId w:val="36"/>
        </w:numPr>
        <w:rPr>
          <w:b/>
          <w:szCs w:val="22"/>
        </w:rPr>
      </w:pPr>
      <w:r>
        <w:rPr>
          <w:szCs w:val="22"/>
        </w:rPr>
        <w:t>A Participant who is transferred between Sites within the same Contract, will only be counted once in the applicable denominator at the Contract level.</w:t>
      </w:r>
    </w:p>
    <w:p w14:paraId="19657DF0" w14:textId="77777777" w:rsidR="00152B4F" w:rsidRPr="0035067B" w:rsidRDefault="00152B4F" w:rsidP="00152B4F">
      <w:pPr>
        <w:pStyle w:val="ListParagraph"/>
        <w:rPr>
          <w:b/>
          <w:szCs w:val="22"/>
        </w:rPr>
      </w:pPr>
    </w:p>
    <w:p w14:paraId="659D28CB" w14:textId="77777777" w:rsidR="00152B4F" w:rsidRPr="00C6130E" w:rsidRDefault="00152B4F" w:rsidP="00152B4F">
      <w:pPr>
        <w:pStyle w:val="Heading3"/>
      </w:pPr>
      <w:bookmarkStart w:id="69" w:name="_Toc47098294"/>
      <w:r w:rsidRPr="00C6130E">
        <w:t>Performance Measure Denominator Rules</w:t>
      </w:r>
      <w:bookmarkEnd w:id="69"/>
    </w:p>
    <w:p w14:paraId="5932CDF5" w14:textId="77777777" w:rsidR="00152B4F" w:rsidRPr="00C6130E" w:rsidRDefault="00152B4F" w:rsidP="00152B4F">
      <w:pPr>
        <w:pStyle w:val="Heading5"/>
        <w:spacing w:before="0"/>
        <w:rPr>
          <w:b w:val="0"/>
          <w:u w:val="single"/>
        </w:rPr>
      </w:pPr>
      <w:r w:rsidRPr="00C6130E">
        <w:rPr>
          <w:b w:val="0"/>
          <w:u w:val="single"/>
        </w:rPr>
        <w:t>Full and Pathway Outcome Performanc</w:t>
      </w:r>
      <w:r>
        <w:rPr>
          <w:b w:val="0"/>
          <w:u w:val="single"/>
        </w:rPr>
        <w:t>e Measures</w:t>
      </w:r>
    </w:p>
    <w:p w14:paraId="0D142485" w14:textId="77777777" w:rsidR="00152B4F" w:rsidRPr="00A01C61" w:rsidRDefault="00152B4F" w:rsidP="00152B4F">
      <w:pPr>
        <w:rPr>
          <w:szCs w:val="22"/>
        </w:rPr>
      </w:pPr>
      <w:r w:rsidRPr="00A01C61">
        <w:rPr>
          <w:szCs w:val="22"/>
        </w:rPr>
        <w:t xml:space="preserve">A </w:t>
      </w:r>
      <w:r>
        <w:rPr>
          <w:szCs w:val="22"/>
        </w:rPr>
        <w:t>Participant</w:t>
      </w:r>
      <w:r w:rsidRPr="00A01C61">
        <w:rPr>
          <w:szCs w:val="22"/>
        </w:rPr>
        <w:t xml:space="preserve"> will be included in the </w:t>
      </w:r>
      <w:r w:rsidRPr="00546E04">
        <w:rPr>
          <w:szCs w:val="22"/>
        </w:rPr>
        <w:t xml:space="preserve">denominator for a </w:t>
      </w:r>
      <w:r>
        <w:rPr>
          <w:szCs w:val="22"/>
        </w:rPr>
        <w:t>S</w:t>
      </w:r>
      <w:r w:rsidRPr="00A01C61">
        <w:rPr>
          <w:szCs w:val="22"/>
        </w:rPr>
        <w:t>ite where their duration in a</w:t>
      </w:r>
      <w:r w:rsidRPr="00546E04">
        <w:rPr>
          <w:szCs w:val="22"/>
        </w:rPr>
        <w:t xml:space="preserve">ssistance in EA and PPS at the </w:t>
      </w:r>
      <w:r>
        <w:rPr>
          <w:szCs w:val="22"/>
        </w:rPr>
        <w:t>S</w:t>
      </w:r>
      <w:r w:rsidRPr="00A01C61">
        <w:rPr>
          <w:szCs w:val="22"/>
        </w:rPr>
        <w:t xml:space="preserve">ite is 13 </w:t>
      </w:r>
      <w:r>
        <w:rPr>
          <w:szCs w:val="22"/>
        </w:rPr>
        <w:t>week</w:t>
      </w:r>
      <w:r w:rsidRPr="00A01C61">
        <w:rPr>
          <w:szCs w:val="22"/>
        </w:rPr>
        <w:t xml:space="preserve">s </w:t>
      </w:r>
      <w:r>
        <w:rPr>
          <w:szCs w:val="22"/>
        </w:rPr>
        <w:t xml:space="preserve">(excluding periods of suspensions) </w:t>
      </w:r>
      <w:r w:rsidRPr="00A01C61">
        <w:rPr>
          <w:szCs w:val="22"/>
        </w:rPr>
        <w:t>for a 13</w:t>
      </w:r>
      <w:r>
        <w:rPr>
          <w:szCs w:val="22"/>
        </w:rPr>
        <w:t> Week</w:t>
      </w:r>
      <w:r w:rsidRPr="00A01C61">
        <w:rPr>
          <w:szCs w:val="22"/>
        </w:rPr>
        <w:t xml:space="preserve"> </w:t>
      </w:r>
      <w:r>
        <w:rPr>
          <w:szCs w:val="22"/>
        </w:rPr>
        <w:t xml:space="preserve">Full </w:t>
      </w:r>
      <w:r w:rsidRPr="00A01C61">
        <w:rPr>
          <w:szCs w:val="22"/>
        </w:rPr>
        <w:t>outcome</w:t>
      </w:r>
      <w:r w:rsidRPr="00E625BB">
        <w:rPr>
          <w:szCs w:val="22"/>
        </w:rPr>
        <w:t>,  26 weeks for a 26 Week Full or Pathway outcome or a 52 weeks for a 52 Week Full or Pathway outcome performance</w:t>
      </w:r>
      <w:r>
        <w:rPr>
          <w:szCs w:val="22"/>
        </w:rPr>
        <w:t xml:space="preserve"> measures</w:t>
      </w:r>
      <w:r w:rsidRPr="00A01C61">
        <w:rPr>
          <w:szCs w:val="22"/>
        </w:rPr>
        <w:t xml:space="preserve">. </w:t>
      </w:r>
    </w:p>
    <w:p w14:paraId="58C9C719" w14:textId="77777777" w:rsidR="00152B4F" w:rsidRPr="00A01C61" w:rsidRDefault="00152B4F" w:rsidP="00152B4F">
      <w:pPr>
        <w:rPr>
          <w:szCs w:val="22"/>
        </w:rPr>
      </w:pPr>
    </w:p>
    <w:p w14:paraId="4FE8008B" w14:textId="77777777" w:rsidR="00152B4F" w:rsidRPr="00A01C61" w:rsidRDefault="00152B4F" w:rsidP="00152B4F">
      <w:pPr>
        <w:rPr>
          <w:szCs w:val="22"/>
        </w:rPr>
      </w:pPr>
      <w:r w:rsidRPr="00A01C61">
        <w:rPr>
          <w:szCs w:val="22"/>
        </w:rPr>
        <w:t xml:space="preserve">A </w:t>
      </w:r>
      <w:r>
        <w:rPr>
          <w:szCs w:val="22"/>
        </w:rPr>
        <w:t>Participant</w:t>
      </w:r>
      <w:r w:rsidRPr="00A01C61">
        <w:rPr>
          <w:szCs w:val="22"/>
        </w:rPr>
        <w:t xml:space="preserve">’s </w:t>
      </w:r>
      <w:r w:rsidRPr="00A01C61">
        <w:rPr>
          <w:i/>
          <w:szCs w:val="22"/>
        </w:rPr>
        <w:t>duration in assistance</w:t>
      </w:r>
      <w:r w:rsidRPr="00A01C61">
        <w:rPr>
          <w:szCs w:val="22"/>
        </w:rPr>
        <w:t xml:space="preserve"> </w:t>
      </w:r>
      <w:r w:rsidRPr="00016DA2">
        <w:rPr>
          <w:szCs w:val="22"/>
        </w:rPr>
        <w:t xml:space="preserve">at a </w:t>
      </w:r>
      <w:r>
        <w:rPr>
          <w:szCs w:val="22"/>
        </w:rPr>
        <w:t>S</w:t>
      </w:r>
      <w:r w:rsidRPr="00A01C61">
        <w:rPr>
          <w:szCs w:val="22"/>
        </w:rPr>
        <w:t xml:space="preserve">ite is calculated from commencement in DES </w:t>
      </w:r>
      <w:r w:rsidRPr="00A01C61">
        <w:rPr>
          <w:szCs w:val="22"/>
          <w:u w:val="single"/>
        </w:rPr>
        <w:t>with that organisation</w:t>
      </w:r>
      <w:r>
        <w:rPr>
          <w:szCs w:val="22"/>
          <w:u w:val="single"/>
        </w:rPr>
        <w:t xml:space="preserve"> </w:t>
      </w:r>
      <w:r w:rsidRPr="00A01C61">
        <w:rPr>
          <w:szCs w:val="22"/>
        </w:rPr>
        <w:t xml:space="preserve">until the </w:t>
      </w:r>
      <w:r>
        <w:rPr>
          <w:szCs w:val="22"/>
        </w:rPr>
        <w:t>Participant</w:t>
      </w:r>
      <w:r w:rsidRPr="00A01C61">
        <w:rPr>
          <w:szCs w:val="22"/>
        </w:rPr>
        <w:t xml:space="preserve"> transfers from the </w:t>
      </w:r>
      <w:r>
        <w:rPr>
          <w:szCs w:val="22"/>
        </w:rPr>
        <w:t>S</w:t>
      </w:r>
      <w:r w:rsidRPr="00A01C61">
        <w:rPr>
          <w:szCs w:val="22"/>
        </w:rPr>
        <w:t xml:space="preserve">ite or </w:t>
      </w:r>
      <w:r>
        <w:rPr>
          <w:szCs w:val="22"/>
        </w:rPr>
        <w:t>E</w:t>
      </w:r>
      <w:r w:rsidRPr="00A01C61">
        <w:rPr>
          <w:szCs w:val="22"/>
        </w:rPr>
        <w:t xml:space="preserve">xits. </w:t>
      </w:r>
      <w:r>
        <w:rPr>
          <w:szCs w:val="22"/>
        </w:rPr>
        <w:t>I</w:t>
      </w:r>
      <w:r w:rsidRPr="00A01C61">
        <w:rPr>
          <w:szCs w:val="22"/>
        </w:rPr>
        <w:t xml:space="preserve">n other words, a </w:t>
      </w:r>
      <w:r>
        <w:rPr>
          <w:szCs w:val="22"/>
        </w:rPr>
        <w:t>Participant</w:t>
      </w:r>
      <w:r w:rsidRPr="00A01C61">
        <w:rPr>
          <w:szCs w:val="22"/>
        </w:rPr>
        <w:t xml:space="preserve">’s </w:t>
      </w:r>
      <w:r w:rsidRPr="00A01C61">
        <w:rPr>
          <w:i/>
          <w:szCs w:val="22"/>
        </w:rPr>
        <w:t>duration in assistance</w:t>
      </w:r>
      <w:r w:rsidRPr="00016DA2">
        <w:rPr>
          <w:szCs w:val="22"/>
        </w:rPr>
        <w:t xml:space="preserve"> at a </w:t>
      </w:r>
      <w:r>
        <w:rPr>
          <w:szCs w:val="22"/>
        </w:rPr>
        <w:t>S</w:t>
      </w:r>
      <w:r w:rsidRPr="00A01C61">
        <w:rPr>
          <w:szCs w:val="22"/>
        </w:rPr>
        <w:t>ite i</w:t>
      </w:r>
      <w:r w:rsidRPr="00016DA2">
        <w:rPr>
          <w:szCs w:val="22"/>
        </w:rPr>
        <w:t xml:space="preserve">ncludes time spent at previous </w:t>
      </w:r>
      <w:r>
        <w:rPr>
          <w:szCs w:val="22"/>
        </w:rPr>
        <w:t>S</w:t>
      </w:r>
      <w:r w:rsidRPr="00A01C61">
        <w:rPr>
          <w:szCs w:val="22"/>
        </w:rPr>
        <w:t>ites with the same organisation (during the same unique period of assistance), but does no</w:t>
      </w:r>
      <w:r w:rsidRPr="00016DA2">
        <w:rPr>
          <w:szCs w:val="22"/>
        </w:rPr>
        <w:t xml:space="preserve">t include time spent at </w:t>
      </w:r>
      <w:r>
        <w:rPr>
          <w:szCs w:val="22"/>
        </w:rPr>
        <w:t>other S</w:t>
      </w:r>
      <w:r w:rsidRPr="00016DA2">
        <w:rPr>
          <w:szCs w:val="22"/>
        </w:rPr>
        <w:t xml:space="preserve">ites </w:t>
      </w:r>
      <w:r>
        <w:rPr>
          <w:szCs w:val="22"/>
        </w:rPr>
        <w:t xml:space="preserve">in the future </w:t>
      </w:r>
      <w:r w:rsidRPr="00016DA2">
        <w:rPr>
          <w:szCs w:val="22"/>
        </w:rPr>
        <w:t xml:space="preserve">or time spent at </w:t>
      </w:r>
      <w:r>
        <w:rPr>
          <w:szCs w:val="22"/>
        </w:rPr>
        <w:t>S</w:t>
      </w:r>
      <w:r w:rsidRPr="00A01C61">
        <w:rPr>
          <w:szCs w:val="22"/>
        </w:rPr>
        <w:t>ites from other organisations.</w:t>
      </w:r>
    </w:p>
    <w:p w14:paraId="1269B502" w14:textId="77777777" w:rsidR="00152B4F" w:rsidRPr="00A01C61" w:rsidRDefault="00152B4F" w:rsidP="00152B4F">
      <w:pPr>
        <w:rPr>
          <w:szCs w:val="22"/>
        </w:rPr>
      </w:pPr>
    </w:p>
    <w:p w14:paraId="7C51BF67" w14:textId="77777777" w:rsidR="00152B4F" w:rsidRDefault="00152B4F" w:rsidP="00152B4F">
      <w:pPr>
        <w:rPr>
          <w:szCs w:val="22"/>
        </w:rPr>
      </w:pPr>
      <w:r w:rsidRPr="00A01C61">
        <w:rPr>
          <w:szCs w:val="22"/>
        </w:rPr>
        <w:t xml:space="preserve">If a </w:t>
      </w:r>
      <w:r>
        <w:rPr>
          <w:szCs w:val="22"/>
        </w:rPr>
        <w:t>Participant</w:t>
      </w:r>
      <w:r w:rsidRPr="00A01C61">
        <w:rPr>
          <w:szCs w:val="22"/>
        </w:rPr>
        <w:t xml:space="preserve"> transfers organisation</w:t>
      </w:r>
      <w:r>
        <w:rPr>
          <w:szCs w:val="22"/>
        </w:rPr>
        <w:t xml:space="preserve"> or changes program (i.e. between DES-DMS and DES-ESS)</w:t>
      </w:r>
      <w:r w:rsidRPr="00A01C61">
        <w:rPr>
          <w:szCs w:val="22"/>
        </w:rPr>
        <w:t xml:space="preserve">, then their </w:t>
      </w:r>
      <w:r w:rsidRPr="00A01C61">
        <w:rPr>
          <w:i/>
          <w:szCs w:val="22"/>
        </w:rPr>
        <w:t>duration in assistance</w:t>
      </w:r>
      <w:r w:rsidRPr="00A01C61">
        <w:rPr>
          <w:szCs w:val="22"/>
        </w:rPr>
        <w:t xml:space="preserve"> </w:t>
      </w:r>
      <w:r>
        <w:rPr>
          <w:szCs w:val="22"/>
        </w:rPr>
        <w:t>restarts.</w:t>
      </w:r>
    </w:p>
    <w:p w14:paraId="6728BCAA" w14:textId="77777777" w:rsidR="00152B4F" w:rsidRDefault="00152B4F" w:rsidP="00152B4F"/>
    <w:p w14:paraId="20DAB57A" w14:textId="77777777" w:rsidR="00152B4F" w:rsidRPr="00E625BB" w:rsidRDefault="00152B4F" w:rsidP="00152B4F">
      <w:pPr>
        <w:pStyle w:val="Heading5"/>
        <w:spacing w:before="0"/>
        <w:rPr>
          <w:b w:val="0"/>
          <w:u w:val="single"/>
        </w:rPr>
      </w:pPr>
      <w:r w:rsidRPr="00C6130E">
        <w:rPr>
          <w:b w:val="0"/>
          <w:u w:val="single"/>
        </w:rPr>
        <w:t xml:space="preserve">Bonus </w:t>
      </w:r>
      <w:r>
        <w:rPr>
          <w:b w:val="0"/>
          <w:u w:val="single"/>
        </w:rPr>
        <w:t>O</w:t>
      </w:r>
      <w:r w:rsidRPr="00C6130E">
        <w:rPr>
          <w:b w:val="0"/>
          <w:u w:val="single"/>
        </w:rPr>
        <w:t>utcome</w:t>
      </w:r>
      <w:r w:rsidRPr="00E625BB">
        <w:rPr>
          <w:b w:val="0"/>
          <w:u w:val="single"/>
        </w:rPr>
        <w:t>, and Work Assist Performance Measures</w:t>
      </w:r>
    </w:p>
    <w:p w14:paraId="0170DC7F" w14:textId="77777777" w:rsidR="00152B4F" w:rsidRPr="00E625BB" w:rsidRDefault="00152B4F" w:rsidP="00152B4F">
      <w:pPr>
        <w:rPr>
          <w:szCs w:val="22"/>
        </w:rPr>
      </w:pPr>
      <w:r w:rsidRPr="00E625BB">
        <w:rPr>
          <w:szCs w:val="22"/>
        </w:rPr>
        <w:t>A Participant may transfer while they are tracking towards a Bonus outcome. This can occur where:</w:t>
      </w:r>
    </w:p>
    <w:p w14:paraId="61C79913" w14:textId="77777777" w:rsidR="00152B4F" w:rsidRPr="00E625BB" w:rsidRDefault="00152B4F" w:rsidP="00152B4F">
      <w:pPr>
        <w:pStyle w:val="ListParagraph"/>
        <w:numPr>
          <w:ilvl w:val="0"/>
          <w:numId w:val="37"/>
        </w:numPr>
        <w:rPr>
          <w:szCs w:val="22"/>
        </w:rPr>
      </w:pPr>
      <w:r w:rsidRPr="00E625BB">
        <w:rPr>
          <w:szCs w:val="22"/>
        </w:rPr>
        <w:t xml:space="preserve">A Participant who has been anchored in </w:t>
      </w:r>
      <w:r>
        <w:rPr>
          <w:szCs w:val="22"/>
        </w:rPr>
        <w:t>E</w:t>
      </w:r>
      <w:r w:rsidRPr="00E625BB">
        <w:rPr>
          <w:szCs w:val="22"/>
        </w:rPr>
        <w:t xml:space="preserve">mployment and may meet the conditions of a paid Bonus Outcome performance measure transfers Providers while they are in the PPS phase and tracking towards achieving a paid 13 or 26 Week Bonus </w:t>
      </w:r>
      <w:r>
        <w:rPr>
          <w:szCs w:val="22"/>
        </w:rPr>
        <w:t>O</w:t>
      </w:r>
      <w:r w:rsidRPr="00E625BB">
        <w:rPr>
          <w:szCs w:val="22"/>
        </w:rPr>
        <w:t xml:space="preserve">utcome. </w:t>
      </w:r>
    </w:p>
    <w:p w14:paraId="41485CCC" w14:textId="77777777" w:rsidR="00152B4F" w:rsidRPr="00A01C61" w:rsidRDefault="00152B4F" w:rsidP="00152B4F">
      <w:pPr>
        <w:pStyle w:val="ListParagraph"/>
        <w:numPr>
          <w:ilvl w:val="0"/>
          <w:numId w:val="37"/>
        </w:numPr>
        <w:rPr>
          <w:szCs w:val="22"/>
        </w:rPr>
      </w:pPr>
      <w:r w:rsidRPr="00E625BB">
        <w:rPr>
          <w:szCs w:val="22"/>
        </w:rPr>
        <w:t xml:space="preserve">A Work Assist Participant who has moved into the PPS phase transfers while they are tracking towards a 26 Week Work Assist </w:t>
      </w:r>
      <w:r>
        <w:rPr>
          <w:szCs w:val="22"/>
        </w:rPr>
        <w:t>O</w:t>
      </w:r>
      <w:r w:rsidRPr="00E625BB">
        <w:rPr>
          <w:szCs w:val="22"/>
        </w:rPr>
        <w:t>utcome</w:t>
      </w:r>
      <w:r>
        <w:rPr>
          <w:szCs w:val="22"/>
        </w:rPr>
        <w:t>.</w:t>
      </w:r>
    </w:p>
    <w:p w14:paraId="101CDCD2" w14:textId="77777777" w:rsidR="00152B4F" w:rsidRPr="00A01C61" w:rsidRDefault="00152B4F" w:rsidP="00152B4F">
      <w:pPr>
        <w:rPr>
          <w:szCs w:val="22"/>
        </w:rPr>
      </w:pPr>
    </w:p>
    <w:p w14:paraId="3E502E8B" w14:textId="77777777" w:rsidR="00152B4F" w:rsidRDefault="00152B4F" w:rsidP="00152B4F">
      <w:r w:rsidRPr="00A01C61">
        <w:t xml:space="preserve">In each of these cases, each </w:t>
      </w:r>
      <w:r>
        <w:t>Participant</w:t>
      </w:r>
      <w:r w:rsidRPr="00A01C61">
        <w:t xml:space="preserve"> will only be included once per individual anchor</w:t>
      </w:r>
      <w:r>
        <w:t xml:space="preserve"> per period of service</w:t>
      </w:r>
      <w:r w:rsidRPr="00A01C61">
        <w:t xml:space="preserve">. Each </w:t>
      </w:r>
      <w:r>
        <w:t>Participant</w:t>
      </w:r>
      <w:r w:rsidRPr="00A01C61">
        <w:t xml:space="preserve"> will be included in the denominator of the last </w:t>
      </w:r>
      <w:r>
        <w:t>S</w:t>
      </w:r>
      <w:r w:rsidRPr="00A01C61">
        <w:t xml:space="preserve">ite where they commenced and </w:t>
      </w:r>
      <w:r>
        <w:t xml:space="preserve">were </w:t>
      </w:r>
      <w:r w:rsidRPr="00A01C61">
        <w:t xml:space="preserve">tracking towards achieving the </w:t>
      </w:r>
      <w:r>
        <w:t>O</w:t>
      </w:r>
      <w:r w:rsidRPr="00A01C61">
        <w:t>utcome or indicator</w:t>
      </w:r>
      <w:r>
        <w:t>, whether or not they actually went on to achieve the Outcome or indicator</w:t>
      </w:r>
      <w:r w:rsidRPr="00A01C61">
        <w:t>.</w:t>
      </w:r>
    </w:p>
    <w:p w14:paraId="25166490" w14:textId="77777777" w:rsidR="00152B4F" w:rsidRPr="00A01C61" w:rsidRDefault="00152B4F" w:rsidP="00152B4F">
      <w:pPr>
        <w:rPr>
          <w:szCs w:val="22"/>
        </w:rPr>
      </w:pPr>
    </w:p>
    <w:p w14:paraId="671CA886" w14:textId="77777777" w:rsidR="00152B4F" w:rsidRPr="00FF41CF" w:rsidRDefault="00152B4F" w:rsidP="00152B4F">
      <w:pPr>
        <w:pStyle w:val="Heading5"/>
        <w:spacing w:before="0"/>
        <w:rPr>
          <w:b w:val="0"/>
          <w:u w:val="single"/>
        </w:rPr>
      </w:pPr>
      <w:r w:rsidRPr="00FF41CF">
        <w:rPr>
          <w:b w:val="0"/>
          <w:u w:val="single"/>
        </w:rPr>
        <w:t>Ongo</w:t>
      </w:r>
      <w:r>
        <w:rPr>
          <w:b w:val="0"/>
          <w:u w:val="single"/>
        </w:rPr>
        <w:t>ing Support Performance Measure</w:t>
      </w:r>
    </w:p>
    <w:p w14:paraId="517A1012" w14:textId="77777777" w:rsidR="00152B4F" w:rsidRPr="00A01C61" w:rsidRDefault="00152B4F" w:rsidP="00152B4F">
      <w:pPr>
        <w:rPr>
          <w:szCs w:val="22"/>
        </w:rPr>
      </w:pPr>
      <w:r w:rsidRPr="00016DA2">
        <w:rPr>
          <w:szCs w:val="22"/>
        </w:rPr>
        <w:t xml:space="preserve">A </w:t>
      </w:r>
      <w:r>
        <w:rPr>
          <w:szCs w:val="22"/>
        </w:rPr>
        <w:t>Participant</w:t>
      </w:r>
      <w:r w:rsidRPr="00016DA2">
        <w:rPr>
          <w:szCs w:val="22"/>
        </w:rPr>
        <w:t xml:space="preserve"> may transfer </w:t>
      </w:r>
      <w:r>
        <w:rPr>
          <w:szCs w:val="22"/>
        </w:rPr>
        <w:t>S</w:t>
      </w:r>
      <w:r w:rsidRPr="00016DA2">
        <w:rPr>
          <w:szCs w:val="22"/>
        </w:rPr>
        <w:t xml:space="preserve">ite, ESA or </w:t>
      </w:r>
      <w:r>
        <w:rPr>
          <w:szCs w:val="22"/>
        </w:rPr>
        <w:t>C</w:t>
      </w:r>
      <w:r w:rsidRPr="00A01C61">
        <w:rPr>
          <w:szCs w:val="22"/>
        </w:rPr>
        <w:t xml:space="preserve">ontract while they are in the Ongoing Support phase within the same organisation. In this case the </w:t>
      </w:r>
      <w:r>
        <w:rPr>
          <w:szCs w:val="22"/>
        </w:rPr>
        <w:t>Participant</w:t>
      </w:r>
      <w:r w:rsidRPr="00A01C61">
        <w:rPr>
          <w:szCs w:val="22"/>
        </w:rPr>
        <w:t xml:space="preserve"> will only be counted in the denominator of the last of the Organisation’s </w:t>
      </w:r>
      <w:r>
        <w:rPr>
          <w:szCs w:val="22"/>
        </w:rPr>
        <w:t>S</w:t>
      </w:r>
      <w:r w:rsidRPr="00A01C61">
        <w:rPr>
          <w:szCs w:val="22"/>
        </w:rPr>
        <w:t xml:space="preserve">ites where the </w:t>
      </w:r>
      <w:r>
        <w:rPr>
          <w:szCs w:val="22"/>
        </w:rPr>
        <w:t>Participant</w:t>
      </w:r>
      <w:r w:rsidRPr="00A01C61">
        <w:rPr>
          <w:szCs w:val="22"/>
        </w:rPr>
        <w:t xml:space="preserve"> was commenced in Ongoing Support. </w:t>
      </w:r>
    </w:p>
    <w:p w14:paraId="52C751E3" w14:textId="77777777" w:rsidR="00152B4F" w:rsidRPr="00A01C61" w:rsidRDefault="00152B4F" w:rsidP="00152B4F">
      <w:pPr>
        <w:rPr>
          <w:szCs w:val="22"/>
        </w:rPr>
      </w:pPr>
    </w:p>
    <w:p w14:paraId="439D5904" w14:textId="77777777" w:rsidR="00152B4F" w:rsidRPr="00A01C61" w:rsidRDefault="00152B4F" w:rsidP="00152B4F">
      <w:pPr>
        <w:rPr>
          <w:szCs w:val="22"/>
        </w:rPr>
      </w:pPr>
      <w:r w:rsidRPr="00A01C61">
        <w:rPr>
          <w:szCs w:val="22"/>
        </w:rPr>
        <w:t xml:space="preserve">Alternatively a </w:t>
      </w:r>
      <w:r>
        <w:rPr>
          <w:szCs w:val="22"/>
        </w:rPr>
        <w:t>Participant</w:t>
      </w:r>
      <w:r w:rsidRPr="00A01C61">
        <w:rPr>
          <w:szCs w:val="22"/>
        </w:rPr>
        <w:t xml:space="preserve"> may transfer </w:t>
      </w:r>
      <w:r w:rsidRPr="002B019E">
        <w:rPr>
          <w:szCs w:val="22"/>
        </w:rPr>
        <w:t xml:space="preserve">Site, ESA or </w:t>
      </w:r>
      <w:r>
        <w:rPr>
          <w:szCs w:val="22"/>
        </w:rPr>
        <w:t>C</w:t>
      </w:r>
      <w:r w:rsidRPr="00A01C61">
        <w:rPr>
          <w:szCs w:val="22"/>
        </w:rPr>
        <w:t xml:space="preserve">ontract while they are in the Ongoing Support phase to a new organisation. In this situation the </w:t>
      </w:r>
      <w:r>
        <w:rPr>
          <w:szCs w:val="22"/>
        </w:rPr>
        <w:t>Participant</w:t>
      </w:r>
      <w:r w:rsidRPr="00A01C61">
        <w:rPr>
          <w:szCs w:val="22"/>
        </w:rPr>
        <w:t xml:space="preserve"> would be included:</w:t>
      </w:r>
    </w:p>
    <w:p w14:paraId="066CC958" w14:textId="77777777" w:rsidR="00152B4F" w:rsidRPr="00A01C61" w:rsidRDefault="00152B4F" w:rsidP="00152B4F">
      <w:pPr>
        <w:pStyle w:val="ListParagraph"/>
        <w:numPr>
          <w:ilvl w:val="0"/>
          <w:numId w:val="39"/>
        </w:numPr>
        <w:rPr>
          <w:szCs w:val="22"/>
        </w:rPr>
      </w:pPr>
      <w:r w:rsidRPr="00A01C61">
        <w:rPr>
          <w:szCs w:val="22"/>
        </w:rPr>
        <w:t>in the numerat</w:t>
      </w:r>
      <w:r w:rsidRPr="002B019E">
        <w:rPr>
          <w:szCs w:val="22"/>
        </w:rPr>
        <w:t xml:space="preserve">or and denominator of the last </w:t>
      </w:r>
      <w:r>
        <w:rPr>
          <w:szCs w:val="22"/>
        </w:rPr>
        <w:t>S</w:t>
      </w:r>
      <w:r w:rsidRPr="00A01C61">
        <w:rPr>
          <w:szCs w:val="22"/>
        </w:rPr>
        <w:t>ite before they transferred between organisations</w:t>
      </w:r>
    </w:p>
    <w:p w14:paraId="1674F51C" w14:textId="77777777" w:rsidR="00152B4F" w:rsidRPr="00A01C61" w:rsidRDefault="00152B4F" w:rsidP="00152B4F">
      <w:pPr>
        <w:pStyle w:val="ListParagraph"/>
        <w:numPr>
          <w:ilvl w:val="0"/>
          <w:numId w:val="39"/>
        </w:numPr>
        <w:rPr>
          <w:szCs w:val="22"/>
        </w:rPr>
      </w:pPr>
      <w:r w:rsidRPr="00A01C61">
        <w:rPr>
          <w:szCs w:val="22"/>
        </w:rPr>
        <w:t xml:space="preserve">in the denominator of the </w:t>
      </w:r>
      <w:r>
        <w:rPr>
          <w:szCs w:val="22"/>
        </w:rPr>
        <w:t>S</w:t>
      </w:r>
      <w:r w:rsidRPr="00A01C61">
        <w:rPr>
          <w:szCs w:val="22"/>
        </w:rPr>
        <w:t>ite with the new organisation</w:t>
      </w:r>
      <w:r>
        <w:rPr>
          <w:szCs w:val="22"/>
        </w:rPr>
        <w:t>.</w:t>
      </w:r>
    </w:p>
    <w:p w14:paraId="1FEBF93B" w14:textId="77777777" w:rsidR="00152B4F" w:rsidRPr="00A01C61" w:rsidRDefault="00152B4F" w:rsidP="00152B4F">
      <w:pPr>
        <w:pStyle w:val="ListParagraph"/>
        <w:ind w:left="1490"/>
        <w:rPr>
          <w:szCs w:val="22"/>
        </w:rPr>
      </w:pPr>
    </w:p>
    <w:p w14:paraId="3AC51FE8" w14:textId="77777777" w:rsidR="00152B4F" w:rsidRPr="00FF41CF" w:rsidRDefault="00152B4F" w:rsidP="00152B4F">
      <w:pPr>
        <w:pStyle w:val="Heading5"/>
        <w:spacing w:before="0"/>
        <w:rPr>
          <w:b w:val="0"/>
          <w:u w:val="single"/>
        </w:rPr>
      </w:pPr>
      <w:r w:rsidRPr="00FF41CF">
        <w:rPr>
          <w:b w:val="0"/>
          <w:u w:val="single"/>
        </w:rPr>
        <w:t>Time in Assistance Control Variables</w:t>
      </w:r>
    </w:p>
    <w:p w14:paraId="3765C818" w14:textId="77777777" w:rsidR="00152B4F" w:rsidRPr="00C41C17" w:rsidRDefault="00152B4F" w:rsidP="00152B4F">
      <w:pPr>
        <w:rPr>
          <w:szCs w:val="22"/>
        </w:rPr>
      </w:pPr>
      <w:r w:rsidRPr="00C41C17">
        <w:rPr>
          <w:i/>
          <w:szCs w:val="22"/>
        </w:rPr>
        <w:t>Time available for assistance</w:t>
      </w:r>
      <w:r w:rsidRPr="00C41C17">
        <w:rPr>
          <w:szCs w:val="22"/>
        </w:rPr>
        <w:t xml:space="preserve"> is a control variable in the regression models for Full and Pathway outcomes and Ongoing Support performance measures. It controls for the different opportunity that a Site had to achieve a particular type of </w:t>
      </w:r>
      <w:r>
        <w:rPr>
          <w:szCs w:val="22"/>
        </w:rPr>
        <w:t>O</w:t>
      </w:r>
      <w:r w:rsidRPr="00C41C17">
        <w:rPr>
          <w:szCs w:val="22"/>
        </w:rPr>
        <w:t xml:space="preserve">utcome. </w:t>
      </w:r>
    </w:p>
    <w:p w14:paraId="56BA1F21" w14:textId="77777777" w:rsidR="00152B4F" w:rsidRPr="00C41C17" w:rsidRDefault="00152B4F" w:rsidP="00152B4F">
      <w:pPr>
        <w:rPr>
          <w:szCs w:val="22"/>
        </w:rPr>
      </w:pPr>
    </w:p>
    <w:p w14:paraId="3D4909BC" w14:textId="77777777" w:rsidR="00152B4F" w:rsidRPr="00C41C17" w:rsidRDefault="00152B4F" w:rsidP="00152B4F">
      <w:pPr>
        <w:rPr>
          <w:szCs w:val="22"/>
        </w:rPr>
      </w:pPr>
      <w:r w:rsidRPr="00C41C17">
        <w:rPr>
          <w:szCs w:val="22"/>
        </w:rPr>
        <w:t xml:space="preserve">For Full and Pathway </w:t>
      </w:r>
      <w:r>
        <w:rPr>
          <w:szCs w:val="22"/>
        </w:rPr>
        <w:t>O</w:t>
      </w:r>
      <w:r w:rsidRPr="00C41C17">
        <w:rPr>
          <w:szCs w:val="22"/>
        </w:rPr>
        <w:t>utcomes the time in assistance is the time in EA and PPS that a Participant has had at a Site, excluding periods of suspension.</w:t>
      </w:r>
      <w:r w:rsidRPr="00C41C17">
        <w:t xml:space="preserve"> It also includes time since referral, prior to the participant being commenced. </w:t>
      </w:r>
      <w:r w:rsidRPr="00C41C17">
        <w:rPr>
          <w:szCs w:val="22"/>
        </w:rPr>
        <w:t>It does not include time spent at previous Sites either with the same organisation or a different organisation.</w:t>
      </w:r>
    </w:p>
    <w:p w14:paraId="3607357C" w14:textId="77777777" w:rsidR="00152B4F" w:rsidRPr="00C41C17" w:rsidRDefault="00152B4F" w:rsidP="00152B4F">
      <w:pPr>
        <w:rPr>
          <w:szCs w:val="22"/>
        </w:rPr>
      </w:pPr>
    </w:p>
    <w:p w14:paraId="4D9B94C3" w14:textId="77777777" w:rsidR="00152B4F" w:rsidRPr="00711E73" w:rsidRDefault="00152B4F" w:rsidP="00152B4F">
      <w:pPr>
        <w:rPr>
          <w:szCs w:val="22"/>
        </w:rPr>
      </w:pPr>
      <w:r w:rsidRPr="00C41C17">
        <w:rPr>
          <w:szCs w:val="22"/>
        </w:rPr>
        <w:t xml:space="preserve">For the Ongoing Support measure the </w:t>
      </w:r>
      <w:r w:rsidRPr="00C41C17">
        <w:rPr>
          <w:i/>
          <w:szCs w:val="22"/>
        </w:rPr>
        <w:t>time available for assistance</w:t>
      </w:r>
      <w:r w:rsidRPr="00C41C17">
        <w:rPr>
          <w:szCs w:val="22"/>
        </w:rPr>
        <w:t xml:space="preserve"> variable will be the amount of time that a Participant has to be maintained in the Ongoing Support Phase with the organisation to be included in the numerator. This could be until the end of the performance period or until they exit as an Independent Worker.</w:t>
      </w:r>
      <w:r>
        <w:rPr>
          <w:szCs w:val="22"/>
        </w:rPr>
        <w:t xml:space="preserve"> </w:t>
      </w:r>
      <w:bookmarkEnd w:id="65"/>
      <w:bookmarkEnd w:id="66"/>
      <w:bookmarkEnd w:id="67"/>
    </w:p>
    <w:p w14:paraId="64A6D7F3" w14:textId="77777777" w:rsidR="00152B4F" w:rsidRDefault="00152B4F" w:rsidP="00152B4F">
      <w:pPr>
        <w:rPr>
          <w:szCs w:val="22"/>
        </w:rPr>
        <w:sectPr w:rsidR="00152B4F" w:rsidSect="00C555E5">
          <w:pgSz w:w="11906" w:h="16838" w:code="9"/>
          <w:pgMar w:top="1440" w:right="1800" w:bottom="1440" w:left="1800" w:header="708" w:footer="708" w:gutter="0"/>
          <w:cols w:space="708"/>
          <w:titlePg/>
          <w:docGrid w:linePitch="360"/>
        </w:sectPr>
      </w:pPr>
    </w:p>
    <w:p w14:paraId="6FB780AF" w14:textId="77777777" w:rsidR="00152B4F" w:rsidRPr="006632F2" w:rsidRDefault="00152B4F" w:rsidP="00152B4F">
      <w:pPr>
        <w:pStyle w:val="Heading5"/>
      </w:pPr>
      <w:bookmarkStart w:id="70" w:name="_Toc348434681"/>
      <w:bookmarkStart w:id="71" w:name="_Toc348439639"/>
      <w:bookmarkStart w:id="72" w:name="_Toc348440364"/>
      <w:r>
        <w:t xml:space="preserve">Table 9: </w:t>
      </w:r>
      <w:r w:rsidRPr="006632F2">
        <w:t xml:space="preserve">Summary of Transfer Rules: </w:t>
      </w:r>
      <w:r w:rsidRPr="007877B3">
        <w:t xml:space="preserve">Transfer between </w:t>
      </w:r>
      <w:r>
        <w:t>S</w:t>
      </w:r>
      <w:r w:rsidRPr="007877B3">
        <w:t>ite/</w:t>
      </w:r>
      <w:r>
        <w:t>Contract</w:t>
      </w:r>
      <w:bookmarkEnd w:id="70"/>
      <w:bookmarkEnd w:id="71"/>
      <w:bookmarkEnd w:id="72"/>
    </w:p>
    <w:tbl>
      <w:tblPr>
        <w:tblW w:w="0" w:type="auto"/>
        <w:tblLook w:val="01E0" w:firstRow="1" w:lastRow="1" w:firstColumn="1" w:lastColumn="1" w:noHBand="0" w:noVBand="0"/>
      </w:tblPr>
      <w:tblGrid>
        <w:gridCol w:w="2802"/>
        <w:gridCol w:w="1559"/>
        <w:gridCol w:w="4961"/>
        <w:gridCol w:w="4852"/>
      </w:tblGrid>
      <w:tr w:rsidR="00152B4F" w:rsidRPr="0075088F" w14:paraId="5516A13A" w14:textId="77777777" w:rsidTr="009039E0">
        <w:tc>
          <w:tcPr>
            <w:tcW w:w="43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099A1" w14:textId="77777777" w:rsidR="00152B4F" w:rsidRPr="00060458" w:rsidRDefault="00152B4F" w:rsidP="009039E0">
            <w:pPr>
              <w:spacing w:before="60" w:after="60"/>
              <w:rPr>
                <w:szCs w:val="22"/>
              </w:rPr>
            </w:pPr>
            <w:r w:rsidRPr="00060458">
              <w:rPr>
                <w:b/>
                <w:szCs w:val="22"/>
              </w:rPr>
              <w:t>Performance Measure</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6A2B098" w14:textId="77777777" w:rsidR="00152B4F" w:rsidRPr="00060458" w:rsidRDefault="00152B4F" w:rsidP="009039E0">
            <w:pPr>
              <w:spacing w:before="60" w:after="60"/>
              <w:jc w:val="center"/>
              <w:rPr>
                <w:b/>
                <w:szCs w:val="22"/>
              </w:rPr>
            </w:pPr>
            <w:r w:rsidRPr="00060458">
              <w:rPr>
                <w:b/>
                <w:szCs w:val="22"/>
              </w:rPr>
              <w:t>Losing Site/Contract</w:t>
            </w:r>
          </w:p>
        </w:tc>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5DA1D7" w14:textId="77777777" w:rsidR="00152B4F" w:rsidRPr="00060458" w:rsidRDefault="00152B4F" w:rsidP="009039E0">
            <w:pPr>
              <w:spacing w:before="60" w:after="60"/>
              <w:jc w:val="center"/>
              <w:rPr>
                <w:b/>
                <w:szCs w:val="22"/>
              </w:rPr>
            </w:pPr>
            <w:r w:rsidRPr="00060458">
              <w:rPr>
                <w:b/>
                <w:szCs w:val="22"/>
              </w:rPr>
              <w:t>Gaining Site/Contract</w:t>
            </w:r>
          </w:p>
        </w:tc>
      </w:tr>
      <w:tr w:rsidR="00152B4F" w:rsidRPr="0075088F" w14:paraId="502BC84A" w14:textId="77777777" w:rsidTr="009039E0">
        <w:tc>
          <w:tcPr>
            <w:tcW w:w="2802" w:type="dxa"/>
            <w:vMerge w:val="restart"/>
            <w:tcBorders>
              <w:top w:val="single" w:sz="4" w:space="0" w:color="auto"/>
              <w:left w:val="single" w:sz="4" w:space="0" w:color="auto"/>
              <w:bottom w:val="single" w:sz="4" w:space="0" w:color="auto"/>
              <w:right w:val="single" w:sz="4" w:space="0" w:color="auto"/>
            </w:tcBorders>
            <w:vAlign w:val="center"/>
          </w:tcPr>
          <w:p w14:paraId="60340C07" w14:textId="77777777" w:rsidR="00152B4F" w:rsidRPr="0075088F" w:rsidRDefault="00152B4F" w:rsidP="009039E0">
            <w:pPr>
              <w:rPr>
                <w:sz w:val="20"/>
                <w:szCs w:val="20"/>
              </w:rPr>
            </w:pPr>
            <w:r>
              <w:rPr>
                <w:b/>
                <w:sz w:val="20"/>
                <w:szCs w:val="20"/>
              </w:rPr>
              <w:t>13, 26 and 52 Week Full and Pathway</w:t>
            </w:r>
            <w:r w:rsidRPr="0075088F">
              <w:rPr>
                <w:b/>
                <w:sz w:val="20"/>
                <w:szCs w:val="20"/>
              </w:rPr>
              <w:t xml:space="preserve"> Outcomes</w:t>
            </w:r>
          </w:p>
        </w:tc>
        <w:tc>
          <w:tcPr>
            <w:tcW w:w="1559" w:type="dxa"/>
            <w:tcBorders>
              <w:top w:val="single" w:sz="4" w:space="0" w:color="auto"/>
              <w:left w:val="single" w:sz="4" w:space="0" w:color="auto"/>
              <w:bottom w:val="single" w:sz="4" w:space="0" w:color="auto"/>
              <w:right w:val="single" w:sz="4" w:space="0" w:color="auto"/>
            </w:tcBorders>
            <w:vAlign w:val="center"/>
          </w:tcPr>
          <w:p w14:paraId="47BE6034" w14:textId="77777777" w:rsidR="00152B4F" w:rsidRPr="0075088F" w:rsidRDefault="00152B4F" w:rsidP="009039E0">
            <w:pPr>
              <w:rPr>
                <w:b/>
                <w:sz w:val="20"/>
                <w:szCs w:val="20"/>
              </w:rPr>
            </w:pPr>
            <w:r w:rsidRPr="0075088F">
              <w:rPr>
                <w:b/>
                <w:sz w:val="20"/>
                <w:szCs w:val="20"/>
              </w:rPr>
              <w:t>Numerator</w:t>
            </w:r>
          </w:p>
        </w:tc>
        <w:tc>
          <w:tcPr>
            <w:tcW w:w="4961" w:type="dxa"/>
            <w:tcBorders>
              <w:top w:val="single" w:sz="4" w:space="0" w:color="auto"/>
              <w:left w:val="single" w:sz="4" w:space="0" w:color="auto"/>
              <w:bottom w:val="single" w:sz="4" w:space="0" w:color="auto"/>
              <w:right w:val="single" w:sz="4" w:space="0" w:color="auto"/>
            </w:tcBorders>
          </w:tcPr>
          <w:p w14:paraId="6D7D87CD" w14:textId="77777777" w:rsidR="00152B4F" w:rsidRPr="0075088F" w:rsidRDefault="00152B4F" w:rsidP="009039E0">
            <w:pPr>
              <w:rPr>
                <w:sz w:val="20"/>
                <w:szCs w:val="20"/>
              </w:rPr>
            </w:pPr>
            <w:r w:rsidRPr="0075088F">
              <w:rPr>
                <w:sz w:val="20"/>
                <w:szCs w:val="20"/>
              </w:rPr>
              <w:t xml:space="preserve">Outcomes paid at that </w:t>
            </w:r>
            <w:r>
              <w:rPr>
                <w:sz w:val="20"/>
                <w:szCs w:val="20"/>
              </w:rPr>
              <w:t>Site</w:t>
            </w:r>
            <w:r w:rsidRPr="0075088F">
              <w:rPr>
                <w:sz w:val="20"/>
                <w:szCs w:val="20"/>
              </w:rPr>
              <w:t>/</w:t>
            </w:r>
            <w:r>
              <w:rPr>
                <w:sz w:val="20"/>
                <w:szCs w:val="20"/>
              </w:rPr>
              <w:t>Contract</w:t>
            </w:r>
            <w:r w:rsidRPr="0075088F">
              <w:rPr>
                <w:sz w:val="20"/>
                <w:szCs w:val="20"/>
              </w:rPr>
              <w:t xml:space="preserve"> will be included in the relevant numerator.</w:t>
            </w:r>
          </w:p>
        </w:tc>
        <w:tc>
          <w:tcPr>
            <w:tcW w:w="4852" w:type="dxa"/>
            <w:tcBorders>
              <w:top w:val="single" w:sz="4" w:space="0" w:color="auto"/>
              <w:left w:val="single" w:sz="4" w:space="0" w:color="auto"/>
              <w:bottom w:val="single" w:sz="4" w:space="0" w:color="auto"/>
              <w:right w:val="single" w:sz="4" w:space="0" w:color="auto"/>
            </w:tcBorders>
          </w:tcPr>
          <w:p w14:paraId="03CFA64F" w14:textId="77777777" w:rsidR="00152B4F" w:rsidRPr="0075088F" w:rsidRDefault="00152B4F" w:rsidP="009039E0">
            <w:pPr>
              <w:rPr>
                <w:sz w:val="20"/>
                <w:szCs w:val="20"/>
              </w:rPr>
            </w:pPr>
            <w:r w:rsidRPr="0075088F">
              <w:rPr>
                <w:sz w:val="20"/>
                <w:szCs w:val="20"/>
              </w:rPr>
              <w:t xml:space="preserve">Outcomes paid at that </w:t>
            </w:r>
            <w:r>
              <w:rPr>
                <w:sz w:val="20"/>
                <w:szCs w:val="20"/>
              </w:rPr>
              <w:t>Site</w:t>
            </w:r>
            <w:r w:rsidRPr="0075088F">
              <w:rPr>
                <w:sz w:val="20"/>
                <w:szCs w:val="20"/>
              </w:rPr>
              <w:t>/</w:t>
            </w:r>
            <w:r>
              <w:rPr>
                <w:sz w:val="20"/>
                <w:szCs w:val="20"/>
              </w:rPr>
              <w:t>Contract</w:t>
            </w:r>
            <w:r w:rsidRPr="0075088F">
              <w:rPr>
                <w:sz w:val="20"/>
                <w:szCs w:val="20"/>
              </w:rPr>
              <w:t xml:space="preserve"> will be included in the relevant numerator.</w:t>
            </w:r>
          </w:p>
        </w:tc>
      </w:tr>
      <w:tr w:rsidR="00152B4F" w:rsidRPr="0075088F" w14:paraId="6C03F6FD" w14:textId="77777777" w:rsidTr="009039E0">
        <w:tc>
          <w:tcPr>
            <w:tcW w:w="2802" w:type="dxa"/>
            <w:vMerge/>
            <w:tcBorders>
              <w:top w:val="single" w:sz="4" w:space="0" w:color="auto"/>
              <w:left w:val="single" w:sz="4" w:space="0" w:color="auto"/>
              <w:bottom w:val="single" w:sz="4" w:space="0" w:color="auto"/>
              <w:right w:val="single" w:sz="4" w:space="0" w:color="auto"/>
            </w:tcBorders>
            <w:vAlign w:val="center"/>
          </w:tcPr>
          <w:p w14:paraId="3AAFA370" w14:textId="77777777" w:rsidR="00152B4F" w:rsidRPr="0075088F" w:rsidRDefault="00152B4F" w:rsidP="009039E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1DD062" w14:textId="77777777" w:rsidR="00152B4F" w:rsidRPr="0075088F" w:rsidRDefault="00152B4F" w:rsidP="009039E0">
            <w:pPr>
              <w:rPr>
                <w:b/>
                <w:sz w:val="20"/>
                <w:szCs w:val="20"/>
              </w:rPr>
            </w:pPr>
            <w:r w:rsidRPr="0075088F">
              <w:rPr>
                <w:b/>
                <w:sz w:val="20"/>
                <w:szCs w:val="20"/>
              </w:rPr>
              <w:t>Denominator</w:t>
            </w:r>
          </w:p>
        </w:tc>
        <w:tc>
          <w:tcPr>
            <w:tcW w:w="4961" w:type="dxa"/>
            <w:tcBorders>
              <w:top w:val="single" w:sz="4" w:space="0" w:color="auto"/>
              <w:left w:val="single" w:sz="4" w:space="0" w:color="auto"/>
              <w:bottom w:val="single" w:sz="4" w:space="0" w:color="auto"/>
              <w:right w:val="single" w:sz="4" w:space="0" w:color="auto"/>
            </w:tcBorders>
            <w:vAlign w:val="bottom"/>
          </w:tcPr>
          <w:p w14:paraId="35D0317E" w14:textId="77777777" w:rsidR="00152B4F" w:rsidRDefault="00152B4F" w:rsidP="009039E0">
            <w:pPr>
              <w:rPr>
                <w:sz w:val="20"/>
                <w:szCs w:val="20"/>
              </w:rPr>
            </w:pPr>
            <w:r w:rsidRPr="0075088F">
              <w:rPr>
                <w:sz w:val="20"/>
                <w:szCs w:val="20"/>
              </w:rPr>
              <w:t xml:space="preserve">Included where </w:t>
            </w:r>
            <w:r w:rsidRPr="0075088F">
              <w:rPr>
                <w:i/>
                <w:sz w:val="20"/>
                <w:szCs w:val="20"/>
              </w:rPr>
              <w:t>duration in assistance</w:t>
            </w:r>
            <w:r w:rsidRPr="0075088F">
              <w:rPr>
                <w:sz w:val="20"/>
                <w:szCs w:val="20"/>
              </w:rPr>
              <w:t xml:space="preserve"> is greater than 13</w:t>
            </w:r>
            <w:r>
              <w:rPr>
                <w:sz w:val="20"/>
                <w:szCs w:val="20"/>
              </w:rPr>
              <w:t xml:space="preserve">, </w:t>
            </w:r>
            <w:r w:rsidRPr="0075088F">
              <w:rPr>
                <w:sz w:val="20"/>
                <w:szCs w:val="20"/>
              </w:rPr>
              <w:t>26</w:t>
            </w:r>
            <w:r>
              <w:rPr>
                <w:sz w:val="20"/>
                <w:szCs w:val="20"/>
              </w:rPr>
              <w:t xml:space="preserve"> or 52</w:t>
            </w:r>
            <w:r w:rsidRPr="0075088F">
              <w:rPr>
                <w:sz w:val="20"/>
                <w:szCs w:val="20"/>
              </w:rPr>
              <w:t xml:space="preserve"> </w:t>
            </w:r>
            <w:r>
              <w:rPr>
                <w:sz w:val="20"/>
                <w:szCs w:val="20"/>
              </w:rPr>
              <w:t>week</w:t>
            </w:r>
            <w:r w:rsidRPr="0075088F">
              <w:rPr>
                <w:sz w:val="20"/>
                <w:szCs w:val="20"/>
              </w:rPr>
              <w:t>s</w:t>
            </w:r>
            <w:r>
              <w:rPr>
                <w:sz w:val="20"/>
                <w:szCs w:val="20"/>
              </w:rPr>
              <w:t xml:space="preserve"> (excluding periods of suspensions)</w:t>
            </w:r>
            <w:r w:rsidRPr="0075088F">
              <w:rPr>
                <w:sz w:val="20"/>
                <w:szCs w:val="20"/>
              </w:rPr>
              <w:t>.</w:t>
            </w:r>
          </w:p>
          <w:p w14:paraId="0F078C36" w14:textId="77777777" w:rsidR="00152B4F" w:rsidRPr="002F3D76" w:rsidRDefault="00152B4F" w:rsidP="009039E0">
            <w:pPr>
              <w:rPr>
                <w:sz w:val="56"/>
                <w:szCs w:val="56"/>
              </w:rPr>
            </w:pPr>
          </w:p>
          <w:p w14:paraId="2F9ABA80" w14:textId="77777777" w:rsidR="00152B4F" w:rsidRPr="0075088F" w:rsidRDefault="00152B4F" w:rsidP="009039E0">
            <w:pPr>
              <w:rPr>
                <w:sz w:val="20"/>
                <w:szCs w:val="20"/>
              </w:rPr>
            </w:pPr>
            <w:r w:rsidRPr="0075088F">
              <w:rPr>
                <w:sz w:val="20"/>
                <w:szCs w:val="20"/>
              </w:rPr>
              <w:t>(</w:t>
            </w:r>
            <w:r w:rsidRPr="0075088F">
              <w:rPr>
                <w:i/>
                <w:sz w:val="20"/>
                <w:szCs w:val="20"/>
              </w:rPr>
              <w:t>Duration in assistance</w:t>
            </w:r>
            <w:r w:rsidRPr="0075088F">
              <w:rPr>
                <w:sz w:val="20"/>
                <w:szCs w:val="20"/>
              </w:rPr>
              <w:t xml:space="preserve"> is calculated as days from commencement with the organisation</w:t>
            </w:r>
            <w:r>
              <w:rPr>
                <w:sz w:val="20"/>
                <w:szCs w:val="20"/>
              </w:rPr>
              <w:t xml:space="preserve"> in that program</w:t>
            </w:r>
            <w:r w:rsidRPr="0075088F">
              <w:rPr>
                <w:sz w:val="20"/>
                <w:szCs w:val="20"/>
              </w:rPr>
              <w:t>)</w:t>
            </w:r>
            <w:r>
              <w:rPr>
                <w:sz w:val="20"/>
                <w:szCs w:val="20"/>
              </w:rPr>
              <w:t>.</w:t>
            </w:r>
          </w:p>
        </w:tc>
        <w:tc>
          <w:tcPr>
            <w:tcW w:w="4852" w:type="dxa"/>
            <w:tcBorders>
              <w:top w:val="single" w:sz="4" w:space="0" w:color="auto"/>
              <w:left w:val="single" w:sz="4" w:space="0" w:color="auto"/>
              <w:bottom w:val="single" w:sz="4" w:space="0" w:color="auto"/>
              <w:right w:val="single" w:sz="4" w:space="0" w:color="auto"/>
            </w:tcBorders>
          </w:tcPr>
          <w:p w14:paraId="5DF193E5" w14:textId="77777777" w:rsidR="00152B4F" w:rsidRPr="00C41C17" w:rsidRDefault="00152B4F" w:rsidP="009039E0">
            <w:pPr>
              <w:rPr>
                <w:sz w:val="20"/>
                <w:szCs w:val="20"/>
              </w:rPr>
            </w:pPr>
            <w:r w:rsidRPr="00C41C17">
              <w:rPr>
                <w:sz w:val="20"/>
                <w:szCs w:val="20"/>
              </w:rPr>
              <w:t>Included where either:</w:t>
            </w:r>
          </w:p>
          <w:p w14:paraId="17C39867" w14:textId="77777777" w:rsidR="00152B4F" w:rsidRPr="00C41C17" w:rsidRDefault="00152B4F" w:rsidP="009039E0">
            <w:pPr>
              <w:numPr>
                <w:ilvl w:val="0"/>
                <w:numId w:val="38"/>
              </w:numPr>
              <w:rPr>
                <w:sz w:val="20"/>
                <w:szCs w:val="20"/>
              </w:rPr>
            </w:pPr>
            <w:r w:rsidRPr="00C41C17">
              <w:rPr>
                <w:i/>
                <w:sz w:val="20"/>
                <w:szCs w:val="20"/>
              </w:rPr>
              <w:t>duration in assistance</w:t>
            </w:r>
            <w:r w:rsidRPr="00C41C17">
              <w:rPr>
                <w:sz w:val="20"/>
                <w:szCs w:val="20"/>
              </w:rPr>
              <w:t xml:space="preserve"> is greater than 13,26 or 52 weeks; or</w:t>
            </w:r>
          </w:p>
          <w:p w14:paraId="45BA6396" w14:textId="77777777" w:rsidR="00152B4F" w:rsidRPr="00C41C17" w:rsidRDefault="00152B4F" w:rsidP="009039E0">
            <w:pPr>
              <w:numPr>
                <w:ilvl w:val="0"/>
                <w:numId w:val="38"/>
              </w:numPr>
              <w:rPr>
                <w:sz w:val="20"/>
                <w:szCs w:val="20"/>
              </w:rPr>
            </w:pPr>
            <w:r w:rsidRPr="00C41C17">
              <w:rPr>
                <w:sz w:val="20"/>
                <w:szCs w:val="20"/>
              </w:rPr>
              <w:t>a 13,26 or 52 Week Full or Pathway outcome is paid at the Site/Contract.</w:t>
            </w:r>
          </w:p>
          <w:p w14:paraId="1A8B45DD" w14:textId="77777777" w:rsidR="00152B4F" w:rsidRPr="00C41C17" w:rsidRDefault="00152B4F" w:rsidP="009039E0">
            <w:pPr>
              <w:rPr>
                <w:sz w:val="20"/>
                <w:szCs w:val="20"/>
              </w:rPr>
            </w:pPr>
            <w:r w:rsidRPr="00C41C17">
              <w:rPr>
                <w:sz w:val="20"/>
                <w:szCs w:val="20"/>
              </w:rPr>
              <w:t>(</w:t>
            </w:r>
            <w:r w:rsidRPr="00C41C17">
              <w:rPr>
                <w:i/>
                <w:sz w:val="20"/>
                <w:szCs w:val="20"/>
              </w:rPr>
              <w:t>Duration in assistance</w:t>
            </w:r>
            <w:r w:rsidRPr="00C41C17">
              <w:rPr>
                <w:sz w:val="20"/>
                <w:szCs w:val="20"/>
              </w:rPr>
              <w:t xml:space="preserve"> is calculated as days from commencement with the organisation in that program).</w:t>
            </w:r>
          </w:p>
        </w:tc>
      </w:tr>
      <w:tr w:rsidR="00152B4F" w:rsidRPr="0075088F" w14:paraId="2527122A" w14:textId="77777777" w:rsidTr="009039E0">
        <w:tc>
          <w:tcPr>
            <w:tcW w:w="280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6F274197" w14:textId="77777777" w:rsidR="00152B4F" w:rsidRPr="00C41C17" w:rsidRDefault="00152B4F" w:rsidP="009039E0">
            <w:pPr>
              <w:rPr>
                <w:sz w:val="20"/>
                <w:szCs w:val="20"/>
              </w:rPr>
            </w:pPr>
            <w:r w:rsidRPr="00C41C17">
              <w:rPr>
                <w:b/>
                <w:sz w:val="20"/>
                <w:szCs w:val="20"/>
              </w:rPr>
              <w:t>26 Week Bonus Outcomes</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14:paraId="500C3D75" w14:textId="77777777" w:rsidR="00152B4F" w:rsidRPr="0075088F" w:rsidRDefault="00152B4F" w:rsidP="009039E0">
            <w:pPr>
              <w:rPr>
                <w:b/>
                <w:sz w:val="20"/>
                <w:szCs w:val="20"/>
              </w:rPr>
            </w:pPr>
            <w:r w:rsidRPr="0075088F">
              <w:rPr>
                <w:b/>
                <w:sz w:val="20"/>
                <w:szCs w:val="20"/>
              </w:rPr>
              <w:t>Numerator</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009E983C" w14:textId="77777777" w:rsidR="00152B4F" w:rsidRPr="00D8525D" w:rsidRDefault="00152B4F" w:rsidP="009039E0">
            <w:pPr>
              <w:rPr>
                <w:sz w:val="20"/>
                <w:szCs w:val="20"/>
              </w:rPr>
            </w:pPr>
            <w:r w:rsidRPr="00D8525D">
              <w:rPr>
                <w:sz w:val="20"/>
                <w:szCs w:val="20"/>
              </w:rPr>
              <w:t>Not included.</w:t>
            </w:r>
          </w:p>
        </w:tc>
        <w:tc>
          <w:tcPr>
            <w:tcW w:w="4852" w:type="dxa"/>
            <w:tcBorders>
              <w:top w:val="single" w:sz="4" w:space="0" w:color="auto"/>
              <w:left w:val="single" w:sz="4" w:space="0" w:color="auto"/>
              <w:bottom w:val="single" w:sz="4" w:space="0" w:color="auto"/>
              <w:right w:val="single" w:sz="4" w:space="0" w:color="auto"/>
            </w:tcBorders>
            <w:shd w:val="clear" w:color="auto" w:fill="F3F3F3"/>
          </w:tcPr>
          <w:p w14:paraId="5F42EA65" w14:textId="77777777" w:rsidR="00152B4F" w:rsidRPr="00C41C17" w:rsidRDefault="00152B4F" w:rsidP="009039E0">
            <w:pPr>
              <w:rPr>
                <w:sz w:val="20"/>
                <w:szCs w:val="20"/>
              </w:rPr>
            </w:pPr>
            <w:r w:rsidRPr="00C41C17">
              <w:rPr>
                <w:sz w:val="20"/>
                <w:szCs w:val="20"/>
              </w:rPr>
              <w:t>Included if a Bonus outcome was paid for the 26 Week Full or Pathway outcome or the Participant was Indigenous.</w:t>
            </w:r>
          </w:p>
        </w:tc>
      </w:tr>
      <w:tr w:rsidR="00152B4F" w:rsidRPr="0075088F" w14:paraId="7C9AAA00" w14:textId="77777777" w:rsidTr="009039E0">
        <w:tc>
          <w:tcPr>
            <w:tcW w:w="2802" w:type="dxa"/>
            <w:vMerge/>
            <w:tcBorders>
              <w:top w:val="single" w:sz="4" w:space="0" w:color="auto"/>
              <w:left w:val="single" w:sz="4" w:space="0" w:color="auto"/>
              <w:bottom w:val="single" w:sz="4" w:space="0" w:color="auto"/>
              <w:right w:val="single" w:sz="4" w:space="0" w:color="auto"/>
            </w:tcBorders>
            <w:shd w:val="clear" w:color="auto" w:fill="F3F3F3"/>
            <w:vAlign w:val="center"/>
          </w:tcPr>
          <w:p w14:paraId="66F0A2A8" w14:textId="77777777" w:rsidR="00152B4F" w:rsidRPr="00C41C17" w:rsidRDefault="00152B4F" w:rsidP="009039E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14:paraId="389CF939" w14:textId="77777777" w:rsidR="00152B4F" w:rsidRPr="00D8525D" w:rsidRDefault="00152B4F" w:rsidP="009039E0">
            <w:pPr>
              <w:rPr>
                <w:b/>
                <w:sz w:val="20"/>
                <w:szCs w:val="20"/>
              </w:rPr>
            </w:pPr>
            <w:r w:rsidRPr="00D8525D">
              <w:rPr>
                <w:b/>
                <w:sz w:val="20"/>
                <w:szCs w:val="20"/>
              </w:rPr>
              <w:t>Denominator</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911D2A6" w14:textId="77777777" w:rsidR="00152B4F" w:rsidRPr="00D8525D" w:rsidRDefault="00152B4F" w:rsidP="009039E0">
            <w:pPr>
              <w:rPr>
                <w:sz w:val="20"/>
                <w:szCs w:val="20"/>
              </w:rPr>
            </w:pPr>
            <w:r w:rsidRPr="00D8525D">
              <w:rPr>
                <w:sz w:val="20"/>
                <w:szCs w:val="20"/>
              </w:rPr>
              <w:t>Not included.</w:t>
            </w:r>
          </w:p>
        </w:tc>
        <w:tc>
          <w:tcPr>
            <w:tcW w:w="4852" w:type="dxa"/>
            <w:tcBorders>
              <w:top w:val="single" w:sz="4" w:space="0" w:color="auto"/>
              <w:left w:val="single" w:sz="4" w:space="0" w:color="auto"/>
              <w:bottom w:val="single" w:sz="4" w:space="0" w:color="auto"/>
              <w:right w:val="single" w:sz="4" w:space="0" w:color="auto"/>
            </w:tcBorders>
            <w:shd w:val="clear" w:color="auto" w:fill="F3F3F3"/>
          </w:tcPr>
          <w:p w14:paraId="3BCB2D6E" w14:textId="77777777" w:rsidR="00152B4F" w:rsidRPr="00C41C17" w:rsidRDefault="00152B4F" w:rsidP="009039E0">
            <w:pPr>
              <w:rPr>
                <w:sz w:val="20"/>
                <w:szCs w:val="20"/>
              </w:rPr>
            </w:pPr>
            <w:r w:rsidRPr="00C41C17">
              <w:rPr>
                <w:sz w:val="20"/>
                <w:szCs w:val="20"/>
              </w:rPr>
              <w:t>Each Participant will be included in the denominator of the last Site where they commenced and were tracking towards achieving the outcome.</w:t>
            </w:r>
          </w:p>
        </w:tc>
      </w:tr>
      <w:tr w:rsidR="00152B4F" w:rsidRPr="0075088F" w14:paraId="1A4C3B43" w14:textId="77777777" w:rsidTr="009039E0">
        <w:tc>
          <w:tcPr>
            <w:tcW w:w="2802" w:type="dxa"/>
            <w:vMerge w:val="restart"/>
            <w:tcBorders>
              <w:top w:val="single" w:sz="4" w:space="0" w:color="auto"/>
              <w:left w:val="single" w:sz="4" w:space="0" w:color="auto"/>
              <w:right w:val="single" w:sz="4" w:space="0" w:color="auto"/>
            </w:tcBorders>
            <w:vAlign w:val="center"/>
          </w:tcPr>
          <w:p w14:paraId="5478C86C" w14:textId="77777777" w:rsidR="00152B4F" w:rsidRPr="00C41C17" w:rsidRDefault="00152B4F" w:rsidP="009039E0">
            <w:pPr>
              <w:rPr>
                <w:b/>
                <w:sz w:val="20"/>
                <w:szCs w:val="20"/>
              </w:rPr>
            </w:pPr>
            <w:r w:rsidRPr="00C41C17">
              <w:rPr>
                <w:b/>
                <w:sz w:val="20"/>
                <w:szCs w:val="20"/>
              </w:rPr>
              <w:t>Work Assist Outcomes</w:t>
            </w:r>
          </w:p>
        </w:tc>
        <w:tc>
          <w:tcPr>
            <w:tcW w:w="1559" w:type="dxa"/>
            <w:tcBorders>
              <w:top w:val="single" w:sz="4" w:space="0" w:color="auto"/>
              <w:left w:val="single" w:sz="4" w:space="0" w:color="auto"/>
              <w:bottom w:val="single" w:sz="4" w:space="0" w:color="auto"/>
              <w:right w:val="single" w:sz="4" w:space="0" w:color="auto"/>
            </w:tcBorders>
            <w:vAlign w:val="center"/>
          </w:tcPr>
          <w:p w14:paraId="38ADABFB" w14:textId="77777777" w:rsidR="00152B4F" w:rsidRPr="00D8525D" w:rsidRDefault="00152B4F" w:rsidP="009039E0">
            <w:pPr>
              <w:rPr>
                <w:b/>
                <w:sz w:val="20"/>
                <w:szCs w:val="20"/>
              </w:rPr>
            </w:pPr>
            <w:r w:rsidRPr="00D8525D">
              <w:rPr>
                <w:b/>
                <w:sz w:val="20"/>
                <w:szCs w:val="20"/>
              </w:rPr>
              <w:t>Numerator</w:t>
            </w:r>
          </w:p>
        </w:tc>
        <w:tc>
          <w:tcPr>
            <w:tcW w:w="4961" w:type="dxa"/>
            <w:tcBorders>
              <w:top w:val="single" w:sz="4" w:space="0" w:color="auto"/>
              <w:left w:val="single" w:sz="4" w:space="0" w:color="auto"/>
              <w:bottom w:val="single" w:sz="4" w:space="0" w:color="auto"/>
              <w:right w:val="single" w:sz="4" w:space="0" w:color="auto"/>
            </w:tcBorders>
          </w:tcPr>
          <w:p w14:paraId="79AB805D" w14:textId="77777777" w:rsidR="00152B4F" w:rsidRPr="00D8525D" w:rsidRDefault="00152B4F" w:rsidP="009039E0">
            <w:pPr>
              <w:rPr>
                <w:sz w:val="20"/>
                <w:szCs w:val="20"/>
              </w:rPr>
            </w:pPr>
            <w:r w:rsidRPr="00D8525D">
              <w:rPr>
                <w:sz w:val="20"/>
                <w:szCs w:val="20"/>
              </w:rPr>
              <w:t>Not included.</w:t>
            </w:r>
          </w:p>
        </w:tc>
        <w:tc>
          <w:tcPr>
            <w:tcW w:w="4852" w:type="dxa"/>
            <w:tcBorders>
              <w:top w:val="single" w:sz="4" w:space="0" w:color="auto"/>
              <w:left w:val="single" w:sz="4" w:space="0" w:color="auto"/>
              <w:bottom w:val="single" w:sz="4" w:space="0" w:color="auto"/>
              <w:right w:val="single" w:sz="4" w:space="0" w:color="auto"/>
            </w:tcBorders>
          </w:tcPr>
          <w:p w14:paraId="43687B3A" w14:textId="77777777" w:rsidR="00152B4F" w:rsidRPr="00C41C17" w:rsidRDefault="00152B4F" w:rsidP="009039E0">
            <w:pPr>
              <w:rPr>
                <w:sz w:val="20"/>
                <w:szCs w:val="20"/>
              </w:rPr>
            </w:pPr>
            <w:r w:rsidRPr="00C41C17">
              <w:rPr>
                <w:sz w:val="20"/>
                <w:szCs w:val="20"/>
              </w:rPr>
              <w:t>Included if a Work Assist 26 Week outcome is paid at the Site/Contract.</w:t>
            </w:r>
          </w:p>
        </w:tc>
      </w:tr>
      <w:tr w:rsidR="00152B4F" w:rsidRPr="0075088F" w14:paraId="3B49CBEB" w14:textId="77777777" w:rsidTr="009039E0">
        <w:tc>
          <w:tcPr>
            <w:tcW w:w="2802" w:type="dxa"/>
            <w:vMerge/>
            <w:tcBorders>
              <w:left w:val="single" w:sz="4" w:space="0" w:color="auto"/>
              <w:bottom w:val="single" w:sz="4" w:space="0" w:color="auto"/>
              <w:right w:val="single" w:sz="4" w:space="0" w:color="auto"/>
            </w:tcBorders>
            <w:vAlign w:val="center"/>
          </w:tcPr>
          <w:p w14:paraId="798A2EFC" w14:textId="77777777" w:rsidR="00152B4F" w:rsidRDefault="00152B4F" w:rsidP="009039E0">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397BD9" w14:textId="77777777" w:rsidR="00152B4F" w:rsidRPr="00D8525D" w:rsidRDefault="00152B4F" w:rsidP="009039E0">
            <w:pPr>
              <w:rPr>
                <w:b/>
                <w:sz w:val="20"/>
                <w:szCs w:val="20"/>
              </w:rPr>
            </w:pPr>
            <w:r w:rsidRPr="00D8525D">
              <w:rPr>
                <w:b/>
                <w:sz w:val="20"/>
                <w:szCs w:val="20"/>
              </w:rPr>
              <w:t>Denominator</w:t>
            </w:r>
          </w:p>
        </w:tc>
        <w:tc>
          <w:tcPr>
            <w:tcW w:w="4961" w:type="dxa"/>
            <w:tcBorders>
              <w:top w:val="single" w:sz="4" w:space="0" w:color="auto"/>
              <w:left w:val="single" w:sz="4" w:space="0" w:color="auto"/>
              <w:bottom w:val="single" w:sz="4" w:space="0" w:color="auto"/>
              <w:right w:val="single" w:sz="4" w:space="0" w:color="auto"/>
            </w:tcBorders>
          </w:tcPr>
          <w:p w14:paraId="495108E0" w14:textId="77777777" w:rsidR="00152B4F" w:rsidRPr="00D8525D" w:rsidRDefault="00152B4F" w:rsidP="009039E0">
            <w:pPr>
              <w:rPr>
                <w:sz w:val="20"/>
                <w:szCs w:val="20"/>
              </w:rPr>
            </w:pPr>
            <w:r w:rsidRPr="00D8525D">
              <w:rPr>
                <w:sz w:val="20"/>
                <w:szCs w:val="20"/>
              </w:rPr>
              <w:t>Not included.</w:t>
            </w:r>
          </w:p>
        </w:tc>
        <w:tc>
          <w:tcPr>
            <w:tcW w:w="4852" w:type="dxa"/>
            <w:tcBorders>
              <w:top w:val="single" w:sz="4" w:space="0" w:color="auto"/>
              <w:left w:val="single" w:sz="4" w:space="0" w:color="auto"/>
              <w:bottom w:val="single" w:sz="4" w:space="0" w:color="auto"/>
              <w:right w:val="single" w:sz="4" w:space="0" w:color="auto"/>
            </w:tcBorders>
          </w:tcPr>
          <w:p w14:paraId="44CE596F" w14:textId="77777777" w:rsidR="00152B4F" w:rsidRPr="00A01C61" w:rsidRDefault="00152B4F" w:rsidP="009039E0">
            <w:pPr>
              <w:rPr>
                <w:sz w:val="20"/>
                <w:szCs w:val="20"/>
                <w:highlight w:val="green"/>
              </w:rPr>
            </w:pPr>
            <w:r>
              <w:rPr>
                <w:sz w:val="20"/>
                <w:szCs w:val="20"/>
              </w:rPr>
              <w:t>Each Participant will be included in the denominator of the last Site where they commenced and were tracking towards achieving the outcome.</w:t>
            </w:r>
          </w:p>
        </w:tc>
      </w:tr>
      <w:tr w:rsidR="00152B4F" w:rsidRPr="0075088F" w14:paraId="4741034F" w14:textId="77777777" w:rsidTr="009039E0">
        <w:tc>
          <w:tcPr>
            <w:tcW w:w="28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0D2FC" w14:textId="77777777" w:rsidR="00152B4F" w:rsidRPr="0075088F" w:rsidRDefault="00152B4F" w:rsidP="009039E0">
            <w:pPr>
              <w:rPr>
                <w:b/>
                <w:sz w:val="20"/>
                <w:szCs w:val="20"/>
              </w:rPr>
            </w:pPr>
          </w:p>
          <w:p w14:paraId="1B4AD482" w14:textId="77777777" w:rsidR="00152B4F" w:rsidRPr="0075088F" w:rsidRDefault="00152B4F" w:rsidP="009039E0">
            <w:pPr>
              <w:rPr>
                <w:sz w:val="20"/>
                <w:szCs w:val="20"/>
              </w:rPr>
            </w:pPr>
            <w:r w:rsidRPr="0075088F">
              <w:rPr>
                <w:b/>
                <w:sz w:val="20"/>
                <w:szCs w:val="20"/>
              </w:rPr>
              <w:t>Ongoing Support</w:t>
            </w:r>
            <w:r>
              <w:rPr>
                <w:b/>
                <w:sz w:val="20"/>
                <w:szCs w:val="20"/>
              </w:rPr>
              <w:t xml:space="preserve"> </w:t>
            </w:r>
            <w:r>
              <w:rPr>
                <w:b/>
                <w:sz w:val="20"/>
                <w:szCs w:val="20"/>
              </w:rPr>
              <w:br/>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7333B" w14:textId="77777777" w:rsidR="00152B4F" w:rsidRPr="0075088F" w:rsidRDefault="00152B4F" w:rsidP="009039E0">
            <w:pPr>
              <w:rPr>
                <w:b/>
                <w:sz w:val="20"/>
                <w:szCs w:val="20"/>
              </w:rPr>
            </w:pPr>
            <w:r w:rsidRPr="0075088F">
              <w:rPr>
                <w:b/>
                <w:sz w:val="20"/>
                <w:szCs w:val="20"/>
              </w:rPr>
              <w:t>Numerator</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51429" w14:textId="77777777" w:rsidR="00152B4F" w:rsidRPr="0075088F" w:rsidRDefault="00152B4F" w:rsidP="009039E0">
            <w:pPr>
              <w:rPr>
                <w:sz w:val="20"/>
                <w:szCs w:val="20"/>
              </w:rPr>
            </w:pPr>
            <w:r w:rsidRPr="0075088F">
              <w:rPr>
                <w:sz w:val="20"/>
                <w:szCs w:val="20"/>
              </w:rPr>
              <w:t>Transfer between organisations: Included.</w:t>
            </w:r>
          </w:p>
          <w:p w14:paraId="7EE3256F" w14:textId="77777777" w:rsidR="00152B4F" w:rsidRPr="0075088F" w:rsidRDefault="00152B4F" w:rsidP="009039E0">
            <w:pPr>
              <w:rPr>
                <w:sz w:val="20"/>
                <w:szCs w:val="20"/>
              </w:rPr>
            </w:pPr>
            <w:r w:rsidRPr="0075088F">
              <w:rPr>
                <w:sz w:val="20"/>
                <w:szCs w:val="20"/>
              </w:rPr>
              <w:t>Transfer within organisation: Not included.</w:t>
            </w:r>
          </w:p>
        </w:tc>
        <w:tc>
          <w:tcPr>
            <w:tcW w:w="4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00A88" w14:textId="77777777" w:rsidR="00152B4F" w:rsidRPr="0075088F" w:rsidRDefault="00152B4F" w:rsidP="009039E0">
            <w:pPr>
              <w:rPr>
                <w:sz w:val="20"/>
                <w:szCs w:val="20"/>
              </w:rPr>
            </w:pPr>
            <w:r w:rsidRPr="0075088F">
              <w:rPr>
                <w:sz w:val="20"/>
                <w:szCs w:val="20"/>
              </w:rPr>
              <w:t xml:space="preserve">Included if </w:t>
            </w:r>
            <w:r>
              <w:rPr>
                <w:sz w:val="20"/>
                <w:szCs w:val="20"/>
              </w:rPr>
              <w:t>Participant</w:t>
            </w:r>
            <w:r w:rsidRPr="0075088F">
              <w:rPr>
                <w:sz w:val="20"/>
                <w:szCs w:val="20"/>
              </w:rPr>
              <w:t xml:space="preserve"> is still in </w:t>
            </w:r>
            <w:r>
              <w:rPr>
                <w:sz w:val="20"/>
                <w:szCs w:val="20"/>
              </w:rPr>
              <w:t>O</w:t>
            </w:r>
            <w:r w:rsidRPr="0075088F">
              <w:rPr>
                <w:sz w:val="20"/>
                <w:szCs w:val="20"/>
              </w:rPr>
              <w:t xml:space="preserve">ngoing </w:t>
            </w:r>
            <w:r>
              <w:rPr>
                <w:sz w:val="20"/>
                <w:szCs w:val="20"/>
              </w:rPr>
              <w:t>S</w:t>
            </w:r>
            <w:r w:rsidRPr="0075088F">
              <w:rPr>
                <w:sz w:val="20"/>
                <w:szCs w:val="20"/>
              </w:rPr>
              <w:t xml:space="preserve">upport, or exits as an </w:t>
            </w:r>
            <w:r>
              <w:rPr>
                <w:sz w:val="20"/>
                <w:szCs w:val="20"/>
              </w:rPr>
              <w:t>I</w:t>
            </w:r>
            <w:r w:rsidRPr="0075088F">
              <w:rPr>
                <w:sz w:val="20"/>
                <w:szCs w:val="20"/>
              </w:rPr>
              <w:t xml:space="preserve">ndependent </w:t>
            </w:r>
            <w:r>
              <w:rPr>
                <w:sz w:val="20"/>
                <w:szCs w:val="20"/>
              </w:rPr>
              <w:t>W</w:t>
            </w:r>
            <w:r w:rsidRPr="0075088F">
              <w:rPr>
                <w:sz w:val="20"/>
                <w:szCs w:val="20"/>
              </w:rPr>
              <w:t>orker</w:t>
            </w:r>
            <w:r>
              <w:rPr>
                <w:sz w:val="20"/>
                <w:szCs w:val="20"/>
              </w:rPr>
              <w:t>, with verification that they are employed six weeks after they exit.</w:t>
            </w:r>
          </w:p>
        </w:tc>
      </w:tr>
      <w:tr w:rsidR="00152B4F" w:rsidRPr="0075088F" w14:paraId="003A64C6" w14:textId="77777777" w:rsidTr="009039E0">
        <w:tc>
          <w:tcPr>
            <w:tcW w:w="28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8C9F0" w14:textId="77777777" w:rsidR="00152B4F" w:rsidRPr="0075088F" w:rsidRDefault="00152B4F" w:rsidP="009039E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7C6AA" w14:textId="77777777" w:rsidR="00152B4F" w:rsidRPr="0075088F" w:rsidRDefault="00152B4F" w:rsidP="009039E0">
            <w:pPr>
              <w:rPr>
                <w:b/>
                <w:sz w:val="20"/>
                <w:szCs w:val="20"/>
              </w:rPr>
            </w:pPr>
            <w:r w:rsidRPr="0075088F">
              <w:rPr>
                <w:b/>
                <w:sz w:val="20"/>
                <w:szCs w:val="20"/>
              </w:rPr>
              <w:t>Denominator</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D56BA" w14:textId="77777777" w:rsidR="00152B4F" w:rsidRPr="0075088F" w:rsidRDefault="00152B4F" w:rsidP="009039E0">
            <w:pPr>
              <w:rPr>
                <w:sz w:val="20"/>
                <w:szCs w:val="20"/>
              </w:rPr>
            </w:pPr>
            <w:r w:rsidRPr="0075088F">
              <w:rPr>
                <w:sz w:val="20"/>
                <w:szCs w:val="20"/>
              </w:rPr>
              <w:t>Transfer between organisations: Included.</w:t>
            </w:r>
          </w:p>
          <w:p w14:paraId="3F24F7C9" w14:textId="77777777" w:rsidR="00152B4F" w:rsidRPr="0075088F" w:rsidRDefault="00152B4F" w:rsidP="009039E0">
            <w:pPr>
              <w:rPr>
                <w:sz w:val="20"/>
                <w:szCs w:val="20"/>
              </w:rPr>
            </w:pPr>
            <w:r w:rsidRPr="0075088F">
              <w:rPr>
                <w:sz w:val="20"/>
                <w:szCs w:val="20"/>
              </w:rPr>
              <w:t>Transfer within organisation: Not included.</w:t>
            </w:r>
          </w:p>
        </w:tc>
        <w:tc>
          <w:tcPr>
            <w:tcW w:w="4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2A82C" w14:textId="77777777" w:rsidR="00152B4F" w:rsidRPr="0075088F" w:rsidRDefault="00152B4F" w:rsidP="009039E0">
            <w:pPr>
              <w:rPr>
                <w:sz w:val="20"/>
                <w:szCs w:val="20"/>
              </w:rPr>
            </w:pPr>
            <w:r w:rsidRPr="0075088F">
              <w:rPr>
                <w:sz w:val="20"/>
                <w:szCs w:val="20"/>
              </w:rPr>
              <w:t>Included.</w:t>
            </w:r>
          </w:p>
        </w:tc>
      </w:tr>
    </w:tbl>
    <w:p w14:paraId="5B38A9AA" w14:textId="77777777" w:rsidR="00152B4F" w:rsidRDefault="00152B4F" w:rsidP="00152B4F">
      <w:pPr>
        <w:tabs>
          <w:tab w:val="left" w:pos="1544"/>
        </w:tabs>
        <w:rPr>
          <w:szCs w:val="22"/>
        </w:rPr>
      </w:pPr>
      <w:r>
        <w:rPr>
          <w:szCs w:val="22"/>
        </w:rPr>
        <w:tab/>
      </w:r>
    </w:p>
    <w:p w14:paraId="27D1BF45" w14:textId="77777777" w:rsidR="00152B4F" w:rsidRPr="00C41C17" w:rsidRDefault="00152B4F" w:rsidP="00152B4F">
      <w:pPr>
        <w:tabs>
          <w:tab w:val="left" w:pos="1544"/>
        </w:tabs>
        <w:rPr>
          <w:szCs w:val="22"/>
        </w:rPr>
        <w:sectPr w:rsidR="00152B4F" w:rsidRPr="00C41C17" w:rsidSect="00FF41CF">
          <w:footerReference w:type="first" r:id="rId25"/>
          <w:pgSz w:w="16838" w:h="11906" w:orient="landscape" w:code="9"/>
          <w:pgMar w:top="1440" w:right="1080" w:bottom="1440" w:left="1080" w:header="708" w:footer="708" w:gutter="0"/>
          <w:cols w:space="708"/>
          <w:titlePg/>
          <w:docGrid w:linePitch="360"/>
        </w:sectPr>
      </w:pPr>
      <w:r>
        <w:rPr>
          <w:szCs w:val="22"/>
        </w:rPr>
        <w:tab/>
      </w:r>
    </w:p>
    <w:p w14:paraId="34A37A22" w14:textId="77777777" w:rsidR="00152B4F" w:rsidRPr="00AA6FAA" w:rsidRDefault="00152B4F" w:rsidP="00152B4F">
      <w:pPr>
        <w:pStyle w:val="Heading2"/>
        <w:spacing w:after="0"/>
        <w:jc w:val="right"/>
        <w:rPr>
          <w:sz w:val="28"/>
          <w:szCs w:val="28"/>
        </w:rPr>
      </w:pPr>
      <w:bookmarkStart w:id="73" w:name="_Toc348440489"/>
      <w:bookmarkStart w:id="74" w:name="_Toc413246194"/>
      <w:bookmarkStart w:id="75" w:name="_Toc47098295"/>
      <w:r w:rsidRPr="00AA6FAA">
        <w:rPr>
          <w:sz w:val="28"/>
          <w:szCs w:val="28"/>
        </w:rPr>
        <w:t xml:space="preserve">ATTACHMENT </w:t>
      </w:r>
      <w:bookmarkEnd w:id="73"/>
      <w:r w:rsidRPr="00AA6FAA">
        <w:rPr>
          <w:sz w:val="28"/>
          <w:szCs w:val="28"/>
        </w:rPr>
        <w:t>B</w:t>
      </w:r>
      <w:bookmarkEnd w:id="74"/>
      <w:bookmarkEnd w:id="75"/>
    </w:p>
    <w:p w14:paraId="7E912970" w14:textId="77777777" w:rsidR="00152B4F" w:rsidRPr="00E32170" w:rsidRDefault="00152B4F" w:rsidP="00152B4F">
      <w:pPr>
        <w:pStyle w:val="Heading3"/>
        <w:rPr>
          <w:color w:val="C00000"/>
        </w:rPr>
      </w:pPr>
      <w:bookmarkStart w:id="76" w:name="_Toc348440490"/>
      <w:bookmarkStart w:id="77" w:name="_Toc413246195"/>
      <w:bookmarkStart w:id="78" w:name="_Toc47098296"/>
      <w:r w:rsidRPr="00E32170">
        <w:t>How the 26 Week Outcome performance measures are combined in Step 3</w:t>
      </w:r>
      <w:bookmarkEnd w:id="76"/>
      <w:bookmarkEnd w:id="77"/>
      <w:r w:rsidRPr="00E32170">
        <w:t xml:space="preserve"> –</w:t>
      </w:r>
      <w:bookmarkEnd w:id="78"/>
      <w:r w:rsidRPr="00E32170">
        <w:t xml:space="preserve"> </w:t>
      </w:r>
    </w:p>
    <w:p w14:paraId="21EFABA5" w14:textId="77777777" w:rsidR="00152B4F" w:rsidRPr="00E32170" w:rsidRDefault="00152B4F" w:rsidP="00152B4F">
      <w:r w:rsidRPr="00E32170">
        <w:t xml:space="preserve">The following gives a practical explanation of how the 26 Week Outcome measures are combined during Step 3 of the Six Steps to calculate Star Ratings. The process for combining the 26 Week Outcomes is almost identical, except that the 26 Week Performance Measures have different weightings. </w:t>
      </w:r>
    </w:p>
    <w:p w14:paraId="02989975" w14:textId="77777777" w:rsidR="00152B4F" w:rsidRPr="00E32170" w:rsidRDefault="00152B4F" w:rsidP="00152B4F"/>
    <w:p w14:paraId="3343E00B" w14:textId="77777777" w:rsidR="00152B4F" w:rsidRPr="00E32170" w:rsidRDefault="00152B4F" w:rsidP="00152B4F">
      <w:r w:rsidRPr="00E32170">
        <w:rPr>
          <w:b/>
        </w:rPr>
        <w:t>Step 3</w:t>
      </w:r>
      <w:r w:rsidRPr="00E32170">
        <w:t xml:space="preserve">: </w:t>
      </w:r>
      <w:r w:rsidRPr="00E32170">
        <w:rPr>
          <w:b/>
        </w:rPr>
        <w:t>Calculate Ratio of Actual Outcomes to Expected Outcomes</w:t>
      </w:r>
    </w:p>
    <w:p w14:paraId="4DF6C4DD" w14:textId="77777777" w:rsidR="00152B4F" w:rsidRPr="00E32170" w:rsidRDefault="00152B4F" w:rsidP="00152B4F">
      <w:r w:rsidRPr="00E32170">
        <w:t xml:space="preserve">The combined measure compares the actual performance for each outcome type added together (i.e. Full + Pathway + Bonus), with the expected performance for each outcome type added together (i.e. Full + Pathway + Bonus). </w:t>
      </w:r>
    </w:p>
    <w:p w14:paraId="0EEB2BFA" w14:textId="77777777" w:rsidR="00152B4F" w:rsidRPr="00E32170" w:rsidRDefault="00152B4F" w:rsidP="00152B4F">
      <w:pPr>
        <w:rPr>
          <w:i/>
        </w:rPr>
      </w:pPr>
    </w:p>
    <w:p w14:paraId="6F02D98E" w14:textId="77777777" w:rsidR="00152B4F" w:rsidRDefault="00152B4F" w:rsidP="00152B4F">
      <w:r w:rsidRPr="00E32170">
        <w:t xml:space="preserve">The outcomes will each need to be weighted according to the performance measure weights in Table </w:t>
      </w:r>
      <w:r>
        <w:t>one</w:t>
      </w:r>
      <w:r w:rsidRPr="00E32170">
        <w:t xml:space="preserve">. The actual performance for 26 Week Full outcomes in ESS is weighted by 30 per cent. Likewise, the expected performance for 26 Week Full </w:t>
      </w:r>
      <w:r>
        <w:t>O</w:t>
      </w:r>
      <w:r w:rsidRPr="00E32170">
        <w:t xml:space="preserve">utcomes is also weighted by 30 per cent. The actual and expected performance for Pathway and Bonus </w:t>
      </w:r>
      <w:r>
        <w:t>O</w:t>
      </w:r>
      <w:r w:rsidRPr="00E32170">
        <w:t>utcomes are each weighted by five per cent.</w:t>
      </w:r>
    </w:p>
    <w:p w14:paraId="5B60FE37" w14:textId="77777777" w:rsidR="00152B4F" w:rsidRPr="004D5E5B" w:rsidRDefault="00152B4F" w:rsidP="00152B4F"/>
    <w:p w14:paraId="330577E5" w14:textId="77777777" w:rsidR="00152B4F" w:rsidRPr="004D5E5B" w:rsidRDefault="00152B4F" w:rsidP="00152B4F">
      <w:r w:rsidRPr="004D5E5B">
        <w:t>Therefore, the actual versus expected equation will look like:</w:t>
      </w:r>
    </w:p>
    <w:p w14:paraId="73D565F4" w14:textId="77777777" w:rsidR="00152B4F" w:rsidRDefault="00152B4F" w:rsidP="00152B4F">
      <w:pPr>
        <w:rPr>
          <w:rFonts w:asciiTheme="minorHAnsi" w:hAnsiTheme="minorHAnsi" w:cs="Cambria"/>
          <w:i/>
        </w:rPr>
      </w:pPr>
    </w:p>
    <w:p w14:paraId="5CB532B5" w14:textId="77777777" w:rsidR="00152B4F" w:rsidRPr="00E56CFB" w:rsidRDefault="00152B4F" w:rsidP="00152B4F">
      <w:pPr>
        <w:rPr>
          <w:rFonts w:eastAsia="Times New Roman" w:cs="Calibri"/>
          <w:i/>
          <w:sz w:val="24"/>
        </w:rPr>
      </w:pPr>
      <m:oMathPara>
        <m:oMathParaPr>
          <m:jc m:val="left"/>
        </m:oMathParaPr>
        <m:oMath>
          <m:r>
            <w:rPr>
              <w:rFonts w:ascii="Cambria Math" w:hAnsi="Cambria Math" w:cs="Calibri"/>
              <w:sz w:val="24"/>
            </w:rPr>
            <m:t xml:space="preserve">Actual vs Expected (ESS 26 week Outcomes)= </m:t>
          </m:r>
        </m:oMath>
      </m:oMathPara>
    </w:p>
    <w:p w14:paraId="2E672757" w14:textId="77777777" w:rsidR="00152B4F" w:rsidRPr="00AA6FAA" w:rsidRDefault="00152B4F" w:rsidP="00152B4F">
      <w:pPr>
        <w:rPr>
          <w:rFonts w:eastAsia="Times New Roman" w:cs="Calibri"/>
          <w:sz w:val="26"/>
          <w:szCs w:val="26"/>
        </w:rPr>
      </w:pPr>
      <m:oMath>
        <m:r>
          <w:rPr>
            <w:rFonts w:ascii="Cambria Math" w:hAnsi="Cambria Math" w:cs="Calibri"/>
            <w:sz w:val="26"/>
            <w:szCs w:val="26"/>
          </w:rPr>
          <m:t xml:space="preserve"> </m:t>
        </m:r>
        <m:f>
          <m:fPr>
            <m:ctrlPr>
              <w:rPr>
                <w:rFonts w:ascii="Cambria Math" w:hAnsi="Cambria Math"/>
                <w:i/>
                <w:sz w:val="26"/>
              </w:rPr>
            </m:ctrlPr>
          </m:fPr>
          <m:num>
            <m:d>
              <m:dPr>
                <m:ctrlPr>
                  <w:rPr>
                    <w:rFonts w:ascii="Cambria Math" w:hAnsi="Cambria Math"/>
                    <w:i/>
                    <w:sz w:val="26"/>
                  </w:rPr>
                </m:ctrlPr>
              </m:dPr>
              <m:e>
                <m:r>
                  <w:rPr>
                    <w:rFonts w:ascii="Cambria Math" w:hAnsi="Cambria Math" w:cs="Calibri"/>
                    <w:sz w:val="26"/>
                    <w:szCs w:val="26"/>
                  </w:rPr>
                  <m:t>actual full outcomes</m:t>
                </m:r>
              </m:e>
            </m:d>
            <m:r>
              <w:rPr>
                <w:rFonts w:ascii="Cambria Math" w:hAnsi="Cambria Math" w:cs="Calibri"/>
                <w:sz w:val="26"/>
                <w:szCs w:val="26"/>
              </w:rPr>
              <m:t>*30%+</m:t>
            </m:r>
            <m:d>
              <m:dPr>
                <m:ctrlPr>
                  <w:rPr>
                    <w:rFonts w:ascii="Cambria Math" w:hAnsi="Cambria Math"/>
                    <w:i/>
                    <w:sz w:val="26"/>
                  </w:rPr>
                </m:ctrlPr>
              </m:dPr>
              <m:e>
                <m:r>
                  <w:rPr>
                    <w:rFonts w:ascii="Cambria Math" w:hAnsi="Cambria Math" w:cs="Calibri"/>
                    <w:sz w:val="26"/>
                    <w:szCs w:val="26"/>
                  </w:rPr>
                  <m:t>actual pathway outcomes</m:t>
                </m:r>
              </m:e>
            </m:d>
            <m:r>
              <w:rPr>
                <w:rFonts w:ascii="Cambria Math" w:hAnsi="Cambria Math" w:cs="Calibri"/>
                <w:sz w:val="26"/>
                <w:szCs w:val="26"/>
              </w:rPr>
              <m:t>*5%+</m:t>
            </m:r>
            <m:d>
              <m:dPr>
                <m:ctrlPr>
                  <w:rPr>
                    <w:rFonts w:ascii="Cambria Math" w:hAnsi="Cambria Math"/>
                    <w:i/>
                    <w:sz w:val="26"/>
                  </w:rPr>
                </m:ctrlPr>
              </m:dPr>
              <m:e>
                <m:r>
                  <w:rPr>
                    <w:rFonts w:ascii="Cambria Math" w:hAnsi="Cambria Math" w:cs="Calibri"/>
                    <w:sz w:val="26"/>
                    <w:szCs w:val="26"/>
                  </w:rPr>
                  <m:t>actual bonus outcomes</m:t>
                </m:r>
              </m:e>
            </m:d>
            <m:r>
              <w:rPr>
                <w:rFonts w:ascii="Cambria Math" w:hAnsi="Cambria Math" w:cs="Calibri"/>
                <w:sz w:val="26"/>
                <w:szCs w:val="26"/>
              </w:rPr>
              <m:t>*5%</m:t>
            </m:r>
          </m:num>
          <m:den>
            <m:d>
              <m:dPr>
                <m:ctrlPr>
                  <w:rPr>
                    <w:rFonts w:ascii="Cambria Math" w:hAnsi="Cambria Math"/>
                    <w:i/>
                    <w:sz w:val="26"/>
                  </w:rPr>
                </m:ctrlPr>
              </m:dPr>
              <m:e>
                <m:r>
                  <w:rPr>
                    <w:rFonts w:ascii="Cambria Math" w:hAnsi="Cambria Math" w:cs="Calibri"/>
                    <w:sz w:val="26"/>
                    <w:szCs w:val="26"/>
                  </w:rPr>
                  <m:t>expected full outcomes</m:t>
                </m:r>
              </m:e>
            </m:d>
            <m:r>
              <w:rPr>
                <w:rFonts w:ascii="Cambria Math" w:hAnsi="Cambria Math" w:cs="Calibri"/>
                <w:sz w:val="26"/>
                <w:szCs w:val="26"/>
              </w:rPr>
              <m:t>*30%+</m:t>
            </m:r>
            <m:d>
              <m:dPr>
                <m:ctrlPr>
                  <w:rPr>
                    <w:rFonts w:ascii="Cambria Math" w:hAnsi="Cambria Math"/>
                    <w:i/>
                    <w:sz w:val="26"/>
                  </w:rPr>
                </m:ctrlPr>
              </m:dPr>
              <m:e>
                <m:r>
                  <w:rPr>
                    <w:rFonts w:ascii="Cambria Math" w:hAnsi="Cambria Math" w:cs="Calibri"/>
                    <w:sz w:val="26"/>
                    <w:szCs w:val="26"/>
                  </w:rPr>
                  <m:t>expected pathway outcomes</m:t>
                </m:r>
              </m:e>
            </m:d>
            <m:r>
              <w:rPr>
                <w:rFonts w:ascii="Cambria Math" w:hAnsi="Cambria Math" w:cs="Calibri"/>
                <w:sz w:val="26"/>
                <w:szCs w:val="26"/>
              </w:rPr>
              <m:t>*5%+</m:t>
            </m:r>
            <m:d>
              <m:dPr>
                <m:ctrlPr>
                  <w:rPr>
                    <w:rFonts w:ascii="Cambria Math" w:hAnsi="Cambria Math"/>
                    <w:i/>
                    <w:sz w:val="26"/>
                  </w:rPr>
                </m:ctrlPr>
              </m:dPr>
              <m:e>
                <m:r>
                  <w:rPr>
                    <w:rFonts w:ascii="Cambria Math" w:hAnsi="Cambria Math" w:cs="Calibri"/>
                    <w:sz w:val="26"/>
                    <w:szCs w:val="26"/>
                  </w:rPr>
                  <m:t>expected bonus outcomes</m:t>
                </m:r>
              </m:e>
            </m:d>
            <m:r>
              <w:rPr>
                <w:rFonts w:ascii="Cambria Math" w:hAnsi="Cambria Math" w:cs="Calibri"/>
                <w:sz w:val="26"/>
                <w:szCs w:val="26"/>
              </w:rPr>
              <m:t>*5%</m:t>
            </m:r>
          </m:den>
        </m:f>
      </m:oMath>
      <w:r w:rsidRPr="00AA6FAA">
        <w:rPr>
          <w:rFonts w:eastAsia="Times New Roman" w:cs="Calibri"/>
          <w:sz w:val="26"/>
          <w:szCs w:val="26"/>
        </w:rPr>
        <w:t xml:space="preserve"> </w:t>
      </w:r>
    </w:p>
    <w:p w14:paraId="465D096D" w14:textId="77777777" w:rsidR="00152B4F" w:rsidRPr="00AA6FAA" w:rsidRDefault="00152B4F" w:rsidP="00152B4F">
      <w:pPr>
        <w:rPr>
          <w:rFonts w:eastAsia="Times New Roman" w:cs="Calibri"/>
          <w:i/>
        </w:rPr>
      </w:pPr>
    </w:p>
    <w:p w14:paraId="7A3F65BF" w14:textId="77777777" w:rsidR="00152B4F" w:rsidRPr="00AA6FAA" w:rsidRDefault="00152B4F" w:rsidP="00152B4F">
      <w:pPr>
        <w:rPr>
          <w:rFonts w:cs="Calibri"/>
        </w:rPr>
      </w:pPr>
      <w:r w:rsidRPr="00AA6FAA">
        <w:rPr>
          <w:rFonts w:cs="Calibri"/>
        </w:rPr>
        <w:t>For Site X, described in the ‘Star Ratings Model Six Steps’, the actual and expected results from steps 1 and 2 above are as follows:</w:t>
      </w:r>
    </w:p>
    <w:p w14:paraId="6D2F57B4" w14:textId="77777777" w:rsidR="00152B4F" w:rsidRPr="00AA6FAA" w:rsidRDefault="00152B4F" w:rsidP="00152B4F">
      <w:pPr>
        <w:rPr>
          <w:rFonts w:eastAsia="Times New Roman" w:cs="Calibri"/>
          <w:i/>
        </w:rPr>
      </w:pPr>
    </w:p>
    <w:tbl>
      <w:tblPr>
        <w:tblW w:w="8154" w:type="dxa"/>
        <w:tblInd w:w="132" w:type="dxa"/>
        <w:tblLook w:val="04A0" w:firstRow="1" w:lastRow="0" w:firstColumn="1" w:lastColumn="0" w:noHBand="0" w:noVBand="1"/>
      </w:tblPr>
      <w:tblGrid>
        <w:gridCol w:w="4111"/>
        <w:gridCol w:w="1417"/>
        <w:gridCol w:w="1418"/>
        <w:gridCol w:w="1208"/>
      </w:tblGrid>
      <w:tr w:rsidR="00152B4F" w:rsidRPr="00AA6FAA" w14:paraId="3D810798" w14:textId="77777777" w:rsidTr="009039E0">
        <w:trPr>
          <w:trHeight w:val="300"/>
        </w:trPr>
        <w:tc>
          <w:tcPr>
            <w:tcW w:w="4111" w:type="dxa"/>
            <w:tcBorders>
              <w:top w:val="single" w:sz="8" w:space="0" w:color="auto"/>
              <w:left w:val="single" w:sz="8" w:space="0" w:color="auto"/>
              <w:bottom w:val="nil"/>
              <w:right w:val="single" w:sz="8" w:space="0" w:color="auto"/>
            </w:tcBorders>
            <w:shd w:val="clear" w:color="auto" w:fill="FFFFFF" w:themeFill="background1"/>
            <w:noWrap/>
            <w:vAlign w:val="center"/>
            <w:hideMark/>
          </w:tcPr>
          <w:p w14:paraId="4C449664" w14:textId="77777777" w:rsidR="00152B4F" w:rsidRPr="00E625BB" w:rsidRDefault="00152B4F" w:rsidP="009039E0">
            <w:pPr>
              <w:spacing w:before="60" w:after="60"/>
              <w:rPr>
                <w:rFonts w:cs="Calibri"/>
                <w:b/>
                <w:bCs/>
                <w:szCs w:val="22"/>
              </w:rPr>
            </w:pPr>
            <w:r w:rsidRPr="00E625BB">
              <w:rPr>
                <w:rFonts w:cs="Calibri"/>
                <w:b/>
                <w:bCs/>
                <w:szCs w:val="22"/>
              </w:rPr>
              <w:t>Performance Measure</w:t>
            </w:r>
          </w:p>
        </w:tc>
        <w:tc>
          <w:tcPr>
            <w:tcW w:w="1417" w:type="dxa"/>
            <w:tcBorders>
              <w:top w:val="single" w:sz="8" w:space="0" w:color="auto"/>
              <w:left w:val="nil"/>
              <w:bottom w:val="nil"/>
              <w:right w:val="single" w:sz="8" w:space="0" w:color="auto"/>
            </w:tcBorders>
            <w:shd w:val="clear" w:color="auto" w:fill="FFFFFF" w:themeFill="background1"/>
            <w:noWrap/>
            <w:vAlign w:val="center"/>
            <w:hideMark/>
          </w:tcPr>
          <w:p w14:paraId="7E4A59DC" w14:textId="77777777" w:rsidR="00152B4F" w:rsidRPr="00E625BB" w:rsidRDefault="00152B4F" w:rsidP="009039E0">
            <w:pPr>
              <w:spacing w:before="60" w:after="60"/>
              <w:jc w:val="center"/>
              <w:rPr>
                <w:rFonts w:cs="Calibri"/>
                <w:b/>
                <w:bCs/>
                <w:szCs w:val="22"/>
              </w:rPr>
            </w:pPr>
            <w:r w:rsidRPr="00E625BB">
              <w:rPr>
                <w:rFonts w:cs="Calibri"/>
                <w:b/>
                <w:bCs/>
                <w:szCs w:val="22"/>
              </w:rPr>
              <w:t>Actual</w:t>
            </w:r>
          </w:p>
        </w:tc>
        <w:tc>
          <w:tcPr>
            <w:tcW w:w="1418" w:type="dxa"/>
            <w:tcBorders>
              <w:top w:val="single" w:sz="8" w:space="0" w:color="auto"/>
              <w:left w:val="nil"/>
              <w:bottom w:val="nil"/>
              <w:right w:val="single" w:sz="8" w:space="0" w:color="auto"/>
            </w:tcBorders>
            <w:shd w:val="clear" w:color="auto" w:fill="FFFFFF" w:themeFill="background1"/>
            <w:noWrap/>
            <w:vAlign w:val="center"/>
            <w:hideMark/>
          </w:tcPr>
          <w:p w14:paraId="05663D78" w14:textId="77777777" w:rsidR="00152B4F" w:rsidRPr="00E625BB" w:rsidRDefault="00152B4F" w:rsidP="009039E0">
            <w:pPr>
              <w:spacing w:before="60" w:after="60"/>
              <w:jc w:val="center"/>
              <w:rPr>
                <w:rFonts w:cs="Calibri"/>
                <w:b/>
                <w:bCs/>
                <w:szCs w:val="22"/>
              </w:rPr>
            </w:pPr>
            <w:r w:rsidRPr="00E625BB">
              <w:rPr>
                <w:rFonts w:cs="Calibri"/>
                <w:b/>
                <w:bCs/>
                <w:szCs w:val="22"/>
              </w:rPr>
              <w:t>Expected</w:t>
            </w:r>
          </w:p>
        </w:tc>
        <w:tc>
          <w:tcPr>
            <w:tcW w:w="1208" w:type="dxa"/>
            <w:tcBorders>
              <w:top w:val="single" w:sz="8" w:space="0" w:color="auto"/>
              <w:left w:val="nil"/>
              <w:bottom w:val="nil"/>
              <w:right w:val="single" w:sz="8" w:space="0" w:color="auto"/>
            </w:tcBorders>
            <w:shd w:val="clear" w:color="auto" w:fill="FFFFFF" w:themeFill="background1"/>
          </w:tcPr>
          <w:p w14:paraId="3E50D17A" w14:textId="77777777" w:rsidR="00152B4F" w:rsidRPr="00E625BB" w:rsidRDefault="00152B4F" w:rsidP="009039E0">
            <w:pPr>
              <w:spacing w:before="60" w:after="60"/>
              <w:jc w:val="center"/>
              <w:rPr>
                <w:rFonts w:cs="Calibri"/>
                <w:b/>
                <w:bCs/>
                <w:szCs w:val="22"/>
              </w:rPr>
            </w:pPr>
            <w:r w:rsidRPr="00E625BB">
              <w:rPr>
                <w:rFonts w:cs="Calibri"/>
                <w:b/>
                <w:bCs/>
                <w:szCs w:val="22"/>
              </w:rPr>
              <w:t>ESS Weight</w:t>
            </w:r>
          </w:p>
        </w:tc>
      </w:tr>
      <w:tr w:rsidR="00152B4F" w:rsidRPr="00AA6FAA" w14:paraId="3B7ECB7D" w14:textId="77777777" w:rsidTr="009039E0">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A0D16A2" w14:textId="77777777" w:rsidR="00152B4F" w:rsidRPr="00E625BB" w:rsidRDefault="00152B4F" w:rsidP="009039E0">
            <w:pPr>
              <w:pStyle w:val="TableHeading"/>
              <w:rPr>
                <w:rFonts w:asciiTheme="majorHAnsi" w:hAnsiTheme="majorHAnsi" w:cs="Calibri"/>
                <w:color w:val="auto"/>
              </w:rPr>
            </w:pPr>
            <w:r w:rsidRPr="00E625BB">
              <w:rPr>
                <w:rFonts w:asciiTheme="majorHAnsi" w:hAnsiTheme="majorHAnsi" w:cs="Calibri"/>
                <w:color w:val="auto"/>
              </w:rPr>
              <w:t>26 Week Outcomes combined</w:t>
            </w:r>
          </w:p>
        </w:tc>
        <w:tc>
          <w:tcPr>
            <w:tcW w:w="1417" w:type="dxa"/>
            <w:tcBorders>
              <w:top w:val="single" w:sz="8" w:space="0" w:color="auto"/>
              <w:left w:val="nil"/>
              <w:bottom w:val="single" w:sz="8" w:space="0" w:color="auto"/>
              <w:right w:val="single" w:sz="8" w:space="0" w:color="auto"/>
            </w:tcBorders>
            <w:noWrap/>
            <w:vAlign w:val="center"/>
            <w:hideMark/>
          </w:tcPr>
          <w:p w14:paraId="0329F21D" w14:textId="77777777" w:rsidR="00152B4F" w:rsidRPr="00E625BB" w:rsidRDefault="00152B4F" w:rsidP="009039E0">
            <w:pPr>
              <w:jc w:val="right"/>
              <w:rPr>
                <w:rFonts w:cs="Calibri"/>
                <w:color w:val="000000"/>
                <w:szCs w:val="22"/>
              </w:rPr>
            </w:pPr>
            <w:r w:rsidRPr="00E625BB">
              <w:rPr>
                <w:rFonts w:cs="Calibri"/>
                <w:color w:val="000000"/>
                <w:szCs w:val="22"/>
              </w:rPr>
              <w:t> </w:t>
            </w:r>
          </w:p>
        </w:tc>
        <w:tc>
          <w:tcPr>
            <w:tcW w:w="1418" w:type="dxa"/>
            <w:tcBorders>
              <w:top w:val="single" w:sz="8" w:space="0" w:color="auto"/>
              <w:left w:val="nil"/>
              <w:bottom w:val="single" w:sz="8" w:space="0" w:color="auto"/>
              <w:right w:val="single" w:sz="8" w:space="0" w:color="auto"/>
            </w:tcBorders>
            <w:noWrap/>
            <w:vAlign w:val="center"/>
            <w:hideMark/>
          </w:tcPr>
          <w:p w14:paraId="7B39EAEB" w14:textId="77777777" w:rsidR="00152B4F" w:rsidRPr="00E625BB" w:rsidRDefault="00152B4F" w:rsidP="009039E0">
            <w:pPr>
              <w:jc w:val="right"/>
              <w:rPr>
                <w:rFonts w:cs="Calibri"/>
                <w:color w:val="000000"/>
                <w:szCs w:val="22"/>
              </w:rPr>
            </w:pPr>
            <w:r w:rsidRPr="00E625BB">
              <w:rPr>
                <w:rFonts w:cs="Calibri"/>
                <w:color w:val="000000"/>
                <w:szCs w:val="22"/>
              </w:rPr>
              <w:t> </w:t>
            </w:r>
          </w:p>
        </w:tc>
        <w:tc>
          <w:tcPr>
            <w:tcW w:w="1208" w:type="dxa"/>
            <w:tcBorders>
              <w:top w:val="single" w:sz="8" w:space="0" w:color="auto"/>
              <w:left w:val="nil"/>
              <w:bottom w:val="single" w:sz="8" w:space="0" w:color="auto"/>
              <w:right w:val="single" w:sz="8" w:space="0" w:color="auto"/>
            </w:tcBorders>
          </w:tcPr>
          <w:p w14:paraId="77F635E7" w14:textId="77777777" w:rsidR="00152B4F" w:rsidRPr="00E625BB" w:rsidRDefault="00152B4F" w:rsidP="009039E0">
            <w:pPr>
              <w:jc w:val="right"/>
              <w:rPr>
                <w:rFonts w:cs="Calibri"/>
                <w:color w:val="000000"/>
                <w:szCs w:val="22"/>
              </w:rPr>
            </w:pPr>
          </w:p>
        </w:tc>
      </w:tr>
      <w:tr w:rsidR="00152B4F" w:rsidRPr="00AA6FAA" w14:paraId="11B88676" w14:textId="77777777" w:rsidTr="009039E0">
        <w:trPr>
          <w:trHeight w:val="315"/>
        </w:trPr>
        <w:tc>
          <w:tcPr>
            <w:tcW w:w="4111" w:type="dxa"/>
            <w:tcBorders>
              <w:top w:val="nil"/>
              <w:left w:val="single" w:sz="8" w:space="0" w:color="auto"/>
              <w:bottom w:val="single" w:sz="8" w:space="0" w:color="auto"/>
              <w:right w:val="single" w:sz="8" w:space="0" w:color="auto"/>
            </w:tcBorders>
            <w:shd w:val="clear" w:color="000000" w:fill="D9D9D9"/>
            <w:noWrap/>
            <w:vAlign w:val="bottom"/>
            <w:hideMark/>
          </w:tcPr>
          <w:p w14:paraId="0A515BE5" w14:textId="77777777" w:rsidR="00152B4F" w:rsidRPr="00E625BB" w:rsidRDefault="00152B4F" w:rsidP="009039E0">
            <w:pPr>
              <w:pStyle w:val="TableHeading"/>
              <w:ind w:left="720"/>
              <w:rPr>
                <w:rFonts w:asciiTheme="majorHAnsi" w:hAnsiTheme="majorHAnsi" w:cs="Calibri"/>
                <w:color w:val="auto"/>
              </w:rPr>
            </w:pPr>
            <w:r w:rsidRPr="00E625BB">
              <w:rPr>
                <w:rFonts w:asciiTheme="majorHAnsi" w:hAnsiTheme="majorHAnsi" w:cs="Calibri"/>
                <w:color w:val="auto"/>
              </w:rPr>
              <w:t>26 Week Full</w:t>
            </w:r>
          </w:p>
        </w:tc>
        <w:tc>
          <w:tcPr>
            <w:tcW w:w="1417" w:type="dxa"/>
            <w:tcBorders>
              <w:top w:val="nil"/>
              <w:left w:val="nil"/>
              <w:bottom w:val="single" w:sz="8" w:space="0" w:color="auto"/>
              <w:right w:val="single" w:sz="8" w:space="0" w:color="auto"/>
            </w:tcBorders>
            <w:noWrap/>
            <w:hideMark/>
          </w:tcPr>
          <w:p w14:paraId="6E3F1FBA" w14:textId="77777777" w:rsidR="00152B4F" w:rsidRPr="00E625BB" w:rsidRDefault="00152B4F" w:rsidP="009039E0">
            <w:pPr>
              <w:jc w:val="right"/>
              <w:rPr>
                <w:rFonts w:cs="Calibri"/>
                <w:color w:val="000000"/>
                <w:szCs w:val="22"/>
              </w:rPr>
            </w:pPr>
            <w:r w:rsidRPr="00E625BB">
              <w:t>26</w:t>
            </w:r>
          </w:p>
        </w:tc>
        <w:tc>
          <w:tcPr>
            <w:tcW w:w="1418" w:type="dxa"/>
            <w:tcBorders>
              <w:top w:val="nil"/>
              <w:left w:val="nil"/>
              <w:bottom w:val="single" w:sz="8" w:space="0" w:color="auto"/>
              <w:right w:val="single" w:sz="8" w:space="0" w:color="auto"/>
            </w:tcBorders>
            <w:noWrap/>
            <w:hideMark/>
          </w:tcPr>
          <w:p w14:paraId="06B123FA" w14:textId="77777777" w:rsidR="00152B4F" w:rsidRPr="00E625BB" w:rsidRDefault="00152B4F" w:rsidP="009039E0">
            <w:pPr>
              <w:jc w:val="right"/>
              <w:rPr>
                <w:rFonts w:cs="Calibri"/>
                <w:color w:val="000000"/>
                <w:szCs w:val="22"/>
              </w:rPr>
            </w:pPr>
            <w:r w:rsidRPr="00E625BB">
              <w:t>10</w:t>
            </w:r>
          </w:p>
        </w:tc>
        <w:tc>
          <w:tcPr>
            <w:tcW w:w="1208" w:type="dxa"/>
            <w:tcBorders>
              <w:top w:val="nil"/>
              <w:left w:val="nil"/>
              <w:bottom w:val="single" w:sz="8" w:space="0" w:color="auto"/>
              <w:right w:val="single" w:sz="8" w:space="0" w:color="auto"/>
            </w:tcBorders>
          </w:tcPr>
          <w:p w14:paraId="54BDD59B" w14:textId="77777777" w:rsidR="00152B4F" w:rsidRPr="00E625BB" w:rsidRDefault="00152B4F" w:rsidP="009039E0">
            <w:pPr>
              <w:jc w:val="right"/>
            </w:pPr>
            <w:r w:rsidRPr="00E625BB">
              <w:t>30%</w:t>
            </w:r>
          </w:p>
        </w:tc>
      </w:tr>
      <w:tr w:rsidR="00152B4F" w:rsidRPr="00AA6FAA" w14:paraId="5542B092" w14:textId="77777777" w:rsidTr="009039E0">
        <w:trPr>
          <w:trHeight w:val="315"/>
        </w:trPr>
        <w:tc>
          <w:tcPr>
            <w:tcW w:w="4111" w:type="dxa"/>
            <w:tcBorders>
              <w:top w:val="nil"/>
              <w:left w:val="single" w:sz="8" w:space="0" w:color="auto"/>
              <w:bottom w:val="single" w:sz="8" w:space="0" w:color="auto"/>
              <w:right w:val="single" w:sz="8" w:space="0" w:color="auto"/>
            </w:tcBorders>
            <w:shd w:val="clear" w:color="000000" w:fill="D9D9D9"/>
            <w:noWrap/>
            <w:vAlign w:val="bottom"/>
            <w:hideMark/>
          </w:tcPr>
          <w:p w14:paraId="6F0B069A" w14:textId="77777777" w:rsidR="00152B4F" w:rsidRPr="00E625BB" w:rsidRDefault="00152B4F" w:rsidP="009039E0">
            <w:pPr>
              <w:pStyle w:val="TableHeading"/>
              <w:ind w:left="720"/>
              <w:rPr>
                <w:rFonts w:asciiTheme="majorHAnsi" w:hAnsiTheme="majorHAnsi" w:cs="Calibri"/>
                <w:color w:val="auto"/>
              </w:rPr>
            </w:pPr>
            <w:r w:rsidRPr="00E625BB">
              <w:rPr>
                <w:rFonts w:asciiTheme="majorHAnsi" w:hAnsiTheme="majorHAnsi" w:cs="Calibri"/>
                <w:color w:val="auto"/>
              </w:rPr>
              <w:t>26 Week Pathway</w:t>
            </w:r>
          </w:p>
        </w:tc>
        <w:tc>
          <w:tcPr>
            <w:tcW w:w="1417" w:type="dxa"/>
            <w:tcBorders>
              <w:top w:val="nil"/>
              <w:left w:val="nil"/>
              <w:bottom w:val="single" w:sz="8" w:space="0" w:color="auto"/>
              <w:right w:val="single" w:sz="8" w:space="0" w:color="auto"/>
            </w:tcBorders>
            <w:noWrap/>
            <w:hideMark/>
          </w:tcPr>
          <w:p w14:paraId="15092275" w14:textId="77777777" w:rsidR="00152B4F" w:rsidRPr="00E625BB" w:rsidRDefault="00152B4F" w:rsidP="009039E0">
            <w:pPr>
              <w:jc w:val="right"/>
              <w:rPr>
                <w:rFonts w:cs="Calibri"/>
                <w:color w:val="000000"/>
                <w:szCs w:val="22"/>
              </w:rPr>
            </w:pPr>
            <w:r w:rsidRPr="00E625BB">
              <w:t>13</w:t>
            </w:r>
          </w:p>
        </w:tc>
        <w:tc>
          <w:tcPr>
            <w:tcW w:w="1418" w:type="dxa"/>
            <w:tcBorders>
              <w:top w:val="nil"/>
              <w:left w:val="nil"/>
              <w:bottom w:val="single" w:sz="8" w:space="0" w:color="auto"/>
              <w:right w:val="single" w:sz="8" w:space="0" w:color="auto"/>
            </w:tcBorders>
            <w:noWrap/>
            <w:hideMark/>
          </w:tcPr>
          <w:p w14:paraId="1A7B942F" w14:textId="77777777" w:rsidR="00152B4F" w:rsidRPr="00E625BB" w:rsidRDefault="00152B4F" w:rsidP="009039E0">
            <w:pPr>
              <w:jc w:val="right"/>
              <w:rPr>
                <w:rFonts w:cs="Calibri"/>
                <w:color w:val="000000"/>
                <w:szCs w:val="22"/>
              </w:rPr>
            </w:pPr>
            <w:r w:rsidRPr="00E625BB">
              <w:t>2</w:t>
            </w:r>
          </w:p>
        </w:tc>
        <w:tc>
          <w:tcPr>
            <w:tcW w:w="1208" w:type="dxa"/>
            <w:tcBorders>
              <w:top w:val="nil"/>
              <w:left w:val="nil"/>
              <w:bottom w:val="single" w:sz="8" w:space="0" w:color="auto"/>
              <w:right w:val="single" w:sz="8" w:space="0" w:color="auto"/>
            </w:tcBorders>
          </w:tcPr>
          <w:p w14:paraId="11F092F6" w14:textId="77777777" w:rsidR="00152B4F" w:rsidRPr="00E625BB" w:rsidRDefault="00152B4F" w:rsidP="009039E0">
            <w:pPr>
              <w:jc w:val="right"/>
            </w:pPr>
            <w:r w:rsidRPr="00E625BB">
              <w:t>5%</w:t>
            </w:r>
          </w:p>
        </w:tc>
      </w:tr>
      <w:tr w:rsidR="00152B4F" w:rsidRPr="00AA6FAA" w14:paraId="3EAA23BB" w14:textId="77777777" w:rsidTr="009039E0">
        <w:trPr>
          <w:trHeight w:val="315"/>
        </w:trPr>
        <w:tc>
          <w:tcPr>
            <w:tcW w:w="4111" w:type="dxa"/>
            <w:tcBorders>
              <w:top w:val="nil"/>
              <w:left w:val="single" w:sz="8" w:space="0" w:color="auto"/>
              <w:bottom w:val="single" w:sz="8" w:space="0" w:color="auto"/>
              <w:right w:val="single" w:sz="8" w:space="0" w:color="auto"/>
            </w:tcBorders>
            <w:shd w:val="clear" w:color="000000" w:fill="D9D9D9"/>
            <w:noWrap/>
            <w:vAlign w:val="bottom"/>
            <w:hideMark/>
          </w:tcPr>
          <w:p w14:paraId="7A7CBCA2" w14:textId="77777777" w:rsidR="00152B4F" w:rsidRPr="00E625BB" w:rsidRDefault="00152B4F" w:rsidP="009039E0">
            <w:pPr>
              <w:pStyle w:val="TableHeading"/>
              <w:ind w:left="720"/>
              <w:rPr>
                <w:rFonts w:asciiTheme="majorHAnsi" w:hAnsiTheme="majorHAnsi" w:cs="Calibri"/>
                <w:color w:val="auto"/>
              </w:rPr>
            </w:pPr>
            <w:r w:rsidRPr="00E625BB">
              <w:rPr>
                <w:rFonts w:asciiTheme="majorHAnsi" w:hAnsiTheme="majorHAnsi" w:cs="Calibri"/>
                <w:color w:val="auto"/>
              </w:rPr>
              <w:t>26 Week Bonus</w:t>
            </w:r>
          </w:p>
        </w:tc>
        <w:tc>
          <w:tcPr>
            <w:tcW w:w="1417" w:type="dxa"/>
            <w:tcBorders>
              <w:top w:val="nil"/>
              <w:left w:val="nil"/>
              <w:bottom w:val="single" w:sz="8" w:space="0" w:color="auto"/>
              <w:right w:val="single" w:sz="8" w:space="0" w:color="auto"/>
            </w:tcBorders>
            <w:noWrap/>
            <w:hideMark/>
          </w:tcPr>
          <w:p w14:paraId="1E5D8CC3" w14:textId="77777777" w:rsidR="00152B4F" w:rsidRPr="00E625BB" w:rsidRDefault="00152B4F" w:rsidP="009039E0">
            <w:pPr>
              <w:jc w:val="right"/>
              <w:rPr>
                <w:rFonts w:cs="Calibri"/>
                <w:color w:val="000000"/>
                <w:szCs w:val="22"/>
              </w:rPr>
            </w:pPr>
            <w:r w:rsidRPr="00E625BB">
              <w:t>6</w:t>
            </w:r>
          </w:p>
        </w:tc>
        <w:tc>
          <w:tcPr>
            <w:tcW w:w="1418" w:type="dxa"/>
            <w:tcBorders>
              <w:top w:val="nil"/>
              <w:left w:val="nil"/>
              <w:bottom w:val="single" w:sz="8" w:space="0" w:color="auto"/>
              <w:right w:val="single" w:sz="8" w:space="0" w:color="auto"/>
            </w:tcBorders>
            <w:noWrap/>
            <w:hideMark/>
          </w:tcPr>
          <w:p w14:paraId="05EDDCB3" w14:textId="77777777" w:rsidR="00152B4F" w:rsidRPr="00E625BB" w:rsidRDefault="00152B4F" w:rsidP="009039E0">
            <w:pPr>
              <w:jc w:val="right"/>
              <w:rPr>
                <w:rFonts w:cs="Calibri"/>
                <w:color w:val="000000"/>
                <w:szCs w:val="22"/>
              </w:rPr>
            </w:pPr>
            <w:r w:rsidRPr="00E625BB">
              <w:t>1</w:t>
            </w:r>
          </w:p>
        </w:tc>
        <w:tc>
          <w:tcPr>
            <w:tcW w:w="1208" w:type="dxa"/>
            <w:tcBorders>
              <w:top w:val="nil"/>
              <w:left w:val="nil"/>
              <w:bottom w:val="single" w:sz="8" w:space="0" w:color="auto"/>
              <w:right w:val="single" w:sz="8" w:space="0" w:color="auto"/>
            </w:tcBorders>
          </w:tcPr>
          <w:p w14:paraId="113879ED" w14:textId="77777777" w:rsidR="00152B4F" w:rsidRPr="00E625BB" w:rsidRDefault="00152B4F" w:rsidP="009039E0">
            <w:pPr>
              <w:jc w:val="right"/>
            </w:pPr>
            <w:r w:rsidRPr="00E625BB">
              <w:t>5%</w:t>
            </w:r>
          </w:p>
        </w:tc>
      </w:tr>
    </w:tbl>
    <w:p w14:paraId="2029A456" w14:textId="77777777" w:rsidR="00152B4F" w:rsidRPr="00AA6FAA" w:rsidRDefault="00152B4F" w:rsidP="00152B4F">
      <w:pPr>
        <w:rPr>
          <w:rFonts w:eastAsia="Times New Roman" w:cs="Calibri"/>
          <w:i/>
        </w:rPr>
      </w:pPr>
    </w:p>
    <w:p w14:paraId="78924431" w14:textId="77777777" w:rsidR="00152B4F" w:rsidRPr="00C41C17" w:rsidRDefault="00152B4F" w:rsidP="00152B4F">
      <w:pPr>
        <w:rPr>
          <w:rFonts w:cs="Calibri"/>
        </w:rPr>
      </w:pPr>
      <w:r w:rsidRPr="00AA6FAA">
        <w:rPr>
          <w:rFonts w:cs="Calibri"/>
        </w:rPr>
        <w:t xml:space="preserve">These actual and expected results are combined into one actual versus expected equation, with the weightings for </w:t>
      </w:r>
      <w:r w:rsidRPr="00C41C17">
        <w:rPr>
          <w:rFonts w:cs="Calibri"/>
        </w:rPr>
        <w:t>DES-ESS:</w:t>
      </w:r>
    </w:p>
    <w:p w14:paraId="1E4EFA8C" w14:textId="77777777" w:rsidR="00152B4F" w:rsidRPr="00C41C17" w:rsidRDefault="00152B4F" w:rsidP="00152B4F">
      <w:pPr>
        <w:rPr>
          <w:rFonts w:eastAsia="Times New Roman" w:cs="Calibri"/>
          <w:i/>
        </w:rPr>
      </w:pPr>
    </w:p>
    <w:p w14:paraId="56EE9251" w14:textId="77777777" w:rsidR="00152B4F" w:rsidRPr="00C41C17" w:rsidRDefault="00152B4F" w:rsidP="00152B4F">
      <w:pPr>
        <w:rPr>
          <w:rFonts w:eastAsia="Times New Roman" w:cs="Calibri"/>
          <w:i/>
          <w:sz w:val="24"/>
        </w:rPr>
      </w:pPr>
      <m:oMathPara>
        <m:oMath>
          <m:r>
            <w:rPr>
              <w:rFonts w:ascii="Cambria Math" w:hAnsi="Cambria Math" w:cs="Calibri"/>
              <w:sz w:val="24"/>
            </w:rPr>
            <m:t xml:space="preserve">Actual Vs Expected= </m:t>
          </m:r>
          <m:f>
            <m:fPr>
              <m:ctrlPr>
                <w:rPr>
                  <w:rFonts w:ascii="Cambria Math" w:hAnsi="Cambria Math"/>
                  <w:i/>
                </w:rPr>
              </m:ctrlPr>
            </m:fPr>
            <m:num>
              <m:d>
                <m:dPr>
                  <m:ctrlPr>
                    <w:rPr>
                      <w:rFonts w:ascii="Cambria Math" w:hAnsi="Cambria Math"/>
                      <w:i/>
                    </w:rPr>
                  </m:ctrlPr>
                </m:dPr>
                <m:e>
                  <m:r>
                    <w:rPr>
                      <w:rFonts w:ascii="Cambria Math" w:hAnsi="Cambria Math" w:cs="Calibri"/>
                      <w:sz w:val="24"/>
                    </w:rPr>
                    <m:t>26</m:t>
                  </m:r>
                </m:e>
              </m:d>
              <m:r>
                <w:rPr>
                  <w:rFonts w:ascii="Cambria Math" w:hAnsi="Cambria Math" w:cs="Calibri"/>
                  <w:sz w:val="24"/>
                </w:rPr>
                <m:t>*.3+</m:t>
              </m:r>
              <m:d>
                <m:dPr>
                  <m:ctrlPr>
                    <w:rPr>
                      <w:rFonts w:ascii="Cambria Math" w:hAnsi="Cambria Math"/>
                      <w:i/>
                    </w:rPr>
                  </m:ctrlPr>
                </m:dPr>
                <m:e>
                  <m:r>
                    <w:rPr>
                      <w:rFonts w:ascii="Cambria Math" w:hAnsi="Cambria Math" w:cs="Calibri"/>
                      <w:sz w:val="24"/>
                    </w:rPr>
                    <m:t>13</m:t>
                  </m:r>
                </m:e>
              </m:d>
              <m:r>
                <w:rPr>
                  <w:rFonts w:ascii="Cambria Math" w:hAnsi="Cambria Math" w:cs="Calibri"/>
                  <w:sz w:val="24"/>
                </w:rPr>
                <m:t>*.05+</m:t>
              </m:r>
              <m:d>
                <m:dPr>
                  <m:ctrlPr>
                    <w:rPr>
                      <w:rFonts w:ascii="Cambria Math" w:hAnsi="Cambria Math"/>
                      <w:i/>
                    </w:rPr>
                  </m:ctrlPr>
                </m:dPr>
                <m:e>
                  <m:r>
                    <w:rPr>
                      <w:rFonts w:ascii="Cambria Math" w:hAnsi="Cambria Math" w:cs="Calibri"/>
                      <w:sz w:val="24"/>
                    </w:rPr>
                    <m:t>6</m:t>
                  </m:r>
                </m:e>
              </m:d>
              <m:r>
                <w:rPr>
                  <w:rFonts w:ascii="Cambria Math" w:hAnsi="Cambria Math" w:cs="Calibri"/>
                  <w:sz w:val="24"/>
                </w:rPr>
                <m:t>*.05</m:t>
              </m:r>
            </m:num>
            <m:den>
              <m:d>
                <m:dPr>
                  <m:ctrlPr>
                    <w:rPr>
                      <w:rFonts w:ascii="Cambria Math" w:hAnsi="Cambria Math"/>
                      <w:i/>
                    </w:rPr>
                  </m:ctrlPr>
                </m:dPr>
                <m:e>
                  <m:r>
                    <w:rPr>
                      <w:rFonts w:ascii="Cambria Math" w:hAnsi="Cambria Math" w:cs="Calibri"/>
                      <w:sz w:val="24"/>
                    </w:rPr>
                    <m:t>10</m:t>
                  </m:r>
                </m:e>
              </m:d>
              <m:r>
                <w:rPr>
                  <w:rFonts w:ascii="Cambria Math" w:hAnsi="Cambria Math" w:cs="Calibri"/>
                  <w:sz w:val="24"/>
                </w:rPr>
                <m:t>*.3+</m:t>
              </m:r>
              <m:d>
                <m:dPr>
                  <m:ctrlPr>
                    <w:rPr>
                      <w:rFonts w:ascii="Cambria Math" w:hAnsi="Cambria Math"/>
                      <w:i/>
                    </w:rPr>
                  </m:ctrlPr>
                </m:dPr>
                <m:e>
                  <m:r>
                    <w:rPr>
                      <w:rFonts w:ascii="Cambria Math" w:hAnsi="Cambria Math" w:cs="Calibri"/>
                      <w:sz w:val="24"/>
                    </w:rPr>
                    <m:t>2</m:t>
                  </m:r>
                </m:e>
              </m:d>
              <m:r>
                <w:rPr>
                  <w:rFonts w:ascii="Cambria Math" w:hAnsi="Cambria Math" w:cs="Calibri"/>
                  <w:sz w:val="24"/>
                </w:rPr>
                <m:t>*.05+</m:t>
              </m:r>
              <m:d>
                <m:dPr>
                  <m:ctrlPr>
                    <w:rPr>
                      <w:rFonts w:ascii="Cambria Math" w:hAnsi="Cambria Math"/>
                      <w:i/>
                    </w:rPr>
                  </m:ctrlPr>
                </m:dPr>
                <m:e>
                  <m:r>
                    <w:rPr>
                      <w:rFonts w:ascii="Cambria Math" w:hAnsi="Cambria Math" w:cs="Calibri"/>
                      <w:sz w:val="24"/>
                    </w:rPr>
                    <m:t>1</m:t>
                  </m:r>
                </m:e>
              </m:d>
              <m:r>
                <w:rPr>
                  <w:rFonts w:ascii="Cambria Math" w:hAnsi="Cambria Math" w:cs="Calibri"/>
                  <w:sz w:val="24"/>
                </w:rPr>
                <m:t>*.05</m:t>
              </m:r>
            </m:den>
          </m:f>
        </m:oMath>
      </m:oMathPara>
    </w:p>
    <w:p w14:paraId="197015E1" w14:textId="77777777" w:rsidR="00152B4F" w:rsidRPr="00C41C17" w:rsidRDefault="00152B4F" w:rsidP="00152B4F">
      <w:pPr>
        <w:ind w:left="1440" w:firstLine="720"/>
        <w:rPr>
          <w:rFonts w:cs="Calibri"/>
          <w:i/>
          <w:sz w:val="18"/>
          <w:szCs w:val="18"/>
        </w:rPr>
      </w:pPr>
    </w:p>
    <w:p w14:paraId="7C041427" w14:textId="77777777" w:rsidR="00152B4F" w:rsidRPr="00AA6FAA" w:rsidRDefault="00152B4F" w:rsidP="00152B4F">
      <w:pPr>
        <w:ind w:firstLine="720"/>
        <w:rPr>
          <w:rFonts w:cs="Calibri"/>
          <w:i/>
          <w:sz w:val="24"/>
        </w:rPr>
      </w:pPr>
      <m:oMath>
        <m:r>
          <w:rPr>
            <w:rFonts w:ascii="Cambria Math" w:hAnsi="Cambria Math" w:cs="Calibri"/>
            <w:sz w:val="24"/>
          </w:rPr>
          <m:t xml:space="preserve">Actual Vs Expected= </m:t>
        </m:r>
      </m:oMath>
      <w:r w:rsidRPr="00C41C17">
        <w:rPr>
          <w:rFonts w:cs="Calibri"/>
          <w:i/>
          <w:sz w:val="24"/>
        </w:rPr>
        <w:t>2.78</w:t>
      </w:r>
    </w:p>
    <w:p w14:paraId="43861DF2" w14:textId="77777777" w:rsidR="00152B4F" w:rsidRPr="00AA6FAA" w:rsidRDefault="00152B4F" w:rsidP="00152B4F">
      <w:pPr>
        <w:rPr>
          <w:szCs w:val="22"/>
        </w:rPr>
      </w:pPr>
      <w:r>
        <w:rPr>
          <w:szCs w:val="22"/>
        </w:rPr>
        <w:br w:type="page"/>
      </w:r>
    </w:p>
    <w:p w14:paraId="0B379779" w14:textId="77777777" w:rsidR="00152B4F" w:rsidRPr="0073748F" w:rsidRDefault="00152B4F" w:rsidP="00152B4F">
      <w:pPr>
        <w:pStyle w:val="Heading2"/>
        <w:spacing w:after="0"/>
        <w:jc w:val="right"/>
        <w:rPr>
          <w:sz w:val="28"/>
          <w:szCs w:val="28"/>
        </w:rPr>
      </w:pPr>
      <w:bookmarkStart w:id="79" w:name="_Toc413246196"/>
      <w:bookmarkStart w:id="80" w:name="_Toc47098297"/>
      <w:r w:rsidRPr="0073748F">
        <w:rPr>
          <w:sz w:val="28"/>
          <w:szCs w:val="28"/>
        </w:rPr>
        <w:t>ATTACHMENT C</w:t>
      </w:r>
      <w:bookmarkEnd w:id="79"/>
      <w:bookmarkEnd w:id="80"/>
    </w:p>
    <w:p w14:paraId="6EBAA62A" w14:textId="77777777" w:rsidR="00152B4F" w:rsidRPr="00E625BB" w:rsidRDefault="00152B4F" w:rsidP="00152B4F">
      <w:pPr>
        <w:pStyle w:val="Heading3"/>
        <w:rPr>
          <w:rFonts w:asciiTheme="majorHAnsi" w:hAnsiTheme="majorHAnsi" w:cs="Calibri"/>
          <w:color w:val="C00000"/>
        </w:rPr>
      </w:pPr>
      <w:bookmarkStart w:id="81" w:name="_Toc413246197"/>
      <w:bookmarkStart w:id="82" w:name="_Toc47098298"/>
      <w:r w:rsidRPr="00E625BB">
        <w:rPr>
          <w:rFonts w:asciiTheme="majorHAnsi" w:hAnsiTheme="majorHAnsi" w:cs="Calibri"/>
        </w:rPr>
        <w:t>What happens if there are zero Participants in scope for the 26 Week Pathway Outcome Fee or 26 Week Bonus Outcome/Work Assist fee performance measures?</w:t>
      </w:r>
      <w:bookmarkEnd w:id="81"/>
      <w:bookmarkEnd w:id="82"/>
      <w:r w:rsidRPr="00E625BB">
        <w:rPr>
          <w:rFonts w:asciiTheme="majorHAnsi" w:hAnsiTheme="majorHAnsi" w:cs="Calibri"/>
        </w:rPr>
        <w:t xml:space="preserve"> </w:t>
      </w:r>
    </w:p>
    <w:p w14:paraId="098595B8" w14:textId="77777777" w:rsidR="00152B4F" w:rsidRPr="00E625BB" w:rsidRDefault="00152B4F" w:rsidP="00152B4F">
      <w:pPr>
        <w:rPr>
          <w:rFonts w:eastAsia="Times New Roman" w:cs="Calibri"/>
          <w:szCs w:val="22"/>
        </w:rPr>
      </w:pPr>
      <w:r w:rsidRPr="00E625BB">
        <w:rPr>
          <w:rFonts w:eastAsia="Times New Roman" w:cs="Calibri"/>
          <w:szCs w:val="22"/>
        </w:rPr>
        <w:t>There may be zero Participants in scope for the 26 Week Pathway Outcome measure or the 26 Week Bonus Outcome/Work Assist measure. For example, this could occur where all of a Site’s Participants have an 8 hour benchmark, excluding them all from the 26 Week Pathway Outcome performance measure. The following gives a practical explanation and example of how such instances are accounted for in the Star Ratings.</w:t>
      </w:r>
      <w:r>
        <w:rPr>
          <w:rFonts w:eastAsia="Times New Roman" w:cs="Calibri"/>
          <w:szCs w:val="22"/>
        </w:rPr>
        <w:t xml:space="preserve"> A similar process is also undertaken for the treatment of very small numbers in a performance measure denominator. (Refer to </w:t>
      </w:r>
      <w:r w:rsidRPr="00C41C17">
        <w:rPr>
          <w:lang w:eastAsia="ja-JP"/>
        </w:rPr>
        <w:t>Very small numbers in the denominator for a performance measure</w:t>
      </w:r>
      <w:r>
        <w:rPr>
          <w:lang w:eastAsia="ja-JP"/>
        </w:rPr>
        <w:t>)</w:t>
      </w:r>
    </w:p>
    <w:p w14:paraId="64CD5C14" w14:textId="77777777" w:rsidR="00152B4F" w:rsidRPr="00E625BB" w:rsidRDefault="00152B4F" w:rsidP="00152B4F">
      <w:pPr>
        <w:rPr>
          <w:rFonts w:eastAsia="Times New Roman" w:cs="Calibri"/>
          <w:szCs w:val="22"/>
        </w:rPr>
      </w:pPr>
    </w:p>
    <w:p w14:paraId="355259DC" w14:textId="77777777" w:rsidR="00152B4F" w:rsidRPr="00E625BB" w:rsidRDefault="00152B4F" w:rsidP="00152B4F">
      <w:pPr>
        <w:rPr>
          <w:rFonts w:eastAsia="Times New Roman" w:cs="Calibri"/>
          <w:szCs w:val="22"/>
        </w:rPr>
      </w:pPr>
      <w:r w:rsidRPr="00E625BB">
        <w:rPr>
          <w:rFonts w:eastAsia="Times New Roman" w:cs="Calibri"/>
          <w:szCs w:val="22"/>
        </w:rPr>
        <w:t>If there are zero Participants in scope for the Bonus Outcome Fee measures, then:</w:t>
      </w:r>
    </w:p>
    <w:p w14:paraId="334E2AA9" w14:textId="77777777" w:rsidR="00152B4F" w:rsidRPr="00E625BB" w:rsidRDefault="00152B4F" w:rsidP="00152B4F">
      <w:pPr>
        <w:pStyle w:val="ListParagraph"/>
        <w:numPr>
          <w:ilvl w:val="0"/>
          <w:numId w:val="41"/>
        </w:numPr>
        <w:contextualSpacing w:val="0"/>
        <w:rPr>
          <w:rFonts w:eastAsia="Times New Roman" w:cs="Calibri"/>
          <w:szCs w:val="22"/>
        </w:rPr>
      </w:pPr>
      <w:r w:rsidRPr="00E625BB">
        <w:rPr>
          <w:rFonts w:eastAsia="Times New Roman" w:cs="Calibri"/>
          <w:szCs w:val="22"/>
        </w:rPr>
        <w:t>the 26 Week Combined measure will be calculated by comparing the Full and Pathway expected outcomes with the 26 Week Full and Pathway actual outcomes. Bonus outcomes will not contribute to the Providers expected performance or their actual performance, so they will be neither advantaged nor disadvantaged.</w:t>
      </w:r>
    </w:p>
    <w:p w14:paraId="58C751C9" w14:textId="77777777" w:rsidR="00152B4F" w:rsidRPr="00E32170" w:rsidRDefault="00152B4F" w:rsidP="00152B4F">
      <w:pPr>
        <w:pStyle w:val="ListParagraph"/>
        <w:numPr>
          <w:ilvl w:val="0"/>
          <w:numId w:val="41"/>
        </w:numPr>
        <w:contextualSpacing w:val="0"/>
        <w:rPr>
          <w:rFonts w:eastAsia="Times New Roman" w:cs="Calibri"/>
          <w:szCs w:val="22"/>
        </w:rPr>
      </w:pPr>
      <w:r w:rsidRPr="00E625BB">
        <w:rPr>
          <w:rFonts w:eastAsia="Times New Roman" w:cs="Calibri"/>
          <w:szCs w:val="22"/>
        </w:rPr>
        <w:t xml:space="preserve">the overall weighting of the 26 Week Combined performance measure will remain the </w:t>
      </w:r>
      <w:r w:rsidRPr="00E32170">
        <w:rPr>
          <w:rFonts w:eastAsia="Times New Roman" w:cs="Calibri"/>
          <w:szCs w:val="22"/>
        </w:rPr>
        <w:t>same (i.e. 45% for DMS and 40% for ESS)</w:t>
      </w:r>
    </w:p>
    <w:p w14:paraId="7199754B" w14:textId="77777777" w:rsidR="00152B4F" w:rsidRPr="001F1882" w:rsidRDefault="00152B4F" w:rsidP="00152B4F">
      <w:pPr>
        <w:pStyle w:val="ListParagraph"/>
        <w:numPr>
          <w:ilvl w:val="0"/>
          <w:numId w:val="41"/>
        </w:numPr>
        <w:contextualSpacing w:val="0"/>
        <w:rPr>
          <w:rFonts w:asciiTheme="minorHAnsi" w:hAnsiTheme="minorHAnsi" w:cs="Cambria"/>
          <w:szCs w:val="22"/>
        </w:rPr>
      </w:pPr>
      <w:r w:rsidRPr="001F1882">
        <w:rPr>
          <w:rFonts w:eastAsia="Times New Roman" w:cs="Calibri"/>
          <w:szCs w:val="22"/>
        </w:rPr>
        <w:t>the Bonus measure weighting is scaled up to the remaining Full and Pathway measures.</w:t>
      </w:r>
    </w:p>
    <w:p w14:paraId="27359FF4" w14:textId="77777777" w:rsidR="00152B4F" w:rsidRPr="00E32170" w:rsidRDefault="00152B4F" w:rsidP="00152B4F">
      <w:pPr>
        <w:rPr>
          <w:rFonts w:asciiTheme="minorHAnsi" w:hAnsiTheme="minorHAnsi" w:cs="Cambria"/>
          <w:szCs w:val="22"/>
        </w:rPr>
      </w:pPr>
    </w:p>
    <w:p w14:paraId="4F462816" w14:textId="77777777" w:rsidR="00152B4F" w:rsidRPr="00E32170" w:rsidRDefault="00152B4F" w:rsidP="00152B4F">
      <w:pPr>
        <w:rPr>
          <w:rFonts w:asciiTheme="minorHAnsi" w:hAnsiTheme="minorHAnsi" w:cs="Cambria"/>
          <w:szCs w:val="22"/>
        </w:rPr>
      </w:pPr>
      <w:r w:rsidRPr="00E32170">
        <w:rPr>
          <w:rFonts w:asciiTheme="minorHAnsi" w:hAnsiTheme="minorHAnsi" w:cs="Cambria"/>
          <w:b/>
          <w:szCs w:val="22"/>
        </w:rPr>
        <w:t>Step 3</w:t>
      </w:r>
      <w:r w:rsidRPr="00E32170">
        <w:rPr>
          <w:rFonts w:asciiTheme="minorHAnsi" w:hAnsiTheme="minorHAnsi" w:cs="Cambria"/>
          <w:szCs w:val="22"/>
        </w:rPr>
        <w:t>:</w:t>
      </w:r>
      <w:r w:rsidRPr="00E32170">
        <w:rPr>
          <w:szCs w:val="22"/>
        </w:rPr>
        <w:t xml:space="preserve"> </w:t>
      </w:r>
      <w:r w:rsidRPr="00E32170">
        <w:rPr>
          <w:rFonts w:asciiTheme="minorHAnsi" w:hAnsiTheme="minorHAnsi" w:cs="Cambria"/>
          <w:b/>
          <w:szCs w:val="22"/>
        </w:rPr>
        <w:t>Calculate Ratio of Actual Outcomes to Expected Outcomes</w:t>
      </w:r>
    </w:p>
    <w:p w14:paraId="517CA2AB" w14:textId="77777777" w:rsidR="00152B4F" w:rsidRPr="00E32170" w:rsidRDefault="00152B4F" w:rsidP="00152B4F">
      <w:pPr>
        <w:rPr>
          <w:rFonts w:asciiTheme="minorHAnsi" w:hAnsiTheme="minorHAnsi" w:cs="Cambria"/>
          <w:szCs w:val="22"/>
        </w:rPr>
      </w:pPr>
    </w:p>
    <w:p w14:paraId="35794952" w14:textId="77777777" w:rsidR="00152B4F" w:rsidRPr="00E32170" w:rsidRDefault="00152B4F" w:rsidP="00152B4F">
      <w:pPr>
        <w:rPr>
          <w:rFonts w:asciiTheme="minorHAnsi" w:hAnsiTheme="minorHAnsi" w:cs="Cambria"/>
          <w:szCs w:val="22"/>
        </w:rPr>
      </w:pPr>
      <w:r w:rsidRPr="00E32170">
        <w:rPr>
          <w:rFonts w:asciiTheme="minorHAnsi" w:hAnsiTheme="minorHAnsi" w:cs="Cambria"/>
          <w:szCs w:val="22"/>
        </w:rPr>
        <w:t>The actual versus expected equation for DMS 26 Week Outcomes looks like:</w:t>
      </w:r>
    </w:p>
    <w:p w14:paraId="08FEA868" w14:textId="77777777" w:rsidR="00152B4F" w:rsidRPr="00E32170" w:rsidRDefault="00152B4F" w:rsidP="00152B4F">
      <w:pPr>
        <w:rPr>
          <w:rFonts w:asciiTheme="minorHAnsi" w:hAnsiTheme="minorHAnsi" w:cs="Cambria"/>
          <w:i/>
          <w:szCs w:val="22"/>
        </w:rPr>
      </w:pPr>
    </w:p>
    <w:p w14:paraId="2C8F5A8D" w14:textId="77777777" w:rsidR="00152B4F" w:rsidRPr="00E32170" w:rsidRDefault="00152B4F" w:rsidP="00152B4F">
      <w:pPr>
        <w:rPr>
          <w:rFonts w:asciiTheme="minorHAnsi" w:hAnsiTheme="minorHAnsi" w:cs="Cambria"/>
          <w:i/>
          <w:szCs w:val="22"/>
        </w:rPr>
      </w:pPr>
      <m:oMathPara>
        <m:oMathParaPr>
          <m:jc m:val="left"/>
        </m:oMathParaPr>
        <m:oMath>
          <m:r>
            <w:rPr>
              <w:rFonts w:ascii="Cambria Math" w:hAnsi="Cambria Math" w:cs="Cambria"/>
              <w:szCs w:val="22"/>
            </w:rPr>
            <m:t xml:space="preserve">Actual vs Expected (DMS 26 week outcomes)= </m:t>
          </m:r>
        </m:oMath>
      </m:oMathPara>
    </w:p>
    <w:p w14:paraId="1291929D" w14:textId="77777777" w:rsidR="00152B4F" w:rsidRPr="00E32170" w:rsidRDefault="00152B4F" w:rsidP="00152B4F">
      <w:pPr>
        <w:rPr>
          <w:rFonts w:asciiTheme="minorHAnsi" w:hAnsiTheme="minorHAnsi" w:cs="Cambria"/>
          <w:szCs w:val="22"/>
        </w:rPr>
      </w:pPr>
      <m:oMath>
        <m:r>
          <w:rPr>
            <w:rFonts w:ascii="Cambria Math" w:hAnsi="Cambria Math" w:cs="Cambria"/>
            <w:szCs w:val="22"/>
          </w:rPr>
          <m:t xml:space="preserve"> </m:t>
        </m:r>
        <m:f>
          <m:fPr>
            <m:ctrlPr>
              <w:rPr>
                <w:rFonts w:ascii="Cambria Math" w:hAnsi="Cambria Math"/>
                <w:i/>
              </w:rPr>
            </m:ctrlPr>
          </m:fPr>
          <m:num>
            <m:d>
              <m:dPr>
                <m:ctrlPr>
                  <w:rPr>
                    <w:rFonts w:ascii="Cambria Math" w:hAnsi="Cambria Math"/>
                    <w:i/>
                  </w:rPr>
                </m:ctrlPr>
              </m:dPr>
              <m:e>
                <m:r>
                  <w:rPr>
                    <w:rFonts w:ascii="Cambria Math" w:hAnsi="Cambria Math" w:cs="Cambria"/>
                    <w:szCs w:val="22"/>
                  </w:rPr>
                  <m:t>actual full outcomes</m:t>
                </m:r>
              </m:e>
            </m:d>
            <m:r>
              <w:rPr>
                <w:rFonts w:ascii="Cambria Math" w:hAnsi="Cambria Math" w:cs="Cambria"/>
                <w:szCs w:val="22"/>
              </w:rPr>
              <m:t>*35%+</m:t>
            </m:r>
            <m:d>
              <m:dPr>
                <m:ctrlPr>
                  <w:rPr>
                    <w:rFonts w:ascii="Cambria Math" w:hAnsi="Cambria Math"/>
                    <w:i/>
                  </w:rPr>
                </m:ctrlPr>
              </m:dPr>
              <m:e>
                <m:r>
                  <w:rPr>
                    <w:rFonts w:ascii="Cambria Math" w:hAnsi="Cambria Math" w:cs="Cambria"/>
                    <w:szCs w:val="22"/>
                  </w:rPr>
                  <m:t>actual pathway outcomes</m:t>
                </m:r>
              </m:e>
            </m:d>
            <m:r>
              <w:rPr>
                <w:rFonts w:ascii="Cambria Math" w:hAnsi="Cambria Math" w:cs="Cambria"/>
                <w:szCs w:val="22"/>
              </w:rPr>
              <m:t>*5%+</m:t>
            </m:r>
            <m:d>
              <m:dPr>
                <m:ctrlPr>
                  <w:rPr>
                    <w:rFonts w:ascii="Cambria Math" w:hAnsi="Cambria Math"/>
                    <w:i/>
                  </w:rPr>
                </m:ctrlPr>
              </m:dPr>
              <m:e>
                <m:r>
                  <w:rPr>
                    <w:rFonts w:ascii="Cambria Math" w:hAnsi="Cambria Math" w:cs="Cambria"/>
                    <w:szCs w:val="22"/>
                  </w:rPr>
                  <m:t>actual bonus outcomes</m:t>
                </m:r>
              </m:e>
            </m:d>
            <m:r>
              <w:rPr>
                <w:rFonts w:ascii="Cambria Math" w:hAnsi="Cambria Math" w:cs="Cambria"/>
                <w:szCs w:val="22"/>
              </w:rPr>
              <m:t>*5%</m:t>
            </m:r>
          </m:num>
          <m:den>
            <m:d>
              <m:dPr>
                <m:ctrlPr>
                  <w:rPr>
                    <w:rFonts w:ascii="Cambria Math" w:hAnsi="Cambria Math"/>
                    <w:i/>
                  </w:rPr>
                </m:ctrlPr>
              </m:dPr>
              <m:e>
                <m:r>
                  <w:rPr>
                    <w:rFonts w:ascii="Cambria Math" w:hAnsi="Cambria Math" w:cs="Cambria"/>
                    <w:szCs w:val="22"/>
                  </w:rPr>
                  <m:t>expected full outcomes</m:t>
                </m:r>
              </m:e>
            </m:d>
            <m:r>
              <w:rPr>
                <w:rFonts w:ascii="Cambria Math" w:hAnsi="Cambria Math" w:cs="Cambria"/>
                <w:szCs w:val="22"/>
              </w:rPr>
              <m:t>*35%+</m:t>
            </m:r>
            <m:d>
              <m:dPr>
                <m:ctrlPr>
                  <w:rPr>
                    <w:rFonts w:ascii="Cambria Math" w:hAnsi="Cambria Math"/>
                    <w:i/>
                  </w:rPr>
                </m:ctrlPr>
              </m:dPr>
              <m:e>
                <m:r>
                  <w:rPr>
                    <w:rFonts w:ascii="Cambria Math" w:hAnsi="Cambria Math" w:cs="Cambria"/>
                    <w:szCs w:val="22"/>
                  </w:rPr>
                  <m:t>expected pathway outcomes</m:t>
                </m:r>
              </m:e>
            </m:d>
            <m:r>
              <w:rPr>
                <w:rFonts w:ascii="Cambria Math" w:hAnsi="Cambria Math" w:cs="Cambria"/>
                <w:szCs w:val="22"/>
              </w:rPr>
              <m:t>*5%+</m:t>
            </m:r>
            <m:d>
              <m:dPr>
                <m:ctrlPr>
                  <w:rPr>
                    <w:rFonts w:ascii="Cambria Math" w:hAnsi="Cambria Math"/>
                    <w:i/>
                  </w:rPr>
                </m:ctrlPr>
              </m:dPr>
              <m:e>
                <m:r>
                  <w:rPr>
                    <w:rFonts w:ascii="Cambria Math" w:hAnsi="Cambria Math" w:cs="Cambria"/>
                    <w:szCs w:val="22"/>
                  </w:rPr>
                  <m:t>expected bonus outcomes</m:t>
                </m:r>
              </m:e>
            </m:d>
            <m:r>
              <w:rPr>
                <w:rFonts w:ascii="Cambria Math" w:hAnsi="Cambria Math" w:cs="Cambria"/>
                <w:szCs w:val="22"/>
              </w:rPr>
              <m:t>*5%</m:t>
            </m:r>
          </m:den>
        </m:f>
      </m:oMath>
      <w:r w:rsidRPr="00E32170">
        <w:rPr>
          <w:rFonts w:asciiTheme="minorHAnsi" w:hAnsiTheme="minorHAnsi" w:cs="Cambria"/>
          <w:szCs w:val="22"/>
        </w:rPr>
        <w:t xml:space="preserve"> </w:t>
      </w:r>
    </w:p>
    <w:p w14:paraId="75B25E22" w14:textId="77777777" w:rsidR="00152B4F" w:rsidRPr="00E32170" w:rsidRDefault="00152B4F" w:rsidP="00152B4F">
      <w:pPr>
        <w:rPr>
          <w:rFonts w:asciiTheme="minorHAnsi" w:hAnsiTheme="minorHAnsi" w:cs="Cambria"/>
          <w:i/>
          <w:szCs w:val="22"/>
        </w:rPr>
      </w:pPr>
    </w:p>
    <w:p w14:paraId="56D23B08" w14:textId="77777777" w:rsidR="00152B4F" w:rsidRPr="00E32170" w:rsidRDefault="00152B4F" w:rsidP="00152B4F">
      <w:pPr>
        <w:rPr>
          <w:rFonts w:asciiTheme="minorHAnsi" w:hAnsiTheme="minorHAnsi" w:cs="Cambria"/>
          <w:szCs w:val="22"/>
        </w:rPr>
      </w:pPr>
      <w:r w:rsidRPr="00E32170">
        <w:rPr>
          <w:rFonts w:asciiTheme="minorHAnsi" w:hAnsiTheme="minorHAnsi" w:cs="Cambria"/>
          <w:szCs w:val="22"/>
        </w:rPr>
        <w:t>If there are zero in scope for the Bonus measure then equation would effectively exclude the Bonus component of the measure and look like the following:</w:t>
      </w:r>
    </w:p>
    <w:p w14:paraId="5A2F8556" w14:textId="77777777" w:rsidR="00152B4F" w:rsidRPr="00E32170" w:rsidRDefault="00152B4F" w:rsidP="00152B4F">
      <w:pPr>
        <w:rPr>
          <w:rFonts w:asciiTheme="minorHAnsi" w:hAnsiTheme="minorHAnsi" w:cs="Cambria"/>
          <w:szCs w:val="22"/>
        </w:rPr>
      </w:pPr>
    </w:p>
    <w:p w14:paraId="6C1B0F81" w14:textId="77777777" w:rsidR="00152B4F" w:rsidRPr="00E32170" w:rsidRDefault="00152B4F" w:rsidP="00152B4F">
      <w:pPr>
        <w:rPr>
          <w:rFonts w:asciiTheme="minorHAnsi" w:hAnsiTheme="minorHAnsi" w:cs="Cambria"/>
          <w:szCs w:val="22"/>
        </w:rPr>
      </w:pPr>
      <m:oMath>
        <m:r>
          <w:rPr>
            <w:rFonts w:ascii="Cambria Math" w:hAnsi="Cambria Math" w:cs="Cambria"/>
            <w:szCs w:val="22"/>
          </w:rPr>
          <m:t xml:space="preserve">Actual vs Expected </m:t>
        </m:r>
        <m:d>
          <m:dPr>
            <m:ctrlPr>
              <w:rPr>
                <w:rFonts w:ascii="Cambria Math" w:hAnsi="Cambria Math"/>
                <w:i/>
              </w:rPr>
            </m:ctrlPr>
          </m:dPr>
          <m:e>
            <m:r>
              <w:rPr>
                <w:rFonts w:ascii="Cambria Math" w:hAnsi="Cambria Math" w:cs="Cambria"/>
                <w:szCs w:val="22"/>
              </w:rPr>
              <m:t>DMS 26 week outcomes</m:t>
            </m:r>
          </m:e>
        </m:d>
        <m:r>
          <w:rPr>
            <w:rFonts w:ascii="Cambria Math" w:hAnsi="Cambria Math" w:cs="Cambria"/>
            <w:szCs w:val="22"/>
          </w:rPr>
          <m:t xml:space="preserve">= </m:t>
        </m:r>
        <m:f>
          <m:fPr>
            <m:ctrlPr>
              <w:rPr>
                <w:rFonts w:ascii="Cambria Math" w:hAnsi="Cambria Math"/>
                <w:i/>
              </w:rPr>
            </m:ctrlPr>
          </m:fPr>
          <m:num>
            <m:d>
              <m:dPr>
                <m:ctrlPr>
                  <w:rPr>
                    <w:rFonts w:ascii="Cambria Math" w:hAnsi="Cambria Math"/>
                    <w:i/>
                  </w:rPr>
                </m:ctrlPr>
              </m:dPr>
              <m:e>
                <m:r>
                  <w:rPr>
                    <w:rFonts w:ascii="Cambria Math" w:hAnsi="Cambria Math" w:cs="Cambria"/>
                    <w:szCs w:val="22"/>
                  </w:rPr>
                  <m:t>actual full outcomes</m:t>
                </m:r>
              </m:e>
            </m:d>
            <m:r>
              <w:rPr>
                <w:rFonts w:ascii="Cambria Math" w:hAnsi="Cambria Math" w:cs="Cambria"/>
                <w:szCs w:val="22"/>
              </w:rPr>
              <m:t>*39.4%+</m:t>
            </m:r>
            <m:d>
              <m:dPr>
                <m:ctrlPr>
                  <w:rPr>
                    <w:rFonts w:ascii="Cambria Math" w:hAnsi="Cambria Math"/>
                    <w:i/>
                  </w:rPr>
                </m:ctrlPr>
              </m:dPr>
              <m:e>
                <m:r>
                  <w:rPr>
                    <w:rFonts w:ascii="Cambria Math" w:hAnsi="Cambria Math" w:cs="Cambria"/>
                    <w:szCs w:val="22"/>
                  </w:rPr>
                  <m:t>actual pathway outcomes</m:t>
                </m:r>
              </m:e>
            </m:d>
            <m:r>
              <w:rPr>
                <w:rFonts w:ascii="Cambria Math" w:hAnsi="Cambria Math" w:cs="Cambria"/>
                <w:szCs w:val="22"/>
              </w:rPr>
              <m:t>*5.6%</m:t>
            </m:r>
          </m:num>
          <m:den>
            <m:d>
              <m:dPr>
                <m:ctrlPr>
                  <w:rPr>
                    <w:rFonts w:ascii="Cambria Math" w:hAnsi="Cambria Math"/>
                    <w:i/>
                  </w:rPr>
                </m:ctrlPr>
              </m:dPr>
              <m:e>
                <m:r>
                  <w:rPr>
                    <w:rFonts w:ascii="Cambria Math" w:hAnsi="Cambria Math" w:cs="Cambria"/>
                    <w:szCs w:val="22"/>
                  </w:rPr>
                  <m:t>expected full outcomes</m:t>
                </m:r>
              </m:e>
            </m:d>
            <m:r>
              <w:rPr>
                <w:rFonts w:ascii="Cambria Math" w:hAnsi="Cambria Math" w:cs="Cambria"/>
                <w:szCs w:val="22"/>
              </w:rPr>
              <m:t>*39.4%+</m:t>
            </m:r>
            <m:d>
              <m:dPr>
                <m:ctrlPr>
                  <w:rPr>
                    <w:rFonts w:ascii="Cambria Math" w:hAnsi="Cambria Math"/>
                    <w:i/>
                  </w:rPr>
                </m:ctrlPr>
              </m:dPr>
              <m:e>
                <m:r>
                  <w:rPr>
                    <w:rFonts w:ascii="Cambria Math" w:hAnsi="Cambria Math" w:cs="Cambria"/>
                    <w:szCs w:val="22"/>
                  </w:rPr>
                  <m:t>expected pathway outcomes</m:t>
                </m:r>
              </m:e>
            </m:d>
            <m:r>
              <w:rPr>
                <w:rFonts w:ascii="Cambria Math" w:hAnsi="Cambria Math" w:cs="Cambria"/>
                <w:szCs w:val="22"/>
              </w:rPr>
              <m:t>*5.6%</m:t>
            </m:r>
          </m:den>
        </m:f>
      </m:oMath>
      <w:r w:rsidRPr="00E32170">
        <w:rPr>
          <w:rFonts w:asciiTheme="minorHAnsi" w:hAnsiTheme="minorHAnsi" w:cs="Cambria"/>
          <w:szCs w:val="22"/>
        </w:rPr>
        <w:t xml:space="preserve"> </w:t>
      </w:r>
    </w:p>
    <w:p w14:paraId="652EAAD7" w14:textId="77777777" w:rsidR="00152B4F" w:rsidRPr="00E32170" w:rsidRDefault="00152B4F" w:rsidP="00152B4F">
      <w:pPr>
        <w:rPr>
          <w:rFonts w:asciiTheme="minorHAnsi" w:hAnsiTheme="minorHAnsi" w:cs="Cambria"/>
          <w:szCs w:val="22"/>
        </w:rPr>
      </w:pPr>
    </w:p>
    <w:p w14:paraId="4A5CF85C" w14:textId="77777777" w:rsidR="00152B4F" w:rsidRPr="00E32170" w:rsidRDefault="00152B4F" w:rsidP="00152B4F">
      <w:pPr>
        <w:rPr>
          <w:rFonts w:asciiTheme="minorHAnsi" w:hAnsiTheme="minorHAnsi" w:cs="Cambria"/>
          <w:szCs w:val="22"/>
        </w:rPr>
      </w:pPr>
      <w:r w:rsidRPr="00E32170">
        <w:rPr>
          <w:rFonts w:asciiTheme="minorHAnsi" w:hAnsiTheme="minorHAnsi" w:cs="Cambria"/>
          <w:szCs w:val="22"/>
        </w:rPr>
        <w:t>For a hypothetical Site Y, the actual and expected results may look like the following:</w:t>
      </w:r>
    </w:p>
    <w:p w14:paraId="6BB0BDBB" w14:textId="77777777" w:rsidR="00152B4F" w:rsidRPr="00E32170" w:rsidRDefault="00152B4F" w:rsidP="00152B4F">
      <w:pPr>
        <w:rPr>
          <w:rFonts w:asciiTheme="minorHAnsi" w:hAnsiTheme="minorHAnsi" w:cs="Cambria"/>
          <w:i/>
          <w:szCs w:val="22"/>
        </w:rPr>
      </w:pPr>
    </w:p>
    <w:tbl>
      <w:tblPr>
        <w:tblW w:w="7566" w:type="dxa"/>
        <w:tblInd w:w="720" w:type="dxa"/>
        <w:tblLook w:val="04A0" w:firstRow="1" w:lastRow="0" w:firstColumn="1" w:lastColumn="0" w:noHBand="0" w:noVBand="1"/>
      </w:tblPr>
      <w:tblGrid>
        <w:gridCol w:w="3523"/>
        <w:gridCol w:w="1417"/>
        <w:gridCol w:w="1418"/>
        <w:gridCol w:w="1208"/>
      </w:tblGrid>
      <w:tr w:rsidR="00152B4F" w:rsidRPr="00E32170" w14:paraId="6AC9E02F" w14:textId="77777777" w:rsidTr="009039E0">
        <w:trPr>
          <w:trHeight w:val="300"/>
        </w:trPr>
        <w:tc>
          <w:tcPr>
            <w:tcW w:w="3523" w:type="dxa"/>
            <w:tcBorders>
              <w:top w:val="single" w:sz="8" w:space="0" w:color="auto"/>
              <w:left w:val="single" w:sz="8" w:space="0" w:color="auto"/>
              <w:bottom w:val="nil"/>
              <w:right w:val="single" w:sz="8" w:space="0" w:color="auto"/>
            </w:tcBorders>
            <w:shd w:val="clear" w:color="auto" w:fill="FFFFFF" w:themeFill="background1"/>
            <w:noWrap/>
            <w:vAlign w:val="center"/>
            <w:hideMark/>
          </w:tcPr>
          <w:p w14:paraId="766BA6BE" w14:textId="77777777" w:rsidR="00152B4F" w:rsidRPr="00E32170" w:rsidRDefault="00152B4F" w:rsidP="009039E0">
            <w:pPr>
              <w:spacing w:before="60" w:after="60"/>
              <w:rPr>
                <w:rFonts w:cs="Calibri"/>
                <w:b/>
                <w:bCs/>
                <w:szCs w:val="22"/>
              </w:rPr>
            </w:pPr>
            <w:r w:rsidRPr="00E32170">
              <w:rPr>
                <w:rFonts w:cs="Calibri"/>
                <w:b/>
                <w:bCs/>
                <w:szCs w:val="22"/>
              </w:rPr>
              <w:t>Performance Measure</w:t>
            </w:r>
          </w:p>
        </w:tc>
        <w:tc>
          <w:tcPr>
            <w:tcW w:w="1417" w:type="dxa"/>
            <w:tcBorders>
              <w:top w:val="single" w:sz="8" w:space="0" w:color="auto"/>
              <w:left w:val="nil"/>
              <w:bottom w:val="nil"/>
              <w:right w:val="single" w:sz="8" w:space="0" w:color="auto"/>
            </w:tcBorders>
            <w:shd w:val="clear" w:color="auto" w:fill="FFFFFF" w:themeFill="background1"/>
            <w:noWrap/>
            <w:vAlign w:val="center"/>
            <w:hideMark/>
          </w:tcPr>
          <w:p w14:paraId="1AE8B1F3" w14:textId="77777777" w:rsidR="00152B4F" w:rsidRPr="00E32170" w:rsidRDefault="00152B4F" w:rsidP="009039E0">
            <w:pPr>
              <w:spacing w:before="60" w:after="60"/>
              <w:jc w:val="center"/>
              <w:rPr>
                <w:rFonts w:cs="Calibri"/>
                <w:b/>
                <w:bCs/>
                <w:szCs w:val="22"/>
              </w:rPr>
            </w:pPr>
            <w:r w:rsidRPr="00E32170">
              <w:rPr>
                <w:rFonts w:cs="Calibri"/>
                <w:b/>
                <w:bCs/>
                <w:szCs w:val="22"/>
              </w:rPr>
              <w:t>Actual</w:t>
            </w:r>
          </w:p>
        </w:tc>
        <w:tc>
          <w:tcPr>
            <w:tcW w:w="1418" w:type="dxa"/>
            <w:tcBorders>
              <w:top w:val="single" w:sz="8" w:space="0" w:color="auto"/>
              <w:left w:val="nil"/>
              <w:bottom w:val="nil"/>
              <w:right w:val="single" w:sz="8" w:space="0" w:color="auto"/>
            </w:tcBorders>
            <w:shd w:val="clear" w:color="auto" w:fill="FFFFFF" w:themeFill="background1"/>
            <w:noWrap/>
            <w:vAlign w:val="center"/>
            <w:hideMark/>
          </w:tcPr>
          <w:p w14:paraId="6BFF728B" w14:textId="77777777" w:rsidR="00152B4F" w:rsidRPr="00E32170" w:rsidRDefault="00152B4F" w:rsidP="009039E0">
            <w:pPr>
              <w:spacing w:before="60" w:after="60"/>
              <w:jc w:val="center"/>
              <w:rPr>
                <w:rFonts w:cs="Calibri"/>
                <w:b/>
                <w:bCs/>
                <w:szCs w:val="22"/>
              </w:rPr>
            </w:pPr>
            <w:r w:rsidRPr="00E32170">
              <w:rPr>
                <w:rFonts w:cs="Calibri"/>
                <w:b/>
                <w:bCs/>
                <w:szCs w:val="22"/>
              </w:rPr>
              <w:t>Expected</w:t>
            </w:r>
          </w:p>
        </w:tc>
        <w:tc>
          <w:tcPr>
            <w:tcW w:w="1208" w:type="dxa"/>
            <w:tcBorders>
              <w:top w:val="single" w:sz="8" w:space="0" w:color="auto"/>
              <w:left w:val="nil"/>
              <w:bottom w:val="nil"/>
              <w:right w:val="single" w:sz="8" w:space="0" w:color="auto"/>
            </w:tcBorders>
            <w:shd w:val="clear" w:color="auto" w:fill="FFFFFF" w:themeFill="background1"/>
          </w:tcPr>
          <w:p w14:paraId="41DA3256" w14:textId="77777777" w:rsidR="00152B4F" w:rsidRPr="00E32170" w:rsidRDefault="00152B4F" w:rsidP="009039E0">
            <w:pPr>
              <w:spacing w:before="60" w:after="60"/>
              <w:jc w:val="center"/>
              <w:rPr>
                <w:rFonts w:cs="Calibri"/>
                <w:b/>
                <w:bCs/>
                <w:szCs w:val="22"/>
              </w:rPr>
            </w:pPr>
            <w:r w:rsidRPr="00E32170">
              <w:rPr>
                <w:rFonts w:cs="Calibri"/>
                <w:b/>
                <w:bCs/>
                <w:szCs w:val="22"/>
              </w:rPr>
              <w:t>DSS Weight</w:t>
            </w:r>
          </w:p>
        </w:tc>
      </w:tr>
      <w:tr w:rsidR="00152B4F" w:rsidRPr="00E32170" w14:paraId="671EA446" w14:textId="77777777" w:rsidTr="009039E0">
        <w:trPr>
          <w:trHeight w:val="315"/>
        </w:trPr>
        <w:tc>
          <w:tcPr>
            <w:tcW w:w="352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AA6E32" w14:textId="77777777" w:rsidR="00152B4F" w:rsidRPr="00E32170" w:rsidRDefault="00152B4F" w:rsidP="009039E0">
            <w:pPr>
              <w:rPr>
                <w:rFonts w:cs="Calibri"/>
                <w:b/>
                <w:bCs/>
                <w:szCs w:val="22"/>
              </w:rPr>
            </w:pPr>
            <w:r w:rsidRPr="00E32170">
              <w:rPr>
                <w:rFonts w:cs="Calibri"/>
                <w:b/>
                <w:bCs/>
                <w:szCs w:val="22"/>
              </w:rPr>
              <w:t>26 Week Outcomes combined</w:t>
            </w:r>
          </w:p>
        </w:tc>
        <w:tc>
          <w:tcPr>
            <w:tcW w:w="1417" w:type="dxa"/>
            <w:tcBorders>
              <w:top w:val="single" w:sz="8" w:space="0" w:color="auto"/>
              <w:left w:val="nil"/>
              <w:bottom w:val="single" w:sz="8" w:space="0" w:color="auto"/>
              <w:right w:val="single" w:sz="8" w:space="0" w:color="auto"/>
            </w:tcBorders>
            <w:noWrap/>
            <w:vAlign w:val="center"/>
            <w:hideMark/>
          </w:tcPr>
          <w:p w14:paraId="6E526F92" w14:textId="77777777" w:rsidR="00152B4F" w:rsidRPr="00E32170" w:rsidRDefault="00152B4F" w:rsidP="009039E0">
            <w:pPr>
              <w:jc w:val="right"/>
              <w:rPr>
                <w:rFonts w:cs="Calibri"/>
                <w:color w:val="000000"/>
                <w:szCs w:val="22"/>
              </w:rPr>
            </w:pPr>
            <w:r w:rsidRPr="00E32170">
              <w:rPr>
                <w:rFonts w:cs="Calibri"/>
                <w:color w:val="000000"/>
                <w:szCs w:val="22"/>
              </w:rPr>
              <w:t> </w:t>
            </w:r>
          </w:p>
        </w:tc>
        <w:tc>
          <w:tcPr>
            <w:tcW w:w="1418" w:type="dxa"/>
            <w:tcBorders>
              <w:top w:val="single" w:sz="8" w:space="0" w:color="auto"/>
              <w:left w:val="nil"/>
              <w:bottom w:val="single" w:sz="8" w:space="0" w:color="auto"/>
              <w:right w:val="single" w:sz="8" w:space="0" w:color="auto"/>
            </w:tcBorders>
            <w:noWrap/>
            <w:vAlign w:val="center"/>
            <w:hideMark/>
          </w:tcPr>
          <w:p w14:paraId="6B8F1418" w14:textId="77777777" w:rsidR="00152B4F" w:rsidRPr="00E32170" w:rsidRDefault="00152B4F" w:rsidP="009039E0">
            <w:pPr>
              <w:jc w:val="right"/>
              <w:rPr>
                <w:rFonts w:cs="Calibri"/>
                <w:color w:val="000000"/>
                <w:szCs w:val="22"/>
              </w:rPr>
            </w:pPr>
            <w:r w:rsidRPr="00E32170">
              <w:rPr>
                <w:rFonts w:cs="Calibri"/>
                <w:color w:val="000000"/>
                <w:szCs w:val="22"/>
              </w:rPr>
              <w:t> </w:t>
            </w:r>
          </w:p>
        </w:tc>
        <w:tc>
          <w:tcPr>
            <w:tcW w:w="1208" w:type="dxa"/>
            <w:tcBorders>
              <w:top w:val="single" w:sz="8" w:space="0" w:color="auto"/>
              <w:left w:val="nil"/>
              <w:bottom w:val="single" w:sz="8" w:space="0" w:color="auto"/>
              <w:right w:val="single" w:sz="8" w:space="0" w:color="auto"/>
            </w:tcBorders>
          </w:tcPr>
          <w:p w14:paraId="6B02D7D3" w14:textId="77777777" w:rsidR="00152B4F" w:rsidRPr="00E32170" w:rsidRDefault="00152B4F" w:rsidP="009039E0">
            <w:pPr>
              <w:jc w:val="right"/>
              <w:rPr>
                <w:rFonts w:cs="Calibri"/>
                <w:color w:val="000000"/>
                <w:szCs w:val="22"/>
              </w:rPr>
            </w:pPr>
          </w:p>
        </w:tc>
      </w:tr>
      <w:tr w:rsidR="00152B4F" w:rsidRPr="00E32170" w14:paraId="66BA6B10" w14:textId="77777777" w:rsidTr="009039E0">
        <w:trPr>
          <w:trHeight w:val="315"/>
        </w:trPr>
        <w:tc>
          <w:tcPr>
            <w:tcW w:w="3523" w:type="dxa"/>
            <w:tcBorders>
              <w:top w:val="nil"/>
              <w:left w:val="single" w:sz="8" w:space="0" w:color="auto"/>
              <w:bottom w:val="single" w:sz="8" w:space="0" w:color="auto"/>
              <w:right w:val="single" w:sz="8" w:space="0" w:color="auto"/>
            </w:tcBorders>
            <w:shd w:val="clear" w:color="000000" w:fill="D9D9D9"/>
            <w:noWrap/>
            <w:vAlign w:val="center"/>
            <w:hideMark/>
          </w:tcPr>
          <w:p w14:paraId="1D90FD8E" w14:textId="77777777" w:rsidR="00152B4F" w:rsidRPr="00E32170" w:rsidRDefault="00152B4F" w:rsidP="009039E0">
            <w:pPr>
              <w:ind w:firstLineChars="500" w:firstLine="1104"/>
              <w:rPr>
                <w:rFonts w:cs="Calibri"/>
                <w:b/>
                <w:bCs/>
                <w:szCs w:val="22"/>
              </w:rPr>
            </w:pPr>
            <w:r w:rsidRPr="00E32170">
              <w:rPr>
                <w:rFonts w:cs="Calibri"/>
                <w:b/>
                <w:bCs/>
                <w:szCs w:val="22"/>
              </w:rPr>
              <w:t>26 Week Full</w:t>
            </w:r>
          </w:p>
        </w:tc>
        <w:tc>
          <w:tcPr>
            <w:tcW w:w="1417" w:type="dxa"/>
            <w:tcBorders>
              <w:top w:val="nil"/>
              <w:left w:val="nil"/>
              <w:bottom w:val="single" w:sz="8" w:space="0" w:color="auto"/>
              <w:right w:val="single" w:sz="8" w:space="0" w:color="auto"/>
            </w:tcBorders>
            <w:noWrap/>
            <w:vAlign w:val="center"/>
            <w:hideMark/>
          </w:tcPr>
          <w:p w14:paraId="5E5BE82E" w14:textId="77777777" w:rsidR="00152B4F" w:rsidRPr="00E32170" w:rsidRDefault="00152B4F" w:rsidP="009039E0">
            <w:pPr>
              <w:jc w:val="right"/>
              <w:rPr>
                <w:rFonts w:cs="Calibri"/>
                <w:color w:val="000000"/>
                <w:szCs w:val="22"/>
              </w:rPr>
            </w:pPr>
            <w:r w:rsidRPr="00E32170">
              <w:rPr>
                <w:rFonts w:cs="Calibri"/>
                <w:color w:val="000000"/>
                <w:szCs w:val="22"/>
              </w:rPr>
              <w:t>25</w:t>
            </w:r>
          </w:p>
        </w:tc>
        <w:tc>
          <w:tcPr>
            <w:tcW w:w="1418" w:type="dxa"/>
            <w:tcBorders>
              <w:top w:val="nil"/>
              <w:left w:val="nil"/>
              <w:bottom w:val="single" w:sz="8" w:space="0" w:color="auto"/>
              <w:right w:val="single" w:sz="8" w:space="0" w:color="auto"/>
            </w:tcBorders>
            <w:noWrap/>
            <w:vAlign w:val="center"/>
            <w:hideMark/>
          </w:tcPr>
          <w:p w14:paraId="06E72460" w14:textId="77777777" w:rsidR="00152B4F" w:rsidRPr="00E32170" w:rsidRDefault="00152B4F" w:rsidP="009039E0">
            <w:pPr>
              <w:jc w:val="right"/>
              <w:rPr>
                <w:rFonts w:cs="Calibri"/>
                <w:color w:val="000000"/>
                <w:szCs w:val="22"/>
              </w:rPr>
            </w:pPr>
            <w:r w:rsidRPr="00E32170">
              <w:rPr>
                <w:rFonts w:cs="Calibri"/>
                <w:color w:val="000000"/>
                <w:szCs w:val="22"/>
              </w:rPr>
              <w:t>21</w:t>
            </w:r>
          </w:p>
        </w:tc>
        <w:tc>
          <w:tcPr>
            <w:tcW w:w="1208" w:type="dxa"/>
            <w:tcBorders>
              <w:top w:val="nil"/>
              <w:left w:val="nil"/>
              <w:bottom w:val="single" w:sz="8" w:space="0" w:color="auto"/>
              <w:right w:val="single" w:sz="8" w:space="0" w:color="auto"/>
            </w:tcBorders>
          </w:tcPr>
          <w:p w14:paraId="6C6B2D6C" w14:textId="77777777" w:rsidR="00152B4F" w:rsidRPr="00E32170" w:rsidRDefault="00152B4F" w:rsidP="009039E0">
            <w:pPr>
              <w:jc w:val="right"/>
              <w:rPr>
                <w:rFonts w:cs="Calibri"/>
                <w:color w:val="000000"/>
                <w:szCs w:val="22"/>
              </w:rPr>
            </w:pPr>
            <w:r w:rsidRPr="00E32170">
              <w:rPr>
                <w:rFonts w:cs="Calibri"/>
                <w:color w:val="000000"/>
                <w:szCs w:val="22"/>
              </w:rPr>
              <w:t>39.4%</w:t>
            </w:r>
          </w:p>
        </w:tc>
      </w:tr>
      <w:tr w:rsidR="00152B4F" w:rsidRPr="00E32170" w14:paraId="4A68E8BC" w14:textId="77777777" w:rsidTr="009039E0">
        <w:trPr>
          <w:trHeight w:val="315"/>
        </w:trPr>
        <w:tc>
          <w:tcPr>
            <w:tcW w:w="3523" w:type="dxa"/>
            <w:tcBorders>
              <w:top w:val="nil"/>
              <w:left w:val="single" w:sz="8" w:space="0" w:color="auto"/>
              <w:bottom w:val="single" w:sz="8" w:space="0" w:color="auto"/>
              <w:right w:val="single" w:sz="8" w:space="0" w:color="auto"/>
            </w:tcBorders>
            <w:shd w:val="clear" w:color="000000" w:fill="D9D9D9"/>
            <w:noWrap/>
            <w:vAlign w:val="center"/>
            <w:hideMark/>
          </w:tcPr>
          <w:p w14:paraId="18AA3522" w14:textId="77777777" w:rsidR="00152B4F" w:rsidRPr="00E32170" w:rsidRDefault="00152B4F" w:rsidP="009039E0">
            <w:pPr>
              <w:ind w:firstLineChars="500" w:firstLine="1104"/>
              <w:rPr>
                <w:rFonts w:cs="Calibri"/>
                <w:b/>
                <w:bCs/>
                <w:szCs w:val="22"/>
              </w:rPr>
            </w:pPr>
            <w:r w:rsidRPr="00E32170">
              <w:rPr>
                <w:rFonts w:cs="Calibri"/>
                <w:b/>
                <w:bCs/>
                <w:szCs w:val="22"/>
              </w:rPr>
              <w:t>26 Week Pathway</w:t>
            </w:r>
          </w:p>
        </w:tc>
        <w:tc>
          <w:tcPr>
            <w:tcW w:w="1417" w:type="dxa"/>
            <w:tcBorders>
              <w:top w:val="nil"/>
              <w:left w:val="nil"/>
              <w:bottom w:val="single" w:sz="8" w:space="0" w:color="auto"/>
              <w:right w:val="single" w:sz="8" w:space="0" w:color="auto"/>
            </w:tcBorders>
            <w:noWrap/>
            <w:vAlign w:val="center"/>
            <w:hideMark/>
          </w:tcPr>
          <w:p w14:paraId="54C5178B" w14:textId="77777777" w:rsidR="00152B4F" w:rsidRPr="00E32170" w:rsidRDefault="00152B4F" w:rsidP="009039E0">
            <w:pPr>
              <w:jc w:val="right"/>
              <w:rPr>
                <w:rFonts w:cs="Calibri"/>
                <w:color w:val="000000"/>
                <w:szCs w:val="22"/>
              </w:rPr>
            </w:pPr>
            <w:r w:rsidRPr="00E32170">
              <w:rPr>
                <w:rFonts w:cs="Calibri"/>
                <w:color w:val="000000"/>
                <w:szCs w:val="22"/>
              </w:rPr>
              <w:t>8</w:t>
            </w:r>
          </w:p>
        </w:tc>
        <w:tc>
          <w:tcPr>
            <w:tcW w:w="1418" w:type="dxa"/>
            <w:tcBorders>
              <w:top w:val="nil"/>
              <w:left w:val="nil"/>
              <w:bottom w:val="single" w:sz="8" w:space="0" w:color="auto"/>
              <w:right w:val="single" w:sz="8" w:space="0" w:color="auto"/>
            </w:tcBorders>
            <w:noWrap/>
            <w:vAlign w:val="center"/>
            <w:hideMark/>
          </w:tcPr>
          <w:p w14:paraId="28250032" w14:textId="77777777" w:rsidR="00152B4F" w:rsidRPr="00E32170" w:rsidRDefault="00152B4F" w:rsidP="009039E0">
            <w:pPr>
              <w:jc w:val="right"/>
              <w:rPr>
                <w:rFonts w:cs="Calibri"/>
                <w:color w:val="000000"/>
                <w:szCs w:val="22"/>
              </w:rPr>
            </w:pPr>
            <w:r w:rsidRPr="00E32170">
              <w:rPr>
                <w:rFonts w:cs="Calibri"/>
                <w:color w:val="000000"/>
                <w:szCs w:val="22"/>
              </w:rPr>
              <w:t>6</w:t>
            </w:r>
          </w:p>
        </w:tc>
        <w:tc>
          <w:tcPr>
            <w:tcW w:w="1208" w:type="dxa"/>
            <w:tcBorders>
              <w:top w:val="nil"/>
              <w:left w:val="nil"/>
              <w:bottom w:val="single" w:sz="8" w:space="0" w:color="auto"/>
              <w:right w:val="single" w:sz="8" w:space="0" w:color="auto"/>
            </w:tcBorders>
          </w:tcPr>
          <w:p w14:paraId="2E8549B1" w14:textId="77777777" w:rsidR="00152B4F" w:rsidRPr="00E32170" w:rsidRDefault="00152B4F" w:rsidP="009039E0">
            <w:pPr>
              <w:jc w:val="right"/>
              <w:rPr>
                <w:rFonts w:cs="Calibri"/>
                <w:color w:val="000000"/>
                <w:szCs w:val="22"/>
              </w:rPr>
            </w:pPr>
            <w:r w:rsidRPr="00E32170">
              <w:rPr>
                <w:rFonts w:cs="Calibri"/>
                <w:color w:val="000000"/>
                <w:szCs w:val="22"/>
              </w:rPr>
              <w:t>5.6%</w:t>
            </w:r>
          </w:p>
        </w:tc>
      </w:tr>
      <w:tr w:rsidR="00152B4F" w:rsidRPr="00551489" w14:paraId="3E6312D8" w14:textId="77777777" w:rsidTr="009039E0">
        <w:trPr>
          <w:trHeight w:val="315"/>
        </w:trPr>
        <w:tc>
          <w:tcPr>
            <w:tcW w:w="3523" w:type="dxa"/>
            <w:tcBorders>
              <w:top w:val="nil"/>
              <w:left w:val="single" w:sz="8" w:space="0" w:color="auto"/>
              <w:bottom w:val="single" w:sz="8" w:space="0" w:color="auto"/>
              <w:right w:val="single" w:sz="8" w:space="0" w:color="auto"/>
            </w:tcBorders>
            <w:shd w:val="clear" w:color="000000" w:fill="D9D9D9"/>
            <w:noWrap/>
            <w:vAlign w:val="center"/>
            <w:hideMark/>
          </w:tcPr>
          <w:p w14:paraId="35B5618B" w14:textId="77777777" w:rsidR="00152B4F" w:rsidRPr="00E32170" w:rsidRDefault="00152B4F" w:rsidP="009039E0">
            <w:pPr>
              <w:ind w:firstLineChars="500" w:firstLine="1104"/>
              <w:rPr>
                <w:rFonts w:cs="Calibri"/>
                <w:b/>
                <w:bCs/>
                <w:szCs w:val="22"/>
              </w:rPr>
            </w:pPr>
            <w:r w:rsidRPr="00E32170">
              <w:rPr>
                <w:rFonts w:cs="Calibri"/>
                <w:b/>
                <w:bCs/>
                <w:szCs w:val="22"/>
              </w:rPr>
              <w:t>26 Week Bonus</w:t>
            </w:r>
          </w:p>
        </w:tc>
        <w:tc>
          <w:tcPr>
            <w:tcW w:w="1417" w:type="dxa"/>
            <w:tcBorders>
              <w:top w:val="nil"/>
              <w:left w:val="nil"/>
              <w:bottom w:val="single" w:sz="8" w:space="0" w:color="auto"/>
              <w:right w:val="single" w:sz="8" w:space="0" w:color="auto"/>
            </w:tcBorders>
            <w:noWrap/>
            <w:vAlign w:val="center"/>
            <w:hideMark/>
          </w:tcPr>
          <w:p w14:paraId="0A6BE4E5" w14:textId="77777777" w:rsidR="00152B4F" w:rsidRPr="00E32170" w:rsidRDefault="00152B4F" w:rsidP="009039E0">
            <w:pPr>
              <w:jc w:val="right"/>
              <w:rPr>
                <w:rFonts w:cs="Calibri"/>
                <w:color w:val="000000"/>
                <w:szCs w:val="22"/>
              </w:rPr>
            </w:pPr>
            <w:r w:rsidRPr="00E32170">
              <w:rPr>
                <w:rFonts w:cs="Calibri"/>
                <w:color w:val="000000"/>
                <w:szCs w:val="22"/>
              </w:rPr>
              <w:t>0</w:t>
            </w:r>
          </w:p>
        </w:tc>
        <w:tc>
          <w:tcPr>
            <w:tcW w:w="1418" w:type="dxa"/>
            <w:tcBorders>
              <w:top w:val="nil"/>
              <w:left w:val="nil"/>
              <w:bottom w:val="single" w:sz="8" w:space="0" w:color="auto"/>
              <w:right w:val="single" w:sz="8" w:space="0" w:color="auto"/>
            </w:tcBorders>
            <w:noWrap/>
            <w:vAlign w:val="center"/>
            <w:hideMark/>
          </w:tcPr>
          <w:p w14:paraId="6838DF09" w14:textId="77777777" w:rsidR="00152B4F" w:rsidRPr="00551489" w:rsidRDefault="00152B4F" w:rsidP="009039E0">
            <w:pPr>
              <w:jc w:val="right"/>
              <w:rPr>
                <w:rFonts w:cs="Calibri"/>
                <w:color w:val="000000"/>
                <w:szCs w:val="22"/>
              </w:rPr>
            </w:pPr>
            <w:r w:rsidRPr="00E32170">
              <w:rPr>
                <w:rFonts w:cs="Calibri"/>
                <w:color w:val="000000"/>
                <w:szCs w:val="22"/>
              </w:rPr>
              <w:t>0</w:t>
            </w:r>
          </w:p>
        </w:tc>
        <w:tc>
          <w:tcPr>
            <w:tcW w:w="1208" w:type="dxa"/>
            <w:tcBorders>
              <w:top w:val="nil"/>
              <w:left w:val="nil"/>
              <w:bottom w:val="single" w:sz="8" w:space="0" w:color="auto"/>
              <w:right w:val="single" w:sz="8" w:space="0" w:color="auto"/>
            </w:tcBorders>
          </w:tcPr>
          <w:p w14:paraId="68D13ECC" w14:textId="77777777" w:rsidR="00152B4F" w:rsidRPr="00551489" w:rsidRDefault="00152B4F" w:rsidP="009039E0">
            <w:pPr>
              <w:jc w:val="right"/>
              <w:rPr>
                <w:rFonts w:cs="Calibri"/>
                <w:color w:val="000000"/>
                <w:szCs w:val="22"/>
              </w:rPr>
            </w:pPr>
          </w:p>
        </w:tc>
      </w:tr>
    </w:tbl>
    <w:p w14:paraId="79D6B02C" w14:textId="77777777" w:rsidR="00152B4F" w:rsidRPr="00551489" w:rsidRDefault="00152B4F" w:rsidP="00152B4F">
      <w:pPr>
        <w:rPr>
          <w:rFonts w:asciiTheme="minorHAnsi" w:hAnsiTheme="minorHAnsi" w:cs="Cambria"/>
          <w:i/>
          <w:szCs w:val="22"/>
        </w:rPr>
      </w:pPr>
    </w:p>
    <w:p w14:paraId="3C3181AB" w14:textId="77777777" w:rsidR="00152B4F" w:rsidRPr="00551489" w:rsidRDefault="00152B4F" w:rsidP="00152B4F">
      <w:pPr>
        <w:rPr>
          <w:rFonts w:asciiTheme="minorHAnsi" w:hAnsiTheme="minorHAnsi" w:cs="Cambria"/>
          <w:szCs w:val="22"/>
        </w:rPr>
      </w:pPr>
      <w:r w:rsidRPr="00551489">
        <w:rPr>
          <w:rFonts w:asciiTheme="minorHAnsi" w:hAnsiTheme="minorHAnsi" w:cs="Cambria"/>
          <w:szCs w:val="22"/>
        </w:rPr>
        <w:br w:type="page"/>
      </w:r>
    </w:p>
    <w:p w14:paraId="5248565C" w14:textId="77777777" w:rsidR="00152B4F" w:rsidRPr="00551489" w:rsidRDefault="00152B4F" w:rsidP="00152B4F">
      <w:pPr>
        <w:rPr>
          <w:rFonts w:asciiTheme="minorHAnsi" w:hAnsiTheme="minorHAnsi" w:cs="Cambria"/>
          <w:szCs w:val="22"/>
        </w:rPr>
      </w:pPr>
      <w:r w:rsidRPr="00551489">
        <w:rPr>
          <w:rFonts w:asciiTheme="minorHAnsi" w:hAnsiTheme="minorHAnsi" w:cs="Cambria"/>
          <w:szCs w:val="22"/>
        </w:rPr>
        <w:t>These actual and expected results are combined into one actual versus expected equation, with the weightings for DES</w:t>
      </w:r>
      <w:r>
        <w:rPr>
          <w:rFonts w:asciiTheme="minorHAnsi" w:hAnsiTheme="minorHAnsi" w:cs="Cambria"/>
          <w:szCs w:val="22"/>
        </w:rPr>
        <w:t>-</w:t>
      </w:r>
      <w:r w:rsidRPr="00551489">
        <w:rPr>
          <w:rFonts w:asciiTheme="minorHAnsi" w:hAnsiTheme="minorHAnsi" w:cs="Cambria"/>
          <w:szCs w:val="22"/>
        </w:rPr>
        <w:t>DMS:</w:t>
      </w:r>
    </w:p>
    <w:p w14:paraId="3C25EE13" w14:textId="77777777" w:rsidR="00152B4F" w:rsidRPr="00551489" w:rsidRDefault="00152B4F" w:rsidP="00152B4F">
      <w:pPr>
        <w:rPr>
          <w:rFonts w:asciiTheme="minorHAnsi" w:hAnsiTheme="minorHAnsi" w:cs="Cambria"/>
          <w:i/>
          <w:szCs w:val="22"/>
        </w:rPr>
      </w:pPr>
    </w:p>
    <w:p w14:paraId="162B22E6" w14:textId="77777777" w:rsidR="00152B4F" w:rsidRPr="00A01C61" w:rsidRDefault="00152B4F" w:rsidP="00152B4F">
      <w:pPr>
        <w:spacing w:line="276" w:lineRule="auto"/>
        <w:rPr>
          <w:rFonts w:asciiTheme="minorHAnsi" w:hAnsiTheme="minorHAnsi" w:cs="Cambria"/>
          <w:i/>
          <w:szCs w:val="22"/>
        </w:rPr>
      </w:pPr>
      <m:oMathPara>
        <m:oMath>
          <m:r>
            <w:rPr>
              <w:rFonts w:ascii="Cambria Math" w:hAnsi="Cambria Math" w:cs="Cambria"/>
              <w:szCs w:val="22"/>
            </w:rPr>
            <m:t xml:space="preserve">Actual Vs Expected= </m:t>
          </m:r>
          <m:f>
            <m:fPr>
              <m:ctrlPr>
                <w:rPr>
                  <w:rFonts w:ascii="Cambria Math" w:hAnsi="Cambria Math"/>
                  <w:i/>
                </w:rPr>
              </m:ctrlPr>
            </m:fPr>
            <m:num>
              <m:d>
                <m:dPr>
                  <m:ctrlPr>
                    <w:rPr>
                      <w:rFonts w:ascii="Cambria Math" w:hAnsi="Cambria Math"/>
                      <w:i/>
                    </w:rPr>
                  </m:ctrlPr>
                </m:dPr>
                <m:e>
                  <m:r>
                    <w:rPr>
                      <w:rFonts w:ascii="Cambria Math" w:hAnsi="Cambria Math" w:cs="Cambria"/>
                      <w:szCs w:val="22"/>
                    </w:rPr>
                    <m:t>25</m:t>
                  </m:r>
                </m:e>
              </m:d>
              <m:r>
                <w:rPr>
                  <w:rFonts w:ascii="Cambria Math" w:hAnsi="Cambria Math" w:cs="Cambria"/>
                  <w:szCs w:val="22"/>
                </w:rPr>
                <m:t>*0.394+</m:t>
              </m:r>
              <m:d>
                <m:dPr>
                  <m:ctrlPr>
                    <w:rPr>
                      <w:rFonts w:ascii="Cambria Math" w:hAnsi="Cambria Math"/>
                      <w:i/>
                    </w:rPr>
                  </m:ctrlPr>
                </m:dPr>
                <m:e>
                  <m:r>
                    <w:rPr>
                      <w:rFonts w:ascii="Cambria Math" w:hAnsi="Cambria Math" w:cs="Cambria"/>
                      <w:szCs w:val="22"/>
                    </w:rPr>
                    <m:t>8</m:t>
                  </m:r>
                </m:e>
              </m:d>
              <m:r>
                <w:rPr>
                  <w:rFonts w:ascii="Cambria Math" w:hAnsi="Cambria Math" w:cs="Cambria"/>
                  <w:szCs w:val="22"/>
                </w:rPr>
                <m:t>*0.056</m:t>
              </m:r>
            </m:num>
            <m:den>
              <m:d>
                <m:dPr>
                  <m:ctrlPr>
                    <w:rPr>
                      <w:rFonts w:ascii="Cambria Math" w:hAnsi="Cambria Math"/>
                      <w:i/>
                    </w:rPr>
                  </m:ctrlPr>
                </m:dPr>
                <m:e>
                  <m:r>
                    <w:rPr>
                      <w:rFonts w:ascii="Cambria Math" w:hAnsi="Cambria Math" w:cs="Cambria"/>
                      <w:szCs w:val="22"/>
                    </w:rPr>
                    <m:t>21</m:t>
                  </m:r>
                </m:e>
              </m:d>
              <m:r>
                <w:rPr>
                  <w:rFonts w:ascii="Cambria Math" w:hAnsi="Cambria Math" w:cs="Cambria"/>
                  <w:szCs w:val="22"/>
                </w:rPr>
                <m:t>*0.394+</m:t>
              </m:r>
              <m:d>
                <m:dPr>
                  <m:ctrlPr>
                    <w:rPr>
                      <w:rFonts w:ascii="Cambria Math" w:hAnsi="Cambria Math"/>
                      <w:i/>
                    </w:rPr>
                  </m:ctrlPr>
                </m:dPr>
                <m:e>
                  <m:r>
                    <w:rPr>
                      <w:rFonts w:ascii="Cambria Math" w:hAnsi="Cambria Math" w:cs="Cambria"/>
                      <w:szCs w:val="22"/>
                    </w:rPr>
                    <m:t>6</m:t>
                  </m:r>
                </m:e>
              </m:d>
              <m:r>
                <w:rPr>
                  <w:rFonts w:ascii="Cambria Math" w:hAnsi="Cambria Math" w:cs="Cambria"/>
                  <w:szCs w:val="22"/>
                </w:rPr>
                <m:t>*0.056</m:t>
              </m:r>
            </m:den>
          </m:f>
        </m:oMath>
      </m:oMathPara>
    </w:p>
    <w:p w14:paraId="0FE69CC9" w14:textId="77777777" w:rsidR="00152B4F" w:rsidRPr="00A01C61" w:rsidRDefault="00152B4F" w:rsidP="00152B4F">
      <w:pPr>
        <w:spacing w:line="276" w:lineRule="auto"/>
        <w:ind w:left="1440" w:firstLine="720"/>
        <w:rPr>
          <w:rFonts w:asciiTheme="minorHAnsi" w:hAnsiTheme="minorHAnsi" w:cs="Cambria"/>
          <w:i/>
          <w:szCs w:val="22"/>
        </w:rPr>
      </w:pPr>
    </w:p>
    <w:p w14:paraId="1D198C96" w14:textId="77777777" w:rsidR="00152B4F" w:rsidRPr="00A01C61" w:rsidRDefault="00152B4F" w:rsidP="00152B4F">
      <w:pPr>
        <w:spacing w:after="200" w:line="276" w:lineRule="auto"/>
        <w:ind w:firstLine="720"/>
        <w:rPr>
          <w:rFonts w:asciiTheme="minorHAnsi" w:hAnsiTheme="minorHAnsi" w:cs="Cambria"/>
          <w:i/>
          <w:szCs w:val="22"/>
        </w:rPr>
      </w:pPr>
      <m:oMath>
        <m:r>
          <w:rPr>
            <w:rFonts w:ascii="Cambria Math" w:hAnsi="Cambria Math" w:cs="Cambria"/>
            <w:szCs w:val="22"/>
          </w:rPr>
          <m:t xml:space="preserve">Actual Vs Expected= </m:t>
        </m:r>
      </m:oMath>
      <w:r w:rsidRPr="00A01C61">
        <w:rPr>
          <w:rFonts w:asciiTheme="minorHAnsi" w:hAnsiTheme="minorHAnsi" w:cs="Cambria"/>
          <w:i/>
          <w:szCs w:val="22"/>
        </w:rPr>
        <w:t>1.20</w:t>
      </w:r>
    </w:p>
    <w:p w14:paraId="7833077E" w14:textId="77777777" w:rsidR="00152B4F" w:rsidRPr="00551489" w:rsidRDefault="00152B4F" w:rsidP="00152B4F">
      <w:pPr>
        <w:spacing w:after="200" w:line="276" w:lineRule="auto"/>
        <w:rPr>
          <w:rFonts w:asciiTheme="minorHAnsi" w:hAnsiTheme="minorHAnsi"/>
          <w:szCs w:val="22"/>
        </w:rPr>
      </w:pPr>
      <w:r w:rsidRPr="00A01C61">
        <w:rPr>
          <w:b/>
          <w:szCs w:val="22"/>
        </w:rPr>
        <w:t>Step 5:</w:t>
      </w:r>
      <w:r>
        <w:rPr>
          <w:b/>
          <w:szCs w:val="22"/>
        </w:rPr>
        <w:t xml:space="preserve"> </w:t>
      </w:r>
      <w:r w:rsidRPr="00A01C61">
        <w:rPr>
          <w:b/>
          <w:szCs w:val="22"/>
        </w:rPr>
        <w:t>Calculate the Site Performance Score</w:t>
      </w:r>
      <w:r w:rsidRPr="00551489">
        <w:rPr>
          <w:rFonts w:asciiTheme="minorHAnsi" w:hAnsiTheme="minorHAnsi"/>
          <w:szCs w:val="22"/>
        </w:rPr>
        <w:t xml:space="preserve"> </w:t>
      </w:r>
    </w:p>
    <w:p w14:paraId="58B36508" w14:textId="77777777" w:rsidR="00152B4F" w:rsidRDefault="00152B4F" w:rsidP="00152B4F">
      <w:pPr>
        <w:spacing w:after="200"/>
        <w:rPr>
          <w:rFonts w:asciiTheme="minorHAnsi" w:hAnsiTheme="minorHAnsi"/>
          <w:szCs w:val="22"/>
        </w:rPr>
      </w:pPr>
    </w:p>
    <w:p w14:paraId="7537D246" w14:textId="77777777" w:rsidR="00152B4F" w:rsidRPr="00551489" w:rsidRDefault="00152B4F" w:rsidP="00152B4F">
      <w:pPr>
        <w:spacing w:after="200"/>
        <w:rPr>
          <w:rFonts w:asciiTheme="minorHAnsi" w:hAnsiTheme="minorHAnsi"/>
          <w:szCs w:val="22"/>
        </w:rPr>
      </w:pPr>
      <w:r w:rsidRPr="00551489">
        <w:rPr>
          <w:rFonts w:asciiTheme="minorHAnsi" w:hAnsiTheme="minorHAnsi"/>
          <w:szCs w:val="22"/>
        </w:rPr>
        <w:t xml:space="preserve">When the individual performance measures are combined in Step 5 of the Star Ratings, then the </w:t>
      </w:r>
      <w:r>
        <w:rPr>
          <w:rFonts w:asciiTheme="minorHAnsi" w:hAnsiTheme="minorHAnsi"/>
          <w:szCs w:val="22"/>
        </w:rPr>
        <w:t>26</w:t>
      </w:r>
      <w:r w:rsidRPr="00551489">
        <w:rPr>
          <w:rFonts w:asciiTheme="minorHAnsi" w:hAnsiTheme="minorHAnsi"/>
          <w:szCs w:val="22"/>
        </w:rPr>
        <w:t xml:space="preserve"> </w:t>
      </w:r>
      <w:r>
        <w:rPr>
          <w:rFonts w:asciiTheme="minorHAnsi" w:hAnsiTheme="minorHAnsi"/>
          <w:szCs w:val="22"/>
        </w:rPr>
        <w:t>Week</w:t>
      </w:r>
      <w:r w:rsidRPr="00551489">
        <w:rPr>
          <w:rFonts w:asciiTheme="minorHAnsi" w:hAnsiTheme="minorHAnsi"/>
          <w:szCs w:val="22"/>
        </w:rPr>
        <w:t xml:space="preserve"> Combined measure still has a weighting of </w:t>
      </w:r>
      <w:r>
        <w:rPr>
          <w:rFonts w:asciiTheme="minorHAnsi" w:hAnsiTheme="minorHAnsi"/>
          <w:szCs w:val="22"/>
        </w:rPr>
        <w:t>4</w:t>
      </w:r>
      <w:r w:rsidRPr="00551489">
        <w:rPr>
          <w:rFonts w:asciiTheme="minorHAnsi" w:hAnsiTheme="minorHAnsi"/>
          <w:szCs w:val="22"/>
        </w:rPr>
        <w:t>5</w:t>
      </w:r>
      <w:r>
        <w:rPr>
          <w:rFonts w:asciiTheme="minorHAnsi" w:hAnsiTheme="minorHAnsi"/>
          <w:szCs w:val="22"/>
        </w:rPr>
        <w:t xml:space="preserve"> per cent</w:t>
      </w:r>
      <w:r w:rsidRPr="00551489">
        <w:rPr>
          <w:rFonts w:asciiTheme="minorHAnsi" w:hAnsiTheme="minorHAnsi"/>
          <w:szCs w:val="22"/>
        </w:rPr>
        <w:t>.</w:t>
      </w:r>
      <w:r>
        <w:rPr>
          <w:rFonts w:asciiTheme="minorHAnsi" w:hAnsiTheme="minorHAnsi"/>
          <w:szCs w:val="22"/>
        </w:rPr>
        <w:t xml:space="preserve"> In effect this means that the Provider</w:t>
      </w:r>
      <w:r w:rsidRPr="00551489">
        <w:rPr>
          <w:rFonts w:asciiTheme="minorHAnsi" w:hAnsiTheme="minorHAnsi"/>
          <w:szCs w:val="22"/>
        </w:rPr>
        <w:t xml:space="preserve">’s performance on the two remaining outcome types, Full and Pathway Outcomes, have been scaled up. </w:t>
      </w:r>
    </w:p>
    <w:p w14:paraId="798AB69F" w14:textId="77777777" w:rsidR="00152B4F" w:rsidRDefault="00152B4F" w:rsidP="00152B4F">
      <w:pPr>
        <w:ind w:firstLine="720"/>
        <w:rPr>
          <w:b/>
          <w:szCs w:val="22"/>
        </w:rPr>
      </w:pPr>
    </w:p>
    <w:p w14:paraId="598CE0E1" w14:textId="77777777" w:rsidR="00152B4F" w:rsidRPr="00551489" w:rsidRDefault="00152B4F" w:rsidP="00152B4F">
      <w:pPr>
        <w:ind w:firstLine="720"/>
        <w:rPr>
          <w:b/>
          <w:szCs w:val="22"/>
        </w:rPr>
      </w:pPr>
      <w:r w:rsidRPr="00551489">
        <w:rPr>
          <w:b/>
          <w:szCs w:val="22"/>
        </w:rPr>
        <w:t>Step 5 Example</w:t>
      </w:r>
    </w:p>
    <w:p w14:paraId="0C9BFFF8" w14:textId="77777777" w:rsidR="00152B4F" w:rsidRPr="00551489" w:rsidRDefault="00152B4F" w:rsidP="00152B4F">
      <w:pPr>
        <w:ind w:left="720"/>
        <w:rPr>
          <w:szCs w:val="22"/>
        </w:rPr>
      </w:pPr>
      <w:r w:rsidRPr="00551489">
        <w:rPr>
          <w:szCs w:val="22"/>
        </w:rPr>
        <w:t xml:space="preserve">The calculation of the performance score for Site Y is shown in the following table. The weightings are applied to each of the performance measure standardised scores. The weighted scores are summed together to give the overall score for the </w:t>
      </w:r>
      <w:r>
        <w:rPr>
          <w:szCs w:val="22"/>
        </w:rPr>
        <w:t>Site</w:t>
      </w:r>
      <w:r w:rsidRPr="00551489">
        <w:rPr>
          <w:szCs w:val="22"/>
        </w:rPr>
        <w:t xml:space="preserve">. </w:t>
      </w:r>
    </w:p>
    <w:p w14:paraId="57B7739B" w14:textId="77777777" w:rsidR="00152B4F" w:rsidRPr="00551489" w:rsidRDefault="00152B4F" w:rsidP="00152B4F">
      <w:pPr>
        <w:rPr>
          <w:szCs w:val="22"/>
        </w:rPr>
      </w:pPr>
    </w:p>
    <w:tbl>
      <w:tblPr>
        <w:tblW w:w="8647" w:type="dxa"/>
        <w:tblInd w:w="-10" w:type="dxa"/>
        <w:tblLayout w:type="fixed"/>
        <w:tblLook w:val="04A0" w:firstRow="1" w:lastRow="0" w:firstColumn="1" w:lastColumn="0" w:noHBand="0" w:noVBand="1"/>
      </w:tblPr>
      <w:tblGrid>
        <w:gridCol w:w="3624"/>
        <w:gridCol w:w="1195"/>
        <w:gridCol w:w="1418"/>
        <w:gridCol w:w="1276"/>
        <w:gridCol w:w="1134"/>
      </w:tblGrid>
      <w:tr w:rsidR="00152B4F" w:rsidRPr="00551489" w14:paraId="3A52A58B" w14:textId="77777777" w:rsidTr="009039E0">
        <w:trPr>
          <w:trHeight w:val="900"/>
        </w:trPr>
        <w:tc>
          <w:tcPr>
            <w:tcW w:w="3624"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33DAE916" w14:textId="77777777" w:rsidR="00152B4F" w:rsidRPr="00060458" w:rsidRDefault="00152B4F" w:rsidP="009039E0">
            <w:pPr>
              <w:spacing w:before="60" w:after="60"/>
              <w:rPr>
                <w:rFonts w:cs="Calibri"/>
                <w:b/>
                <w:bCs/>
                <w:szCs w:val="22"/>
              </w:rPr>
            </w:pPr>
            <w:r w:rsidRPr="00060458">
              <w:rPr>
                <w:rFonts w:cs="Calibri"/>
                <w:b/>
                <w:bCs/>
                <w:szCs w:val="22"/>
              </w:rPr>
              <w:t>Performance Measure</w:t>
            </w:r>
          </w:p>
        </w:tc>
        <w:tc>
          <w:tcPr>
            <w:tcW w:w="1195" w:type="dxa"/>
            <w:tcBorders>
              <w:top w:val="single" w:sz="8" w:space="0" w:color="auto"/>
              <w:left w:val="nil"/>
              <w:bottom w:val="single" w:sz="4" w:space="0" w:color="auto"/>
              <w:right w:val="single" w:sz="4" w:space="0" w:color="auto"/>
            </w:tcBorders>
            <w:shd w:val="clear" w:color="auto" w:fill="FFFFFF" w:themeFill="background1"/>
          </w:tcPr>
          <w:p w14:paraId="702CBA6B" w14:textId="77777777" w:rsidR="00152B4F" w:rsidRPr="00060458" w:rsidRDefault="00152B4F" w:rsidP="009039E0">
            <w:pPr>
              <w:spacing w:before="60" w:after="60"/>
              <w:jc w:val="center"/>
              <w:rPr>
                <w:rFonts w:cs="Calibri"/>
                <w:b/>
                <w:bCs/>
                <w:szCs w:val="22"/>
              </w:rPr>
            </w:pPr>
            <w:r w:rsidRPr="00060458">
              <w:rPr>
                <w:rFonts w:cs="Calibri"/>
                <w:b/>
                <w:bCs/>
                <w:szCs w:val="22"/>
              </w:rPr>
              <w:t>Actual Vs Expected Score</w:t>
            </w:r>
          </w:p>
        </w:tc>
        <w:tc>
          <w:tcPr>
            <w:tcW w:w="1418"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14:paraId="7EF89B5F" w14:textId="77777777" w:rsidR="00152B4F" w:rsidRPr="00060458" w:rsidRDefault="00152B4F" w:rsidP="009039E0">
            <w:pPr>
              <w:spacing w:before="60" w:after="60"/>
              <w:jc w:val="center"/>
              <w:rPr>
                <w:rFonts w:cs="Calibri"/>
                <w:b/>
                <w:bCs/>
                <w:szCs w:val="22"/>
              </w:rPr>
            </w:pPr>
            <w:r w:rsidRPr="00060458">
              <w:rPr>
                <w:rFonts w:cs="Calibri"/>
                <w:b/>
                <w:bCs/>
                <w:szCs w:val="22"/>
              </w:rPr>
              <w:t>Standardised</w:t>
            </w:r>
            <w:r w:rsidRPr="00060458">
              <w:rPr>
                <w:rFonts w:cs="Calibri"/>
                <w:b/>
                <w:bCs/>
                <w:szCs w:val="22"/>
              </w:rPr>
              <w:br/>
              <w:t xml:space="preserve"> Score</w:t>
            </w:r>
          </w:p>
        </w:tc>
        <w:tc>
          <w:tcPr>
            <w:tcW w:w="1276" w:type="dxa"/>
            <w:tcBorders>
              <w:top w:val="single" w:sz="8" w:space="0" w:color="auto"/>
              <w:left w:val="nil"/>
              <w:bottom w:val="single" w:sz="4" w:space="0" w:color="auto"/>
              <w:right w:val="single" w:sz="8" w:space="0" w:color="auto"/>
            </w:tcBorders>
            <w:shd w:val="clear" w:color="auto" w:fill="FFFFFF" w:themeFill="background1"/>
            <w:vAlign w:val="center"/>
            <w:hideMark/>
          </w:tcPr>
          <w:p w14:paraId="226D7922" w14:textId="77777777" w:rsidR="00152B4F" w:rsidRPr="00060458" w:rsidRDefault="00152B4F" w:rsidP="009039E0">
            <w:pPr>
              <w:spacing w:before="60" w:after="60"/>
              <w:jc w:val="center"/>
              <w:rPr>
                <w:rFonts w:cs="Calibri"/>
                <w:b/>
                <w:bCs/>
                <w:szCs w:val="22"/>
              </w:rPr>
            </w:pPr>
            <w:r w:rsidRPr="00060458">
              <w:rPr>
                <w:rFonts w:cs="Calibri"/>
                <w:b/>
                <w:bCs/>
                <w:szCs w:val="22"/>
              </w:rPr>
              <w:t>Weighting</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14:paraId="5CCCDD4C" w14:textId="77777777" w:rsidR="00152B4F" w:rsidRPr="00060458" w:rsidRDefault="00152B4F" w:rsidP="009039E0">
            <w:pPr>
              <w:spacing w:before="60" w:after="60"/>
              <w:jc w:val="center"/>
              <w:rPr>
                <w:rFonts w:cs="Calibri"/>
                <w:b/>
                <w:bCs/>
                <w:szCs w:val="22"/>
              </w:rPr>
            </w:pPr>
            <w:r w:rsidRPr="00060458">
              <w:rPr>
                <w:rFonts w:cs="Calibri"/>
                <w:b/>
                <w:bCs/>
                <w:szCs w:val="22"/>
              </w:rPr>
              <w:t>Weighted Score</w:t>
            </w:r>
          </w:p>
        </w:tc>
      </w:tr>
      <w:tr w:rsidR="00152B4F" w:rsidRPr="00551489" w14:paraId="6F8227F2" w14:textId="77777777" w:rsidTr="009039E0">
        <w:trPr>
          <w:trHeight w:val="315"/>
        </w:trPr>
        <w:tc>
          <w:tcPr>
            <w:tcW w:w="3624" w:type="dxa"/>
            <w:tcBorders>
              <w:top w:val="single" w:sz="4" w:space="0" w:color="auto"/>
              <w:left w:val="single" w:sz="8" w:space="0" w:color="auto"/>
              <w:bottom w:val="nil"/>
              <w:right w:val="single" w:sz="8" w:space="0" w:color="auto"/>
            </w:tcBorders>
            <w:shd w:val="clear" w:color="000000" w:fill="D9D9D9"/>
            <w:noWrap/>
            <w:vAlign w:val="bottom"/>
            <w:hideMark/>
          </w:tcPr>
          <w:p w14:paraId="0FA5A5C8" w14:textId="77777777" w:rsidR="00152B4F" w:rsidRPr="00807E8C" w:rsidRDefault="00152B4F" w:rsidP="009039E0">
            <w:pPr>
              <w:rPr>
                <w:rFonts w:cs="Calibri"/>
                <w:b/>
                <w:bCs/>
                <w:szCs w:val="22"/>
              </w:rPr>
            </w:pPr>
            <w:r w:rsidRPr="00E32170">
              <w:rPr>
                <w:b/>
                <w:szCs w:val="22"/>
              </w:rPr>
              <w:t>13 Week Full Outcomes</w:t>
            </w:r>
          </w:p>
        </w:tc>
        <w:tc>
          <w:tcPr>
            <w:tcW w:w="1195" w:type="dxa"/>
            <w:tcBorders>
              <w:top w:val="single" w:sz="4" w:space="0" w:color="auto"/>
              <w:left w:val="nil"/>
              <w:bottom w:val="single" w:sz="8" w:space="0" w:color="auto"/>
              <w:right w:val="single" w:sz="4" w:space="0" w:color="auto"/>
            </w:tcBorders>
          </w:tcPr>
          <w:p w14:paraId="60D5ACCA" w14:textId="77777777" w:rsidR="00152B4F" w:rsidRPr="00551489" w:rsidRDefault="00152B4F" w:rsidP="009039E0">
            <w:pPr>
              <w:jc w:val="right"/>
              <w:rPr>
                <w:rFonts w:cs="Calibri"/>
                <w:color w:val="000000"/>
                <w:szCs w:val="22"/>
              </w:rPr>
            </w:pPr>
            <w:r w:rsidRPr="000F7854">
              <w:t xml:space="preserve"> 3.67 </w:t>
            </w:r>
          </w:p>
        </w:tc>
        <w:tc>
          <w:tcPr>
            <w:tcW w:w="1418" w:type="dxa"/>
            <w:tcBorders>
              <w:top w:val="single" w:sz="4" w:space="0" w:color="auto"/>
              <w:left w:val="single" w:sz="4" w:space="0" w:color="auto"/>
              <w:bottom w:val="single" w:sz="8" w:space="0" w:color="auto"/>
              <w:right w:val="single" w:sz="8" w:space="0" w:color="auto"/>
            </w:tcBorders>
            <w:noWrap/>
            <w:hideMark/>
          </w:tcPr>
          <w:p w14:paraId="0052B800" w14:textId="77777777" w:rsidR="00152B4F" w:rsidRPr="00551489" w:rsidRDefault="00152B4F" w:rsidP="009039E0">
            <w:pPr>
              <w:jc w:val="right"/>
              <w:rPr>
                <w:rFonts w:cs="Calibri"/>
                <w:color w:val="000000"/>
                <w:szCs w:val="22"/>
              </w:rPr>
            </w:pPr>
            <w:r w:rsidRPr="00807A6D">
              <w:t>4.15</w:t>
            </w:r>
          </w:p>
        </w:tc>
        <w:tc>
          <w:tcPr>
            <w:tcW w:w="1276" w:type="dxa"/>
            <w:tcBorders>
              <w:top w:val="single" w:sz="4" w:space="0" w:color="auto"/>
              <w:left w:val="nil"/>
              <w:bottom w:val="single" w:sz="8" w:space="0" w:color="auto"/>
              <w:right w:val="single" w:sz="8" w:space="0" w:color="auto"/>
            </w:tcBorders>
            <w:noWrap/>
            <w:hideMark/>
          </w:tcPr>
          <w:p w14:paraId="006979B9" w14:textId="77777777" w:rsidR="00152B4F" w:rsidRPr="00551489" w:rsidRDefault="00152B4F" w:rsidP="009039E0">
            <w:pPr>
              <w:jc w:val="right"/>
              <w:rPr>
                <w:rFonts w:cs="Calibri"/>
                <w:color w:val="000000"/>
                <w:szCs w:val="22"/>
              </w:rPr>
            </w:pPr>
            <w:r w:rsidRPr="00807A6D">
              <w:t>0.25</w:t>
            </w:r>
          </w:p>
        </w:tc>
        <w:tc>
          <w:tcPr>
            <w:tcW w:w="1134" w:type="dxa"/>
            <w:tcBorders>
              <w:top w:val="single" w:sz="4" w:space="0" w:color="auto"/>
              <w:left w:val="nil"/>
              <w:bottom w:val="single" w:sz="8" w:space="0" w:color="auto"/>
              <w:right w:val="single" w:sz="8" w:space="0" w:color="auto"/>
            </w:tcBorders>
            <w:noWrap/>
            <w:hideMark/>
          </w:tcPr>
          <w:p w14:paraId="696F57A4" w14:textId="77777777" w:rsidR="00152B4F" w:rsidRPr="00551489" w:rsidRDefault="00152B4F" w:rsidP="009039E0">
            <w:pPr>
              <w:jc w:val="right"/>
              <w:rPr>
                <w:rFonts w:cs="Calibri"/>
                <w:color w:val="000000"/>
                <w:szCs w:val="22"/>
              </w:rPr>
            </w:pPr>
            <w:r w:rsidRPr="00807A6D">
              <w:t>1.04</w:t>
            </w:r>
          </w:p>
        </w:tc>
      </w:tr>
      <w:tr w:rsidR="00152B4F" w:rsidRPr="00551489" w14:paraId="2AD911B9" w14:textId="77777777" w:rsidTr="009039E0">
        <w:trPr>
          <w:trHeight w:val="315"/>
        </w:trPr>
        <w:tc>
          <w:tcPr>
            <w:tcW w:w="362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F437362" w14:textId="77777777" w:rsidR="00152B4F" w:rsidRPr="00807E8C" w:rsidRDefault="00152B4F" w:rsidP="009039E0">
            <w:pPr>
              <w:rPr>
                <w:rFonts w:cs="Calibri"/>
                <w:b/>
                <w:bCs/>
                <w:szCs w:val="22"/>
              </w:rPr>
            </w:pPr>
            <w:r w:rsidRPr="00E32170">
              <w:rPr>
                <w:b/>
                <w:szCs w:val="22"/>
              </w:rPr>
              <w:t>26 Week Outcomes combined</w:t>
            </w:r>
          </w:p>
        </w:tc>
        <w:tc>
          <w:tcPr>
            <w:tcW w:w="1195" w:type="dxa"/>
            <w:tcBorders>
              <w:top w:val="nil"/>
              <w:left w:val="nil"/>
              <w:bottom w:val="single" w:sz="8" w:space="0" w:color="auto"/>
              <w:right w:val="single" w:sz="4" w:space="0" w:color="auto"/>
            </w:tcBorders>
          </w:tcPr>
          <w:p w14:paraId="09AE7C34" w14:textId="77777777" w:rsidR="00152B4F" w:rsidRPr="00551489" w:rsidRDefault="00152B4F" w:rsidP="009039E0">
            <w:pPr>
              <w:jc w:val="right"/>
              <w:rPr>
                <w:rFonts w:cs="Calibri"/>
                <w:color w:val="000000"/>
                <w:szCs w:val="22"/>
              </w:rPr>
            </w:pPr>
            <w:r w:rsidRPr="000F7854">
              <w:t xml:space="preserve"> 1.20 </w:t>
            </w:r>
          </w:p>
        </w:tc>
        <w:tc>
          <w:tcPr>
            <w:tcW w:w="1418" w:type="dxa"/>
            <w:tcBorders>
              <w:top w:val="nil"/>
              <w:left w:val="single" w:sz="4" w:space="0" w:color="auto"/>
              <w:bottom w:val="single" w:sz="8" w:space="0" w:color="auto"/>
              <w:right w:val="single" w:sz="8" w:space="0" w:color="auto"/>
            </w:tcBorders>
            <w:noWrap/>
            <w:hideMark/>
          </w:tcPr>
          <w:p w14:paraId="05DF8546" w14:textId="77777777" w:rsidR="00152B4F" w:rsidRPr="00551489" w:rsidRDefault="00152B4F" w:rsidP="009039E0">
            <w:pPr>
              <w:jc w:val="right"/>
              <w:rPr>
                <w:rFonts w:cs="Calibri"/>
                <w:color w:val="000000"/>
                <w:szCs w:val="22"/>
              </w:rPr>
            </w:pPr>
            <w:r w:rsidRPr="00807A6D">
              <w:t>1.31</w:t>
            </w:r>
          </w:p>
        </w:tc>
        <w:tc>
          <w:tcPr>
            <w:tcW w:w="1276" w:type="dxa"/>
            <w:tcBorders>
              <w:top w:val="nil"/>
              <w:left w:val="nil"/>
              <w:bottom w:val="single" w:sz="8" w:space="0" w:color="auto"/>
              <w:right w:val="single" w:sz="8" w:space="0" w:color="auto"/>
            </w:tcBorders>
            <w:noWrap/>
            <w:hideMark/>
          </w:tcPr>
          <w:p w14:paraId="6B08929D" w14:textId="77777777" w:rsidR="00152B4F" w:rsidRPr="00551489" w:rsidRDefault="00152B4F" w:rsidP="009039E0">
            <w:pPr>
              <w:jc w:val="right"/>
              <w:rPr>
                <w:rFonts w:cs="Calibri"/>
                <w:color w:val="000000"/>
                <w:szCs w:val="22"/>
              </w:rPr>
            </w:pPr>
            <w:r w:rsidRPr="00807A6D">
              <w:t>0.45</w:t>
            </w:r>
          </w:p>
        </w:tc>
        <w:tc>
          <w:tcPr>
            <w:tcW w:w="1134" w:type="dxa"/>
            <w:tcBorders>
              <w:top w:val="nil"/>
              <w:left w:val="nil"/>
              <w:bottom w:val="single" w:sz="8" w:space="0" w:color="auto"/>
              <w:right w:val="single" w:sz="8" w:space="0" w:color="auto"/>
            </w:tcBorders>
            <w:noWrap/>
            <w:hideMark/>
          </w:tcPr>
          <w:p w14:paraId="42ED761D" w14:textId="77777777" w:rsidR="00152B4F" w:rsidRPr="00551489" w:rsidRDefault="00152B4F" w:rsidP="009039E0">
            <w:pPr>
              <w:jc w:val="right"/>
              <w:rPr>
                <w:rFonts w:cs="Calibri"/>
                <w:color w:val="000000"/>
                <w:szCs w:val="22"/>
              </w:rPr>
            </w:pPr>
            <w:r w:rsidRPr="00807A6D">
              <w:t>0.59</w:t>
            </w:r>
          </w:p>
        </w:tc>
      </w:tr>
      <w:tr w:rsidR="00152B4F" w:rsidRPr="00551489" w14:paraId="61AC0445"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6489C238" w14:textId="77777777" w:rsidR="00152B4F" w:rsidRPr="00807E8C" w:rsidRDefault="00152B4F" w:rsidP="009039E0">
            <w:pPr>
              <w:rPr>
                <w:rFonts w:cs="Calibri"/>
                <w:b/>
                <w:bCs/>
                <w:szCs w:val="22"/>
              </w:rPr>
            </w:pPr>
            <w:r w:rsidRPr="00E32170">
              <w:rPr>
                <w:rFonts w:cs="Calibri"/>
                <w:b/>
                <w:szCs w:val="22"/>
              </w:rPr>
              <w:t>26 Week Full</w:t>
            </w:r>
          </w:p>
        </w:tc>
        <w:tc>
          <w:tcPr>
            <w:tcW w:w="1195" w:type="dxa"/>
            <w:tcBorders>
              <w:top w:val="nil"/>
              <w:left w:val="nil"/>
              <w:bottom w:val="single" w:sz="8" w:space="0" w:color="auto"/>
              <w:right w:val="single" w:sz="4" w:space="0" w:color="auto"/>
            </w:tcBorders>
          </w:tcPr>
          <w:p w14:paraId="13ECBA49" w14:textId="77777777" w:rsidR="00152B4F" w:rsidRPr="00551489" w:rsidRDefault="00152B4F" w:rsidP="009039E0">
            <w:pPr>
              <w:jc w:val="right"/>
              <w:rPr>
                <w:rFonts w:cs="Calibri"/>
                <w:color w:val="000000"/>
                <w:szCs w:val="22"/>
              </w:rPr>
            </w:pPr>
          </w:p>
        </w:tc>
        <w:tc>
          <w:tcPr>
            <w:tcW w:w="1418" w:type="dxa"/>
            <w:tcBorders>
              <w:top w:val="nil"/>
              <w:left w:val="single" w:sz="4" w:space="0" w:color="auto"/>
              <w:bottom w:val="single" w:sz="8" w:space="0" w:color="auto"/>
              <w:right w:val="single" w:sz="8" w:space="0" w:color="auto"/>
            </w:tcBorders>
            <w:noWrap/>
            <w:hideMark/>
          </w:tcPr>
          <w:p w14:paraId="7BB3311F" w14:textId="77777777" w:rsidR="00152B4F" w:rsidRPr="00551489" w:rsidRDefault="00152B4F" w:rsidP="009039E0">
            <w:pPr>
              <w:jc w:val="right"/>
              <w:rPr>
                <w:rFonts w:cs="Calibri"/>
                <w:color w:val="000000"/>
                <w:szCs w:val="22"/>
              </w:rPr>
            </w:pPr>
          </w:p>
        </w:tc>
        <w:tc>
          <w:tcPr>
            <w:tcW w:w="1276" w:type="dxa"/>
            <w:tcBorders>
              <w:top w:val="nil"/>
              <w:left w:val="nil"/>
              <w:bottom w:val="single" w:sz="8" w:space="0" w:color="auto"/>
              <w:right w:val="single" w:sz="8" w:space="0" w:color="auto"/>
            </w:tcBorders>
            <w:noWrap/>
            <w:hideMark/>
          </w:tcPr>
          <w:p w14:paraId="247071B7" w14:textId="77777777" w:rsidR="00152B4F" w:rsidRPr="00551489" w:rsidRDefault="00152B4F" w:rsidP="009039E0">
            <w:pPr>
              <w:jc w:val="right"/>
              <w:rPr>
                <w:rFonts w:cs="Calibri"/>
                <w:color w:val="000000"/>
                <w:szCs w:val="22"/>
              </w:rPr>
            </w:pPr>
          </w:p>
        </w:tc>
        <w:tc>
          <w:tcPr>
            <w:tcW w:w="1134" w:type="dxa"/>
            <w:tcBorders>
              <w:top w:val="nil"/>
              <w:left w:val="nil"/>
              <w:bottom w:val="single" w:sz="8" w:space="0" w:color="auto"/>
              <w:right w:val="single" w:sz="8" w:space="0" w:color="auto"/>
            </w:tcBorders>
            <w:noWrap/>
            <w:hideMark/>
          </w:tcPr>
          <w:p w14:paraId="08C75246" w14:textId="77777777" w:rsidR="00152B4F" w:rsidRPr="00551489" w:rsidRDefault="00152B4F" w:rsidP="009039E0">
            <w:pPr>
              <w:jc w:val="right"/>
              <w:rPr>
                <w:rFonts w:cs="Calibri"/>
                <w:color w:val="000000"/>
                <w:szCs w:val="22"/>
              </w:rPr>
            </w:pPr>
          </w:p>
        </w:tc>
      </w:tr>
      <w:tr w:rsidR="00152B4F" w:rsidRPr="00551489" w14:paraId="4524DC35"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1F2CB7CA" w14:textId="77777777" w:rsidR="00152B4F" w:rsidRPr="00807E8C" w:rsidRDefault="00152B4F" w:rsidP="009039E0">
            <w:pPr>
              <w:rPr>
                <w:rFonts w:cs="Calibri"/>
                <w:b/>
                <w:bCs/>
                <w:szCs w:val="22"/>
              </w:rPr>
            </w:pPr>
            <w:r w:rsidRPr="00E32170">
              <w:rPr>
                <w:b/>
                <w:szCs w:val="22"/>
              </w:rPr>
              <w:t>26 Week Pathway</w:t>
            </w:r>
          </w:p>
        </w:tc>
        <w:tc>
          <w:tcPr>
            <w:tcW w:w="1195" w:type="dxa"/>
            <w:tcBorders>
              <w:top w:val="nil"/>
              <w:left w:val="nil"/>
              <w:bottom w:val="single" w:sz="8" w:space="0" w:color="auto"/>
              <w:right w:val="single" w:sz="4" w:space="0" w:color="auto"/>
            </w:tcBorders>
          </w:tcPr>
          <w:p w14:paraId="1193895E" w14:textId="77777777" w:rsidR="00152B4F" w:rsidRPr="00551489" w:rsidRDefault="00152B4F" w:rsidP="009039E0">
            <w:pPr>
              <w:jc w:val="right"/>
              <w:rPr>
                <w:rFonts w:cs="Calibri"/>
                <w:color w:val="000000"/>
                <w:szCs w:val="22"/>
              </w:rPr>
            </w:pPr>
          </w:p>
        </w:tc>
        <w:tc>
          <w:tcPr>
            <w:tcW w:w="1418" w:type="dxa"/>
            <w:tcBorders>
              <w:top w:val="nil"/>
              <w:left w:val="single" w:sz="4" w:space="0" w:color="auto"/>
              <w:bottom w:val="single" w:sz="8" w:space="0" w:color="auto"/>
              <w:right w:val="single" w:sz="8" w:space="0" w:color="auto"/>
            </w:tcBorders>
            <w:noWrap/>
            <w:hideMark/>
          </w:tcPr>
          <w:p w14:paraId="64098B7A" w14:textId="77777777" w:rsidR="00152B4F" w:rsidRPr="00551489" w:rsidRDefault="00152B4F" w:rsidP="009039E0">
            <w:pPr>
              <w:jc w:val="right"/>
              <w:rPr>
                <w:rFonts w:cs="Calibri"/>
                <w:color w:val="000000"/>
                <w:szCs w:val="22"/>
              </w:rPr>
            </w:pPr>
          </w:p>
        </w:tc>
        <w:tc>
          <w:tcPr>
            <w:tcW w:w="1276" w:type="dxa"/>
            <w:tcBorders>
              <w:top w:val="nil"/>
              <w:left w:val="nil"/>
              <w:bottom w:val="single" w:sz="8" w:space="0" w:color="auto"/>
              <w:right w:val="single" w:sz="8" w:space="0" w:color="auto"/>
            </w:tcBorders>
            <w:noWrap/>
            <w:hideMark/>
          </w:tcPr>
          <w:p w14:paraId="5D38A73A" w14:textId="77777777" w:rsidR="00152B4F" w:rsidRPr="00551489" w:rsidRDefault="00152B4F" w:rsidP="009039E0">
            <w:pPr>
              <w:jc w:val="right"/>
              <w:rPr>
                <w:rFonts w:cs="Calibri"/>
                <w:color w:val="000000"/>
                <w:szCs w:val="22"/>
              </w:rPr>
            </w:pPr>
          </w:p>
        </w:tc>
        <w:tc>
          <w:tcPr>
            <w:tcW w:w="1134" w:type="dxa"/>
            <w:tcBorders>
              <w:top w:val="nil"/>
              <w:left w:val="nil"/>
              <w:bottom w:val="single" w:sz="8" w:space="0" w:color="auto"/>
              <w:right w:val="single" w:sz="8" w:space="0" w:color="auto"/>
            </w:tcBorders>
            <w:noWrap/>
            <w:hideMark/>
          </w:tcPr>
          <w:p w14:paraId="61744917" w14:textId="77777777" w:rsidR="00152B4F" w:rsidRPr="00551489" w:rsidRDefault="00152B4F" w:rsidP="009039E0">
            <w:pPr>
              <w:jc w:val="right"/>
              <w:rPr>
                <w:rFonts w:cs="Calibri"/>
                <w:color w:val="000000"/>
                <w:szCs w:val="22"/>
              </w:rPr>
            </w:pPr>
          </w:p>
        </w:tc>
      </w:tr>
      <w:tr w:rsidR="00152B4F" w:rsidRPr="00551489" w14:paraId="0A486CD6"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3220C9D3" w14:textId="77777777" w:rsidR="00152B4F" w:rsidRPr="00807E8C" w:rsidRDefault="00152B4F" w:rsidP="009039E0">
            <w:pPr>
              <w:rPr>
                <w:rFonts w:cs="Calibri"/>
                <w:b/>
                <w:bCs/>
                <w:szCs w:val="22"/>
              </w:rPr>
            </w:pPr>
            <w:r w:rsidRPr="00E32170">
              <w:rPr>
                <w:rFonts w:cs="Calibri"/>
                <w:b/>
                <w:szCs w:val="22"/>
              </w:rPr>
              <w:t>26 Week Bonus Outcomes/Work Assist</w:t>
            </w:r>
          </w:p>
        </w:tc>
        <w:tc>
          <w:tcPr>
            <w:tcW w:w="1195" w:type="dxa"/>
            <w:tcBorders>
              <w:top w:val="nil"/>
              <w:left w:val="nil"/>
              <w:bottom w:val="single" w:sz="8" w:space="0" w:color="auto"/>
              <w:right w:val="single" w:sz="4" w:space="0" w:color="auto"/>
            </w:tcBorders>
          </w:tcPr>
          <w:p w14:paraId="2EEB850F" w14:textId="77777777" w:rsidR="00152B4F" w:rsidRPr="00551489" w:rsidRDefault="00152B4F" w:rsidP="009039E0">
            <w:pPr>
              <w:jc w:val="right"/>
              <w:rPr>
                <w:rFonts w:cs="Calibri"/>
                <w:color w:val="000000"/>
                <w:szCs w:val="22"/>
              </w:rPr>
            </w:pPr>
          </w:p>
        </w:tc>
        <w:tc>
          <w:tcPr>
            <w:tcW w:w="1418" w:type="dxa"/>
            <w:tcBorders>
              <w:top w:val="nil"/>
              <w:left w:val="single" w:sz="4" w:space="0" w:color="auto"/>
              <w:bottom w:val="single" w:sz="8" w:space="0" w:color="auto"/>
              <w:right w:val="single" w:sz="8" w:space="0" w:color="auto"/>
            </w:tcBorders>
            <w:noWrap/>
            <w:hideMark/>
          </w:tcPr>
          <w:p w14:paraId="1C5C6F63" w14:textId="77777777" w:rsidR="00152B4F" w:rsidRPr="00551489" w:rsidRDefault="00152B4F" w:rsidP="009039E0">
            <w:pPr>
              <w:jc w:val="right"/>
              <w:rPr>
                <w:rFonts w:cs="Calibri"/>
                <w:color w:val="000000"/>
                <w:szCs w:val="22"/>
              </w:rPr>
            </w:pPr>
          </w:p>
        </w:tc>
        <w:tc>
          <w:tcPr>
            <w:tcW w:w="1276" w:type="dxa"/>
            <w:tcBorders>
              <w:top w:val="nil"/>
              <w:left w:val="nil"/>
              <w:bottom w:val="single" w:sz="8" w:space="0" w:color="auto"/>
              <w:right w:val="single" w:sz="8" w:space="0" w:color="auto"/>
            </w:tcBorders>
            <w:noWrap/>
            <w:hideMark/>
          </w:tcPr>
          <w:p w14:paraId="2129E1C3" w14:textId="77777777" w:rsidR="00152B4F" w:rsidRPr="00551489" w:rsidRDefault="00152B4F" w:rsidP="009039E0">
            <w:pPr>
              <w:jc w:val="right"/>
              <w:rPr>
                <w:rFonts w:cs="Calibri"/>
                <w:color w:val="000000"/>
                <w:szCs w:val="22"/>
              </w:rPr>
            </w:pPr>
          </w:p>
        </w:tc>
        <w:tc>
          <w:tcPr>
            <w:tcW w:w="1134" w:type="dxa"/>
            <w:tcBorders>
              <w:top w:val="nil"/>
              <w:left w:val="nil"/>
              <w:bottom w:val="single" w:sz="8" w:space="0" w:color="auto"/>
              <w:right w:val="single" w:sz="8" w:space="0" w:color="auto"/>
            </w:tcBorders>
            <w:noWrap/>
            <w:hideMark/>
          </w:tcPr>
          <w:p w14:paraId="5EC6C38A" w14:textId="77777777" w:rsidR="00152B4F" w:rsidRPr="00551489" w:rsidRDefault="00152B4F" w:rsidP="009039E0">
            <w:pPr>
              <w:jc w:val="right"/>
              <w:rPr>
                <w:rFonts w:cs="Calibri"/>
                <w:color w:val="000000"/>
                <w:szCs w:val="22"/>
              </w:rPr>
            </w:pPr>
          </w:p>
        </w:tc>
      </w:tr>
      <w:tr w:rsidR="00152B4F" w:rsidRPr="00551489" w14:paraId="2F6A7B23"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17841035" w14:textId="77777777" w:rsidR="00152B4F" w:rsidRPr="00807E8C" w:rsidRDefault="00152B4F" w:rsidP="009039E0">
            <w:pPr>
              <w:rPr>
                <w:rFonts w:cs="Calibri"/>
                <w:b/>
                <w:bCs/>
                <w:szCs w:val="22"/>
              </w:rPr>
            </w:pPr>
            <w:r w:rsidRPr="00E32170">
              <w:rPr>
                <w:b/>
                <w:szCs w:val="22"/>
              </w:rPr>
              <w:t>52 Week Outcomes combined</w:t>
            </w:r>
          </w:p>
        </w:tc>
        <w:tc>
          <w:tcPr>
            <w:tcW w:w="1195" w:type="dxa"/>
            <w:tcBorders>
              <w:top w:val="nil"/>
              <w:left w:val="nil"/>
              <w:bottom w:val="single" w:sz="8" w:space="0" w:color="auto"/>
              <w:right w:val="single" w:sz="4" w:space="0" w:color="auto"/>
            </w:tcBorders>
          </w:tcPr>
          <w:p w14:paraId="406E7927" w14:textId="77777777" w:rsidR="00152B4F" w:rsidRPr="00551489" w:rsidRDefault="00152B4F" w:rsidP="009039E0">
            <w:pPr>
              <w:jc w:val="right"/>
              <w:rPr>
                <w:rFonts w:cs="Calibri"/>
                <w:color w:val="000000"/>
                <w:szCs w:val="22"/>
              </w:rPr>
            </w:pPr>
            <w:r w:rsidRPr="000F7854">
              <w:t xml:space="preserve"> 2.27 </w:t>
            </w:r>
          </w:p>
        </w:tc>
        <w:tc>
          <w:tcPr>
            <w:tcW w:w="1418" w:type="dxa"/>
            <w:tcBorders>
              <w:top w:val="nil"/>
              <w:left w:val="single" w:sz="4" w:space="0" w:color="auto"/>
              <w:bottom w:val="single" w:sz="8" w:space="0" w:color="auto"/>
              <w:right w:val="single" w:sz="8" w:space="0" w:color="auto"/>
            </w:tcBorders>
            <w:noWrap/>
            <w:hideMark/>
          </w:tcPr>
          <w:p w14:paraId="692A93F9" w14:textId="77777777" w:rsidR="00152B4F" w:rsidRPr="00551489" w:rsidRDefault="00152B4F" w:rsidP="009039E0">
            <w:pPr>
              <w:jc w:val="right"/>
              <w:rPr>
                <w:rFonts w:cs="Calibri"/>
                <w:color w:val="000000"/>
                <w:szCs w:val="22"/>
              </w:rPr>
            </w:pPr>
            <w:r w:rsidRPr="00807A6D">
              <w:t>2.54</w:t>
            </w:r>
          </w:p>
        </w:tc>
        <w:tc>
          <w:tcPr>
            <w:tcW w:w="1276" w:type="dxa"/>
            <w:tcBorders>
              <w:top w:val="nil"/>
              <w:left w:val="nil"/>
              <w:bottom w:val="single" w:sz="8" w:space="0" w:color="auto"/>
              <w:right w:val="single" w:sz="8" w:space="0" w:color="auto"/>
            </w:tcBorders>
            <w:noWrap/>
            <w:hideMark/>
          </w:tcPr>
          <w:p w14:paraId="217BAA40" w14:textId="77777777" w:rsidR="00152B4F" w:rsidRPr="00551489" w:rsidRDefault="00152B4F" w:rsidP="009039E0">
            <w:pPr>
              <w:jc w:val="right"/>
              <w:rPr>
                <w:rFonts w:cs="Calibri"/>
                <w:color w:val="000000"/>
                <w:szCs w:val="22"/>
              </w:rPr>
            </w:pPr>
            <w:r w:rsidRPr="00807A6D">
              <w:t>0.30</w:t>
            </w:r>
          </w:p>
        </w:tc>
        <w:tc>
          <w:tcPr>
            <w:tcW w:w="1134" w:type="dxa"/>
            <w:tcBorders>
              <w:top w:val="nil"/>
              <w:left w:val="nil"/>
              <w:bottom w:val="single" w:sz="8" w:space="0" w:color="auto"/>
              <w:right w:val="single" w:sz="8" w:space="0" w:color="auto"/>
            </w:tcBorders>
            <w:noWrap/>
            <w:hideMark/>
          </w:tcPr>
          <w:p w14:paraId="203F1738" w14:textId="77777777" w:rsidR="00152B4F" w:rsidRPr="00551489" w:rsidRDefault="00152B4F" w:rsidP="009039E0">
            <w:pPr>
              <w:jc w:val="right"/>
              <w:rPr>
                <w:rFonts w:cs="Calibri"/>
                <w:color w:val="000000"/>
                <w:szCs w:val="22"/>
              </w:rPr>
            </w:pPr>
            <w:r w:rsidRPr="00807A6D">
              <w:t>0.76</w:t>
            </w:r>
          </w:p>
        </w:tc>
      </w:tr>
      <w:tr w:rsidR="00152B4F" w:rsidRPr="00551489" w14:paraId="279C2FFA"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2302C59C" w14:textId="77777777" w:rsidR="00152B4F" w:rsidRPr="00807E8C" w:rsidRDefault="00152B4F" w:rsidP="009039E0">
            <w:pPr>
              <w:rPr>
                <w:rFonts w:cs="Calibri"/>
                <w:b/>
                <w:bCs/>
                <w:szCs w:val="22"/>
              </w:rPr>
            </w:pPr>
            <w:r w:rsidRPr="00E32170">
              <w:rPr>
                <w:rFonts w:cs="Calibri"/>
                <w:b/>
                <w:szCs w:val="22"/>
              </w:rPr>
              <w:t>52 Week Full</w:t>
            </w:r>
          </w:p>
        </w:tc>
        <w:tc>
          <w:tcPr>
            <w:tcW w:w="1195" w:type="dxa"/>
            <w:tcBorders>
              <w:top w:val="nil"/>
              <w:left w:val="nil"/>
              <w:bottom w:val="single" w:sz="8" w:space="0" w:color="auto"/>
              <w:right w:val="single" w:sz="4" w:space="0" w:color="auto"/>
            </w:tcBorders>
          </w:tcPr>
          <w:p w14:paraId="3C63A79F" w14:textId="77777777" w:rsidR="00152B4F" w:rsidRPr="00551489" w:rsidRDefault="00152B4F" w:rsidP="009039E0">
            <w:pPr>
              <w:jc w:val="right"/>
              <w:rPr>
                <w:rFonts w:cs="Calibri"/>
                <w:color w:val="000000"/>
                <w:szCs w:val="22"/>
              </w:rPr>
            </w:pPr>
          </w:p>
        </w:tc>
        <w:tc>
          <w:tcPr>
            <w:tcW w:w="1418" w:type="dxa"/>
            <w:tcBorders>
              <w:top w:val="nil"/>
              <w:left w:val="single" w:sz="4" w:space="0" w:color="auto"/>
              <w:bottom w:val="single" w:sz="8" w:space="0" w:color="auto"/>
              <w:right w:val="single" w:sz="8" w:space="0" w:color="auto"/>
            </w:tcBorders>
            <w:noWrap/>
            <w:vAlign w:val="center"/>
            <w:hideMark/>
          </w:tcPr>
          <w:p w14:paraId="56225035" w14:textId="77777777" w:rsidR="00152B4F" w:rsidRPr="00551489" w:rsidRDefault="00152B4F" w:rsidP="009039E0">
            <w:pPr>
              <w:jc w:val="right"/>
              <w:rPr>
                <w:rFonts w:cs="Calibri"/>
                <w:color w:val="000000"/>
                <w:szCs w:val="22"/>
              </w:rPr>
            </w:pPr>
            <w:r w:rsidRPr="00551489">
              <w:rPr>
                <w:rFonts w:cs="Calibri"/>
                <w:color w:val="000000"/>
                <w:szCs w:val="22"/>
              </w:rPr>
              <w:t> </w:t>
            </w:r>
          </w:p>
        </w:tc>
        <w:tc>
          <w:tcPr>
            <w:tcW w:w="1276" w:type="dxa"/>
            <w:tcBorders>
              <w:top w:val="nil"/>
              <w:left w:val="nil"/>
              <w:bottom w:val="single" w:sz="8" w:space="0" w:color="auto"/>
              <w:right w:val="single" w:sz="8" w:space="0" w:color="auto"/>
            </w:tcBorders>
            <w:noWrap/>
            <w:vAlign w:val="center"/>
            <w:hideMark/>
          </w:tcPr>
          <w:p w14:paraId="7D6BEC19" w14:textId="77777777" w:rsidR="00152B4F" w:rsidRPr="00551489" w:rsidRDefault="00152B4F" w:rsidP="009039E0">
            <w:pPr>
              <w:jc w:val="right"/>
              <w:rPr>
                <w:rFonts w:cs="Calibri"/>
                <w:color w:val="000000"/>
                <w:szCs w:val="22"/>
              </w:rPr>
            </w:pPr>
            <w:r w:rsidRPr="00551489">
              <w:rPr>
                <w:rFonts w:cs="Calibri"/>
                <w:color w:val="000000"/>
                <w:szCs w:val="22"/>
              </w:rPr>
              <w:t> </w:t>
            </w:r>
          </w:p>
        </w:tc>
        <w:tc>
          <w:tcPr>
            <w:tcW w:w="1134" w:type="dxa"/>
            <w:tcBorders>
              <w:top w:val="nil"/>
              <w:left w:val="nil"/>
              <w:bottom w:val="single" w:sz="8" w:space="0" w:color="auto"/>
              <w:right w:val="single" w:sz="8" w:space="0" w:color="auto"/>
            </w:tcBorders>
            <w:noWrap/>
            <w:vAlign w:val="center"/>
            <w:hideMark/>
          </w:tcPr>
          <w:p w14:paraId="304D7C09" w14:textId="77777777" w:rsidR="00152B4F" w:rsidRPr="00551489" w:rsidRDefault="00152B4F" w:rsidP="009039E0">
            <w:pPr>
              <w:jc w:val="right"/>
              <w:rPr>
                <w:rFonts w:cs="Calibri"/>
                <w:color w:val="000000"/>
                <w:szCs w:val="22"/>
              </w:rPr>
            </w:pPr>
            <w:r w:rsidRPr="00551489">
              <w:rPr>
                <w:rFonts w:cs="Calibri"/>
                <w:color w:val="000000"/>
                <w:szCs w:val="22"/>
              </w:rPr>
              <w:t> </w:t>
            </w:r>
          </w:p>
        </w:tc>
      </w:tr>
      <w:tr w:rsidR="00152B4F" w:rsidRPr="00551489" w14:paraId="788852C7"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2DE940F8" w14:textId="77777777" w:rsidR="00152B4F" w:rsidRPr="00807E8C" w:rsidRDefault="00152B4F" w:rsidP="009039E0">
            <w:pPr>
              <w:rPr>
                <w:rFonts w:cs="Calibri"/>
                <w:b/>
                <w:bCs/>
                <w:szCs w:val="22"/>
              </w:rPr>
            </w:pPr>
            <w:r w:rsidRPr="00E32170">
              <w:rPr>
                <w:b/>
                <w:szCs w:val="22"/>
              </w:rPr>
              <w:t>52 Week Pathway</w:t>
            </w:r>
          </w:p>
        </w:tc>
        <w:tc>
          <w:tcPr>
            <w:tcW w:w="1195" w:type="dxa"/>
            <w:tcBorders>
              <w:top w:val="nil"/>
              <w:left w:val="nil"/>
              <w:bottom w:val="single" w:sz="8" w:space="0" w:color="auto"/>
              <w:right w:val="single" w:sz="4" w:space="0" w:color="auto"/>
            </w:tcBorders>
          </w:tcPr>
          <w:p w14:paraId="686E37F1" w14:textId="77777777" w:rsidR="00152B4F" w:rsidRPr="00551489" w:rsidRDefault="00152B4F" w:rsidP="009039E0">
            <w:pPr>
              <w:jc w:val="right"/>
              <w:rPr>
                <w:rFonts w:cs="Calibri"/>
                <w:color w:val="000000"/>
                <w:szCs w:val="22"/>
              </w:rPr>
            </w:pPr>
          </w:p>
        </w:tc>
        <w:tc>
          <w:tcPr>
            <w:tcW w:w="1418" w:type="dxa"/>
            <w:tcBorders>
              <w:top w:val="nil"/>
              <w:left w:val="single" w:sz="4" w:space="0" w:color="auto"/>
              <w:bottom w:val="single" w:sz="8" w:space="0" w:color="auto"/>
              <w:right w:val="single" w:sz="8" w:space="0" w:color="auto"/>
            </w:tcBorders>
            <w:noWrap/>
            <w:vAlign w:val="center"/>
            <w:hideMark/>
          </w:tcPr>
          <w:p w14:paraId="67650E30" w14:textId="77777777" w:rsidR="00152B4F" w:rsidRPr="00551489" w:rsidRDefault="00152B4F" w:rsidP="009039E0">
            <w:pPr>
              <w:jc w:val="right"/>
              <w:rPr>
                <w:rFonts w:cs="Calibri"/>
                <w:color w:val="000000"/>
                <w:szCs w:val="22"/>
              </w:rPr>
            </w:pPr>
            <w:r w:rsidRPr="00551489">
              <w:rPr>
                <w:rFonts w:cs="Calibri"/>
                <w:color w:val="000000"/>
                <w:szCs w:val="22"/>
              </w:rPr>
              <w:t> </w:t>
            </w:r>
          </w:p>
        </w:tc>
        <w:tc>
          <w:tcPr>
            <w:tcW w:w="1276" w:type="dxa"/>
            <w:tcBorders>
              <w:top w:val="nil"/>
              <w:left w:val="nil"/>
              <w:bottom w:val="single" w:sz="8" w:space="0" w:color="auto"/>
              <w:right w:val="single" w:sz="8" w:space="0" w:color="auto"/>
            </w:tcBorders>
            <w:noWrap/>
            <w:vAlign w:val="center"/>
            <w:hideMark/>
          </w:tcPr>
          <w:p w14:paraId="2ADE2806" w14:textId="77777777" w:rsidR="00152B4F" w:rsidRPr="00551489" w:rsidRDefault="00152B4F" w:rsidP="009039E0">
            <w:pPr>
              <w:jc w:val="right"/>
              <w:rPr>
                <w:rFonts w:cs="Calibri"/>
                <w:color w:val="000000"/>
                <w:szCs w:val="22"/>
              </w:rPr>
            </w:pPr>
            <w:r w:rsidRPr="00551489">
              <w:rPr>
                <w:rFonts w:cs="Calibri"/>
                <w:color w:val="000000"/>
                <w:szCs w:val="22"/>
              </w:rPr>
              <w:t> </w:t>
            </w:r>
          </w:p>
        </w:tc>
        <w:tc>
          <w:tcPr>
            <w:tcW w:w="1134" w:type="dxa"/>
            <w:tcBorders>
              <w:top w:val="nil"/>
              <w:left w:val="nil"/>
              <w:bottom w:val="single" w:sz="8" w:space="0" w:color="auto"/>
              <w:right w:val="single" w:sz="8" w:space="0" w:color="auto"/>
            </w:tcBorders>
            <w:noWrap/>
            <w:vAlign w:val="center"/>
            <w:hideMark/>
          </w:tcPr>
          <w:p w14:paraId="27B226D4" w14:textId="77777777" w:rsidR="00152B4F" w:rsidRPr="00551489" w:rsidRDefault="00152B4F" w:rsidP="009039E0">
            <w:pPr>
              <w:jc w:val="right"/>
              <w:rPr>
                <w:rFonts w:cs="Calibri"/>
                <w:color w:val="000000"/>
                <w:szCs w:val="22"/>
              </w:rPr>
            </w:pPr>
            <w:r w:rsidRPr="00551489">
              <w:rPr>
                <w:rFonts w:cs="Calibri"/>
                <w:color w:val="000000"/>
                <w:szCs w:val="22"/>
              </w:rPr>
              <w:t> </w:t>
            </w:r>
          </w:p>
        </w:tc>
      </w:tr>
      <w:tr w:rsidR="00152B4F" w:rsidRPr="00551489" w14:paraId="186B129F" w14:textId="77777777" w:rsidTr="009039E0">
        <w:trPr>
          <w:trHeight w:val="315"/>
        </w:trPr>
        <w:tc>
          <w:tcPr>
            <w:tcW w:w="3624" w:type="dxa"/>
            <w:tcBorders>
              <w:top w:val="nil"/>
              <w:left w:val="single" w:sz="8" w:space="0" w:color="auto"/>
              <w:bottom w:val="single" w:sz="8" w:space="0" w:color="auto"/>
              <w:right w:val="single" w:sz="8" w:space="0" w:color="auto"/>
            </w:tcBorders>
            <w:shd w:val="clear" w:color="000000" w:fill="D9D9D9"/>
            <w:noWrap/>
            <w:vAlign w:val="bottom"/>
            <w:hideMark/>
          </w:tcPr>
          <w:p w14:paraId="20DC8C3D" w14:textId="77777777" w:rsidR="00152B4F" w:rsidRPr="00807E8C" w:rsidRDefault="00152B4F" w:rsidP="009039E0">
            <w:pPr>
              <w:rPr>
                <w:rFonts w:cs="Calibri"/>
                <w:b/>
                <w:bCs/>
                <w:szCs w:val="22"/>
              </w:rPr>
            </w:pPr>
            <w:r w:rsidRPr="00E32170">
              <w:rPr>
                <w:b/>
                <w:szCs w:val="22"/>
              </w:rPr>
              <w:t>Ongoing Support</w:t>
            </w:r>
          </w:p>
        </w:tc>
        <w:tc>
          <w:tcPr>
            <w:tcW w:w="1195" w:type="dxa"/>
            <w:tcBorders>
              <w:top w:val="nil"/>
              <w:left w:val="nil"/>
              <w:bottom w:val="single" w:sz="8" w:space="0" w:color="auto"/>
              <w:right w:val="single" w:sz="4" w:space="0" w:color="auto"/>
            </w:tcBorders>
          </w:tcPr>
          <w:p w14:paraId="47FCC206" w14:textId="77777777" w:rsidR="00152B4F" w:rsidRPr="00551489" w:rsidRDefault="00152B4F" w:rsidP="009039E0">
            <w:pPr>
              <w:jc w:val="right"/>
              <w:rPr>
                <w:rFonts w:cs="Calibri"/>
                <w:color w:val="000000"/>
                <w:szCs w:val="22"/>
              </w:rPr>
            </w:pPr>
          </w:p>
        </w:tc>
        <w:tc>
          <w:tcPr>
            <w:tcW w:w="1418" w:type="dxa"/>
            <w:tcBorders>
              <w:top w:val="nil"/>
              <w:left w:val="single" w:sz="4" w:space="0" w:color="auto"/>
              <w:bottom w:val="single" w:sz="8" w:space="0" w:color="auto"/>
              <w:right w:val="single" w:sz="8" w:space="0" w:color="auto"/>
            </w:tcBorders>
            <w:noWrap/>
            <w:vAlign w:val="center"/>
            <w:hideMark/>
          </w:tcPr>
          <w:p w14:paraId="46AC2D0E" w14:textId="77777777" w:rsidR="00152B4F" w:rsidRPr="00551489" w:rsidRDefault="00152B4F" w:rsidP="009039E0">
            <w:pPr>
              <w:jc w:val="right"/>
              <w:rPr>
                <w:rFonts w:cs="Calibri"/>
                <w:color w:val="000000"/>
                <w:szCs w:val="22"/>
              </w:rPr>
            </w:pPr>
            <w:r w:rsidRPr="00551489">
              <w:rPr>
                <w:rFonts w:cs="Calibri"/>
                <w:color w:val="000000"/>
                <w:szCs w:val="22"/>
              </w:rPr>
              <w:t> </w:t>
            </w:r>
          </w:p>
        </w:tc>
        <w:tc>
          <w:tcPr>
            <w:tcW w:w="1276" w:type="dxa"/>
            <w:tcBorders>
              <w:top w:val="nil"/>
              <w:left w:val="nil"/>
              <w:bottom w:val="single" w:sz="8" w:space="0" w:color="auto"/>
              <w:right w:val="single" w:sz="8" w:space="0" w:color="auto"/>
            </w:tcBorders>
            <w:noWrap/>
            <w:vAlign w:val="center"/>
            <w:hideMark/>
          </w:tcPr>
          <w:p w14:paraId="564959DC" w14:textId="77777777" w:rsidR="00152B4F" w:rsidRPr="003510BE" w:rsidRDefault="00152B4F" w:rsidP="009039E0">
            <w:pPr>
              <w:ind w:left="360"/>
              <w:jc w:val="right"/>
              <w:rPr>
                <w:rFonts w:cs="Calibri"/>
                <w:color w:val="000000"/>
                <w:szCs w:val="22"/>
              </w:rPr>
            </w:pPr>
            <w:r w:rsidRPr="003510BE">
              <w:rPr>
                <w:rFonts w:cs="Calibri"/>
                <w:color w:val="000000"/>
                <w:szCs w:val="22"/>
              </w:rPr>
              <w:t> </w:t>
            </w:r>
          </w:p>
        </w:tc>
        <w:tc>
          <w:tcPr>
            <w:tcW w:w="1134" w:type="dxa"/>
            <w:tcBorders>
              <w:top w:val="nil"/>
              <w:left w:val="nil"/>
              <w:bottom w:val="single" w:sz="8" w:space="0" w:color="auto"/>
              <w:right w:val="single" w:sz="8" w:space="0" w:color="auto"/>
            </w:tcBorders>
            <w:noWrap/>
            <w:vAlign w:val="center"/>
            <w:hideMark/>
          </w:tcPr>
          <w:p w14:paraId="57093CB7" w14:textId="77777777" w:rsidR="00152B4F" w:rsidRPr="00551489" w:rsidRDefault="00152B4F" w:rsidP="009039E0">
            <w:pPr>
              <w:jc w:val="right"/>
              <w:rPr>
                <w:rFonts w:cs="Calibri"/>
                <w:color w:val="000000"/>
                <w:szCs w:val="22"/>
              </w:rPr>
            </w:pPr>
            <w:r w:rsidRPr="00551489">
              <w:rPr>
                <w:rFonts w:cs="Calibri"/>
                <w:color w:val="000000"/>
                <w:szCs w:val="22"/>
              </w:rPr>
              <w:t> </w:t>
            </w:r>
          </w:p>
        </w:tc>
      </w:tr>
      <w:tr w:rsidR="00152B4F" w:rsidRPr="00551489" w14:paraId="561A52BE" w14:textId="77777777" w:rsidTr="009039E0">
        <w:trPr>
          <w:trHeight w:val="315"/>
        </w:trPr>
        <w:tc>
          <w:tcPr>
            <w:tcW w:w="3624" w:type="dxa"/>
            <w:tcBorders>
              <w:top w:val="nil"/>
              <w:left w:val="nil"/>
              <w:bottom w:val="nil"/>
              <w:right w:val="nil"/>
            </w:tcBorders>
            <w:noWrap/>
            <w:vAlign w:val="bottom"/>
            <w:hideMark/>
          </w:tcPr>
          <w:p w14:paraId="5EB624F1" w14:textId="77777777" w:rsidR="00152B4F" w:rsidRPr="00551489" w:rsidRDefault="00152B4F" w:rsidP="009039E0">
            <w:pPr>
              <w:rPr>
                <w:rFonts w:cs="Calibri"/>
                <w:color w:val="000000"/>
                <w:szCs w:val="22"/>
              </w:rPr>
            </w:pPr>
          </w:p>
        </w:tc>
        <w:tc>
          <w:tcPr>
            <w:tcW w:w="1195" w:type="dxa"/>
            <w:tcBorders>
              <w:top w:val="nil"/>
              <w:left w:val="nil"/>
              <w:bottom w:val="nil"/>
              <w:right w:val="nil"/>
            </w:tcBorders>
          </w:tcPr>
          <w:p w14:paraId="0CB420D3" w14:textId="77777777" w:rsidR="00152B4F" w:rsidRPr="00551489" w:rsidRDefault="00152B4F" w:rsidP="009039E0">
            <w:pPr>
              <w:rPr>
                <w:rFonts w:cs="Calibri"/>
                <w:color w:val="000000"/>
                <w:szCs w:val="22"/>
              </w:rPr>
            </w:pPr>
          </w:p>
        </w:tc>
        <w:tc>
          <w:tcPr>
            <w:tcW w:w="1418" w:type="dxa"/>
            <w:tcBorders>
              <w:top w:val="nil"/>
              <w:left w:val="nil"/>
              <w:bottom w:val="nil"/>
              <w:right w:val="nil"/>
            </w:tcBorders>
            <w:noWrap/>
            <w:vAlign w:val="bottom"/>
            <w:hideMark/>
          </w:tcPr>
          <w:p w14:paraId="755BE803" w14:textId="77777777" w:rsidR="00152B4F" w:rsidRPr="00551489" w:rsidRDefault="00152B4F" w:rsidP="009039E0">
            <w:pPr>
              <w:rPr>
                <w:rFonts w:cs="Calibri"/>
                <w:color w:val="000000"/>
                <w:szCs w:val="22"/>
              </w:rPr>
            </w:pPr>
          </w:p>
        </w:tc>
        <w:tc>
          <w:tcPr>
            <w:tcW w:w="1276" w:type="dxa"/>
            <w:tcBorders>
              <w:top w:val="nil"/>
              <w:left w:val="nil"/>
              <w:bottom w:val="nil"/>
              <w:right w:val="nil"/>
            </w:tcBorders>
            <w:noWrap/>
            <w:vAlign w:val="bottom"/>
            <w:hideMark/>
          </w:tcPr>
          <w:p w14:paraId="61E09F1E" w14:textId="77777777" w:rsidR="00152B4F" w:rsidRPr="00551489" w:rsidRDefault="00152B4F" w:rsidP="009039E0">
            <w:pPr>
              <w:rPr>
                <w:rFonts w:cs="Calibri"/>
                <w:color w:val="000000"/>
                <w:szCs w:val="22"/>
              </w:rPr>
            </w:pPr>
          </w:p>
        </w:tc>
        <w:tc>
          <w:tcPr>
            <w:tcW w:w="1134" w:type="dxa"/>
            <w:tcBorders>
              <w:top w:val="nil"/>
              <w:left w:val="nil"/>
              <w:bottom w:val="nil"/>
              <w:right w:val="nil"/>
            </w:tcBorders>
            <w:noWrap/>
            <w:vAlign w:val="bottom"/>
            <w:hideMark/>
          </w:tcPr>
          <w:p w14:paraId="01452EA0" w14:textId="77777777" w:rsidR="00152B4F" w:rsidRPr="00551489" w:rsidRDefault="00152B4F" w:rsidP="009039E0">
            <w:pPr>
              <w:rPr>
                <w:rFonts w:cs="Calibri"/>
                <w:color w:val="000000"/>
                <w:szCs w:val="22"/>
              </w:rPr>
            </w:pPr>
          </w:p>
        </w:tc>
      </w:tr>
      <w:tr w:rsidR="00152B4F" w:rsidRPr="00551489" w14:paraId="4539B6FD" w14:textId="77777777" w:rsidTr="009039E0">
        <w:trPr>
          <w:trHeight w:val="315"/>
        </w:trPr>
        <w:tc>
          <w:tcPr>
            <w:tcW w:w="3624" w:type="dxa"/>
            <w:tcBorders>
              <w:top w:val="single" w:sz="8" w:space="0" w:color="auto"/>
              <w:left w:val="single" w:sz="8" w:space="0" w:color="auto"/>
              <w:bottom w:val="single" w:sz="8" w:space="0" w:color="auto"/>
              <w:right w:val="nil"/>
            </w:tcBorders>
            <w:shd w:val="clear" w:color="000000" w:fill="D9D9D9"/>
            <w:noWrap/>
            <w:vAlign w:val="center"/>
            <w:hideMark/>
          </w:tcPr>
          <w:p w14:paraId="4AE519B7" w14:textId="77777777" w:rsidR="00152B4F" w:rsidRPr="00551489" w:rsidRDefault="00152B4F" w:rsidP="009039E0">
            <w:pPr>
              <w:rPr>
                <w:rFonts w:cs="Calibri"/>
                <w:b/>
                <w:bCs/>
                <w:szCs w:val="22"/>
              </w:rPr>
            </w:pPr>
            <w:r>
              <w:rPr>
                <w:rFonts w:cs="Calibri"/>
                <w:b/>
                <w:bCs/>
                <w:szCs w:val="22"/>
              </w:rPr>
              <w:t>Performance Score for Site Y</w:t>
            </w:r>
          </w:p>
        </w:tc>
        <w:tc>
          <w:tcPr>
            <w:tcW w:w="1195" w:type="dxa"/>
            <w:tcBorders>
              <w:top w:val="single" w:sz="8" w:space="0" w:color="auto"/>
              <w:left w:val="nil"/>
              <w:bottom w:val="single" w:sz="8" w:space="0" w:color="auto"/>
              <w:right w:val="nil"/>
            </w:tcBorders>
            <w:shd w:val="clear" w:color="000000" w:fill="D9D9D9"/>
          </w:tcPr>
          <w:p w14:paraId="52186CDA" w14:textId="77777777" w:rsidR="00152B4F" w:rsidRPr="00551489" w:rsidRDefault="00152B4F" w:rsidP="009039E0">
            <w:pPr>
              <w:rPr>
                <w:rFonts w:cs="Calibri"/>
                <w:b/>
                <w:bCs/>
                <w:szCs w:val="22"/>
              </w:rPr>
            </w:pPr>
          </w:p>
        </w:tc>
        <w:tc>
          <w:tcPr>
            <w:tcW w:w="1418" w:type="dxa"/>
            <w:tcBorders>
              <w:top w:val="single" w:sz="8" w:space="0" w:color="auto"/>
              <w:left w:val="nil"/>
              <w:bottom w:val="single" w:sz="8" w:space="0" w:color="auto"/>
              <w:right w:val="nil"/>
            </w:tcBorders>
            <w:shd w:val="clear" w:color="000000" w:fill="D9D9D9"/>
            <w:noWrap/>
            <w:vAlign w:val="center"/>
            <w:hideMark/>
          </w:tcPr>
          <w:p w14:paraId="0E14CC34" w14:textId="77777777" w:rsidR="00152B4F" w:rsidRPr="00551489" w:rsidRDefault="00152B4F" w:rsidP="009039E0">
            <w:pPr>
              <w:rPr>
                <w:rFonts w:cs="Calibri"/>
                <w:b/>
                <w:bCs/>
                <w:szCs w:val="22"/>
              </w:rPr>
            </w:pPr>
            <w:r w:rsidRPr="00551489">
              <w:rPr>
                <w:rFonts w:cs="Calibri"/>
                <w:b/>
                <w:bCs/>
                <w:szCs w:val="22"/>
              </w:rPr>
              <w:t> </w:t>
            </w:r>
          </w:p>
        </w:tc>
        <w:tc>
          <w:tcPr>
            <w:tcW w:w="1276" w:type="dxa"/>
            <w:tcBorders>
              <w:top w:val="single" w:sz="8" w:space="0" w:color="auto"/>
              <w:left w:val="nil"/>
              <w:bottom w:val="single" w:sz="8" w:space="0" w:color="auto"/>
              <w:right w:val="nil"/>
            </w:tcBorders>
            <w:shd w:val="clear" w:color="000000" w:fill="D9D9D9"/>
            <w:noWrap/>
            <w:vAlign w:val="center"/>
            <w:hideMark/>
          </w:tcPr>
          <w:p w14:paraId="4EEA94AC" w14:textId="77777777" w:rsidR="00152B4F" w:rsidRPr="00551489" w:rsidRDefault="00152B4F" w:rsidP="009039E0">
            <w:pPr>
              <w:rPr>
                <w:rFonts w:cs="Calibri"/>
                <w:b/>
                <w:bCs/>
                <w:szCs w:val="22"/>
              </w:rPr>
            </w:pPr>
            <w:r w:rsidRPr="00551489">
              <w:rPr>
                <w:rFonts w:cs="Calibri"/>
                <w:b/>
                <w:bCs/>
                <w:szCs w:val="22"/>
              </w:rPr>
              <w:t>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185663A7" w14:textId="77777777" w:rsidR="00152B4F" w:rsidRPr="00551489" w:rsidRDefault="00152B4F" w:rsidP="009039E0">
            <w:pPr>
              <w:jc w:val="right"/>
              <w:rPr>
                <w:rFonts w:cs="Calibri"/>
                <w:b/>
                <w:bCs/>
                <w:szCs w:val="22"/>
              </w:rPr>
            </w:pPr>
            <w:r>
              <w:rPr>
                <w:rFonts w:cs="Calibri"/>
                <w:b/>
                <w:bCs/>
                <w:szCs w:val="22"/>
              </w:rPr>
              <w:t>2.38</w:t>
            </w:r>
          </w:p>
        </w:tc>
      </w:tr>
    </w:tbl>
    <w:p w14:paraId="522DE006" w14:textId="77777777" w:rsidR="00152B4F" w:rsidRDefault="00152B4F" w:rsidP="00152B4F">
      <w:pPr>
        <w:rPr>
          <w:szCs w:val="22"/>
        </w:rPr>
      </w:pPr>
    </w:p>
    <w:p w14:paraId="2A333274" w14:textId="77777777" w:rsidR="00CF7FE3" w:rsidRPr="00152B4F" w:rsidRDefault="00CF7FE3" w:rsidP="00152B4F"/>
    <w:sectPr w:rsidR="00CF7FE3" w:rsidRPr="00152B4F" w:rsidSect="00F94088">
      <w:headerReference w:type="default" r:id="rId26"/>
      <w:pgSz w:w="11900" w:h="16840"/>
      <w:pgMar w:top="1843" w:right="1797" w:bottom="1440" w:left="1797"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8955" w14:textId="77777777" w:rsidR="009039E0" w:rsidRDefault="009039E0" w:rsidP="00AB6135">
      <w:r>
        <w:separator/>
      </w:r>
    </w:p>
    <w:p w14:paraId="686058CB" w14:textId="77777777" w:rsidR="009039E0" w:rsidRDefault="009039E0"/>
    <w:p w14:paraId="533B588F" w14:textId="77777777" w:rsidR="009039E0" w:rsidRDefault="009039E0" w:rsidP="00EE70F5"/>
  </w:endnote>
  <w:endnote w:type="continuationSeparator" w:id="0">
    <w:p w14:paraId="5FBE8E49" w14:textId="77777777" w:rsidR="009039E0" w:rsidRDefault="009039E0" w:rsidP="00AB6135">
      <w:r>
        <w:continuationSeparator/>
      </w:r>
    </w:p>
    <w:p w14:paraId="2C656887" w14:textId="77777777" w:rsidR="009039E0" w:rsidRDefault="009039E0"/>
    <w:p w14:paraId="4967CCFF" w14:textId="77777777" w:rsidR="009039E0" w:rsidRDefault="009039E0" w:rsidP="00EE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E71B" w14:textId="77777777" w:rsidR="009039E0" w:rsidRDefault="009039E0">
    <w:pPr>
      <w:pStyle w:val="Footer"/>
    </w:pPr>
  </w:p>
  <w:p w14:paraId="1907C004" w14:textId="77777777" w:rsidR="009039E0" w:rsidRDefault="009039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97C" w14:textId="6214358E" w:rsidR="009039E0" w:rsidRPr="00F94088" w:rsidRDefault="009039E0" w:rsidP="00210C58">
    <w:pPr>
      <w:tabs>
        <w:tab w:val="center" w:pos="4153"/>
        <w:tab w:val="right" w:pos="8306"/>
      </w:tabs>
      <w:jc w:val="both"/>
      <w:rPr>
        <w:rFonts w:ascii="Calibri" w:hAnsi="Calibri" w:cs="Arial"/>
        <w:color w:val="808080"/>
        <w:sz w:val="16"/>
        <w:szCs w:val="16"/>
      </w:rPr>
    </w:pPr>
    <w:r w:rsidRPr="001B606A">
      <w:rPr>
        <w:rFonts w:ascii="Calibri" w:hAnsi="Calibri" w:cs="Arial"/>
        <w:color w:val="808080"/>
        <w:sz w:val="16"/>
        <w:szCs w:val="16"/>
      </w:rPr>
      <w:t>DES Star Ratings</w:t>
    </w:r>
    <w:r>
      <w:rPr>
        <w:rFonts w:ascii="Calibri" w:hAnsi="Calibri" w:cs="Arial"/>
        <w:color w:val="808080"/>
        <w:sz w:val="16"/>
        <w:szCs w:val="16"/>
      </w:rPr>
      <w:t xml:space="preserve"> Methodology Advice</w:t>
    </w:r>
    <w:r w:rsidR="00BF11E7">
      <w:rPr>
        <w:rFonts w:ascii="Calibri" w:hAnsi="Calibri" w:cs="Arial"/>
        <w:color w:val="808080"/>
        <w:sz w:val="16"/>
        <w:szCs w:val="16"/>
      </w:rPr>
      <w:t xml:space="preserve"> V1.2</w:t>
    </w:r>
  </w:p>
  <w:p w14:paraId="52FA71D4" w14:textId="6B064677" w:rsidR="009039E0" w:rsidRPr="00F94088" w:rsidRDefault="009039E0" w:rsidP="00210C58">
    <w:pPr>
      <w:tabs>
        <w:tab w:val="center" w:pos="4153"/>
        <w:tab w:val="right" w:pos="8306"/>
      </w:tabs>
      <w:jc w:val="both"/>
      <w:rPr>
        <w:rFonts w:ascii="Calibri" w:hAnsi="Calibri" w:cs="Arial"/>
        <w:color w:val="808080"/>
        <w:sz w:val="16"/>
        <w:szCs w:val="16"/>
      </w:rPr>
    </w:pPr>
    <w:r w:rsidRPr="00F94088">
      <w:rPr>
        <w:rFonts w:ascii="Calibri" w:hAnsi="Calibri" w:cs="Arial"/>
        <w:color w:val="808080"/>
        <w:sz w:val="16"/>
        <w:szCs w:val="16"/>
      </w:rPr>
      <w:t xml:space="preserve">TRIM ID: </w:t>
    </w:r>
    <w:r w:rsidR="000E2F96" w:rsidRPr="000E2F96">
      <w:rPr>
        <w:rFonts w:ascii="Calibri" w:hAnsi="Calibri" w:cs="Arial"/>
        <w:color w:val="808080"/>
        <w:sz w:val="16"/>
        <w:szCs w:val="16"/>
      </w:rPr>
      <w:t xml:space="preserve">D20/912320  </w:t>
    </w:r>
  </w:p>
  <w:p w14:paraId="6CEDAC4D" w14:textId="39499412" w:rsidR="009039E0" w:rsidRPr="00F94088" w:rsidRDefault="009039E0" w:rsidP="00210C58">
    <w:pPr>
      <w:tabs>
        <w:tab w:val="center" w:pos="4153"/>
        <w:tab w:val="right" w:pos="8306"/>
      </w:tabs>
      <w:jc w:val="both"/>
      <w:rPr>
        <w:rFonts w:ascii="Calibri" w:hAnsi="Calibri" w:cs="Arial"/>
        <w:color w:val="808080"/>
        <w:sz w:val="16"/>
        <w:szCs w:val="16"/>
      </w:rPr>
    </w:pPr>
    <w:r w:rsidRPr="00F94088">
      <w:rPr>
        <w:rFonts w:ascii="Calibri" w:hAnsi="Calibri" w:cs="Arial"/>
        <w:color w:val="808080"/>
        <w:sz w:val="16"/>
        <w:szCs w:val="16"/>
      </w:rPr>
      <w:t xml:space="preserve">Arc Record Number: </w:t>
    </w:r>
    <w:r w:rsidR="000E2F96" w:rsidRPr="00F94088">
      <w:rPr>
        <w:rFonts w:ascii="Calibri" w:hAnsi="Calibri" w:cs="Arial"/>
        <w:color w:val="808080"/>
        <w:sz w:val="16"/>
        <w:szCs w:val="16"/>
      </w:rPr>
      <w:t>D</w:t>
    </w:r>
    <w:r w:rsidR="000E2F96">
      <w:rPr>
        <w:rFonts w:ascii="Calibri" w:hAnsi="Calibri" w:cs="Arial"/>
        <w:color w:val="808080"/>
        <w:sz w:val="16"/>
        <w:szCs w:val="16"/>
      </w:rPr>
      <w:t>20</w:t>
    </w:r>
    <w:r w:rsidR="000E2F96" w:rsidRPr="00F94088">
      <w:rPr>
        <w:rFonts w:ascii="Calibri" w:hAnsi="Calibri" w:cs="Arial"/>
        <w:color w:val="808080"/>
        <w:sz w:val="16"/>
        <w:szCs w:val="16"/>
      </w:rPr>
      <w:t>/</w:t>
    </w:r>
    <w:r w:rsidR="000E2F96">
      <w:rPr>
        <w:rFonts w:ascii="Calibri" w:hAnsi="Calibri" w:cs="Arial"/>
        <w:color w:val="808080"/>
        <w:sz w:val="16"/>
        <w:szCs w:val="16"/>
      </w:rPr>
      <w:t>918200</w:t>
    </w:r>
  </w:p>
  <w:p w14:paraId="74F80174" w14:textId="77777777" w:rsidR="009039E0" w:rsidRPr="00F94088" w:rsidRDefault="009039E0" w:rsidP="00210C58">
    <w:pPr>
      <w:tabs>
        <w:tab w:val="center" w:pos="4153"/>
        <w:tab w:val="right" w:pos="8306"/>
      </w:tabs>
      <w:jc w:val="right"/>
      <w:rPr>
        <w:rFonts w:ascii="Calibri" w:hAnsi="Calibri" w:cs="Arial"/>
        <w:color w:val="808080"/>
        <w:sz w:val="16"/>
        <w:szCs w:val="16"/>
      </w:rPr>
    </w:pPr>
    <w:r w:rsidRPr="001B606A">
      <w:rPr>
        <w:rFonts w:ascii="Calibri" w:hAnsi="Calibri" w:cs="Arial"/>
        <w:color w:val="808080"/>
        <w:sz w:val="16"/>
        <w:szCs w:val="16"/>
      </w:rPr>
      <w:t xml:space="preserve">Effective Date: </w:t>
    </w:r>
    <w:r>
      <w:rPr>
        <w:rFonts w:ascii="Calibri" w:hAnsi="Calibri" w:cs="Arial"/>
        <w:color w:val="808080"/>
        <w:sz w:val="16"/>
        <w:szCs w:val="16"/>
      </w:rPr>
      <w:t>17 August 2020</w:t>
    </w:r>
  </w:p>
  <w:p w14:paraId="695CA62A" w14:textId="0C952630" w:rsidR="009039E0" w:rsidRPr="00210C58" w:rsidRDefault="009039E0" w:rsidP="00210C58">
    <w:pPr>
      <w:tabs>
        <w:tab w:val="center" w:pos="4153"/>
        <w:tab w:val="right" w:pos="8306"/>
      </w:tabs>
      <w:jc w:val="center"/>
      <w:rPr>
        <w:rFonts w:ascii="Calibri" w:hAnsi="Calibri" w:cs="Arial"/>
        <w:color w:val="808080"/>
        <w:sz w:val="16"/>
        <w:szCs w:val="16"/>
      </w:rPr>
    </w:pPr>
    <w:r w:rsidRPr="00F94088">
      <w:rPr>
        <w:rFonts w:ascii="Calibri" w:hAnsi="Calibri" w:cs="Arial"/>
        <w:color w:val="808080"/>
        <w:sz w:val="16"/>
        <w:szCs w:val="16"/>
      </w:rPr>
      <w:fldChar w:fldCharType="begin"/>
    </w:r>
    <w:r w:rsidRPr="00F94088">
      <w:rPr>
        <w:rFonts w:ascii="Calibri" w:hAnsi="Calibri" w:cs="Arial"/>
        <w:color w:val="808080"/>
        <w:sz w:val="16"/>
        <w:szCs w:val="16"/>
      </w:rPr>
      <w:instrText xml:space="preserve"> PAGE   \* MERGEFORMAT </w:instrText>
    </w:r>
    <w:r w:rsidRPr="00F94088">
      <w:rPr>
        <w:rFonts w:ascii="Calibri" w:hAnsi="Calibri" w:cs="Arial"/>
        <w:color w:val="808080"/>
        <w:sz w:val="16"/>
        <w:szCs w:val="16"/>
      </w:rPr>
      <w:fldChar w:fldCharType="separate"/>
    </w:r>
    <w:r w:rsidR="000E2F96">
      <w:rPr>
        <w:rFonts w:ascii="Calibri" w:hAnsi="Calibri" w:cs="Arial"/>
        <w:noProof/>
        <w:color w:val="808080"/>
        <w:sz w:val="16"/>
        <w:szCs w:val="16"/>
      </w:rPr>
      <w:t>38</w:t>
    </w:r>
    <w:r w:rsidRPr="00F94088">
      <w:rPr>
        <w:rFonts w:ascii="Calibri" w:hAnsi="Calibri" w:cs="Arial"/>
        <w:color w:val="808080"/>
        <w:sz w:val="16"/>
        <w:szCs w:val="16"/>
      </w:rPr>
      <w:fldChar w:fldCharType="end"/>
    </w:r>
    <w:r>
      <w:rPr>
        <w:rFonts w:ascii="Calibri" w:hAnsi="Calibri" w:cs="Arial"/>
        <w:noProof/>
        <w:color w:val="808080"/>
        <w:sz w:val="16"/>
        <w:szCs w:val="16"/>
      </w:rP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A593" w14:textId="3516315B" w:rsidR="009039E0" w:rsidRPr="00F94088" w:rsidRDefault="009039E0" w:rsidP="00D96082">
    <w:pPr>
      <w:tabs>
        <w:tab w:val="center" w:pos="4153"/>
        <w:tab w:val="right" w:pos="8306"/>
      </w:tabs>
      <w:jc w:val="both"/>
      <w:rPr>
        <w:rFonts w:ascii="Calibri" w:hAnsi="Calibri" w:cs="Arial"/>
        <w:color w:val="808080"/>
        <w:sz w:val="16"/>
        <w:szCs w:val="16"/>
      </w:rPr>
    </w:pPr>
    <w:r w:rsidRPr="001B606A">
      <w:rPr>
        <w:rFonts w:ascii="Calibri" w:hAnsi="Calibri" w:cs="Arial"/>
        <w:color w:val="808080"/>
        <w:sz w:val="16"/>
        <w:szCs w:val="16"/>
      </w:rPr>
      <w:t>Star Ratings</w:t>
    </w:r>
    <w:r>
      <w:rPr>
        <w:rFonts w:ascii="Calibri" w:hAnsi="Calibri" w:cs="Arial"/>
        <w:color w:val="808080"/>
        <w:sz w:val="16"/>
        <w:szCs w:val="16"/>
      </w:rPr>
      <w:t xml:space="preserve"> Methodology Advice V1.2</w:t>
    </w:r>
  </w:p>
  <w:p w14:paraId="4A1EDE14" w14:textId="77777777" w:rsidR="009039E0" w:rsidRPr="00F94088" w:rsidRDefault="009039E0" w:rsidP="00D96082">
    <w:pPr>
      <w:tabs>
        <w:tab w:val="center" w:pos="4153"/>
        <w:tab w:val="right" w:pos="8306"/>
      </w:tabs>
      <w:jc w:val="both"/>
      <w:rPr>
        <w:rFonts w:ascii="Calibri" w:hAnsi="Calibri" w:cs="Arial"/>
        <w:color w:val="808080"/>
        <w:sz w:val="16"/>
        <w:szCs w:val="16"/>
      </w:rPr>
    </w:pPr>
    <w:r w:rsidRPr="00F94088">
      <w:rPr>
        <w:rFonts w:ascii="Calibri" w:hAnsi="Calibri" w:cs="Arial"/>
        <w:color w:val="808080"/>
        <w:sz w:val="16"/>
        <w:szCs w:val="16"/>
      </w:rPr>
      <w:t xml:space="preserve">TRIM ID: </w:t>
    </w:r>
    <w:r w:rsidRPr="00952434">
      <w:rPr>
        <w:rFonts w:ascii="Calibri" w:hAnsi="Calibri" w:cs="Arial"/>
        <w:color w:val="808080"/>
        <w:sz w:val="16"/>
        <w:szCs w:val="16"/>
      </w:rPr>
      <w:t>D20/912320</w:t>
    </w:r>
  </w:p>
  <w:p w14:paraId="1D3A91C4" w14:textId="77777777" w:rsidR="009039E0" w:rsidRPr="00F94088" w:rsidRDefault="009039E0" w:rsidP="00D96082">
    <w:pPr>
      <w:tabs>
        <w:tab w:val="center" w:pos="4153"/>
        <w:tab w:val="right" w:pos="8306"/>
      </w:tabs>
      <w:jc w:val="both"/>
      <w:rPr>
        <w:rFonts w:ascii="Calibri" w:hAnsi="Calibri" w:cs="Arial"/>
        <w:color w:val="808080"/>
        <w:sz w:val="16"/>
        <w:szCs w:val="16"/>
      </w:rPr>
    </w:pPr>
    <w:r w:rsidRPr="00F94088">
      <w:rPr>
        <w:rFonts w:ascii="Calibri" w:hAnsi="Calibri" w:cs="Arial"/>
        <w:color w:val="808080"/>
        <w:sz w:val="16"/>
        <w:szCs w:val="16"/>
      </w:rPr>
      <w:t>Arc Record Number: D</w:t>
    </w:r>
    <w:r>
      <w:rPr>
        <w:rFonts w:ascii="Calibri" w:hAnsi="Calibri" w:cs="Arial"/>
        <w:color w:val="808080"/>
        <w:sz w:val="16"/>
        <w:szCs w:val="16"/>
      </w:rPr>
      <w:t>20</w:t>
    </w:r>
    <w:r w:rsidRPr="00F94088">
      <w:rPr>
        <w:rFonts w:ascii="Calibri" w:hAnsi="Calibri" w:cs="Arial"/>
        <w:color w:val="808080"/>
        <w:sz w:val="16"/>
        <w:szCs w:val="16"/>
      </w:rPr>
      <w:t>/</w:t>
    </w:r>
    <w:r>
      <w:rPr>
        <w:rFonts w:ascii="Calibri" w:hAnsi="Calibri" w:cs="Arial"/>
        <w:color w:val="808080"/>
        <w:sz w:val="16"/>
        <w:szCs w:val="16"/>
      </w:rPr>
      <w:t>918200</w:t>
    </w:r>
  </w:p>
  <w:p w14:paraId="6AF6C047" w14:textId="77777777" w:rsidR="009039E0" w:rsidRPr="00F94088" w:rsidRDefault="009039E0" w:rsidP="00D96082">
    <w:pPr>
      <w:tabs>
        <w:tab w:val="center" w:pos="4153"/>
        <w:tab w:val="right" w:pos="8306"/>
      </w:tabs>
      <w:jc w:val="right"/>
      <w:rPr>
        <w:rFonts w:ascii="Calibri" w:hAnsi="Calibri" w:cs="Arial"/>
        <w:color w:val="808080"/>
        <w:sz w:val="16"/>
        <w:szCs w:val="16"/>
      </w:rPr>
    </w:pPr>
    <w:r w:rsidRPr="001B606A">
      <w:rPr>
        <w:rFonts w:ascii="Calibri" w:hAnsi="Calibri" w:cs="Arial"/>
        <w:color w:val="808080"/>
        <w:sz w:val="16"/>
        <w:szCs w:val="16"/>
      </w:rPr>
      <w:t xml:space="preserve">Effective Date: </w:t>
    </w:r>
    <w:r>
      <w:rPr>
        <w:rFonts w:ascii="Calibri" w:hAnsi="Calibri" w:cs="Arial"/>
        <w:color w:val="808080"/>
        <w:sz w:val="16"/>
        <w:szCs w:val="16"/>
      </w:rPr>
      <w:t>17 August 2020</w:t>
    </w:r>
  </w:p>
  <w:p w14:paraId="173B46DA" w14:textId="3D83EE82" w:rsidR="009039E0" w:rsidRPr="00210C58" w:rsidRDefault="009039E0" w:rsidP="00D96082">
    <w:pPr>
      <w:tabs>
        <w:tab w:val="center" w:pos="4153"/>
        <w:tab w:val="right" w:pos="8306"/>
      </w:tabs>
      <w:jc w:val="center"/>
      <w:rPr>
        <w:rFonts w:ascii="Calibri" w:hAnsi="Calibri" w:cs="Arial"/>
        <w:color w:val="808080"/>
        <w:sz w:val="16"/>
        <w:szCs w:val="16"/>
      </w:rPr>
    </w:pPr>
    <w:r w:rsidRPr="00F94088">
      <w:rPr>
        <w:rFonts w:ascii="Calibri" w:hAnsi="Calibri" w:cs="Arial"/>
        <w:color w:val="808080"/>
        <w:sz w:val="16"/>
        <w:szCs w:val="16"/>
      </w:rPr>
      <w:fldChar w:fldCharType="begin"/>
    </w:r>
    <w:r w:rsidRPr="00F94088">
      <w:rPr>
        <w:rFonts w:ascii="Calibri" w:hAnsi="Calibri" w:cs="Arial"/>
        <w:color w:val="808080"/>
        <w:sz w:val="16"/>
        <w:szCs w:val="16"/>
      </w:rPr>
      <w:instrText xml:space="preserve"> PAGE   \* MERGEFORMAT </w:instrText>
    </w:r>
    <w:r w:rsidRPr="00F94088">
      <w:rPr>
        <w:rFonts w:ascii="Calibri" w:hAnsi="Calibri" w:cs="Arial"/>
        <w:color w:val="808080"/>
        <w:sz w:val="16"/>
        <w:szCs w:val="16"/>
      </w:rPr>
      <w:fldChar w:fldCharType="separate"/>
    </w:r>
    <w:r w:rsidR="006F6048">
      <w:rPr>
        <w:rFonts w:ascii="Calibri" w:hAnsi="Calibri" w:cs="Arial"/>
        <w:noProof/>
        <w:color w:val="808080"/>
        <w:sz w:val="16"/>
        <w:szCs w:val="16"/>
      </w:rPr>
      <w:t>1</w:t>
    </w:r>
    <w:r w:rsidRPr="00F94088">
      <w:rPr>
        <w:rFonts w:ascii="Calibri" w:hAnsi="Calibri" w:cs="Arial"/>
        <w:color w:val="808080"/>
        <w:sz w:val="16"/>
        <w:szCs w:val="16"/>
      </w:rPr>
      <w:fldChar w:fldCharType="end"/>
    </w:r>
    <w:r>
      <w:rPr>
        <w:rFonts w:ascii="Calibri" w:hAnsi="Calibri" w:cs="Arial"/>
        <w:noProof/>
        <w:color w:val="808080"/>
        <w:sz w:val="16"/>
        <w:szCs w:val="16"/>
      </w:rPr>
      <w:softHyphen/>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2B5C" w14:textId="77777777" w:rsidR="009039E0" w:rsidRPr="00C41C17" w:rsidRDefault="009039E0" w:rsidP="00210C58">
    <w:pPr>
      <w:tabs>
        <w:tab w:val="center" w:pos="4153"/>
        <w:tab w:val="right" w:pos="8306"/>
      </w:tabs>
      <w:jc w:val="both"/>
      <w:rPr>
        <w:rFonts w:ascii="Calibri" w:hAnsi="Calibri" w:cs="Arial"/>
        <w:color w:val="808080"/>
        <w:sz w:val="16"/>
        <w:szCs w:val="16"/>
      </w:rPr>
    </w:pPr>
    <w:r w:rsidRPr="00C41C17">
      <w:rPr>
        <w:rFonts w:ascii="Calibri" w:hAnsi="Calibri" w:cs="Arial"/>
        <w:color w:val="808080"/>
        <w:sz w:val="16"/>
        <w:szCs w:val="16"/>
      </w:rPr>
      <w:t>2018 DES Star Ratings Methodology Advice</w:t>
    </w:r>
  </w:p>
  <w:p w14:paraId="69395C7C" w14:textId="77777777" w:rsidR="009039E0" w:rsidRPr="00F94088" w:rsidRDefault="009039E0" w:rsidP="002F515F">
    <w:pPr>
      <w:tabs>
        <w:tab w:val="center" w:pos="4153"/>
        <w:tab w:val="right" w:pos="8306"/>
      </w:tabs>
      <w:jc w:val="both"/>
      <w:rPr>
        <w:rFonts w:ascii="Calibri" w:hAnsi="Calibri" w:cs="Arial"/>
        <w:color w:val="808080"/>
        <w:sz w:val="16"/>
        <w:szCs w:val="16"/>
      </w:rPr>
    </w:pPr>
    <w:r w:rsidRPr="00F94088">
      <w:rPr>
        <w:rFonts w:ascii="Calibri" w:hAnsi="Calibri" w:cs="Arial"/>
        <w:color w:val="808080"/>
        <w:sz w:val="16"/>
        <w:szCs w:val="16"/>
      </w:rPr>
      <w:t xml:space="preserve">TRIM ID: </w:t>
    </w:r>
    <w:r>
      <w:rPr>
        <w:rFonts w:ascii="Calibri" w:hAnsi="Calibri" w:cs="Arial"/>
        <w:color w:val="808080"/>
        <w:sz w:val="16"/>
        <w:szCs w:val="16"/>
      </w:rPr>
      <w:t>D18/573731</w:t>
    </w:r>
    <w:r w:rsidRPr="00F94088">
      <w:rPr>
        <w:rFonts w:ascii="Calibri" w:hAnsi="Calibri" w:cs="Arial"/>
        <w:color w:val="808080"/>
        <w:sz w:val="16"/>
        <w:szCs w:val="16"/>
      </w:rPr>
      <w:t xml:space="preserve"> </w:t>
    </w:r>
  </w:p>
  <w:p w14:paraId="589DE8D2" w14:textId="77777777" w:rsidR="009039E0" w:rsidRPr="00F94088" w:rsidRDefault="009039E0" w:rsidP="002F515F">
    <w:pPr>
      <w:tabs>
        <w:tab w:val="center" w:pos="4153"/>
        <w:tab w:val="right" w:pos="8306"/>
      </w:tabs>
      <w:jc w:val="both"/>
      <w:rPr>
        <w:rFonts w:ascii="Calibri" w:hAnsi="Calibri" w:cs="Arial"/>
        <w:color w:val="808080"/>
        <w:sz w:val="16"/>
        <w:szCs w:val="16"/>
      </w:rPr>
    </w:pPr>
    <w:r w:rsidRPr="00F94088">
      <w:rPr>
        <w:rFonts w:ascii="Calibri" w:hAnsi="Calibri" w:cs="Arial"/>
        <w:color w:val="808080"/>
        <w:sz w:val="16"/>
        <w:szCs w:val="16"/>
      </w:rPr>
      <w:t>Arc Record Number: D18/</w:t>
    </w:r>
    <w:r>
      <w:rPr>
        <w:rFonts w:ascii="Calibri" w:hAnsi="Calibri" w:cs="Arial"/>
        <w:color w:val="808080"/>
        <w:sz w:val="16"/>
        <w:szCs w:val="16"/>
      </w:rPr>
      <w:t>798251</w:t>
    </w:r>
  </w:p>
  <w:p w14:paraId="3CF9B015" w14:textId="77777777" w:rsidR="009039E0" w:rsidRPr="00F94088" w:rsidRDefault="009039E0" w:rsidP="00210C58">
    <w:pPr>
      <w:tabs>
        <w:tab w:val="center" w:pos="4153"/>
        <w:tab w:val="right" w:pos="8306"/>
      </w:tabs>
      <w:jc w:val="right"/>
      <w:rPr>
        <w:rFonts w:ascii="Calibri" w:hAnsi="Calibri" w:cs="Arial"/>
        <w:color w:val="808080"/>
        <w:sz w:val="16"/>
        <w:szCs w:val="16"/>
      </w:rPr>
    </w:pPr>
    <w:r w:rsidRPr="00C41C17">
      <w:rPr>
        <w:rFonts w:ascii="Calibri" w:hAnsi="Calibri" w:cs="Arial"/>
        <w:color w:val="808080"/>
        <w:sz w:val="16"/>
        <w:szCs w:val="16"/>
      </w:rPr>
      <w:t xml:space="preserve">Effective Date: </w:t>
    </w:r>
    <w:r>
      <w:rPr>
        <w:rFonts w:ascii="Calibri" w:hAnsi="Calibri" w:cs="Arial"/>
        <w:color w:val="808080"/>
        <w:sz w:val="16"/>
        <w:szCs w:val="16"/>
      </w:rPr>
      <w:t>17 August 2020</w:t>
    </w:r>
  </w:p>
  <w:p w14:paraId="51E4EFC4" w14:textId="328A768D" w:rsidR="009039E0" w:rsidRPr="00210C58" w:rsidRDefault="009039E0" w:rsidP="00210C58">
    <w:pPr>
      <w:tabs>
        <w:tab w:val="center" w:pos="4153"/>
        <w:tab w:val="right" w:pos="8306"/>
      </w:tabs>
      <w:jc w:val="center"/>
      <w:rPr>
        <w:rFonts w:ascii="Calibri" w:hAnsi="Calibri" w:cs="Arial"/>
        <w:color w:val="808080"/>
        <w:sz w:val="16"/>
        <w:szCs w:val="16"/>
      </w:rPr>
    </w:pPr>
    <w:r w:rsidRPr="00F94088">
      <w:rPr>
        <w:rFonts w:ascii="Calibri" w:hAnsi="Calibri" w:cs="Arial"/>
        <w:color w:val="808080"/>
        <w:sz w:val="16"/>
        <w:szCs w:val="16"/>
      </w:rPr>
      <w:fldChar w:fldCharType="begin"/>
    </w:r>
    <w:r w:rsidRPr="00F94088">
      <w:rPr>
        <w:rFonts w:ascii="Calibri" w:hAnsi="Calibri" w:cs="Arial"/>
        <w:color w:val="808080"/>
        <w:sz w:val="16"/>
        <w:szCs w:val="16"/>
      </w:rPr>
      <w:instrText xml:space="preserve"> PAGE   \* MERGEFORMAT </w:instrText>
    </w:r>
    <w:r w:rsidRPr="00F94088">
      <w:rPr>
        <w:rFonts w:ascii="Calibri" w:hAnsi="Calibri" w:cs="Arial"/>
        <w:color w:val="808080"/>
        <w:sz w:val="16"/>
        <w:szCs w:val="16"/>
      </w:rPr>
      <w:fldChar w:fldCharType="separate"/>
    </w:r>
    <w:r w:rsidR="000E2F96">
      <w:rPr>
        <w:rFonts w:ascii="Calibri" w:hAnsi="Calibri" w:cs="Arial"/>
        <w:noProof/>
        <w:color w:val="808080"/>
        <w:sz w:val="16"/>
        <w:szCs w:val="16"/>
      </w:rPr>
      <w:t>36</w:t>
    </w:r>
    <w:r w:rsidRPr="00F94088">
      <w:rPr>
        <w:rFonts w:ascii="Calibri" w:hAnsi="Calibri"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916B" w14:textId="77777777" w:rsidR="009039E0" w:rsidRDefault="009039E0" w:rsidP="00AB6135">
      <w:r>
        <w:separator/>
      </w:r>
    </w:p>
    <w:p w14:paraId="05588500" w14:textId="77777777" w:rsidR="009039E0" w:rsidRDefault="009039E0"/>
    <w:p w14:paraId="2FF2FD49" w14:textId="77777777" w:rsidR="009039E0" w:rsidRDefault="009039E0" w:rsidP="00EE70F5"/>
  </w:footnote>
  <w:footnote w:type="continuationSeparator" w:id="0">
    <w:p w14:paraId="448F6D29" w14:textId="77777777" w:rsidR="009039E0" w:rsidRDefault="009039E0" w:rsidP="00AB6135">
      <w:r>
        <w:continuationSeparator/>
      </w:r>
    </w:p>
    <w:p w14:paraId="4D5B8E84" w14:textId="77777777" w:rsidR="009039E0" w:rsidRDefault="009039E0"/>
    <w:p w14:paraId="4C7748E0" w14:textId="77777777" w:rsidR="009039E0" w:rsidRDefault="009039E0" w:rsidP="00EE70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3765" w14:textId="77777777" w:rsidR="009039E0" w:rsidRDefault="009039E0"/>
  <w:p w14:paraId="01720925" w14:textId="77777777" w:rsidR="009039E0" w:rsidRDefault="009039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82F7" w14:textId="77777777" w:rsidR="009039E0" w:rsidRDefault="009039E0"/>
  <w:p w14:paraId="52EEFC68" w14:textId="77777777" w:rsidR="009039E0" w:rsidRDefault="009039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91A3" w14:textId="77777777" w:rsidR="009039E0" w:rsidRDefault="0090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6C7"/>
    <w:multiLevelType w:val="hybridMultilevel"/>
    <w:tmpl w:val="C1322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B6B15"/>
    <w:multiLevelType w:val="hybridMultilevel"/>
    <w:tmpl w:val="8084B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66AF"/>
    <w:multiLevelType w:val="hybridMultilevel"/>
    <w:tmpl w:val="4EAA5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3614D"/>
    <w:multiLevelType w:val="hybridMultilevel"/>
    <w:tmpl w:val="3940DA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6570A"/>
    <w:multiLevelType w:val="hybridMultilevel"/>
    <w:tmpl w:val="3F0C00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873F3"/>
    <w:multiLevelType w:val="hybridMultilevel"/>
    <w:tmpl w:val="0A5CDC0C"/>
    <w:lvl w:ilvl="0" w:tplc="47200B0C">
      <w:start w:val="1"/>
      <w:numFmt w:val="bullet"/>
      <w:lvlText w:val=""/>
      <w:lvlJc w:val="left"/>
      <w:pPr>
        <w:tabs>
          <w:tab w:val="num" w:pos="720"/>
        </w:tabs>
        <w:ind w:left="720" w:hanging="360"/>
      </w:pPr>
      <w:rPr>
        <w:rFonts w:ascii="Symbol" w:hAnsi="Symbol" w:hint="default"/>
        <w:color w:val="auto"/>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B4D27"/>
    <w:multiLevelType w:val="hybridMultilevel"/>
    <w:tmpl w:val="0D468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4DBC"/>
    <w:multiLevelType w:val="hybridMultilevel"/>
    <w:tmpl w:val="FD86AF10"/>
    <w:lvl w:ilvl="0" w:tplc="10EEEBA0">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D5936"/>
    <w:multiLevelType w:val="hybridMultilevel"/>
    <w:tmpl w:val="73B6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44465"/>
    <w:multiLevelType w:val="hybridMultilevel"/>
    <w:tmpl w:val="EDDA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C5CF5"/>
    <w:multiLevelType w:val="hybridMultilevel"/>
    <w:tmpl w:val="EA7AF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877BF"/>
    <w:multiLevelType w:val="hybridMultilevel"/>
    <w:tmpl w:val="4EA2F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A02EB"/>
    <w:multiLevelType w:val="hybridMultilevel"/>
    <w:tmpl w:val="218A11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FCB419D"/>
    <w:multiLevelType w:val="hybridMultilevel"/>
    <w:tmpl w:val="A686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41A08"/>
    <w:multiLevelType w:val="hybridMultilevel"/>
    <w:tmpl w:val="3BF0D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6CA180B"/>
    <w:multiLevelType w:val="hybridMultilevel"/>
    <w:tmpl w:val="FF8EA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B4010"/>
    <w:multiLevelType w:val="hybridMultilevel"/>
    <w:tmpl w:val="DB5CF438"/>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7" w15:restartNumberingAfterBreak="0">
    <w:nsid w:val="3B806D56"/>
    <w:multiLevelType w:val="hybridMultilevel"/>
    <w:tmpl w:val="BAA00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E5189C"/>
    <w:multiLevelType w:val="hybridMultilevel"/>
    <w:tmpl w:val="6CE039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622CD"/>
    <w:multiLevelType w:val="hybridMultilevel"/>
    <w:tmpl w:val="57560ED2"/>
    <w:lvl w:ilvl="0" w:tplc="87F680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5C3356"/>
    <w:multiLevelType w:val="hybridMultilevel"/>
    <w:tmpl w:val="32403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52898"/>
    <w:multiLevelType w:val="hybridMultilevel"/>
    <w:tmpl w:val="20FCE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5570A"/>
    <w:multiLevelType w:val="hybridMultilevel"/>
    <w:tmpl w:val="E1A4D04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5986390F"/>
    <w:multiLevelType w:val="hybridMultilevel"/>
    <w:tmpl w:val="6A804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25155"/>
    <w:multiLevelType w:val="hybridMultilevel"/>
    <w:tmpl w:val="F3721D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1E2389"/>
    <w:multiLevelType w:val="hybridMultilevel"/>
    <w:tmpl w:val="09706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24D0F"/>
    <w:multiLevelType w:val="hybridMultilevel"/>
    <w:tmpl w:val="FF18D3D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6E6160"/>
    <w:multiLevelType w:val="hybridMultilevel"/>
    <w:tmpl w:val="D8F82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84888"/>
    <w:multiLevelType w:val="hybridMultilevel"/>
    <w:tmpl w:val="8990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B57374"/>
    <w:multiLevelType w:val="hybridMultilevel"/>
    <w:tmpl w:val="115A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95B2B"/>
    <w:multiLevelType w:val="hybridMultilevel"/>
    <w:tmpl w:val="BAE468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276EB"/>
    <w:multiLevelType w:val="hybridMultilevel"/>
    <w:tmpl w:val="CE3A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75991"/>
    <w:multiLevelType w:val="hybridMultilevel"/>
    <w:tmpl w:val="D6D64A80"/>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BF56351"/>
    <w:multiLevelType w:val="hybridMultilevel"/>
    <w:tmpl w:val="832CAEDA"/>
    <w:lvl w:ilvl="0" w:tplc="1F4A9BDA">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5F3894"/>
    <w:multiLevelType w:val="hybridMultilevel"/>
    <w:tmpl w:val="88F219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E1D1999"/>
    <w:multiLevelType w:val="hybridMultilevel"/>
    <w:tmpl w:val="86BC3D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6846B3"/>
    <w:multiLevelType w:val="multilevel"/>
    <w:tmpl w:val="F916824C"/>
    <w:lvl w:ilvl="0">
      <w:start w:val="1"/>
      <w:numFmt w:val="decimal"/>
      <w:lvlText w:val="%1"/>
      <w:lvlJc w:val="left"/>
      <w:pPr>
        <w:ind w:left="375" w:hanging="375"/>
      </w:pPr>
      <w:rPr>
        <w:rFonts w:ascii="Calibri" w:hAnsi="Calibri" w:hint="default"/>
      </w:rPr>
    </w:lvl>
    <w:lvl w:ilvl="1">
      <w:start w:val="50"/>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720" w:hanging="72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080" w:hanging="108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37" w15:restartNumberingAfterBreak="0">
    <w:nsid w:val="71354308"/>
    <w:multiLevelType w:val="hybridMultilevel"/>
    <w:tmpl w:val="7636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B2199D"/>
    <w:multiLevelType w:val="hybridMultilevel"/>
    <w:tmpl w:val="989E51A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9" w15:restartNumberingAfterBreak="0">
    <w:nsid w:val="791446B3"/>
    <w:multiLevelType w:val="hybridMultilevel"/>
    <w:tmpl w:val="12583618"/>
    <w:lvl w:ilvl="0" w:tplc="CEF401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AEB5303"/>
    <w:multiLevelType w:val="hybridMultilevel"/>
    <w:tmpl w:val="FE66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1E3B0C"/>
    <w:multiLevelType w:val="hybridMultilevel"/>
    <w:tmpl w:val="FC5ABF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35385D"/>
    <w:multiLevelType w:val="hybridMultilevel"/>
    <w:tmpl w:val="6C846316"/>
    <w:lvl w:ilvl="0" w:tplc="BEFC5EA2">
      <w:start w:val="1"/>
      <w:numFmt w:val="lowerLetter"/>
      <w:lvlText w:val="%1)"/>
      <w:lvlJc w:val="left"/>
      <w:pPr>
        <w:ind w:left="720" w:hanging="360"/>
      </w:pPr>
      <w:rPr>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77523C"/>
    <w:multiLevelType w:val="hybridMultilevel"/>
    <w:tmpl w:val="3D38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4"/>
  </w:num>
  <w:num w:numId="4">
    <w:abstractNumId w:val="9"/>
  </w:num>
  <w:num w:numId="5">
    <w:abstractNumId w:val="43"/>
  </w:num>
  <w:num w:numId="6">
    <w:abstractNumId w:val="1"/>
  </w:num>
  <w:num w:numId="7">
    <w:abstractNumId w:val="0"/>
  </w:num>
  <w:num w:numId="8">
    <w:abstractNumId w:val="20"/>
  </w:num>
  <w:num w:numId="9">
    <w:abstractNumId w:val="6"/>
  </w:num>
  <w:num w:numId="10">
    <w:abstractNumId w:val="21"/>
  </w:num>
  <w:num w:numId="11">
    <w:abstractNumId w:val="29"/>
  </w:num>
  <w:num w:numId="12">
    <w:abstractNumId w:val="25"/>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5"/>
  </w:num>
  <w:num w:numId="18">
    <w:abstractNumId w:val="4"/>
  </w:num>
  <w:num w:numId="19">
    <w:abstractNumId w:val="41"/>
  </w:num>
  <w:num w:numId="20">
    <w:abstractNumId w:val="3"/>
  </w:num>
  <w:num w:numId="21">
    <w:abstractNumId w:val="32"/>
  </w:num>
  <w:num w:numId="22">
    <w:abstractNumId w:val="40"/>
  </w:num>
  <w:num w:numId="23">
    <w:abstractNumId w:val="5"/>
  </w:num>
  <w:num w:numId="24">
    <w:abstractNumId w:val="39"/>
  </w:num>
  <w:num w:numId="25">
    <w:abstractNumId w:val="15"/>
  </w:num>
  <w:num w:numId="26">
    <w:abstractNumId w:val="11"/>
  </w:num>
  <w:num w:numId="27">
    <w:abstractNumId w:val="42"/>
  </w:num>
  <w:num w:numId="28">
    <w:abstractNumId w:val="36"/>
  </w:num>
  <w:num w:numId="29">
    <w:abstractNumId w:val="31"/>
  </w:num>
  <w:num w:numId="30">
    <w:abstractNumId w:val="18"/>
  </w:num>
  <w:num w:numId="31">
    <w:abstractNumId w:val="38"/>
  </w:num>
  <w:num w:numId="32">
    <w:abstractNumId w:val="19"/>
  </w:num>
  <w:num w:numId="33">
    <w:abstractNumId w:val="2"/>
  </w:num>
  <w:num w:numId="34">
    <w:abstractNumId w:val="17"/>
  </w:num>
  <w:num w:numId="35">
    <w:abstractNumId w:val="34"/>
  </w:num>
  <w:num w:numId="36">
    <w:abstractNumId w:val="13"/>
  </w:num>
  <w:num w:numId="37">
    <w:abstractNumId w:val="37"/>
  </w:num>
  <w:num w:numId="38">
    <w:abstractNumId w:val="24"/>
  </w:num>
  <w:num w:numId="39">
    <w:abstractNumId w:val="16"/>
  </w:num>
  <w:num w:numId="40">
    <w:abstractNumId w:val="33"/>
  </w:num>
  <w:num w:numId="41">
    <w:abstractNumId w:val="10"/>
  </w:num>
  <w:num w:numId="42">
    <w:abstractNumId w:val="7"/>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0053E5"/>
    <w:rsid w:val="00011CBE"/>
    <w:rsid w:val="00011F4B"/>
    <w:rsid w:val="000129D0"/>
    <w:rsid w:val="00017F2C"/>
    <w:rsid w:val="000202C2"/>
    <w:rsid w:val="000239ED"/>
    <w:rsid w:val="00030254"/>
    <w:rsid w:val="00040EAF"/>
    <w:rsid w:val="000412D4"/>
    <w:rsid w:val="00047C74"/>
    <w:rsid w:val="000565F5"/>
    <w:rsid w:val="00060458"/>
    <w:rsid w:val="000613A0"/>
    <w:rsid w:val="00070E4F"/>
    <w:rsid w:val="000719F0"/>
    <w:rsid w:val="00081487"/>
    <w:rsid w:val="0008249E"/>
    <w:rsid w:val="00085D35"/>
    <w:rsid w:val="00086196"/>
    <w:rsid w:val="000874D9"/>
    <w:rsid w:val="000951A8"/>
    <w:rsid w:val="000958DF"/>
    <w:rsid w:val="000A40B2"/>
    <w:rsid w:val="000B52DE"/>
    <w:rsid w:val="000B6FC6"/>
    <w:rsid w:val="000C37BA"/>
    <w:rsid w:val="000D402F"/>
    <w:rsid w:val="000E0DD5"/>
    <w:rsid w:val="000E2F96"/>
    <w:rsid w:val="000E6386"/>
    <w:rsid w:val="000F2CBC"/>
    <w:rsid w:val="000F3130"/>
    <w:rsid w:val="000F4AEE"/>
    <w:rsid w:val="000F5260"/>
    <w:rsid w:val="000F60EE"/>
    <w:rsid w:val="00102FAF"/>
    <w:rsid w:val="001105BC"/>
    <w:rsid w:val="00110A81"/>
    <w:rsid w:val="001164FB"/>
    <w:rsid w:val="001255A0"/>
    <w:rsid w:val="001258F6"/>
    <w:rsid w:val="00127495"/>
    <w:rsid w:val="001312A7"/>
    <w:rsid w:val="00134C2E"/>
    <w:rsid w:val="00134E42"/>
    <w:rsid w:val="00151113"/>
    <w:rsid w:val="00152B4F"/>
    <w:rsid w:val="0015381A"/>
    <w:rsid w:val="00160291"/>
    <w:rsid w:val="00160509"/>
    <w:rsid w:val="00162C67"/>
    <w:rsid w:val="001721D2"/>
    <w:rsid w:val="00176AC1"/>
    <w:rsid w:val="00185A97"/>
    <w:rsid w:val="001869BB"/>
    <w:rsid w:val="00186FFF"/>
    <w:rsid w:val="00196C8C"/>
    <w:rsid w:val="001A1BC9"/>
    <w:rsid w:val="001A1F43"/>
    <w:rsid w:val="001A33C5"/>
    <w:rsid w:val="001A43C7"/>
    <w:rsid w:val="001A50F7"/>
    <w:rsid w:val="001B000E"/>
    <w:rsid w:val="001B5528"/>
    <w:rsid w:val="001B606A"/>
    <w:rsid w:val="001B7251"/>
    <w:rsid w:val="001C55CE"/>
    <w:rsid w:val="001C7241"/>
    <w:rsid w:val="001D1A3E"/>
    <w:rsid w:val="001D5E14"/>
    <w:rsid w:val="001D7732"/>
    <w:rsid w:val="001E57F1"/>
    <w:rsid w:val="001F1882"/>
    <w:rsid w:val="001F3ECA"/>
    <w:rsid w:val="001F6918"/>
    <w:rsid w:val="002006D6"/>
    <w:rsid w:val="00200AB6"/>
    <w:rsid w:val="00205158"/>
    <w:rsid w:val="0020739C"/>
    <w:rsid w:val="00210C58"/>
    <w:rsid w:val="00216BDC"/>
    <w:rsid w:val="00220DD3"/>
    <w:rsid w:val="00227A63"/>
    <w:rsid w:val="00227F5C"/>
    <w:rsid w:val="00234F71"/>
    <w:rsid w:val="002404B7"/>
    <w:rsid w:val="002412CF"/>
    <w:rsid w:val="002430A9"/>
    <w:rsid w:val="00260915"/>
    <w:rsid w:val="0028046E"/>
    <w:rsid w:val="0028135C"/>
    <w:rsid w:val="00287380"/>
    <w:rsid w:val="002901F9"/>
    <w:rsid w:val="00291BDF"/>
    <w:rsid w:val="00293E42"/>
    <w:rsid w:val="002A0EF5"/>
    <w:rsid w:val="002B0754"/>
    <w:rsid w:val="002B41D0"/>
    <w:rsid w:val="002B47AA"/>
    <w:rsid w:val="002B70C4"/>
    <w:rsid w:val="002C1D31"/>
    <w:rsid w:val="002D6229"/>
    <w:rsid w:val="002E022A"/>
    <w:rsid w:val="002F28D0"/>
    <w:rsid w:val="002F515F"/>
    <w:rsid w:val="002F5802"/>
    <w:rsid w:val="003042AA"/>
    <w:rsid w:val="00304EFF"/>
    <w:rsid w:val="00317F06"/>
    <w:rsid w:val="00323C77"/>
    <w:rsid w:val="00331BC0"/>
    <w:rsid w:val="003334B0"/>
    <w:rsid w:val="003402BC"/>
    <w:rsid w:val="003446CF"/>
    <w:rsid w:val="0035067B"/>
    <w:rsid w:val="003510BE"/>
    <w:rsid w:val="0035501C"/>
    <w:rsid w:val="00355878"/>
    <w:rsid w:val="003566B4"/>
    <w:rsid w:val="003707FC"/>
    <w:rsid w:val="00373B0D"/>
    <w:rsid w:val="003766E6"/>
    <w:rsid w:val="00382361"/>
    <w:rsid w:val="0039382C"/>
    <w:rsid w:val="003A2F93"/>
    <w:rsid w:val="003A7607"/>
    <w:rsid w:val="003B0158"/>
    <w:rsid w:val="003B2732"/>
    <w:rsid w:val="003B2A23"/>
    <w:rsid w:val="003B2AB0"/>
    <w:rsid w:val="003B4401"/>
    <w:rsid w:val="003B7A6C"/>
    <w:rsid w:val="003C101C"/>
    <w:rsid w:val="003C2A08"/>
    <w:rsid w:val="003C69B4"/>
    <w:rsid w:val="003C7837"/>
    <w:rsid w:val="003C7E22"/>
    <w:rsid w:val="003D6A45"/>
    <w:rsid w:val="00410EAE"/>
    <w:rsid w:val="00413F2D"/>
    <w:rsid w:val="00423655"/>
    <w:rsid w:val="00435F82"/>
    <w:rsid w:val="00437484"/>
    <w:rsid w:val="0044730C"/>
    <w:rsid w:val="004502C4"/>
    <w:rsid w:val="00450D98"/>
    <w:rsid w:val="00460EFB"/>
    <w:rsid w:val="004613DE"/>
    <w:rsid w:val="0046758F"/>
    <w:rsid w:val="00474916"/>
    <w:rsid w:val="0048546F"/>
    <w:rsid w:val="004A23AB"/>
    <w:rsid w:val="004B3803"/>
    <w:rsid w:val="004B4EAC"/>
    <w:rsid w:val="004B7305"/>
    <w:rsid w:val="004D5328"/>
    <w:rsid w:val="004D780F"/>
    <w:rsid w:val="004E519B"/>
    <w:rsid w:val="004F08ED"/>
    <w:rsid w:val="004F56BD"/>
    <w:rsid w:val="0050416C"/>
    <w:rsid w:val="00506022"/>
    <w:rsid w:val="005075B7"/>
    <w:rsid w:val="005135AB"/>
    <w:rsid w:val="00515ABC"/>
    <w:rsid w:val="00517A1E"/>
    <w:rsid w:val="00521EEE"/>
    <w:rsid w:val="005234F1"/>
    <w:rsid w:val="00544A1B"/>
    <w:rsid w:val="00545F36"/>
    <w:rsid w:val="00547F20"/>
    <w:rsid w:val="005514DD"/>
    <w:rsid w:val="005543EB"/>
    <w:rsid w:val="0056299B"/>
    <w:rsid w:val="00563E26"/>
    <w:rsid w:val="00564A84"/>
    <w:rsid w:val="00572802"/>
    <w:rsid w:val="00573889"/>
    <w:rsid w:val="00573A1F"/>
    <w:rsid w:val="0058278B"/>
    <w:rsid w:val="00583D7C"/>
    <w:rsid w:val="00586F40"/>
    <w:rsid w:val="00590228"/>
    <w:rsid w:val="0059341F"/>
    <w:rsid w:val="00595DCC"/>
    <w:rsid w:val="005A613E"/>
    <w:rsid w:val="005A68F9"/>
    <w:rsid w:val="005C0F60"/>
    <w:rsid w:val="005D08D7"/>
    <w:rsid w:val="005D50B7"/>
    <w:rsid w:val="005E178D"/>
    <w:rsid w:val="005E4B46"/>
    <w:rsid w:val="005F038A"/>
    <w:rsid w:val="005F16FA"/>
    <w:rsid w:val="005F1CC9"/>
    <w:rsid w:val="005F38EA"/>
    <w:rsid w:val="005F4921"/>
    <w:rsid w:val="00606DE4"/>
    <w:rsid w:val="0060781B"/>
    <w:rsid w:val="00613A9A"/>
    <w:rsid w:val="00621C64"/>
    <w:rsid w:val="006320B3"/>
    <w:rsid w:val="00641C8B"/>
    <w:rsid w:val="00643C75"/>
    <w:rsid w:val="00650B94"/>
    <w:rsid w:val="0066384E"/>
    <w:rsid w:val="00670589"/>
    <w:rsid w:val="00672891"/>
    <w:rsid w:val="00672EC7"/>
    <w:rsid w:val="00675088"/>
    <w:rsid w:val="006823FB"/>
    <w:rsid w:val="00685F45"/>
    <w:rsid w:val="00694B35"/>
    <w:rsid w:val="0069755A"/>
    <w:rsid w:val="006A19FC"/>
    <w:rsid w:val="006A2ABA"/>
    <w:rsid w:val="006A3BEF"/>
    <w:rsid w:val="006B3912"/>
    <w:rsid w:val="006B5DB5"/>
    <w:rsid w:val="006C1670"/>
    <w:rsid w:val="006C2AB4"/>
    <w:rsid w:val="006C53E7"/>
    <w:rsid w:val="006D3E99"/>
    <w:rsid w:val="006D4DD5"/>
    <w:rsid w:val="006D6CD2"/>
    <w:rsid w:val="006E2A1D"/>
    <w:rsid w:val="006F6048"/>
    <w:rsid w:val="00703281"/>
    <w:rsid w:val="0070604D"/>
    <w:rsid w:val="007114D1"/>
    <w:rsid w:val="00723365"/>
    <w:rsid w:val="0072398B"/>
    <w:rsid w:val="00723EFC"/>
    <w:rsid w:val="00733476"/>
    <w:rsid w:val="00734CAF"/>
    <w:rsid w:val="00735935"/>
    <w:rsid w:val="0073748F"/>
    <w:rsid w:val="007477C1"/>
    <w:rsid w:val="00747A76"/>
    <w:rsid w:val="00753AE1"/>
    <w:rsid w:val="00753F17"/>
    <w:rsid w:val="00755485"/>
    <w:rsid w:val="0075709F"/>
    <w:rsid w:val="007621D4"/>
    <w:rsid w:val="00765C56"/>
    <w:rsid w:val="007700F4"/>
    <w:rsid w:val="00772ACD"/>
    <w:rsid w:val="00776F75"/>
    <w:rsid w:val="007775A0"/>
    <w:rsid w:val="00777960"/>
    <w:rsid w:val="00793B41"/>
    <w:rsid w:val="00796FD0"/>
    <w:rsid w:val="00797498"/>
    <w:rsid w:val="007A37EA"/>
    <w:rsid w:val="007B30AE"/>
    <w:rsid w:val="007B5A43"/>
    <w:rsid w:val="007C7C77"/>
    <w:rsid w:val="007D7FDE"/>
    <w:rsid w:val="007E188C"/>
    <w:rsid w:val="007E4BB6"/>
    <w:rsid w:val="007E63F2"/>
    <w:rsid w:val="007F1B53"/>
    <w:rsid w:val="007F364C"/>
    <w:rsid w:val="007F5860"/>
    <w:rsid w:val="00803A0D"/>
    <w:rsid w:val="00807E8C"/>
    <w:rsid w:val="00813DF0"/>
    <w:rsid w:val="00820AE8"/>
    <w:rsid w:val="00821074"/>
    <w:rsid w:val="0082608F"/>
    <w:rsid w:val="00826665"/>
    <w:rsid w:val="00826F4C"/>
    <w:rsid w:val="008301EE"/>
    <w:rsid w:val="008324D1"/>
    <w:rsid w:val="008347D0"/>
    <w:rsid w:val="0084287D"/>
    <w:rsid w:val="00843DB8"/>
    <w:rsid w:val="00843E58"/>
    <w:rsid w:val="008442A2"/>
    <w:rsid w:val="00856A19"/>
    <w:rsid w:val="00856C97"/>
    <w:rsid w:val="00863A8B"/>
    <w:rsid w:val="00866FAB"/>
    <w:rsid w:val="00881169"/>
    <w:rsid w:val="0088584F"/>
    <w:rsid w:val="00896CCD"/>
    <w:rsid w:val="0089757E"/>
    <w:rsid w:val="008A5A36"/>
    <w:rsid w:val="008B731A"/>
    <w:rsid w:val="008B74A9"/>
    <w:rsid w:val="008C0E21"/>
    <w:rsid w:val="008C337F"/>
    <w:rsid w:val="008D09A4"/>
    <w:rsid w:val="008D164F"/>
    <w:rsid w:val="008D51FD"/>
    <w:rsid w:val="008E52AF"/>
    <w:rsid w:val="008E54B8"/>
    <w:rsid w:val="008E5C0C"/>
    <w:rsid w:val="008E7AE2"/>
    <w:rsid w:val="008F01C2"/>
    <w:rsid w:val="008F1AF7"/>
    <w:rsid w:val="008F22B4"/>
    <w:rsid w:val="009039E0"/>
    <w:rsid w:val="009057E8"/>
    <w:rsid w:val="009077DF"/>
    <w:rsid w:val="00911A3F"/>
    <w:rsid w:val="009177C5"/>
    <w:rsid w:val="0092290B"/>
    <w:rsid w:val="00924290"/>
    <w:rsid w:val="009314E9"/>
    <w:rsid w:val="00932284"/>
    <w:rsid w:val="00937AEF"/>
    <w:rsid w:val="00944E8D"/>
    <w:rsid w:val="0094777C"/>
    <w:rsid w:val="009534FD"/>
    <w:rsid w:val="00962584"/>
    <w:rsid w:val="00962610"/>
    <w:rsid w:val="009627EC"/>
    <w:rsid w:val="0096570C"/>
    <w:rsid w:val="009658A4"/>
    <w:rsid w:val="00973C4E"/>
    <w:rsid w:val="00973D22"/>
    <w:rsid w:val="009805B9"/>
    <w:rsid w:val="00982D66"/>
    <w:rsid w:val="009877F9"/>
    <w:rsid w:val="0099104C"/>
    <w:rsid w:val="00993F59"/>
    <w:rsid w:val="00995B4C"/>
    <w:rsid w:val="009A2732"/>
    <w:rsid w:val="009B2998"/>
    <w:rsid w:val="009C0AB5"/>
    <w:rsid w:val="009C7F3B"/>
    <w:rsid w:val="009D5925"/>
    <w:rsid w:val="009E1E94"/>
    <w:rsid w:val="009E207F"/>
    <w:rsid w:val="009E33F4"/>
    <w:rsid w:val="009E5DC6"/>
    <w:rsid w:val="009F2E39"/>
    <w:rsid w:val="009F6AA6"/>
    <w:rsid w:val="00A0028B"/>
    <w:rsid w:val="00A022B1"/>
    <w:rsid w:val="00A065E7"/>
    <w:rsid w:val="00A13CD0"/>
    <w:rsid w:val="00A21809"/>
    <w:rsid w:val="00A221B8"/>
    <w:rsid w:val="00A24D80"/>
    <w:rsid w:val="00A271D9"/>
    <w:rsid w:val="00A336A6"/>
    <w:rsid w:val="00A3487E"/>
    <w:rsid w:val="00A367AD"/>
    <w:rsid w:val="00A41EF1"/>
    <w:rsid w:val="00A43E08"/>
    <w:rsid w:val="00A52405"/>
    <w:rsid w:val="00A56FCF"/>
    <w:rsid w:val="00A63A52"/>
    <w:rsid w:val="00A64B93"/>
    <w:rsid w:val="00A66F41"/>
    <w:rsid w:val="00A7096A"/>
    <w:rsid w:val="00A70C01"/>
    <w:rsid w:val="00A724F3"/>
    <w:rsid w:val="00A77CB7"/>
    <w:rsid w:val="00A80EA6"/>
    <w:rsid w:val="00A8391F"/>
    <w:rsid w:val="00A94DF1"/>
    <w:rsid w:val="00A95142"/>
    <w:rsid w:val="00A95C3A"/>
    <w:rsid w:val="00AA3E7D"/>
    <w:rsid w:val="00AA4EBF"/>
    <w:rsid w:val="00AA6FAA"/>
    <w:rsid w:val="00AB0495"/>
    <w:rsid w:val="00AB4A06"/>
    <w:rsid w:val="00AB6135"/>
    <w:rsid w:val="00AD1620"/>
    <w:rsid w:val="00AD6A21"/>
    <w:rsid w:val="00AE24E1"/>
    <w:rsid w:val="00AF0561"/>
    <w:rsid w:val="00AF14F4"/>
    <w:rsid w:val="00AF5A2B"/>
    <w:rsid w:val="00B03F37"/>
    <w:rsid w:val="00B11142"/>
    <w:rsid w:val="00B11260"/>
    <w:rsid w:val="00B11CB9"/>
    <w:rsid w:val="00B14B71"/>
    <w:rsid w:val="00B20661"/>
    <w:rsid w:val="00B2435D"/>
    <w:rsid w:val="00B30E33"/>
    <w:rsid w:val="00B41164"/>
    <w:rsid w:val="00B41502"/>
    <w:rsid w:val="00B44459"/>
    <w:rsid w:val="00B45228"/>
    <w:rsid w:val="00B47621"/>
    <w:rsid w:val="00B51D72"/>
    <w:rsid w:val="00B56241"/>
    <w:rsid w:val="00B6413B"/>
    <w:rsid w:val="00B653FC"/>
    <w:rsid w:val="00B664F1"/>
    <w:rsid w:val="00B90070"/>
    <w:rsid w:val="00B914B4"/>
    <w:rsid w:val="00B92E78"/>
    <w:rsid w:val="00BB1396"/>
    <w:rsid w:val="00BB2D48"/>
    <w:rsid w:val="00BB4A07"/>
    <w:rsid w:val="00BC0A79"/>
    <w:rsid w:val="00BC530A"/>
    <w:rsid w:val="00BD2CA5"/>
    <w:rsid w:val="00BD7298"/>
    <w:rsid w:val="00BF11E7"/>
    <w:rsid w:val="00C023CA"/>
    <w:rsid w:val="00C02408"/>
    <w:rsid w:val="00C03A7F"/>
    <w:rsid w:val="00C13416"/>
    <w:rsid w:val="00C21A51"/>
    <w:rsid w:val="00C227F9"/>
    <w:rsid w:val="00C247CE"/>
    <w:rsid w:val="00C25F6E"/>
    <w:rsid w:val="00C37544"/>
    <w:rsid w:val="00C41C17"/>
    <w:rsid w:val="00C46C40"/>
    <w:rsid w:val="00C47E6E"/>
    <w:rsid w:val="00C539CE"/>
    <w:rsid w:val="00C555E5"/>
    <w:rsid w:val="00C608BD"/>
    <w:rsid w:val="00C6130E"/>
    <w:rsid w:val="00C81DFA"/>
    <w:rsid w:val="00C85E7E"/>
    <w:rsid w:val="00C931C4"/>
    <w:rsid w:val="00C94823"/>
    <w:rsid w:val="00C94A59"/>
    <w:rsid w:val="00CA227A"/>
    <w:rsid w:val="00CA3EB0"/>
    <w:rsid w:val="00CA720A"/>
    <w:rsid w:val="00CA76AB"/>
    <w:rsid w:val="00CB4DCA"/>
    <w:rsid w:val="00CC27A6"/>
    <w:rsid w:val="00CD09DA"/>
    <w:rsid w:val="00CD228C"/>
    <w:rsid w:val="00CD2F37"/>
    <w:rsid w:val="00CE205D"/>
    <w:rsid w:val="00CE475D"/>
    <w:rsid w:val="00CE4905"/>
    <w:rsid w:val="00CE5858"/>
    <w:rsid w:val="00CE6D66"/>
    <w:rsid w:val="00CF0342"/>
    <w:rsid w:val="00CF05D3"/>
    <w:rsid w:val="00CF1594"/>
    <w:rsid w:val="00CF756B"/>
    <w:rsid w:val="00CF7FE3"/>
    <w:rsid w:val="00D00630"/>
    <w:rsid w:val="00D0344A"/>
    <w:rsid w:val="00D05D0C"/>
    <w:rsid w:val="00D069DF"/>
    <w:rsid w:val="00D07C87"/>
    <w:rsid w:val="00D17F1B"/>
    <w:rsid w:val="00D203F3"/>
    <w:rsid w:val="00D22E97"/>
    <w:rsid w:val="00D244C7"/>
    <w:rsid w:val="00D340C2"/>
    <w:rsid w:val="00D34B77"/>
    <w:rsid w:val="00D35A5C"/>
    <w:rsid w:val="00D37F4A"/>
    <w:rsid w:val="00D43604"/>
    <w:rsid w:val="00D44BB3"/>
    <w:rsid w:val="00D44BBA"/>
    <w:rsid w:val="00D502EA"/>
    <w:rsid w:val="00D506FA"/>
    <w:rsid w:val="00D54567"/>
    <w:rsid w:val="00D54CAC"/>
    <w:rsid w:val="00D57B31"/>
    <w:rsid w:val="00D73D5A"/>
    <w:rsid w:val="00D80393"/>
    <w:rsid w:val="00D8286A"/>
    <w:rsid w:val="00D96082"/>
    <w:rsid w:val="00DA0623"/>
    <w:rsid w:val="00DA7389"/>
    <w:rsid w:val="00DB2680"/>
    <w:rsid w:val="00DC423F"/>
    <w:rsid w:val="00DD0E50"/>
    <w:rsid w:val="00DD20C7"/>
    <w:rsid w:val="00DD2811"/>
    <w:rsid w:val="00DD7783"/>
    <w:rsid w:val="00DF1189"/>
    <w:rsid w:val="00E22AA7"/>
    <w:rsid w:val="00E32170"/>
    <w:rsid w:val="00E3582C"/>
    <w:rsid w:val="00E43422"/>
    <w:rsid w:val="00E5576F"/>
    <w:rsid w:val="00E56CFB"/>
    <w:rsid w:val="00E601C0"/>
    <w:rsid w:val="00E6076A"/>
    <w:rsid w:val="00E625BB"/>
    <w:rsid w:val="00E7099F"/>
    <w:rsid w:val="00E7117C"/>
    <w:rsid w:val="00E725C6"/>
    <w:rsid w:val="00E73315"/>
    <w:rsid w:val="00E80051"/>
    <w:rsid w:val="00E82ACA"/>
    <w:rsid w:val="00E90934"/>
    <w:rsid w:val="00E95135"/>
    <w:rsid w:val="00EA2DA5"/>
    <w:rsid w:val="00EA6A4F"/>
    <w:rsid w:val="00EA7E23"/>
    <w:rsid w:val="00EB5A91"/>
    <w:rsid w:val="00EC5CDB"/>
    <w:rsid w:val="00EE140A"/>
    <w:rsid w:val="00EE31F1"/>
    <w:rsid w:val="00EE49CE"/>
    <w:rsid w:val="00EE5A73"/>
    <w:rsid w:val="00EE5EED"/>
    <w:rsid w:val="00EE6F28"/>
    <w:rsid w:val="00EE70F5"/>
    <w:rsid w:val="00EF104C"/>
    <w:rsid w:val="00EF6E98"/>
    <w:rsid w:val="00F14EF4"/>
    <w:rsid w:val="00F17357"/>
    <w:rsid w:val="00F33410"/>
    <w:rsid w:val="00F56516"/>
    <w:rsid w:val="00F56B45"/>
    <w:rsid w:val="00F60CCA"/>
    <w:rsid w:val="00F673DB"/>
    <w:rsid w:val="00F75525"/>
    <w:rsid w:val="00F835CA"/>
    <w:rsid w:val="00F84677"/>
    <w:rsid w:val="00F862DE"/>
    <w:rsid w:val="00F94088"/>
    <w:rsid w:val="00F941CB"/>
    <w:rsid w:val="00F95C00"/>
    <w:rsid w:val="00FA081A"/>
    <w:rsid w:val="00FA37F7"/>
    <w:rsid w:val="00FA3D0D"/>
    <w:rsid w:val="00FB4BFC"/>
    <w:rsid w:val="00FB51F8"/>
    <w:rsid w:val="00FB6147"/>
    <w:rsid w:val="00FC158B"/>
    <w:rsid w:val="00FD3582"/>
    <w:rsid w:val="00FF41CF"/>
    <w:rsid w:val="00FF4277"/>
    <w:rsid w:val="00FF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AF6333D"/>
  <w14:defaultImageDpi w14:val="300"/>
  <w15:docId w15:val="{B7DD6C83-1FA7-4654-9CB0-2DF61E41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F5"/>
    <w:rPr>
      <w:rFonts w:asciiTheme="majorHAnsi" w:hAnsiTheme="majorHAnsi"/>
      <w:sz w:val="22"/>
      <w:szCs w:val="24"/>
      <w:lang w:val="en-AU" w:eastAsia="en-US"/>
    </w:rPr>
  </w:style>
  <w:style w:type="paragraph" w:styleId="Heading1">
    <w:name w:val="heading 1"/>
    <w:basedOn w:val="Normal"/>
    <w:next w:val="Normal"/>
    <w:link w:val="Heading1Char"/>
    <w:uiPriority w:val="9"/>
    <w:qFormat/>
    <w:rsid w:val="00843DB8"/>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Heading3"/>
    <w:next w:val="Normal"/>
    <w:link w:val="Heading2Char"/>
    <w:uiPriority w:val="9"/>
    <w:qFormat/>
    <w:rsid w:val="001E57F1"/>
    <w:pPr>
      <w:outlineLvl w:val="1"/>
    </w:pPr>
    <w:rPr>
      <w:i w:val="0"/>
      <w:u w:val="none"/>
    </w:rPr>
  </w:style>
  <w:style w:type="paragraph" w:styleId="Heading3">
    <w:name w:val="heading 3"/>
    <w:basedOn w:val="Normal"/>
    <w:next w:val="Normal"/>
    <w:link w:val="Heading3Char"/>
    <w:uiPriority w:val="9"/>
    <w:unhideWhenUsed/>
    <w:qFormat/>
    <w:rsid w:val="0069755A"/>
    <w:pPr>
      <w:spacing w:after="240"/>
      <w:outlineLvl w:val="2"/>
    </w:pPr>
    <w:rPr>
      <w:rFonts w:ascii="Calibri" w:eastAsia="Times New Roman" w:hAnsi="Calibri" w:cs="Arial"/>
      <w:b/>
      <w:bCs/>
      <w:i/>
      <w:sz w:val="24"/>
      <w:szCs w:val="26"/>
      <w:u w:val="single"/>
      <w:lang w:eastAsia="en-AU"/>
    </w:rPr>
  </w:style>
  <w:style w:type="paragraph" w:styleId="Heading4">
    <w:name w:val="heading 4"/>
    <w:basedOn w:val="Normal"/>
    <w:next w:val="Normal"/>
    <w:link w:val="Heading4Char"/>
    <w:uiPriority w:val="9"/>
    <w:unhideWhenUsed/>
    <w:qFormat/>
    <w:rsid w:val="00F60CCA"/>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69755A"/>
    <w:pPr>
      <w:keepNext/>
      <w:keepLines/>
      <w:spacing w:before="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3487E"/>
    <w:pPr>
      <w:keepNext/>
      <w:keepLines/>
      <w:spacing w:before="4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uiPriority w:val="9"/>
    <w:rsid w:val="001E57F1"/>
    <w:rPr>
      <w:rFonts w:ascii="Calibri" w:eastAsia="Times New Roman" w:hAnsi="Calibri" w:cs="Arial"/>
      <w:b/>
      <w:bCs/>
      <w:sz w:val="24"/>
      <w:szCs w:val="26"/>
      <w:lang w:val="en-AU" w:eastAsia="en-AU"/>
    </w:rPr>
  </w:style>
  <w:style w:type="character" w:customStyle="1" w:styleId="Heading1Char">
    <w:name w:val="Heading 1 Char"/>
    <w:basedOn w:val="DefaultParagraphFont"/>
    <w:link w:val="Heading1"/>
    <w:uiPriority w:val="9"/>
    <w:rsid w:val="00843DB8"/>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69755A"/>
    <w:rPr>
      <w:rFonts w:ascii="Calibri" w:eastAsia="Times New Roman" w:hAnsi="Calibri" w:cs="Arial"/>
      <w:b/>
      <w:bCs/>
      <w:i/>
      <w:sz w:val="24"/>
      <w:szCs w:val="26"/>
      <w:u w:val="single"/>
      <w:lang w:val="en-AU" w:eastAsia="en-AU"/>
    </w:rPr>
  </w:style>
  <w:style w:type="paragraph" w:styleId="ListParagraph">
    <w:name w:val="List Paragraph"/>
    <w:aliases w:val="Recommendation,List Paragraph1,Bullet Point,List Paragraph11,L,Bullet points,Content descriptions,Bullet point,List Paragraph111,F5 List Paragraph,Dot pt,CV text,Medium Grid 1 - Accent 21,Numbered Paragraph,List Paragraph2"/>
    <w:basedOn w:val="Normal"/>
    <w:link w:val="ListParagraphChar"/>
    <w:uiPriority w:val="34"/>
    <w:qFormat/>
    <w:rsid w:val="00843DB8"/>
    <w:pPr>
      <w:ind w:left="720"/>
      <w:contextualSpacing/>
    </w:pPr>
  </w:style>
  <w:style w:type="character" w:styleId="Hyperlink">
    <w:name w:val="Hyperlink"/>
    <w:basedOn w:val="DefaultParagraphFont"/>
    <w:uiPriority w:val="99"/>
    <w:unhideWhenUsed/>
    <w:rsid w:val="00D54CAC"/>
    <w:rPr>
      <w:color w:val="0000FF" w:themeColor="hyperlink"/>
      <w:u w:val="single"/>
    </w:rPr>
  </w:style>
  <w:style w:type="character" w:styleId="CommentReference">
    <w:name w:val="annotation reference"/>
    <w:basedOn w:val="DefaultParagraphFont"/>
    <w:uiPriority w:val="99"/>
    <w:unhideWhenUsed/>
    <w:rsid w:val="00D54CAC"/>
    <w:rPr>
      <w:sz w:val="16"/>
      <w:szCs w:val="16"/>
    </w:rPr>
  </w:style>
  <w:style w:type="paragraph" w:styleId="CommentText">
    <w:name w:val="annotation text"/>
    <w:basedOn w:val="Normal"/>
    <w:link w:val="CommentTextChar"/>
    <w:uiPriority w:val="99"/>
    <w:unhideWhenUsed/>
    <w:rsid w:val="00D54CAC"/>
    <w:rPr>
      <w:sz w:val="20"/>
      <w:szCs w:val="20"/>
    </w:rPr>
  </w:style>
  <w:style w:type="character" w:customStyle="1" w:styleId="CommentTextChar">
    <w:name w:val="Comment Text Char"/>
    <w:basedOn w:val="DefaultParagraphFont"/>
    <w:link w:val="CommentText"/>
    <w:uiPriority w:val="99"/>
    <w:rsid w:val="00D54CAC"/>
    <w:rPr>
      <w:lang w:val="en-AU" w:eastAsia="en-US"/>
    </w:rPr>
  </w:style>
  <w:style w:type="paragraph" w:customStyle="1" w:styleId="TableTextCentred">
    <w:name w:val="Table Text Centred"/>
    <w:basedOn w:val="Normal"/>
    <w:rsid w:val="00D54CAC"/>
    <w:pPr>
      <w:spacing w:before="60" w:after="60"/>
      <w:contextualSpacing/>
      <w:jc w:val="center"/>
    </w:pPr>
    <w:rPr>
      <w:rFonts w:ascii="Calibri" w:eastAsia="Times New Roman" w:hAnsi="Calibri" w:cs="Arial"/>
      <w:sz w:val="20"/>
      <w:szCs w:val="20"/>
      <w:lang w:eastAsia="en-AU"/>
    </w:rPr>
  </w:style>
  <w:style w:type="paragraph" w:customStyle="1" w:styleId="TableTextRightAligned">
    <w:name w:val="Table Text Right Aligned"/>
    <w:basedOn w:val="Tabletext"/>
    <w:rsid w:val="00D54CAC"/>
    <w:pPr>
      <w:jc w:val="right"/>
    </w:pPr>
  </w:style>
  <w:style w:type="paragraph" w:customStyle="1" w:styleId="Tabletext">
    <w:name w:val="Table text"/>
    <w:basedOn w:val="Normal"/>
    <w:qFormat/>
    <w:rsid w:val="00D54CAC"/>
    <w:pPr>
      <w:autoSpaceDE w:val="0"/>
      <w:autoSpaceDN w:val="0"/>
      <w:adjustRightInd w:val="0"/>
      <w:spacing w:before="60" w:after="60"/>
      <w:contextualSpacing/>
    </w:pPr>
    <w:rPr>
      <w:rFonts w:ascii="Calibri" w:eastAsia="Times New Roman" w:hAnsi="Calibri"/>
      <w:sz w:val="20"/>
      <w:lang w:eastAsia="en-AU"/>
    </w:rPr>
  </w:style>
  <w:style w:type="paragraph" w:customStyle="1" w:styleId="TableHeadingCentred">
    <w:name w:val="Table Heading Centred"/>
    <w:basedOn w:val="Normal"/>
    <w:rsid w:val="00D54CAC"/>
    <w:pPr>
      <w:spacing w:before="60" w:after="60"/>
      <w:contextualSpacing/>
      <w:jc w:val="center"/>
    </w:pPr>
    <w:rPr>
      <w:rFonts w:ascii="Calibri" w:eastAsia="Times New Roman" w:hAnsi="Calibri" w:cs="Arial"/>
      <w:b/>
      <w:bCs/>
      <w:color w:val="FFFFFF"/>
      <w:lang w:eastAsia="en-AU"/>
    </w:rPr>
  </w:style>
  <w:style w:type="table" w:styleId="TableGrid">
    <w:name w:val="Table Grid"/>
    <w:basedOn w:val="TableNormal"/>
    <w:uiPriority w:val="39"/>
    <w:rsid w:val="00606DE4"/>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6DE4"/>
    <w:rPr>
      <w:b/>
      <w:bCs/>
    </w:rPr>
  </w:style>
  <w:style w:type="character" w:customStyle="1" w:styleId="CommentSubjectChar">
    <w:name w:val="Comment Subject Char"/>
    <w:basedOn w:val="CommentTextChar"/>
    <w:link w:val="CommentSubject"/>
    <w:uiPriority w:val="99"/>
    <w:semiHidden/>
    <w:rsid w:val="00606DE4"/>
    <w:rPr>
      <w:b/>
      <w:bCs/>
      <w:lang w:val="en-AU" w:eastAsia="en-US"/>
    </w:rPr>
  </w:style>
  <w:style w:type="paragraph" w:styleId="FootnoteText">
    <w:name w:val="footnote text"/>
    <w:basedOn w:val="Normal"/>
    <w:link w:val="FootnoteTextChar"/>
    <w:uiPriority w:val="99"/>
    <w:semiHidden/>
    <w:unhideWhenUsed/>
    <w:rsid w:val="001C55CE"/>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1C55CE"/>
    <w:rPr>
      <w:rFonts w:ascii="Arial" w:eastAsia="Times New Roman" w:hAnsi="Arial"/>
      <w:lang w:val="en-AU" w:eastAsia="en-US"/>
    </w:rPr>
  </w:style>
  <w:style w:type="character" w:styleId="FootnoteReference">
    <w:name w:val="footnote reference"/>
    <w:basedOn w:val="DefaultParagraphFont"/>
    <w:uiPriority w:val="99"/>
    <w:semiHidden/>
    <w:unhideWhenUsed/>
    <w:rsid w:val="001C55CE"/>
    <w:rPr>
      <w:vertAlign w:val="superscript"/>
    </w:rPr>
  </w:style>
  <w:style w:type="character" w:customStyle="1" w:styleId="Heading5Char">
    <w:name w:val="Heading 5 Char"/>
    <w:basedOn w:val="DefaultParagraphFont"/>
    <w:link w:val="Heading5"/>
    <w:uiPriority w:val="9"/>
    <w:rsid w:val="0069755A"/>
    <w:rPr>
      <w:rFonts w:asciiTheme="majorHAnsi" w:eastAsiaTheme="majorEastAsia" w:hAnsiTheme="majorHAnsi" w:cstheme="majorBidi"/>
      <w:b/>
      <w:sz w:val="22"/>
      <w:szCs w:val="24"/>
      <w:lang w:val="en-AU" w:eastAsia="en-US"/>
    </w:rPr>
  </w:style>
  <w:style w:type="character" w:customStyle="1" w:styleId="Heading4Char">
    <w:name w:val="Heading 4 Char"/>
    <w:basedOn w:val="DefaultParagraphFont"/>
    <w:link w:val="Heading4"/>
    <w:uiPriority w:val="9"/>
    <w:rsid w:val="00F60CCA"/>
    <w:rPr>
      <w:rFonts w:asciiTheme="majorHAnsi" w:eastAsiaTheme="majorEastAsia" w:hAnsiTheme="majorHAnsi" w:cstheme="majorBidi"/>
      <w:i/>
      <w:iCs/>
      <w:color w:val="365F91" w:themeColor="accent1" w:themeShade="BF"/>
      <w:sz w:val="24"/>
      <w:szCs w:val="24"/>
      <w:lang w:val="en-AU" w:eastAsia="en-US"/>
    </w:rPr>
  </w:style>
  <w:style w:type="paragraph" w:styleId="TableofFigures">
    <w:name w:val="table of figures"/>
    <w:basedOn w:val="Normal"/>
    <w:next w:val="Normal"/>
    <w:uiPriority w:val="99"/>
    <w:semiHidden/>
    <w:unhideWhenUsed/>
    <w:rsid w:val="008C0E21"/>
  </w:style>
  <w:style w:type="paragraph" w:customStyle="1" w:styleId="Default">
    <w:name w:val="Default"/>
    <w:link w:val="DefaultChar"/>
    <w:rsid w:val="00220DD3"/>
    <w:pPr>
      <w:autoSpaceDE w:val="0"/>
      <w:autoSpaceDN w:val="0"/>
      <w:adjustRightInd w:val="0"/>
    </w:pPr>
    <w:rPr>
      <w:rFonts w:ascii="Calibri" w:eastAsia="Times New Roman" w:hAnsi="Calibri" w:cs="Calibri"/>
      <w:color w:val="000000"/>
      <w:sz w:val="24"/>
      <w:szCs w:val="24"/>
      <w:lang w:val="en-AU" w:eastAsia="en-AU"/>
    </w:rPr>
  </w:style>
  <w:style w:type="character" w:customStyle="1" w:styleId="DefaultChar">
    <w:name w:val="Default Char"/>
    <w:basedOn w:val="DefaultParagraphFont"/>
    <w:link w:val="Default"/>
    <w:rsid w:val="00220DD3"/>
    <w:rPr>
      <w:rFonts w:ascii="Calibri" w:eastAsia="Times New Roman" w:hAnsi="Calibri" w:cs="Calibri"/>
      <w:color w:val="000000"/>
      <w:sz w:val="24"/>
      <w:szCs w:val="24"/>
      <w:lang w:val="en-AU" w:eastAsia="en-AU"/>
    </w:rPr>
  </w:style>
  <w:style w:type="character" w:styleId="FollowedHyperlink">
    <w:name w:val="FollowedHyperlink"/>
    <w:basedOn w:val="DefaultParagraphFont"/>
    <w:uiPriority w:val="99"/>
    <w:semiHidden/>
    <w:unhideWhenUsed/>
    <w:rsid w:val="0072398B"/>
    <w:rPr>
      <w:color w:val="800080" w:themeColor="followedHyperlink"/>
      <w:u w:val="single"/>
    </w:rPr>
  </w:style>
  <w:style w:type="paragraph" w:customStyle="1" w:styleId="NonTOCHeading1">
    <w:name w:val="Non TOC Heading 1"/>
    <w:basedOn w:val="Heading1"/>
    <w:link w:val="NonTOCHeading1Char"/>
    <w:qFormat/>
    <w:rsid w:val="005D50B7"/>
    <w:pPr>
      <w:pBdr>
        <w:bottom w:val="single" w:sz="8" w:space="1" w:color="009198"/>
      </w:pBdr>
      <w:spacing w:before="480" w:after="120" w:line="300" w:lineRule="auto"/>
    </w:pPr>
    <w:rPr>
      <w:rFonts w:ascii="Calibri" w:hAnsi="Calibri"/>
      <w:b/>
      <w:bCs/>
      <w:color w:val="009198"/>
      <w:sz w:val="40"/>
      <w:szCs w:val="28"/>
      <w:lang w:eastAsia="en-AU"/>
    </w:rPr>
  </w:style>
  <w:style w:type="character" w:customStyle="1" w:styleId="NonTOCHeading1Char">
    <w:name w:val="Non TOC Heading 1 Char"/>
    <w:basedOn w:val="DefaultParagraphFont"/>
    <w:link w:val="NonTOCHeading1"/>
    <w:rsid w:val="005D50B7"/>
    <w:rPr>
      <w:rFonts w:ascii="Calibri" w:eastAsiaTheme="majorEastAsia" w:hAnsi="Calibri" w:cstheme="majorBidi"/>
      <w:b/>
      <w:bCs/>
      <w:color w:val="009198"/>
      <w:sz w:val="40"/>
      <w:szCs w:val="28"/>
      <w:lang w:val="en-AU" w:eastAsia="en-AU"/>
    </w:rPr>
  </w:style>
  <w:style w:type="paragraph" w:customStyle="1" w:styleId="TableHeading">
    <w:name w:val="Table Heading"/>
    <w:basedOn w:val="NormalWeb"/>
    <w:link w:val="TableHeadingChar"/>
    <w:qFormat/>
    <w:rsid w:val="004A23AB"/>
    <w:pPr>
      <w:spacing w:before="100" w:beforeAutospacing="1" w:after="100" w:afterAutospacing="1" w:line="300" w:lineRule="auto"/>
    </w:pPr>
    <w:rPr>
      <w:rFonts w:ascii="Calibri" w:eastAsia="Times New Roman" w:hAnsi="Calibri"/>
      <w:b/>
      <w:color w:val="FFFFFF" w:themeColor="background1"/>
      <w:sz w:val="22"/>
      <w:lang w:eastAsia="en-AU"/>
    </w:rPr>
  </w:style>
  <w:style w:type="character" w:customStyle="1" w:styleId="TableHeadingChar">
    <w:name w:val="Table Heading Char"/>
    <w:basedOn w:val="DefaultParagraphFont"/>
    <w:link w:val="TableHeading"/>
    <w:rsid w:val="004A23AB"/>
    <w:rPr>
      <w:rFonts w:ascii="Calibri" w:eastAsia="Times New Roman" w:hAnsi="Calibri"/>
      <w:b/>
      <w:color w:val="FFFFFF" w:themeColor="background1"/>
      <w:sz w:val="22"/>
      <w:szCs w:val="24"/>
      <w:lang w:val="en-AU" w:eastAsia="en-AU"/>
    </w:rPr>
  </w:style>
  <w:style w:type="paragraph" w:styleId="NormalWeb">
    <w:name w:val="Normal (Web)"/>
    <w:basedOn w:val="Normal"/>
    <w:uiPriority w:val="99"/>
    <w:semiHidden/>
    <w:unhideWhenUsed/>
    <w:rsid w:val="004A23AB"/>
    <w:rPr>
      <w:rFonts w:ascii="Times New Roman" w:hAnsi="Times New Roman"/>
      <w:sz w:val="24"/>
    </w:rPr>
  </w:style>
  <w:style w:type="paragraph" w:styleId="Revision">
    <w:name w:val="Revision"/>
    <w:hidden/>
    <w:uiPriority w:val="99"/>
    <w:semiHidden/>
    <w:rsid w:val="00F14EF4"/>
    <w:rPr>
      <w:rFonts w:asciiTheme="majorHAnsi" w:hAnsiTheme="majorHAnsi"/>
      <w:sz w:val="22"/>
      <w:szCs w:val="24"/>
      <w:lang w:val="en-AU" w:eastAsia="en-US"/>
    </w:rPr>
  </w:style>
  <w:style w:type="paragraph" w:styleId="TOC1">
    <w:name w:val="toc 1"/>
    <w:basedOn w:val="Normal"/>
    <w:next w:val="Normal"/>
    <w:autoRedefine/>
    <w:uiPriority w:val="39"/>
    <w:rsid w:val="008442A2"/>
    <w:pPr>
      <w:tabs>
        <w:tab w:val="right" w:pos="8296"/>
      </w:tabs>
      <w:spacing w:before="240" w:after="120"/>
    </w:pPr>
    <w:rPr>
      <w:rFonts w:asciiTheme="minorHAnsi" w:eastAsia="Times New Roman" w:hAnsiTheme="minorHAnsi" w:cstheme="minorHAnsi"/>
      <w:b/>
      <w:bCs/>
      <w:sz w:val="20"/>
      <w:szCs w:val="20"/>
      <w:lang w:eastAsia="en-AU"/>
    </w:rPr>
  </w:style>
  <w:style w:type="paragraph" w:styleId="TOC2">
    <w:name w:val="toc 2"/>
    <w:basedOn w:val="Normal"/>
    <w:next w:val="Normal"/>
    <w:autoRedefine/>
    <w:uiPriority w:val="39"/>
    <w:rsid w:val="00D0344A"/>
    <w:pPr>
      <w:tabs>
        <w:tab w:val="right" w:pos="8296"/>
      </w:tabs>
      <w:spacing w:before="120"/>
      <w:ind w:left="220"/>
    </w:pPr>
    <w:rPr>
      <w:rFonts w:asciiTheme="minorHAnsi" w:eastAsia="Times New Roman" w:hAnsiTheme="minorHAnsi" w:cstheme="minorHAnsi"/>
      <w:i/>
      <w:iCs/>
      <w:sz w:val="20"/>
      <w:szCs w:val="20"/>
      <w:lang w:eastAsia="en-AU"/>
    </w:rPr>
  </w:style>
  <w:style w:type="paragraph" w:customStyle="1" w:styleId="Disclaimer">
    <w:name w:val="Disclaimer"/>
    <w:basedOn w:val="Normal"/>
    <w:link w:val="DisclaimerChar"/>
    <w:rsid w:val="003766E6"/>
    <w:pPr>
      <w:spacing w:before="5280"/>
    </w:pPr>
    <w:rPr>
      <w:rFonts w:ascii="Calibri" w:eastAsia="Times New Roman" w:hAnsi="Calibri"/>
      <w:sz w:val="20"/>
      <w:szCs w:val="20"/>
      <w:lang w:eastAsia="en-AU"/>
    </w:rPr>
  </w:style>
  <w:style w:type="character" w:customStyle="1" w:styleId="DisclaimerChar">
    <w:name w:val="Disclaimer Char"/>
    <w:basedOn w:val="DefaultParagraphFont"/>
    <w:link w:val="Disclaimer"/>
    <w:rsid w:val="003766E6"/>
    <w:rPr>
      <w:rFonts w:ascii="Calibri" w:eastAsia="Times New Roman" w:hAnsi="Calibri"/>
      <w:lang w:val="en-AU" w:eastAsia="en-AU"/>
    </w:rPr>
  </w:style>
  <w:style w:type="paragraph" w:styleId="TOC3">
    <w:name w:val="toc 3"/>
    <w:basedOn w:val="Normal"/>
    <w:next w:val="Normal"/>
    <w:autoRedefine/>
    <w:uiPriority w:val="39"/>
    <w:rsid w:val="003766E6"/>
    <w:pPr>
      <w:ind w:left="440"/>
    </w:pPr>
    <w:rPr>
      <w:rFonts w:asciiTheme="minorHAnsi" w:eastAsia="Times New Roman" w:hAnsiTheme="minorHAnsi" w:cstheme="minorHAnsi"/>
      <w:sz w:val="20"/>
      <w:szCs w:val="20"/>
      <w:lang w:eastAsia="en-AU"/>
    </w:rPr>
  </w:style>
  <w:style w:type="paragraph" w:customStyle="1" w:styleId="TableText0">
    <w:name w:val="Table Text"/>
    <w:basedOn w:val="Heading4"/>
    <w:qFormat/>
    <w:rsid w:val="00563E26"/>
    <w:pPr>
      <w:spacing w:before="480"/>
    </w:pPr>
    <w:rPr>
      <w:b/>
      <w:i w:val="0"/>
      <w:color w:val="auto"/>
      <w:sz w:val="24"/>
    </w:rPr>
  </w:style>
  <w:style w:type="paragraph" w:customStyle="1" w:styleId="Footercentred">
    <w:name w:val="Footer centred"/>
    <w:basedOn w:val="Footer"/>
    <w:rsid w:val="0035067B"/>
    <w:pPr>
      <w:tabs>
        <w:tab w:val="clear" w:pos="4320"/>
        <w:tab w:val="clear" w:pos="8640"/>
        <w:tab w:val="center" w:pos="4153"/>
        <w:tab w:val="right" w:pos="8306"/>
      </w:tabs>
      <w:jc w:val="center"/>
    </w:pPr>
    <w:rPr>
      <w:rFonts w:ascii="Calibri" w:eastAsia="Times New Roman" w:hAnsi="Calibri" w:cs="Arial"/>
      <w:color w:val="808080"/>
      <w:sz w:val="20"/>
      <w:szCs w:val="28"/>
    </w:rPr>
  </w:style>
  <w:style w:type="table" w:styleId="PlainTable1">
    <w:name w:val="Plain Table 1"/>
    <w:basedOn w:val="TableNormal"/>
    <w:uiPriority w:val="99"/>
    <w:rsid w:val="00F673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4B3803"/>
    <w:rPr>
      <w:sz w:val="20"/>
      <w:szCs w:val="20"/>
    </w:rPr>
  </w:style>
  <w:style w:type="character" w:customStyle="1" w:styleId="EndnoteTextChar">
    <w:name w:val="Endnote Text Char"/>
    <w:basedOn w:val="DefaultParagraphFont"/>
    <w:link w:val="EndnoteText"/>
    <w:uiPriority w:val="99"/>
    <w:semiHidden/>
    <w:rsid w:val="004B3803"/>
    <w:rPr>
      <w:rFonts w:asciiTheme="majorHAnsi" w:hAnsiTheme="majorHAnsi"/>
      <w:lang w:val="en-AU" w:eastAsia="en-US"/>
    </w:rPr>
  </w:style>
  <w:style w:type="character" w:styleId="EndnoteReference">
    <w:name w:val="endnote reference"/>
    <w:basedOn w:val="DefaultParagraphFont"/>
    <w:uiPriority w:val="99"/>
    <w:semiHidden/>
    <w:unhideWhenUsed/>
    <w:rsid w:val="004B3803"/>
    <w:rPr>
      <w:vertAlign w:val="superscript"/>
    </w:rPr>
  </w:style>
  <w:style w:type="character" w:customStyle="1" w:styleId="Heading6Char">
    <w:name w:val="Heading 6 Char"/>
    <w:basedOn w:val="DefaultParagraphFont"/>
    <w:link w:val="Heading6"/>
    <w:uiPriority w:val="9"/>
    <w:rsid w:val="00A3487E"/>
    <w:rPr>
      <w:rFonts w:asciiTheme="majorHAnsi" w:eastAsiaTheme="majorEastAsia" w:hAnsiTheme="majorHAnsi" w:cstheme="majorBidi"/>
      <w:color w:val="243F60" w:themeColor="accent1" w:themeShade="7F"/>
      <w:sz w:val="22"/>
      <w:szCs w:val="24"/>
      <w:lang w:val="en-AU" w:eastAsia="en-US"/>
    </w:rPr>
  </w:style>
  <w:style w:type="character" w:customStyle="1" w:styleId="transcript3">
    <w:name w:val="transcript3"/>
    <w:basedOn w:val="DefaultParagraphFont"/>
    <w:rsid w:val="001A43C7"/>
  </w:style>
  <w:style w:type="character" w:customStyle="1" w:styleId="ListParagraphChar">
    <w:name w:val="List Paragraph Char"/>
    <w:aliases w:val="Recommendation Char,List Paragraph1 Char,Bullet Point Char,List Paragraph11 Char,L Char,Bullet points Char,Content descriptions Char,Bullet point Char,List Paragraph111 Char,F5 List Paragraph Char,Dot pt Char,CV text Char"/>
    <w:basedOn w:val="DefaultParagraphFont"/>
    <w:link w:val="ListParagraph"/>
    <w:uiPriority w:val="34"/>
    <w:rsid w:val="007477C1"/>
    <w:rPr>
      <w:rFonts w:asciiTheme="majorHAnsi" w:hAnsiTheme="majorHAnsi"/>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150">
      <w:bodyDiv w:val="1"/>
      <w:marLeft w:val="0"/>
      <w:marRight w:val="0"/>
      <w:marTop w:val="0"/>
      <w:marBottom w:val="0"/>
      <w:divBdr>
        <w:top w:val="none" w:sz="0" w:space="0" w:color="auto"/>
        <w:left w:val="none" w:sz="0" w:space="0" w:color="auto"/>
        <w:bottom w:val="none" w:sz="0" w:space="0" w:color="auto"/>
        <w:right w:val="none" w:sz="0" w:space="0" w:color="auto"/>
      </w:divBdr>
    </w:div>
    <w:div w:id="170874814">
      <w:bodyDiv w:val="1"/>
      <w:marLeft w:val="0"/>
      <w:marRight w:val="0"/>
      <w:marTop w:val="0"/>
      <w:marBottom w:val="0"/>
      <w:divBdr>
        <w:top w:val="none" w:sz="0" w:space="0" w:color="auto"/>
        <w:left w:val="none" w:sz="0" w:space="0" w:color="auto"/>
        <w:bottom w:val="none" w:sz="0" w:space="0" w:color="auto"/>
        <w:right w:val="none" w:sz="0" w:space="0" w:color="auto"/>
      </w:divBdr>
    </w:div>
    <w:div w:id="442647995">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1163472070">
      <w:bodyDiv w:val="1"/>
      <w:marLeft w:val="0"/>
      <w:marRight w:val="0"/>
      <w:marTop w:val="0"/>
      <w:marBottom w:val="0"/>
      <w:divBdr>
        <w:top w:val="none" w:sz="0" w:space="0" w:color="auto"/>
        <w:left w:val="none" w:sz="0" w:space="0" w:color="auto"/>
        <w:bottom w:val="none" w:sz="0" w:space="0" w:color="auto"/>
        <w:right w:val="none" w:sz="0" w:space="0" w:color="auto"/>
      </w:divBdr>
    </w:div>
    <w:div w:id="1455100905">
      <w:bodyDiv w:val="1"/>
      <w:marLeft w:val="0"/>
      <w:marRight w:val="0"/>
      <w:marTop w:val="0"/>
      <w:marBottom w:val="0"/>
      <w:divBdr>
        <w:top w:val="none" w:sz="0" w:space="0" w:color="auto"/>
        <w:left w:val="none" w:sz="0" w:space="0" w:color="auto"/>
        <w:bottom w:val="none" w:sz="0" w:space="0" w:color="auto"/>
        <w:right w:val="none" w:sz="0" w:space="0" w:color="auto"/>
      </w:divBdr>
    </w:div>
    <w:div w:id="1520506056">
      <w:bodyDiv w:val="1"/>
      <w:marLeft w:val="0"/>
      <w:marRight w:val="0"/>
      <w:marTop w:val="0"/>
      <w:marBottom w:val="0"/>
      <w:divBdr>
        <w:top w:val="none" w:sz="0" w:space="0" w:color="auto"/>
        <w:left w:val="none" w:sz="0" w:space="0" w:color="auto"/>
        <w:bottom w:val="none" w:sz="0" w:space="0" w:color="auto"/>
        <w:right w:val="none" w:sz="0" w:space="0" w:color="auto"/>
      </w:divBdr>
    </w:div>
    <w:div w:id="1644312124">
      <w:bodyDiv w:val="1"/>
      <w:marLeft w:val="0"/>
      <w:marRight w:val="0"/>
      <w:marTop w:val="0"/>
      <w:marBottom w:val="0"/>
      <w:divBdr>
        <w:top w:val="none" w:sz="0" w:space="0" w:color="auto"/>
        <w:left w:val="none" w:sz="0" w:space="0" w:color="auto"/>
        <w:bottom w:val="none" w:sz="0" w:space="0" w:color="auto"/>
        <w:right w:val="none" w:sz="0" w:space="0" w:color="auto"/>
      </w:divBdr>
    </w:div>
    <w:div w:id="1811173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abs.gov.au/ausstats/abs@.nsf/mf/6291.0.55.00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jobsearch.gov.au/provider/ProviderLocation.aspx?ProviderType=DES&am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bs.gov.au/ausstats/abs@.nsf/mf/5206.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lmip.gov.au/default.aspx?LMIP/GainInsights/VacancyRepor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ata.gov.au/dataset/disability-employment-services-star-ratings" TargetMode="External"/><Relationship Id="rId5" Type="http://schemas.openxmlformats.org/officeDocument/2006/relationships/webSettings" Target="webSettings.xml"/><Relationship Id="rId15" Type="http://schemas.openxmlformats.org/officeDocument/2006/relationships/hyperlink" Target="http://lmip.gov.au/default.aspx?LMIP/GainInsights/VacancyReport" TargetMode="External"/><Relationship Id="rId23" Type="http://schemas.openxmlformats.org/officeDocument/2006/relationships/hyperlink" Target="https://www.dss.gov.au/disability-and-carers-programs-services-disability-employment-services/published-des-star-rating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dss.gov.au/freedom-of-information/operational-information/disability-employment-and-carers-group/des-quality-assessment-instructions-measure-31-individualised-job-plans-0" TargetMode="External"/><Relationship Id="rId14" Type="http://schemas.openxmlformats.org/officeDocument/2006/relationships/footer" Target="footer3.xml"/><Relationship Id="rId22" Type="http://schemas.openxmlformats.org/officeDocument/2006/relationships/hyperlink" Target="https://www.jobaccess.gov.au/find-a-provi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0522-D1D6-4AD4-A3E1-25A8B2AE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3F86D21B</Template>
  <TotalTime>0</TotalTime>
  <Pages>48</Pages>
  <Words>10751</Words>
  <Characters>61535</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D'Ambrosio</dc:creator>
  <cp:keywords/>
  <dc:description/>
  <cp:lastModifiedBy>WHITE,Ursula</cp:lastModifiedBy>
  <cp:revision>2</cp:revision>
  <cp:lastPrinted>2018-06-28T00:44:00Z</cp:lastPrinted>
  <dcterms:created xsi:type="dcterms:W3CDTF">2020-08-19T02:18:00Z</dcterms:created>
  <dcterms:modified xsi:type="dcterms:W3CDTF">2020-08-19T02:18:00Z</dcterms:modified>
</cp:coreProperties>
</file>