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B33D33" w:rsidRDefault="00A12A9A" w:rsidP="00B24420">
      <w:pPr>
        <w:pStyle w:val="Title"/>
      </w:pPr>
      <w:bookmarkStart w:id="0" w:name="_Toc391890680"/>
      <w:r w:rsidRPr="00EF0851">
        <w:br/>
      </w:r>
      <w:r w:rsidR="00786D10"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CC50A6">
        <w:rPr>
          <w:rStyle w:val="Heading1Char"/>
          <w:i/>
          <w:color w:val="auto"/>
        </w:rPr>
        <w:t>Building Bridges for Mature Jobseekers</w:t>
      </w:r>
      <w:r w:rsidRPr="008E5EB1">
        <w:rPr>
          <w:rStyle w:val="Heading1Char"/>
          <w:color w:val="auto"/>
        </w:rPr>
        <w:t xml:space="preserve"> </w:t>
      </w:r>
    </w:p>
    <w:p w:rsidR="001A39E5" w:rsidRDefault="001A39E5" w:rsidP="001A39E5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0B13BF">
        <w:rPr>
          <w:rStyle w:val="Heading1Char"/>
          <w:bCs/>
          <w:color w:val="auto"/>
          <w:kern w:val="0"/>
          <w:sz w:val="24"/>
          <w:szCs w:val="28"/>
        </w:rPr>
        <w:t xml:space="preserve">North-West </w:t>
      </w:r>
      <w:r w:rsidR="00CC50A6">
        <w:rPr>
          <w:rStyle w:val="Heading1Char"/>
          <w:bCs/>
          <w:color w:val="auto"/>
          <w:kern w:val="0"/>
          <w:sz w:val="24"/>
          <w:szCs w:val="28"/>
        </w:rPr>
        <w:t>Tasmania</w:t>
      </w:r>
      <w:r w:rsidR="00CC1AB6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</w:p>
    <w:p w:rsidR="001A39E5" w:rsidRPr="001A39E5" w:rsidRDefault="001A39E5" w:rsidP="001A39E5">
      <w:pPr>
        <w:spacing w:after="0"/>
      </w:pPr>
    </w:p>
    <w:p w:rsidR="00B32EED" w:rsidRDefault="00B32EED" w:rsidP="00B32EED">
      <w:pPr>
        <w:pStyle w:val="Heading1"/>
        <w:spacing w:before="0" w:after="0"/>
        <w:rPr>
          <w:noProof/>
        </w:rPr>
      </w:pPr>
      <w:r>
        <w:t>What are we trying to achieve?</w:t>
      </w:r>
      <w:r w:rsidRPr="0077453B">
        <w:rPr>
          <w:noProof/>
        </w:rPr>
        <w:t xml:space="preserve"> </w:t>
      </w:r>
    </w:p>
    <w:p w:rsidR="008C4B68" w:rsidRPr="001A44FB" w:rsidRDefault="00C25AD3" w:rsidP="008F2EA3">
      <w:pPr>
        <w:pStyle w:val="Heading1"/>
        <w:spacing w:before="120"/>
        <w:contextualSpacing w:val="0"/>
        <w:rPr>
          <w:rFonts w:ascii="Arial" w:hAnsi="Arial"/>
          <w:color w:val="auto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29B7" wp14:editId="19C534EA">
                <wp:simplePos x="0" y="0"/>
                <wp:positionH relativeFrom="page">
                  <wp:posOffset>5172075</wp:posOffset>
                </wp:positionH>
                <wp:positionV relativeFrom="paragraph">
                  <wp:posOffset>53975</wp:posOffset>
                </wp:positionV>
                <wp:extent cx="2059305" cy="3162300"/>
                <wp:effectExtent l="0" t="0" r="1714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162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1A44FB">
                              <w:t xml:space="preserve">Older unemployed </w:t>
                            </w:r>
                          </w:p>
                          <w:p w:rsidR="0077453B" w:rsidRDefault="00637A36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numbers: </w:t>
                            </w:r>
                            <w:r w:rsidR="001A44FB">
                              <w:t>150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1A44FB" w:rsidRPr="00395FFB">
                              <w:t>Burnie</w:t>
                            </w:r>
                            <w:r w:rsidR="00395FFB">
                              <w:t xml:space="preserve"> region</w:t>
                            </w:r>
                            <w:r w:rsidR="001A44FB">
                              <w:t>, Tasmania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862E89">
                              <w:t>24 months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1A44FB">
                              <w:t>$250,000</w:t>
                            </w:r>
                          </w:p>
                          <w:p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1A44FB">
                              <w:t>Burnie City Council</w:t>
                            </w:r>
                          </w:p>
                          <w:p w:rsidR="00862E89" w:rsidRP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C25AD3" w:rsidRPr="00C25AD3">
                              <w:t>If around one per cent of participants move off income support because of this project, the savings to the welfare system are likely to outweigh the costs of the project.</w:t>
                            </w:r>
                          </w:p>
                          <w:p w:rsidR="0077453B" w:rsidRDefault="0077453B" w:rsidP="00862E8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829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7.25pt;margin-top:4.25pt;width:162.1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1A44FB">
                        <w:t xml:space="preserve">Older unemployed </w:t>
                      </w:r>
                    </w:p>
                    <w:p w:rsidR="0077453B" w:rsidRDefault="00637A36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numbers: </w:t>
                      </w:r>
                      <w:r w:rsidR="001A44FB">
                        <w:t>150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1A44FB" w:rsidRPr="00395FFB">
                        <w:t>Burnie</w:t>
                      </w:r>
                      <w:r w:rsidR="00395FFB">
                        <w:t xml:space="preserve"> region</w:t>
                      </w:r>
                      <w:r w:rsidR="001A44FB">
                        <w:t>, Tasmania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862E89">
                        <w:t>24 months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1A44FB">
                        <w:t>$250,000</w:t>
                      </w:r>
                    </w:p>
                    <w:p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1A44FB">
                        <w:t>Burnie City Council</w:t>
                      </w:r>
                    </w:p>
                    <w:p w:rsidR="00862E89" w:rsidRP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C25AD3" w:rsidRPr="00C25AD3">
                        <w:t>If around one per cent of participants move off income support because of this project, the savings to the welfare system are likely to outweigh the costs of the project.</w:t>
                      </w:r>
                    </w:p>
                    <w:p w:rsidR="0077453B" w:rsidRDefault="0077453B" w:rsidP="00862E89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0ECF">
        <w:rPr>
          <w:rFonts w:asciiTheme="minorHAnsi" w:hAnsiTheme="minorHAnsi" w:cstheme="minorHAnsi"/>
          <w:color w:val="auto"/>
          <w:sz w:val="20"/>
          <w:szCs w:val="20"/>
        </w:rPr>
        <w:t>This project</w:t>
      </w:r>
      <w:r w:rsidR="008A0ECF" w:rsidRPr="001A44F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A0ECF">
        <w:rPr>
          <w:rFonts w:asciiTheme="minorHAnsi" w:hAnsiTheme="minorHAnsi" w:cstheme="minorHAnsi"/>
          <w:color w:val="auto"/>
          <w:sz w:val="20"/>
          <w:szCs w:val="20"/>
        </w:rPr>
        <w:t>aims to</w:t>
      </w:r>
      <w:r w:rsidR="008A0ECF" w:rsidRPr="001A44FB">
        <w:rPr>
          <w:rFonts w:asciiTheme="minorHAnsi" w:hAnsiTheme="minorHAnsi" w:cstheme="minorHAnsi"/>
          <w:color w:val="auto"/>
          <w:sz w:val="20"/>
          <w:szCs w:val="20"/>
        </w:rPr>
        <w:t xml:space="preserve"> improve employment opportunities and outcomes for </w:t>
      </w:r>
      <w:r w:rsidR="008A0ECF">
        <w:rPr>
          <w:rFonts w:asciiTheme="minorHAnsi" w:hAnsiTheme="minorHAnsi" w:cstheme="minorHAnsi"/>
          <w:color w:val="auto"/>
          <w:sz w:val="20"/>
          <w:szCs w:val="20"/>
        </w:rPr>
        <w:t xml:space="preserve">older </w:t>
      </w:r>
      <w:r w:rsidR="008A0ECF" w:rsidRPr="001A44FB">
        <w:rPr>
          <w:rFonts w:asciiTheme="minorHAnsi" w:hAnsiTheme="minorHAnsi" w:cstheme="minorHAnsi"/>
          <w:color w:val="auto"/>
          <w:sz w:val="20"/>
          <w:szCs w:val="20"/>
        </w:rPr>
        <w:t>jobseekers</w:t>
      </w:r>
      <w:r w:rsidR="008A0ECF">
        <w:rPr>
          <w:rFonts w:asciiTheme="minorHAnsi" w:hAnsiTheme="minorHAnsi" w:cstheme="minorHAnsi"/>
          <w:color w:val="auto"/>
          <w:sz w:val="20"/>
          <w:szCs w:val="20"/>
        </w:rPr>
        <w:t xml:space="preserve"> in the Burnie region </w:t>
      </w:r>
      <w:r w:rsidR="008A0ECF">
        <w:rPr>
          <w:rFonts w:ascii="Arial" w:hAnsi="Arial"/>
          <w:color w:val="auto"/>
          <w:sz w:val="20"/>
          <w:szCs w:val="22"/>
        </w:rPr>
        <w:t>by</w:t>
      </w:r>
      <w:r w:rsidR="008A357A">
        <w:rPr>
          <w:rFonts w:ascii="Arial" w:hAnsi="Arial"/>
          <w:color w:val="auto"/>
          <w:sz w:val="20"/>
          <w:szCs w:val="22"/>
        </w:rPr>
        <w:t xml:space="preserve"> </w:t>
      </w:r>
      <w:r w:rsidR="00017E8B">
        <w:rPr>
          <w:rFonts w:ascii="Arial" w:hAnsi="Arial"/>
          <w:color w:val="auto"/>
          <w:sz w:val="20"/>
          <w:szCs w:val="22"/>
        </w:rPr>
        <w:t>build</w:t>
      </w:r>
      <w:r w:rsidR="008A0ECF">
        <w:rPr>
          <w:rFonts w:ascii="Arial" w:hAnsi="Arial"/>
          <w:color w:val="auto"/>
          <w:sz w:val="20"/>
          <w:szCs w:val="22"/>
        </w:rPr>
        <w:t>ing</w:t>
      </w:r>
      <w:r w:rsidR="00017E8B">
        <w:rPr>
          <w:rFonts w:ascii="Arial" w:hAnsi="Arial"/>
          <w:color w:val="auto"/>
          <w:sz w:val="20"/>
          <w:szCs w:val="22"/>
        </w:rPr>
        <w:t xml:space="preserve"> networks</w:t>
      </w:r>
      <w:r w:rsidR="001A44FB" w:rsidRPr="001A44FB">
        <w:rPr>
          <w:rFonts w:ascii="Arial" w:hAnsi="Arial"/>
          <w:color w:val="auto"/>
          <w:sz w:val="20"/>
          <w:szCs w:val="22"/>
        </w:rPr>
        <w:t xml:space="preserve"> </w:t>
      </w:r>
      <w:r w:rsidR="008A0ECF">
        <w:rPr>
          <w:rFonts w:ascii="Arial" w:hAnsi="Arial"/>
          <w:color w:val="auto"/>
          <w:sz w:val="20"/>
          <w:szCs w:val="22"/>
        </w:rPr>
        <w:t xml:space="preserve">between participants and </w:t>
      </w:r>
      <w:r w:rsidR="00017E8B">
        <w:rPr>
          <w:rFonts w:ascii="Arial" w:hAnsi="Arial"/>
          <w:color w:val="auto"/>
          <w:sz w:val="20"/>
          <w:szCs w:val="22"/>
        </w:rPr>
        <w:t>local</w:t>
      </w:r>
      <w:r w:rsidR="001A44FB" w:rsidRPr="001A44FB">
        <w:rPr>
          <w:rFonts w:ascii="Arial" w:hAnsi="Arial"/>
          <w:color w:val="auto"/>
          <w:sz w:val="20"/>
          <w:szCs w:val="22"/>
        </w:rPr>
        <w:t xml:space="preserve"> employers</w:t>
      </w:r>
      <w:r w:rsidR="00CA6E8D">
        <w:rPr>
          <w:rFonts w:ascii="Arial" w:hAnsi="Arial"/>
          <w:color w:val="auto"/>
          <w:sz w:val="20"/>
          <w:szCs w:val="22"/>
        </w:rPr>
        <w:t xml:space="preserve"> </w:t>
      </w:r>
      <w:r w:rsidR="00CC2C20">
        <w:rPr>
          <w:rFonts w:ascii="Arial" w:hAnsi="Arial"/>
          <w:color w:val="auto"/>
          <w:sz w:val="20"/>
          <w:szCs w:val="22"/>
        </w:rPr>
        <w:t>who are looking for workers</w:t>
      </w:r>
      <w:r w:rsidR="001A44FB" w:rsidRPr="001A44FB">
        <w:rPr>
          <w:rFonts w:ascii="Arial" w:hAnsi="Arial"/>
          <w:color w:val="auto"/>
          <w:sz w:val="20"/>
          <w:szCs w:val="22"/>
        </w:rPr>
        <w:t>.</w:t>
      </w:r>
    </w:p>
    <w:p w:rsidR="008C4B68" w:rsidRDefault="008C4B68" w:rsidP="008C4B68">
      <w:pPr>
        <w:pStyle w:val="Heading1"/>
        <w:spacing w:after="0"/>
        <w:rPr>
          <w:rFonts w:ascii="Arial" w:hAnsi="Arial" w:cs="Times New Roman"/>
          <w:bCs w:val="0"/>
          <w:color w:val="auto"/>
          <w:kern w:val="0"/>
          <w:sz w:val="20"/>
          <w:szCs w:val="24"/>
        </w:rPr>
      </w:pPr>
    </w:p>
    <w:p w:rsidR="008C4B68" w:rsidRDefault="008C4B68" w:rsidP="008C4B68">
      <w:pPr>
        <w:pStyle w:val="Heading1"/>
        <w:spacing w:after="0"/>
      </w:pPr>
      <w:r>
        <w:t xml:space="preserve">What is </w:t>
      </w:r>
      <w:r w:rsidR="001A44FB">
        <w:rPr>
          <w:i/>
        </w:rPr>
        <w:t xml:space="preserve">Building Bridges for Mature Jobseekers? </w:t>
      </w:r>
    </w:p>
    <w:p w:rsidR="001A44FB" w:rsidRPr="001A44FB" w:rsidRDefault="008A0ECF" w:rsidP="008F2EA3">
      <w:pPr>
        <w:pStyle w:val="Heading1"/>
        <w:spacing w:before="120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1A44FB">
        <w:rPr>
          <w:rFonts w:ascii="Arial" w:hAnsi="Arial"/>
          <w:color w:val="auto"/>
          <w:sz w:val="20"/>
          <w:szCs w:val="22"/>
        </w:rPr>
        <w:t xml:space="preserve">This </w:t>
      </w:r>
      <w:r>
        <w:rPr>
          <w:rFonts w:ascii="Arial" w:hAnsi="Arial"/>
          <w:color w:val="auto"/>
          <w:sz w:val="20"/>
          <w:szCs w:val="22"/>
        </w:rPr>
        <w:t>place-based</w:t>
      </w:r>
      <w:r w:rsidRPr="001A44FB">
        <w:rPr>
          <w:rFonts w:ascii="Arial" w:hAnsi="Arial"/>
          <w:color w:val="auto"/>
          <w:sz w:val="20"/>
          <w:szCs w:val="22"/>
        </w:rPr>
        <w:t xml:space="preserve"> initiative </w:t>
      </w:r>
      <w:r>
        <w:rPr>
          <w:rFonts w:ascii="Arial" w:hAnsi="Arial"/>
          <w:color w:val="auto"/>
          <w:sz w:val="20"/>
          <w:szCs w:val="22"/>
        </w:rPr>
        <w:t xml:space="preserve">was </w:t>
      </w:r>
      <w:r w:rsidRPr="001A44FB">
        <w:rPr>
          <w:rFonts w:ascii="Arial" w:hAnsi="Arial"/>
          <w:color w:val="auto"/>
          <w:sz w:val="20"/>
          <w:szCs w:val="22"/>
        </w:rPr>
        <w:t xml:space="preserve">co-developed </w:t>
      </w:r>
      <w:r>
        <w:rPr>
          <w:rFonts w:ascii="Arial" w:hAnsi="Arial"/>
          <w:color w:val="auto"/>
          <w:sz w:val="20"/>
          <w:szCs w:val="22"/>
        </w:rPr>
        <w:t xml:space="preserve">with the </w:t>
      </w:r>
      <w:r w:rsidRPr="001A44FB">
        <w:rPr>
          <w:rFonts w:ascii="Arial" w:hAnsi="Arial"/>
          <w:color w:val="auto"/>
          <w:sz w:val="20"/>
          <w:szCs w:val="22"/>
        </w:rPr>
        <w:t xml:space="preserve">Burnie City Council, local </w:t>
      </w:r>
      <w:r>
        <w:rPr>
          <w:rFonts w:ascii="Arial" w:hAnsi="Arial"/>
          <w:color w:val="auto"/>
          <w:sz w:val="20"/>
          <w:szCs w:val="22"/>
        </w:rPr>
        <w:t>employers</w:t>
      </w:r>
      <w:r w:rsidRPr="001A44FB">
        <w:rPr>
          <w:rFonts w:ascii="Arial" w:hAnsi="Arial"/>
          <w:color w:val="auto"/>
          <w:sz w:val="20"/>
          <w:szCs w:val="22"/>
        </w:rPr>
        <w:t xml:space="preserve">, services and </w:t>
      </w:r>
      <w:r w:rsidR="002C5B26">
        <w:rPr>
          <w:rFonts w:ascii="Arial" w:hAnsi="Arial"/>
          <w:color w:val="auto"/>
          <w:sz w:val="20"/>
          <w:szCs w:val="22"/>
        </w:rPr>
        <w:t>older</w:t>
      </w:r>
      <w:r w:rsidRPr="001A44FB">
        <w:rPr>
          <w:rFonts w:ascii="Arial" w:hAnsi="Arial"/>
          <w:color w:val="auto"/>
          <w:sz w:val="20"/>
          <w:szCs w:val="22"/>
        </w:rPr>
        <w:t xml:space="preserve"> jobseekers</w:t>
      </w:r>
      <w:r>
        <w:rPr>
          <w:rFonts w:ascii="Arial" w:hAnsi="Arial"/>
          <w:color w:val="auto"/>
          <w:sz w:val="20"/>
          <w:szCs w:val="22"/>
        </w:rPr>
        <w:t>. It</w:t>
      </w:r>
      <w:r w:rsidRPr="001A44FB">
        <w:rPr>
          <w:rFonts w:ascii="Arial" w:hAnsi="Arial"/>
          <w:color w:val="auto"/>
          <w:sz w:val="20"/>
          <w:szCs w:val="22"/>
        </w:rPr>
        <w:t xml:space="preserve"> leverages Burnie City Council’s </w:t>
      </w:r>
      <w:r>
        <w:rPr>
          <w:rFonts w:ascii="Arial" w:hAnsi="Arial"/>
          <w:color w:val="auto"/>
          <w:sz w:val="20"/>
          <w:szCs w:val="22"/>
        </w:rPr>
        <w:t xml:space="preserve">well-developed </w:t>
      </w:r>
      <w:r w:rsidRPr="001A44FB">
        <w:rPr>
          <w:rFonts w:ascii="Arial" w:hAnsi="Arial"/>
          <w:color w:val="auto"/>
          <w:sz w:val="20"/>
          <w:szCs w:val="22"/>
        </w:rPr>
        <w:t xml:space="preserve">connections to </w:t>
      </w:r>
      <w:r>
        <w:rPr>
          <w:rFonts w:ascii="Arial" w:hAnsi="Arial"/>
          <w:color w:val="auto"/>
          <w:sz w:val="20"/>
          <w:szCs w:val="22"/>
        </w:rPr>
        <w:t>its local community.</w:t>
      </w:r>
      <w:r w:rsidR="00CC2C20">
        <w:rPr>
          <w:rFonts w:ascii="Arial" w:hAnsi="Arial"/>
          <w:color w:val="auto"/>
          <w:sz w:val="20"/>
          <w:szCs w:val="22"/>
        </w:rPr>
        <w:t xml:space="preserve"> It will deliver </w:t>
      </w:r>
      <w:r w:rsidR="001A44FB" w:rsidRPr="001A44FB">
        <w:rPr>
          <w:rFonts w:asciiTheme="minorHAnsi" w:hAnsiTheme="minorHAnsi" w:cstheme="minorHAnsi"/>
          <w:color w:val="auto"/>
          <w:sz w:val="20"/>
          <w:szCs w:val="20"/>
        </w:rPr>
        <w:t>a series of activities that:</w:t>
      </w:r>
    </w:p>
    <w:p w:rsidR="001A44FB" w:rsidRPr="001A44FB" w:rsidRDefault="00CC2C20" w:rsidP="008F2EA3">
      <w:pPr>
        <w:pStyle w:val="Heading1"/>
        <w:numPr>
          <w:ilvl w:val="0"/>
          <w:numId w:val="62"/>
        </w:numPr>
        <w:spacing w:before="120"/>
        <w:ind w:left="357" w:hanging="357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>l</w:t>
      </w:r>
      <w:r w:rsidR="001A44FB" w:rsidRPr="001A44FB">
        <w:rPr>
          <w:rFonts w:asciiTheme="minorHAnsi" w:hAnsiTheme="minorHAnsi" w:cstheme="minorHAnsi"/>
          <w:color w:val="auto"/>
          <w:sz w:val="20"/>
          <w:szCs w:val="20"/>
        </w:rPr>
        <w:t>ink</w:t>
      </w:r>
      <w:proofErr w:type="gramEnd"/>
      <w:r w:rsidR="001A44FB" w:rsidRPr="001A44FB">
        <w:rPr>
          <w:rFonts w:asciiTheme="minorHAnsi" w:hAnsiTheme="minorHAnsi" w:cstheme="minorHAnsi"/>
          <w:color w:val="auto"/>
          <w:sz w:val="20"/>
          <w:szCs w:val="20"/>
        </w:rPr>
        <w:t xml:space="preserve"> local employers with local </w:t>
      </w:r>
      <w:r w:rsidR="002C5B26">
        <w:rPr>
          <w:rFonts w:asciiTheme="minorHAnsi" w:hAnsiTheme="minorHAnsi" w:cstheme="minorHAnsi"/>
          <w:color w:val="auto"/>
          <w:sz w:val="20"/>
          <w:szCs w:val="20"/>
        </w:rPr>
        <w:t>older</w:t>
      </w:r>
      <w:r w:rsidR="001A44FB" w:rsidRPr="001A44FB">
        <w:rPr>
          <w:rFonts w:asciiTheme="minorHAnsi" w:hAnsiTheme="minorHAnsi" w:cstheme="minorHAnsi"/>
          <w:color w:val="auto"/>
          <w:sz w:val="20"/>
          <w:szCs w:val="20"/>
        </w:rPr>
        <w:t xml:space="preserve"> jobseekers through </w:t>
      </w:r>
      <w:r>
        <w:rPr>
          <w:rFonts w:asciiTheme="minorHAnsi" w:hAnsiTheme="minorHAnsi" w:cstheme="minorHAnsi"/>
          <w:color w:val="auto"/>
          <w:sz w:val="20"/>
          <w:szCs w:val="20"/>
        </w:rPr>
        <w:t>n</w:t>
      </w:r>
      <w:r w:rsidR="001A44FB" w:rsidRPr="001A44FB">
        <w:rPr>
          <w:rFonts w:asciiTheme="minorHAnsi" w:hAnsiTheme="minorHAnsi" w:cstheme="minorHAnsi"/>
          <w:color w:val="auto"/>
          <w:sz w:val="20"/>
          <w:szCs w:val="20"/>
        </w:rPr>
        <w:t>etworking events</w:t>
      </w:r>
      <w:r w:rsidR="00494119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1A44FB" w:rsidRPr="001A44F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94119">
        <w:rPr>
          <w:rFonts w:asciiTheme="minorHAnsi" w:hAnsiTheme="minorHAnsi" w:cstheme="minorHAnsi"/>
          <w:color w:val="auto"/>
          <w:sz w:val="20"/>
          <w:szCs w:val="20"/>
        </w:rPr>
        <w:t xml:space="preserve">These will involve </w:t>
      </w:r>
      <w:r w:rsidR="001A44FB" w:rsidRPr="001A44FB">
        <w:rPr>
          <w:rFonts w:asciiTheme="minorHAnsi" w:hAnsiTheme="minorHAnsi" w:cstheme="minorHAnsi"/>
          <w:color w:val="auto"/>
          <w:sz w:val="20"/>
          <w:szCs w:val="20"/>
        </w:rPr>
        <w:t>employer present</w:t>
      </w:r>
      <w:r w:rsidR="00494119">
        <w:rPr>
          <w:rFonts w:asciiTheme="minorHAnsi" w:hAnsiTheme="minorHAnsi" w:cstheme="minorHAnsi"/>
          <w:color w:val="auto"/>
          <w:sz w:val="20"/>
          <w:szCs w:val="20"/>
        </w:rPr>
        <w:t>ations,</w:t>
      </w:r>
      <w:r w:rsidR="001A44FB" w:rsidRPr="001A44FB">
        <w:rPr>
          <w:rFonts w:asciiTheme="minorHAnsi" w:hAnsiTheme="minorHAnsi" w:cstheme="minorHAnsi"/>
          <w:color w:val="auto"/>
          <w:sz w:val="20"/>
          <w:szCs w:val="20"/>
        </w:rPr>
        <w:t xml:space="preserve"> speed-interviewing </w:t>
      </w:r>
      <w:r w:rsidR="00494119">
        <w:rPr>
          <w:rFonts w:asciiTheme="minorHAnsi" w:hAnsiTheme="minorHAnsi" w:cstheme="minorHAnsi"/>
          <w:color w:val="auto"/>
          <w:sz w:val="20"/>
          <w:szCs w:val="20"/>
        </w:rPr>
        <w:t>of participants, and other networking opportunitie</w:t>
      </w:r>
      <w:r w:rsidR="001A44FB" w:rsidRPr="001A44FB">
        <w:rPr>
          <w:rFonts w:asciiTheme="minorHAnsi" w:hAnsiTheme="minorHAnsi" w:cstheme="minorHAnsi"/>
          <w:color w:val="auto"/>
          <w:sz w:val="20"/>
          <w:szCs w:val="20"/>
        </w:rPr>
        <w:t>s.</w:t>
      </w:r>
      <w:bookmarkStart w:id="1" w:name="_GoBack"/>
      <w:bookmarkEnd w:id="1"/>
    </w:p>
    <w:p w:rsidR="008924CE" w:rsidRDefault="00FA7A8D" w:rsidP="008F2EA3">
      <w:pPr>
        <w:pStyle w:val="Heading1"/>
        <w:numPr>
          <w:ilvl w:val="0"/>
          <w:numId w:val="62"/>
        </w:numPr>
        <w:spacing w:before="120"/>
        <w:ind w:left="357" w:hanging="357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725800">
        <w:rPr>
          <w:rFonts w:asciiTheme="minorHAnsi" w:hAnsiTheme="minorHAnsi" w:cstheme="minorHAnsi"/>
          <w:color w:val="auto"/>
          <w:sz w:val="20"/>
          <w:szCs w:val="20"/>
        </w:rPr>
        <w:t>connect</w:t>
      </w:r>
      <w:proofErr w:type="gramEnd"/>
      <w:r w:rsidRPr="007258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C5B26">
        <w:rPr>
          <w:rFonts w:asciiTheme="minorHAnsi" w:hAnsiTheme="minorHAnsi" w:cstheme="minorHAnsi"/>
          <w:color w:val="auto"/>
          <w:sz w:val="20"/>
          <w:szCs w:val="20"/>
        </w:rPr>
        <w:t>older</w:t>
      </w:r>
      <w:r w:rsidR="001A44FB" w:rsidRPr="00725800">
        <w:rPr>
          <w:rFonts w:asciiTheme="minorHAnsi" w:hAnsiTheme="minorHAnsi" w:cstheme="minorHAnsi"/>
          <w:color w:val="auto"/>
          <w:sz w:val="20"/>
          <w:szCs w:val="20"/>
        </w:rPr>
        <w:t xml:space="preserve"> jobseekers with </w:t>
      </w:r>
      <w:r w:rsidRPr="00725800">
        <w:rPr>
          <w:rFonts w:asciiTheme="minorHAnsi" w:hAnsiTheme="minorHAnsi" w:cstheme="minorHAnsi"/>
          <w:color w:val="auto"/>
          <w:sz w:val="20"/>
          <w:szCs w:val="20"/>
        </w:rPr>
        <w:t xml:space="preserve">other </w:t>
      </w:r>
      <w:r w:rsidR="008924CE" w:rsidRPr="00725800">
        <w:rPr>
          <w:rFonts w:asciiTheme="minorHAnsi" w:hAnsiTheme="minorHAnsi" w:cstheme="minorHAnsi"/>
          <w:color w:val="auto"/>
          <w:sz w:val="20"/>
          <w:szCs w:val="20"/>
        </w:rPr>
        <w:t xml:space="preserve">relevant </w:t>
      </w:r>
      <w:r w:rsidRPr="00725800">
        <w:rPr>
          <w:rFonts w:asciiTheme="minorHAnsi" w:hAnsiTheme="minorHAnsi" w:cstheme="minorHAnsi"/>
          <w:color w:val="auto"/>
          <w:sz w:val="20"/>
          <w:szCs w:val="20"/>
        </w:rPr>
        <w:t>local services</w:t>
      </w:r>
      <w:r w:rsidR="00FC5A2C">
        <w:rPr>
          <w:rFonts w:asciiTheme="minorHAnsi" w:hAnsiTheme="minorHAnsi" w:cstheme="minorHAnsi"/>
          <w:color w:val="auto"/>
          <w:sz w:val="20"/>
          <w:szCs w:val="20"/>
        </w:rPr>
        <w:t xml:space="preserve"> including local providers of employment services and complementary programs</w:t>
      </w:r>
      <w:r w:rsidR="001A44FB" w:rsidRPr="00725800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8F3839" w:rsidRPr="008924CE" w:rsidRDefault="008924CE" w:rsidP="008F2EA3">
      <w:pPr>
        <w:pStyle w:val="Heading1"/>
        <w:numPr>
          <w:ilvl w:val="0"/>
          <w:numId w:val="62"/>
        </w:numPr>
        <w:spacing w:before="120"/>
        <w:ind w:left="357" w:hanging="357"/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1A44FB" w:rsidRPr="008924CE">
        <w:rPr>
          <w:rFonts w:asciiTheme="minorHAnsi" w:hAnsiTheme="minorHAnsi" w:cstheme="minorHAnsi"/>
          <w:color w:val="auto"/>
          <w:sz w:val="20"/>
          <w:szCs w:val="20"/>
        </w:rPr>
        <w:t>aise</w:t>
      </w:r>
      <w:proofErr w:type="gramEnd"/>
      <w:r w:rsidR="001A44FB" w:rsidRPr="008924CE">
        <w:rPr>
          <w:rFonts w:asciiTheme="minorHAnsi" w:hAnsiTheme="minorHAnsi" w:cstheme="minorHAnsi"/>
          <w:color w:val="auto"/>
          <w:sz w:val="20"/>
          <w:szCs w:val="20"/>
        </w:rPr>
        <w:t xml:space="preserve"> community awareness of the benefits of employing </w:t>
      </w:r>
      <w:r w:rsidR="002C5B26">
        <w:rPr>
          <w:rFonts w:asciiTheme="minorHAnsi" w:hAnsiTheme="minorHAnsi" w:cstheme="minorHAnsi"/>
          <w:color w:val="auto"/>
          <w:sz w:val="20"/>
          <w:szCs w:val="20"/>
        </w:rPr>
        <w:t>older</w:t>
      </w:r>
      <w:r w:rsidR="001A44FB" w:rsidRPr="008924CE">
        <w:rPr>
          <w:rFonts w:asciiTheme="minorHAnsi" w:hAnsiTheme="minorHAnsi" w:cstheme="minorHAnsi"/>
          <w:color w:val="auto"/>
          <w:sz w:val="20"/>
          <w:szCs w:val="20"/>
        </w:rPr>
        <w:t xml:space="preserve"> jobseekers.</w:t>
      </w:r>
    </w:p>
    <w:p w:rsidR="008F3839" w:rsidRDefault="008F3839" w:rsidP="008C4B68">
      <w:pPr>
        <w:pStyle w:val="Heading1"/>
        <w:spacing w:after="0"/>
        <w:rPr>
          <w:rFonts w:ascii="Arial" w:hAnsi="Arial" w:cs="Times New Roman"/>
          <w:bCs w:val="0"/>
          <w:color w:val="auto"/>
          <w:kern w:val="0"/>
          <w:sz w:val="20"/>
          <w:szCs w:val="22"/>
        </w:rPr>
      </w:pPr>
    </w:p>
    <w:p w:rsidR="001C2557" w:rsidRDefault="008C4B68" w:rsidP="003C7107">
      <w:pPr>
        <w:pStyle w:val="Tablebullet"/>
        <w:ind w:left="360" w:hanging="360"/>
      </w:pPr>
      <w:r w:rsidRPr="001C2557">
        <w:rPr>
          <w:rFonts w:ascii="Georgia" w:hAnsi="Georgia" w:cs="Arial"/>
          <w:bCs/>
          <w:color w:val="275D38"/>
          <w:kern w:val="32"/>
          <w:sz w:val="32"/>
          <w:szCs w:val="32"/>
        </w:rPr>
        <w:t>What does the evidence tell us?</w:t>
      </w:r>
    </w:p>
    <w:p w:rsidR="009905D4" w:rsidRDefault="009905D4" w:rsidP="009905D4">
      <w:pPr>
        <w:pStyle w:val="Tablebullet"/>
        <w:numPr>
          <w:ilvl w:val="0"/>
          <w:numId w:val="63"/>
        </w:numPr>
        <w:spacing w:line="240" w:lineRule="auto"/>
        <w:ind w:left="360"/>
        <w:rPr>
          <w:szCs w:val="22"/>
        </w:rPr>
      </w:pPr>
      <w:r w:rsidRPr="00E74930">
        <w:rPr>
          <w:szCs w:val="22"/>
        </w:rPr>
        <w:t xml:space="preserve">Many </w:t>
      </w:r>
      <w:r>
        <w:rPr>
          <w:szCs w:val="22"/>
        </w:rPr>
        <w:t xml:space="preserve">unemployed </w:t>
      </w:r>
      <w:r w:rsidRPr="00E74930">
        <w:rPr>
          <w:szCs w:val="22"/>
        </w:rPr>
        <w:t>older Australians want to work but find it difficult to get work</w:t>
      </w:r>
      <w:r>
        <w:rPr>
          <w:szCs w:val="22"/>
        </w:rPr>
        <w:t>.</w:t>
      </w:r>
    </w:p>
    <w:p w:rsidR="009905D4" w:rsidRPr="00742CA3" w:rsidRDefault="009905D4" w:rsidP="009905D4">
      <w:pPr>
        <w:pStyle w:val="Tablebullet"/>
        <w:spacing w:before="0" w:line="240" w:lineRule="auto"/>
        <w:ind w:left="720"/>
        <w:rPr>
          <w:sz w:val="10"/>
          <w:szCs w:val="10"/>
        </w:rPr>
      </w:pPr>
    </w:p>
    <w:p w:rsidR="002C5B26" w:rsidRPr="00AD7909" w:rsidRDefault="002C5B26" w:rsidP="002C5B26">
      <w:pPr>
        <w:pStyle w:val="Tablebullet"/>
        <w:numPr>
          <w:ilvl w:val="0"/>
          <w:numId w:val="63"/>
        </w:numPr>
        <w:spacing w:line="240" w:lineRule="auto"/>
        <w:ind w:left="360"/>
        <w:rPr>
          <w:szCs w:val="22"/>
        </w:rPr>
      </w:pPr>
      <w:r w:rsidRPr="00AD7909">
        <w:rPr>
          <w:szCs w:val="22"/>
        </w:rPr>
        <w:t xml:space="preserve">Australians are on average living into their 80s, </w:t>
      </w:r>
      <w:r>
        <w:rPr>
          <w:szCs w:val="22"/>
        </w:rPr>
        <w:t>and</w:t>
      </w:r>
      <w:r w:rsidRPr="00AD7909">
        <w:rPr>
          <w:szCs w:val="22"/>
        </w:rPr>
        <w:t xml:space="preserve"> </w:t>
      </w:r>
      <w:r>
        <w:rPr>
          <w:szCs w:val="22"/>
        </w:rPr>
        <w:t xml:space="preserve">older jobseekers </w:t>
      </w:r>
      <w:r w:rsidRPr="00AD7909">
        <w:rPr>
          <w:szCs w:val="22"/>
        </w:rPr>
        <w:t xml:space="preserve">may draw on </w:t>
      </w:r>
      <w:r>
        <w:rPr>
          <w:szCs w:val="22"/>
        </w:rPr>
        <w:t>income support payments</w:t>
      </w:r>
      <w:r w:rsidRPr="00AD7909">
        <w:rPr>
          <w:szCs w:val="22"/>
        </w:rPr>
        <w:t xml:space="preserve"> for many years.</w:t>
      </w:r>
    </w:p>
    <w:p w:rsidR="009905D4" w:rsidRPr="00742CA3" w:rsidRDefault="009905D4" w:rsidP="009905D4">
      <w:pPr>
        <w:pStyle w:val="Tablebullet"/>
        <w:spacing w:before="0" w:line="240" w:lineRule="auto"/>
        <w:ind w:left="720"/>
        <w:rPr>
          <w:sz w:val="10"/>
          <w:szCs w:val="10"/>
        </w:rPr>
      </w:pPr>
    </w:p>
    <w:p w:rsidR="009905D4" w:rsidRPr="003A1F28" w:rsidRDefault="009905D4" w:rsidP="009905D4">
      <w:pPr>
        <w:pStyle w:val="Tablebullet"/>
        <w:numPr>
          <w:ilvl w:val="0"/>
          <w:numId w:val="63"/>
        </w:numPr>
        <w:spacing w:line="240" w:lineRule="auto"/>
        <w:ind w:left="360"/>
        <w:rPr>
          <w:szCs w:val="22"/>
        </w:rPr>
      </w:pPr>
      <w:r w:rsidRPr="00E74930">
        <w:rPr>
          <w:szCs w:val="22"/>
        </w:rPr>
        <w:t xml:space="preserve">If nothing changes, 75 per cent of this group will be receiving income support payments in 10 years, </w:t>
      </w:r>
      <w:r>
        <w:rPr>
          <w:szCs w:val="22"/>
        </w:rPr>
        <w:t>and 74 </w:t>
      </w:r>
      <w:r w:rsidRPr="003A1F28">
        <w:rPr>
          <w:szCs w:val="22"/>
        </w:rPr>
        <w:t>per</w:t>
      </w:r>
      <w:r>
        <w:rPr>
          <w:szCs w:val="22"/>
        </w:rPr>
        <w:t> </w:t>
      </w:r>
      <w:r w:rsidRPr="003A1F28">
        <w:rPr>
          <w:szCs w:val="22"/>
        </w:rPr>
        <w:t>cent will be receiving income support payments in 20 years.</w:t>
      </w:r>
    </w:p>
    <w:p w:rsidR="008C4B68" w:rsidRDefault="008C4B68" w:rsidP="003C7107">
      <w:pPr>
        <w:pStyle w:val="Tablebullet"/>
        <w:spacing w:line="240" w:lineRule="auto"/>
        <w:ind w:left="360"/>
        <w:rPr>
          <w:sz w:val="4"/>
          <w:szCs w:val="4"/>
        </w:rPr>
      </w:pPr>
    </w:p>
    <w:p w:rsidR="00C762E5" w:rsidRPr="003C7107" w:rsidRDefault="00C762E5" w:rsidP="003C7107">
      <w:pPr>
        <w:pStyle w:val="Tablebullet"/>
        <w:spacing w:line="240" w:lineRule="auto"/>
        <w:ind w:left="360"/>
        <w:rPr>
          <w:sz w:val="4"/>
          <w:szCs w:val="4"/>
        </w:rPr>
      </w:pPr>
    </w:p>
    <w:p w:rsidR="008F2EA3" w:rsidRDefault="00B32EED" w:rsidP="008F2EA3">
      <w:pPr>
        <w:pStyle w:val="textboxes"/>
        <w:spacing w:line="240" w:lineRule="auto"/>
        <w:rPr>
          <w:rFonts w:ascii="Georgia" w:hAnsi="Georgia" w:cs="Arial"/>
          <w:bCs/>
          <w:color w:val="275D38"/>
          <w:kern w:val="32"/>
          <w:sz w:val="32"/>
          <w:szCs w:val="32"/>
        </w:rPr>
      </w:pPr>
      <w:r w:rsidRPr="008C4B68">
        <w:rPr>
          <w:rFonts w:ascii="Georgia" w:hAnsi="Georgia" w:cs="Arial"/>
          <w:bCs/>
          <w:color w:val="275D38"/>
          <w:kern w:val="32"/>
          <w:sz w:val="32"/>
          <w:szCs w:val="32"/>
        </w:rPr>
        <w:t>How is this initiative new and innovative?</w:t>
      </w:r>
    </w:p>
    <w:p w:rsidR="00DA13C8" w:rsidRPr="008F2EA3" w:rsidRDefault="008F2EA3" w:rsidP="008F2EA3">
      <w:pPr>
        <w:pStyle w:val="textboxes"/>
        <w:spacing w:line="240" w:lineRule="auto"/>
        <w:rPr>
          <w:rFonts w:ascii="Georgia" w:hAnsi="Georgia" w:cs="Arial"/>
          <w:bCs/>
          <w:color w:val="275D38"/>
          <w:kern w:val="32"/>
          <w:sz w:val="32"/>
          <w:szCs w:val="32"/>
        </w:rPr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9A9B6B" wp14:editId="40493A67">
                <wp:simplePos x="0" y="0"/>
                <wp:positionH relativeFrom="page">
                  <wp:posOffset>199390</wp:posOffset>
                </wp:positionH>
                <wp:positionV relativeFrom="page">
                  <wp:posOffset>8763000</wp:posOffset>
                </wp:positionV>
                <wp:extent cx="7058025" cy="1104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67" w:rsidRDefault="00BD4467" w:rsidP="00BD4467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:rsidR="00BD4467" w:rsidRDefault="00BD4467" w:rsidP="00BD4467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:rsidR="008C4B68" w:rsidRDefault="008C4B68" w:rsidP="008C4B68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9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5.7pt;margin-top:690pt;width:555.75pt;height:8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" fillcolor="white [3201]" strokecolor="#78be20 [3207]" strokeweight=".5pt">
                <v:textbox inset="2mm,2mm,2mm,2mm">
                  <w:txbxContent>
                    <w:p w:rsidR="00BD4467" w:rsidRDefault="00BD4467" w:rsidP="00BD4467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:rsidR="00BD4467" w:rsidRDefault="00BD4467" w:rsidP="00BD4467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:rsidR="008C4B68" w:rsidRDefault="008C4B68" w:rsidP="008C4B68">
                      <w:pPr>
                        <w:pStyle w:val="textboxe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21617">
        <w:rPr>
          <w:sz w:val="20"/>
          <w:szCs w:val="22"/>
        </w:rPr>
        <w:t xml:space="preserve">This initiative is a local response to a locally identified issue. Insights indicated that jobs </w:t>
      </w:r>
      <w:r w:rsidR="00181C57">
        <w:rPr>
          <w:sz w:val="20"/>
          <w:szCs w:val="22"/>
        </w:rPr>
        <w:t xml:space="preserve">in this regional community </w:t>
      </w:r>
      <w:r w:rsidR="00921617">
        <w:rPr>
          <w:sz w:val="20"/>
          <w:szCs w:val="22"/>
        </w:rPr>
        <w:t xml:space="preserve">are </w:t>
      </w:r>
      <w:r w:rsidR="00181C57">
        <w:rPr>
          <w:sz w:val="20"/>
          <w:szCs w:val="22"/>
        </w:rPr>
        <w:t>often secured</w:t>
      </w:r>
      <w:r w:rsidR="00921617">
        <w:rPr>
          <w:sz w:val="20"/>
          <w:szCs w:val="22"/>
        </w:rPr>
        <w:t xml:space="preserve"> through </w:t>
      </w:r>
      <w:r w:rsidR="00181C57">
        <w:rPr>
          <w:sz w:val="20"/>
          <w:szCs w:val="22"/>
        </w:rPr>
        <w:t>in</w:t>
      </w:r>
      <w:r w:rsidR="00921617">
        <w:rPr>
          <w:sz w:val="20"/>
          <w:szCs w:val="22"/>
        </w:rPr>
        <w:t>formal social networks</w:t>
      </w:r>
      <w:r w:rsidR="00181C57">
        <w:rPr>
          <w:sz w:val="20"/>
          <w:szCs w:val="22"/>
        </w:rPr>
        <w:t>, and t</w:t>
      </w:r>
      <w:r w:rsidR="00921617">
        <w:rPr>
          <w:sz w:val="20"/>
          <w:szCs w:val="22"/>
        </w:rPr>
        <w:t xml:space="preserve">his project aims to bridge </w:t>
      </w:r>
      <w:r w:rsidR="00181C57">
        <w:rPr>
          <w:sz w:val="20"/>
          <w:szCs w:val="22"/>
        </w:rPr>
        <w:t>the social networking gap</w:t>
      </w:r>
      <w:r w:rsidR="00921617">
        <w:rPr>
          <w:sz w:val="20"/>
          <w:szCs w:val="22"/>
        </w:rPr>
        <w:t xml:space="preserve">.  </w:t>
      </w:r>
    </w:p>
    <w:sectPr w:rsidR="00DA13C8" w:rsidRPr="008F2EA3" w:rsidSect="008C4B68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5E" w:rsidRDefault="00D52B5E">
      <w:r>
        <w:separator/>
      </w:r>
    </w:p>
  </w:endnote>
  <w:endnote w:type="continuationSeparator" w:id="0">
    <w:p w:rsidR="00D52B5E" w:rsidRDefault="00D5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F2EA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5E" w:rsidRDefault="00D52B5E">
      <w:r>
        <w:separator/>
      </w:r>
    </w:p>
  </w:footnote>
  <w:footnote w:type="continuationSeparator" w:id="0">
    <w:p w:rsidR="00D52B5E" w:rsidRDefault="00D5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B4E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75E4C"/>
    <w:multiLevelType w:val="hybridMultilevel"/>
    <w:tmpl w:val="833C1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1"/>
  </w:num>
  <w:num w:numId="5">
    <w:abstractNumId w:val="15"/>
  </w:num>
  <w:num w:numId="6">
    <w:abstractNumId w:val="59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1"/>
  </w:num>
  <w:num w:numId="25">
    <w:abstractNumId w:val="33"/>
  </w:num>
  <w:num w:numId="26">
    <w:abstractNumId w:val="39"/>
  </w:num>
  <w:num w:numId="27">
    <w:abstractNumId w:val="19"/>
  </w:num>
  <w:num w:numId="28">
    <w:abstractNumId w:val="60"/>
  </w:num>
  <w:num w:numId="29">
    <w:abstractNumId w:val="48"/>
  </w:num>
  <w:num w:numId="30">
    <w:abstractNumId w:val="25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3"/>
  </w:num>
  <w:num w:numId="36">
    <w:abstractNumId w:val="47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7"/>
  </w:num>
  <w:num w:numId="42">
    <w:abstractNumId w:val="21"/>
  </w:num>
  <w:num w:numId="43">
    <w:abstractNumId w:val="14"/>
  </w:num>
  <w:num w:numId="44">
    <w:abstractNumId w:val="41"/>
  </w:num>
  <w:num w:numId="45">
    <w:abstractNumId w:val="46"/>
  </w:num>
  <w:num w:numId="46">
    <w:abstractNumId w:val="30"/>
  </w:num>
  <w:num w:numId="47">
    <w:abstractNumId w:val="29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6"/>
  </w:num>
  <w:num w:numId="60">
    <w:abstractNumId w:val="6"/>
  </w:num>
  <w:num w:numId="61">
    <w:abstractNumId w:val="34"/>
  </w:num>
  <w:num w:numId="62">
    <w:abstractNumId w:val="31"/>
  </w:num>
  <w:num w:numId="63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9DF"/>
    <w:rsid w:val="00012F84"/>
    <w:rsid w:val="000136AD"/>
    <w:rsid w:val="00017E8B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384"/>
    <w:rsid w:val="000547EF"/>
    <w:rsid w:val="00054B89"/>
    <w:rsid w:val="000552C9"/>
    <w:rsid w:val="00067CD0"/>
    <w:rsid w:val="00075041"/>
    <w:rsid w:val="00076C2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B13BF"/>
    <w:rsid w:val="000C014D"/>
    <w:rsid w:val="000D3DC0"/>
    <w:rsid w:val="000D4703"/>
    <w:rsid w:val="000D64F9"/>
    <w:rsid w:val="000D693C"/>
    <w:rsid w:val="000E12D4"/>
    <w:rsid w:val="000E2CA6"/>
    <w:rsid w:val="00104669"/>
    <w:rsid w:val="00110028"/>
    <w:rsid w:val="00111C64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1C57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A44FB"/>
    <w:rsid w:val="001B3AEC"/>
    <w:rsid w:val="001B5000"/>
    <w:rsid w:val="001B6F28"/>
    <w:rsid w:val="001C2557"/>
    <w:rsid w:val="001C6104"/>
    <w:rsid w:val="001D4585"/>
    <w:rsid w:val="001D5D54"/>
    <w:rsid w:val="001E41C8"/>
    <w:rsid w:val="001F3AD7"/>
    <w:rsid w:val="00207630"/>
    <w:rsid w:val="00213082"/>
    <w:rsid w:val="00214BA3"/>
    <w:rsid w:val="0021714E"/>
    <w:rsid w:val="00221D41"/>
    <w:rsid w:val="00222187"/>
    <w:rsid w:val="00222C8D"/>
    <w:rsid w:val="00222E33"/>
    <w:rsid w:val="00227B95"/>
    <w:rsid w:val="0023523A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5831"/>
    <w:rsid w:val="00296F1B"/>
    <w:rsid w:val="002A6DF5"/>
    <w:rsid w:val="002C2FA1"/>
    <w:rsid w:val="002C5B26"/>
    <w:rsid w:val="002D00B0"/>
    <w:rsid w:val="002D2E16"/>
    <w:rsid w:val="002E5722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7173"/>
    <w:rsid w:val="003774DA"/>
    <w:rsid w:val="00392557"/>
    <w:rsid w:val="003945C0"/>
    <w:rsid w:val="00395FFB"/>
    <w:rsid w:val="003A06C2"/>
    <w:rsid w:val="003B067E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E6FDA"/>
    <w:rsid w:val="003F3072"/>
    <w:rsid w:val="003F7DDF"/>
    <w:rsid w:val="00401A2A"/>
    <w:rsid w:val="004103D7"/>
    <w:rsid w:val="0041170A"/>
    <w:rsid w:val="0041307C"/>
    <w:rsid w:val="004167B4"/>
    <w:rsid w:val="004260EB"/>
    <w:rsid w:val="00430D7E"/>
    <w:rsid w:val="00432AB3"/>
    <w:rsid w:val="00433B04"/>
    <w:rsid w:val="00440BD3"/>
    <w:rsid w:val="00446F93"/>
    <w:rsid w:val="00447BE9"/>
    <w:rsid w:val="004649E2"/>
    <w:rsid w:val="00464E8C"/>
    <w:rsid w:val="00466D36"/>
    <w:rsid w:val="00467185"/>
    <w:rsid w:val="0047050C"/>
    <w:rsid w:val="00475504"/>
    <w:rsid w:val="00480F21"/>
    <w:rsid w:val="00484FED"/>
    <w:rsid w:val="00494119"/>
    <w:rsid w:val="00495AF1"/>
    <w:rsid w:val="00496410"/>
    <w:rsid w:val="004A6B73"/>
    <w:rsid w:val="004C5384"/>
    <w:rsid w:val="004F775C"/>
    <w:rsid w:val="005015E4"/>
    <w:rsid w:val="0050291D"/>
    <w:rsid w:val="0050697E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1C78"/>
    <w:rsid w:val="005822A3"/>
    <w:rsid w:val="0059070B"/>
    <w:rsid w:val="00594445"/>
    <w:rsid w:val="005B1225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3483"/>
    <w:rsid w:val="005E4662"/>
    <w:rsid w:val="005F093F"/>
    <w:rsid w:val="005F214A"/>
    <w:rsid w:val="005F6BD6"/>
    <w:rsid w:val="00601C99"/>
    <w:rsid w:val="00604BB8"/>
    <w:rsid w:val="00607597"/>
    <w:rsid w:val="00610591"/>
    <w:rsid w:val="00623996"/>
    <w:rsid w:val="006255E4"/>
    <w:rsid w:val="00627728"/>
    <w:rsid w:val="00637A36"/>
    <w:rsid w:val="00641020"/>
    <w:rsid w:val="006410C1"/>
    <w:rsid w:val="00647F05"/>
    <w:rsid w:val="006530EF"/>
    <w:rsid w:val="00654D06"/>
    <w:rsid w:val="00660544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0B6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F3C"/>
    <w:rsid w:val="006E6073"/>
    <w:rsid w:val="006F7300"/>
    <w:rsid w:val="00703C09"/>
    <w:rsid w:val="00712300"/>
    <w:rsid w:val="00713CD6"/>
    <w:rsid w:val="00720739"/>
    <w:rsid w:val="00721695"/>
    <w:rsid w:val="007242B4"/>
    <w:rsid w:val="00725800"/>
    <w:rsid w:val="00725FB2"/>
    <w:rsid w:val="00730C64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4D44"/>
    <w:rsid w:val="00766A05"/>
    <w:rsid w:val="00767B7E"/>
    <w:rsid w:val="0077453B"/>
    <w:rsid w:val="007746A9"/>
    <w:rsid w:val="007759EC"/>
    <w:rsid w:val="00783722"/>
    <w:rsid w:val="00785465"/>
    <w:rsid w:val="00786D10"/>
    <w:rsid w:val="00787656"/>
    <w:rsid w:val="007A67EA"/>
    <w:rsid w:val="007B15AF"/>
    <w:rsid w:val="007B33FE"/>
    <w:rsid w:val="007B7E83"/>
    <w:rsid w:val="007C1631"/>
    <w:rsid w:val="007C636F"/>
    <w:rsid w:val="007D0EF8"/>
    <w:rsid w:val="007D39EB"/>
    <w:rsid w:val="008131E7"/>
    <w:rsid w:val="00813711"/>
    <w:rsid w:val="00814279"/>
    <w:rsid w:val="008245BD"/>
    <w:rsid w:val="008263C2"/>
    <w:rsid w:val="00833147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24CE"/>
    <w:rsid w:val="00895792"/>
    <w:rsid w:val="008A0ECF"/>
    <w:rsid w:val="008A1212"/>
    <w:rsid w:val="008A357A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E6E9D"/>
    <w:rsid w:val="008F2EA3"/>
    <w:rsid w:val="008F3839"/>
    <w:rsid w:val="008F68F7"/>
    <w:rsid w:val="008F7480"/>
    <w:rsid w:val="009037B6"/>
    <w:rsid w:val="00906CBE"/>
    <w:rsid w:val="00906FFA"/>
    <w:rsid w:val="00910384"/>
    <w:rsid w:val="009139C0"/>
    <w:rsid w:val="00914601"/>
    <w:rsid w:val="009161C8"/>
    <w:rsid w:val="009164AD"/>
    <w:rsid w:val="00921617"/>
    <w:rsid w:val="00922289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05D4"/>
    <w:rsid w:val="00991769"/>
    <w:rsid w:val="00994E9F"/>
    <w:rsid w:val="00996931"/>
    <w:rsid w:val="009A4CD8"/>
    <w:rsid w:val="009B3ED1"/>
    <w:rsid w:val="009B4996"/>
    <w:rsid w:val="009B5C57"/>
    <w:rsid w:val="009C433C"/>
    <w:rsid w:val="009C49A3"/>
    <w:rsid w:val="009D28B7"/>
    <w:rsid w:val="009D7E1A"/>
    <w:rsid w:val="009E0D7A"/>
    <w:rsid w:val="009E2162"/>
    <w:rsid w:val="00A006EB"/>
    <w:rsid w:val="00A03709"/>
    <w:rsid w:val="00A04660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364F6"/>
    <w:rsid w:val="00A42ADE"/>
    <w:rsid w:val="00A57D8D"/>
    <w:rsid w:val="00A60693"/>
    <w:rsid w:val="00A627F7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156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6535E"/>
    <w:rsid w:val="00B72D62"/>
    <w:rsid w:val="00B760F3"/>
    <w:rsid w:val="00B836C1"/>
    <w:rsid w:val="00B843C8"/>
    <w:rsid w:val="00B9483B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4467"/>
    <w:rsid w:val="00BD7ADD"/>
    <w:rsid w:val="00BE41C3"/>
    <w:rsid w:val="00BE6767"/>
    <w:rsid w:val="00BE68D7"/>
    <w:rsid w:val="00BF7763"/>
    <w:rsid w:val="00C04D5E"/>
    <w:rsid w:val="00C075BD"/>
    <w:rsid w:val="00C24EA2"/>
    <w:rsid w:val="00C24F70"/>
    <w:rsid w:val="00C25AD3"/>
    <w:rsid w:val="00C33479"/>
    <w:rsid w:val="00C47BA2"/>
    <w:rsid w:val="00C612DC"/>
    <w:rsid w:val="00C622CB"/>
    <w:rsid w:val="00C628EC"/>
    <w:rsid w:val="00C64D15"/>
    <w:rsid w:val="00C74F74"/>
    <w:rsid w:val="00C7554B"/>
    <w:rsid w:val="00C762E5"/>
    <w:rsid w:val="00C83C8D"/>
    <w:rsid w:val="00C83E31"/>
    <w:rsid w:val="00C916A4"/>
    <w:rsid w:val="00CA2A52"/>
    <w:rsid w:val="00CA2B15"/>
    <w:rsid w:val="00CA4C7E"/>
    <w:rsid w:val="00CA6490"/>
    <w:rsid w:val="00CA6E8D"/>
    <w:rsid w:val="00CB5744"/>
    <w:rsid w:val="00CB7022"/>
    <w:rsid w:val="00CC1AB6"/>
    <w:rsid w:val="00CC2C20"/>
    <w:rsid w:val="00CC2E8B"/>
    <w:rsid w:val="00CC50A6"/>
    <w:rsid w:val="00CC7E89"/>
    <w:rsid w:val="00CD1937"/>
    <w:rsid w:val="00CE214C"/>
    <w:rsid w:val="00CE2721"/>
    <w:rsid w:val="00CE6858"/>
    <w:rsid w:val="00CF34DF"/>
    <w:rsid w:val="00CF50BE"/>
    <w:rsid w:val="00CF6A52"/>
    <w:rsid w:val="00D03583"/>
    <w:rsid w:val="00D117B4"/>
    <w:rsid w:val="00D169F7"/>
    <w:rsid w:val="00D26D01"/>
    <w:rsid w:val="00D31DB2"/>
    <w:rsid w:val="00D33DA3"/>
    <w:rsid w:val="00D405D6"/>
    <w:rsid w:val="00D4723B"/>
    <w:rsid w:val="00D52B5E"/>
    <w:rsid w:val="00D55EE8"/>
    <w:rsid w:val="00D5785A"/>
    <w:rsid w:val="00D64C48"/>
    <w:rsid w:val="00D7006D"/>
    <w:rsid w:val="00D731C4"/>
    <w:rsid w:val="00D81BAA"/>
    <w:rsid w:val="00D85BE0"/>
    <w:rsid w:val="00D87C1A"/>
    <w:rsid w:val="00D87FD7"/>
    <w:rsid w:val="00D91FF4"/>
    <w:rsid w:val="00D92167"/>
    <w:rsid w:val="00D9502B"/>
    <w:rsid w:val="00D97047"/>
    <w:rsid w:val="00D97108"/>
    <w:rsid w:val="00DA13C8"/>
    <w:rsid w:val="00DB055E"/>
    <w:rsid w:val="00DC5665"/>
    <w:rsid w:val="00DD4F44"/>
    <w:rsid w:val="00DD5D8B"/>
    <w:rsid w:val="00DE09C1"/>
    <w:rsid w:val="00DE0F9E"/>
    <w:rsid w:val="00DE5D76"/>
    <w:rsid w:val="00DE7D9A"/>
    <w:rsid w:val="00E04C8D"/>
    <w:rsid w:val="00E128D8"/>
    <w:rsid w:val="00E30D45"/>
    <w:rsid w:val="00E42FE4"/>
    <w:rsid w:val="00E46FAA"/>
    <w:rsid w:val="00E53D1B"/>
    <w:rsid w:val="00E5750B"/>
    <w:rsid w:val="00E60E2E"/>
    <w:rsid w:val="00E63A24"/>
    <w:rsid w:val="00E71A2D"/>
    <w:rsid w:val="00E8698A"/>
    <w:rsid w:val="00E87C18"/>
    <w:rsid w:val="00E923F2"/>
    <w:rsid w:val="00EA31CC"/>
    <w:rsid w:val="00EB14DF"/>
    <w:rsid w:val="00EB2B64"/>
    <w:rsid w:val="00EB3A07"/>
    <w:rsid w:val="00EB4143"/>
    <w:rsid w:val="00EB4728"/>
    <w:rsid w:val="00EB6844"/>
    <w:rsid w:val="00EC207A"/>
    <w:rsid w:val="00EC3F31"/>
    <w:rsid w:val="00ED3C91"/>
    <w:rsid w:val="00ED4112"/>
    <w:rsid w:val="00EE0EBA"/>
    <w:rsid w:val="00EF0851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14F1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A7A8D"/>
    <w:rsid w:val="00FB13C1"/>
    <w:rsid w:val="00FB420B"/>
    <w:rsid w:val="00FC1C5F"/>
    <w:rsid w:val="00FC5A2C"/>
    <w:rsid w:val="00FC5C0C"/>
    <w:rsid w:val="00FC64EF"/>
    <w:rsid w:val="00FC69EB"/>
    <w:rsid w:val="00FD2673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0399-B4C5-4745-8B16-ECDD2F44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282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21</cp:revision>
  <cp:lastPrinted>2019-08-12T06:09:00Z</cp:lastPrinted>
  <dcterms:created xsi:type="dcterms:W3CDTF">2019-06-20T00:43:00Z</dcterms:created>
  <dcterms:modified xsi:type="dcterms:W3CDTF">2019-08-12T06:10:00Z</dcterms:modified>
</cp:coreProperties>
</file>