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83728" w14:textId="29538F4E" w:rsidR="000E03FB" w:rsidRDefault="000E03FB" w:rsidP="000E03FB">
      <w:pPr>
        <w:pStyle w:val="Heading1"/>
        <w:spacing w:before="120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41B9A9A6" wp14:editId="05AD6AAC">
            <wp:extent cx="5991225" cy="726610"/>
            <wp:effectExtent l="0" t="0" r="0" b="0"/>
            <wp:docPr id="9" name="Picture 9" descr="DSS Department Logo" title="DSS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0017\AppData\Local\Microsoft\Windows\Temporary Internet Files\Content.Outlook\9BUZYU2C\TILA Leaderboard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44" cy="7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C98E" w14:textId="77777777" w:rsidR="000E03FB" w:rsidRPr="00855DCC" w:rsidRDefault="000E03FB" w:rsidP="00855DCC">
      <w:pPr>
        <w:pStyle w:val="Heading1"/>
        <w:spacing w:before="120"/>
        <w:rPr>
          <w:sz w:val="16"/>
          <w:szCs w:val="16"/>
        </w:rPr>
      </w:pPr>
    </w:p>
    <w:p w14:paraId="33492620" w14:textId="77777777" w:rsidR="00E128D3" w:rsidRDefault="000E03FB" w:rsidP="000E03FB">
      <w:pPr>
        <w:pStyle w:val="Heading1"/>
        <w:spacing w:before="360" w:after="120" w:line="240" w:lineRule="auto"/>
        <w:ind w:right="-1278"/>
        <w:rPr>
          <w:rFonts w:ascii="Georgia" w:hAnsi="Georgia"/>
          <w:b w:val="0"/>
          <w:color w:val="24596E"/>
          <w:sz w:val="36"/>
          <w:szCs w:val="36"/>
        </w:rPr>
      </w:pPr>
      <w:r w:rsidRPr="000E3708">
        <w:rPr>
          <w:rFonts w:ascii="Georgia" w:hAnsi="Georgia"/>
          <w:b w:val="0"/>
          <w:color w:val="24596E"/>
          <w:sz w:val="36"/>
          <w:szCs w:val="36"/>
        </w:rPr>
        <w:t xml:space="preserve">How to </w:t>
      </w:r>
      <w:r>
        <w:rPr>
          <w:rFonts w:ascii="Georgia" w:hAnsi="Georgia"/>
          <w:b w:val="0"/>
          <w:color w:val="24596E"/>
          <w:sz w:val="36"/>
          <w:szCs w:val="36"/>
        </w:rPr>
        <w:t>a</w:t>
      </w:r>
      <w:r w:rsidRPr="000E3708">
        <w:rPr>
          <w:rFonts w:ascii="Georgia" w:hAnsi="Georgia"/>
          <w:b w:val="0"/>
          <w:color w:val="24596E"/>
          <w:sz w:val="36"/>
          <w:szCs w:val="36"/>
        </w:rPr>
        <w:t xml:space="preserve">ccess </w:t>
      </w:r>
      <w:r w:rsidR="00977D21">
        <w:rPr>
          <w:rFonts w:ascii="Georgia" w:hAnsi="Georgia"/>
          <w:b w:val="0"/>
          <w:color w:val="24596E"/>
          <w:sz w:val="36"/>
          <w:szCs w:val="36"/>
        </w:rPr>
        <w:t xml:space="preserve">the </w:t>
      </w:r>
      <w:r w:rsidRPr="000E3708">
        <w:rPr>
          <w:rFonts w:ascii="Georgia" w:hAnsi="Georgia"/>
          <w:b w:val="0"/>
          <w:color w:val="24596E"/>
          <w:sz w:val="36"/>
          <w:szCs w:val="36"/>
        </w:rPr>
        <w:t>Transition to Independent Living Allowance</w:t>
      </w:r>
    </w:p>
    <w:p w14:paraId="184875CA" w14:textId="77777777" w:rsidR="00977D21" w:rsidRPr="00855DCC" w:rsidRDefault="00977D21" w:rsidP="00561A6B">
      <w:pPr>
        <w:pStyle w:val="Heading1"/>
        <w:spacing w:before="120" w:line="240" w:lineRule="auto"/>
        <w:ind w:right="-1276"/>
        <w:rPr>
          <w:rFonts w:ascii="Georgia" w:hAnsi="Georgia"/>
          <w:b w:val="0"/>
          <w:color w:val="24596E"/>
          <w:sz w:val="16"/>
          <w:szCs w:val="16"/>
        </w:rPr>
      </w:pPr>
    </w:p>
    <w:p w14:paraId="2EDB89E5" w14:textId="02B2E129" w:rsidR="000E03FB" w:rsidRPr="000E3708" w:rsidRDefault="00E128D3" w:rsidP="000E03FB">
      <w:pPr>
        <w:pStyle w:val="Heading1"/>
        <w:spacing w:before="360" w:after="120" w:line="240" w:lineRule="auto"/>
        <w:ind w:right="-1278"/>
        <w:rPr>
          <w:rFonts w:ascii="Georgia" w:hAnsi="Georgia"/>
          <w:b w:val="0"/>
          <w:color w:val="24596E"/>
          <w:sz w:val="36"/>
          <w:szCs w:val="36"/>
        </w:rPr>
      </w:pPr>
      <w:r>
        <w:rPr>
          <w:rFonts w:ascii="Georgia" w:hAnsi="Georgia"/>
          <w:b w:val="0"/>
          <w:color w:val="24596E"/>
          <w:sz w:val="36"/>
          <w:szCs w:val="36"/>
        </w:rPr>
        <w:t>S</w:t>
      </w:r>
      <w:r w:rsidR="000E03FB" w:rsidRPr="000E3708">
        <w:rPr>
          <w:rFonts w:ascii="Georgia" w:hAnsi="Georgia"/>
          <w:b w:val="0"/>
          <w:color w:val="24596E"/>
          <w:sz w:val="36"/>
          <w:szCs w:val="36"/>
        </w:rPr>
        <w:t xml:space="preserve">tep by </w:t>
      </w:r>
      <w:r w:rsidR="000346EF">
        <w:rPr>
          <w:rFonts w:ascii="Georgia" w:hAnsi="Georgia"/>
          <w:b w:val="0"/>
          <w:color w:val="24596E"/>
          <w:sz w:val="36"/>
          <w:szCs w:val="36"/>
        </w:rPr>
        <w:t>s</w:t>
      </w:r>
      <w:r w:rsidR="000E03FB" w:rsidRPr="000E3708">
        <w:rPr>
          <w:rFonts w:ascii="Georgia" w:hAnsi="Georgia"/>
          <w:b w:val="0"/>
          <w:color w:val="24596E"/>
          <w:sz w:val="36"/>
          <w:szCs w:val="36"/>
        </w:rPr>
        <w:t xml:space="preserve">tep </w:t>
      </w:r>
      <w:r w:rsidR="00977D21">
        <w:rPr>
          <w:rFonts w:ascii="Georgia" w:hAnsi="Georgia"/>
          <w:b w:val="0"/>
          <w:color w:val="24596E"/>
          <w:sz w:val="36"/>
          <w:szCs w:val="36"/>
        </w:rPr>
        <w:t>g</w:t>
      </w:r>
      <w:r w:rsidR="000E03FB" w:rsidRPr="000E3708">
        <w:rPr>
          <w:rFonts w:ascii="Georgia" w:hAnsi="Georgia"/>
          <w:b w:val="0"/>
          <w:color w:val="24596E"/>
          <w:sz w:val="36"/>
          <w:szCs w:val="36"/>
        </w:rPr>
        <w:t xml:space="preserve">uide for </w:t>
      </w:r>
      <w:r w:rsidR="000E03FB">
        <w:rPr>
          <w:rFonts w:ascii="Georgia" w:hAnsi="Georgia"/>
          <w:b w:val="0"/>
          <w:color w:val="24596E"/>
          <w:sz w:val="36"/>
          <w:szCs w:val="36"/>
        </w:rPr>
        <w:t>y</w:t>
      </w:r>
      <w:r w:rsidR="000E03FB" w:rsidRPr="000E3708">
        <w:rPr>
          <w:rFonts w:ascii="Georgia" w:hAnsi="Georgia"/>
          <w:b w:val="0"/>
          <w:color w:val="24596E"/>
          <w:sz w:val="36"/>
          <w:szCs w:val="36"/>
        </w:rPr>
        <w:t xml:space="preserve">oung </w:t>
      </w:r>
      <w:r w:rsidR="000E03FB">
        <w:rPr>
          <w:rFonts w:ascii="Georgia" w:hAnsi="Georgia"/>
          <w:b w:val="0"/>
          <w:color w:val="24596E"/>
          <w:sz w:val="36"/>
          <w:szCs w:val="36"/>
        </w:rPr>
        <w:t>p</w:t>
      </w:r>
      <w:r w:rsidR="000E03FB" w:rsidRPr="000E3708">
        <w:rPr>
          <w:rFonts w:ascii="Georgia" w:hAnsi="Georgia"/>
          <w:b w:val="0"/>
          <w:color w:val="24596E"/>
          <w:sz w:val="36"/>
          <w:szCs w:val="36"/>
        </w:rPr>
        <w:t xml:space="preserve">eople </w:t>
      </w:r>
    </w:p>
    <w:p w14:paraId="3745E2EB" w14:textId="77777777" w:rsidR="000E03FB" w:rsidRPr="00744C13" w:rsidRDefault="000E03FB" w:rsidP="000E03FB">
      <w:pPr>
        <w:pStyle w:val="Header"/>
        <w:pBdr>
          <w:bottom w:val="single" w:sz="18" w:space="0" w:color="24596E"/>
        </w:pBdr>
        <w:spacing w:before="0" w:after="120"/>
        <w:rPr>
          <w:rFonts w:asciiTheme="minorHAnsi" w:hAnsiTheme="minorHAnsi"/>
          <w:color w:val="auto"/>
          <w:sz w:val="16"/>
        </w:rPr>
      </w:pPr>
    </w:p>
    <w:p w14:paraId="0F1F2B37" w14:textId="77777777" w:rsidR="000E03FB" w:rsidRDefault="000E03FB" w:rsidP="00E963A2">
      <w:pPr>
        <w:pStyle w:val="Heading2"/>
        <w:spacing w:before="120" w:after="120" w:line="240" w:lineRule="auto"/>
      </w:pPr>
      <w:r>
        <w:t>What is TILA?</w:t>
      </w:r>
    </w:p>
    <w:p w14:paraId="39C9884A" w14:textId="77777777" w:rsidR="000E03FB" w:rsidRDefault="000E03FB" w:rsidP="000E03FB">
      <w:pPr>
        <w:spacing w:before="0"/>
      </w:pPr>
      <w:r w:rsidRPr="004A62F1">
        <w:t xml:space="preserve">The Transition to Independent Living Allowance (TILA) is a </w:t>
      </w:r>
      <w:r>
        <w:t>payment</w:t>
      </w:r>
      <w:r w:rsidRPr="004A62F1">
        <w:t xml:space="preserve"> of up to $1,500 from the Australian Government to help eligible young people </w:t>
      </w:r>
      <w:r>
        <w:t xml:space="preserve">pay for basic </w:t>
      </w:r>
      <w:r w:rsidRPr="004A62F1">
        <w:t xml:space="preserve">costs involved in moving </w:t>
      </w:r>
      <w:r w:rsidRPr="00711D10">
        <w:t xml:space="preserve">out on </w:t>
      </w:r>
      <w:r>
        <w:t xml:space="preserve">their </w:t>
      </w:r>
      <w:r w:rsidRPr="00711D10">
        <w:t>own for the first time</w:t>
      </w:r>
      <w:r w:rsidRPr="004A62F1">
        <w:t xml:space="preserve">. </w:t>
      </w:r>
    </w:p>
    <w:p w14:paraId="037E5847" w14:textId="77777777" w:rsidR="000E03FB" w:rsidRDefault="000E03FB" w:rsidP="000E03FB">
      <w:pPr>
        <w:pStyle w:val="Heading2"/>
      </w:pPr>
      <w:r>
        <w:t>Step 1: Find out if you are eligible for TILA</w:t>
      </w:r>
    </w:p>
    <w:p w14:paraId="210D43A8" w14:textId="44617BD1" w:rsidR="000E03FB" w:rsidRPr="00134C89" w:rsidRDefault="000E03FB" w:rsidP="000E03FB">
      <w:pPr>
        <w:rPr>
          <w:rFonts w:cs="Arial"/>
        </w:rPr>
      </w:pPr>
      <w:r w:rsidRPr="00134C89">
        <w:rPr>
          <w:rFonts w:cs="Arial"/>
        </w:rPr>
        <w:t xml:space="preserve">You may be </w:t>
      </w:r>
      <w:hyperlink r:id="rId10" w:history="1">
        <w:r w:rsidRPr="00134C89">
          <w:rPr>
            <w:rStyle w:val="Hyperlink"/>
            <w:rFonts w:cs="Arial"/>
            <w:sz w:val="24"/>
          </w:rPr>
          <w:t>eligib</w:t>
        </w:r>
        <w:r>
          <w:rPr>
            <w:rStyle w:val="Hyperlink"/>
            <w:rFonts w:cs="Arial"/>
            <w:sz w:val="24"/>
          </w:rPr>
          <w:t>le</w:t>
        </w:r>
      </w:hyperlink>
      <w:r w:rsidR="002A0F88">
        <w:rPr>
          <w:rFonts w:cs="Arial"/>
        </w:rPr>
        <w:t xml:space="preserve"> for TILA i</w:t>
      </w:r>
      <w:r w:rsidRPr="00134C89">
        <w:rPr>
          <w:rFonts w:cs="Arial"/>
        </w:rPr>
        <w:t>f you:</w:t>
      </w:r>
    </w:p>
    <w:p w14:paraId="14E94FC9" w14:textId="77777777" w:rsidR="000E03FB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>
        <w:t>are 15 to</w:t>
      </w:r>
      <w:r w:rsidRPr="00711D10">
        <w:t xml:space="preserve"> 25 </w:t>
      </w:r>
      <w:r>
        <w:t>years old</w:t>
      </w:r>
    </w:p>
    <w:p w14:paraId="55A69DFF" w14:textId="77777777" w:rsidR="000E03FB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711D10">
        <w:t>are leaving</w:t>
      </w:r>
      <w:r>
        <w:t xml:space="preserve">, or have already left, formal </w:t>
      </w:r>
      <w:r w:rsidRPr="00711D10">
        <w:t>out-of-home care</w:t>
      </w:r>
    </w:p>
    <w:p w14:paraId="74082084" w14:textId="6AD7D1EC" w:rsidR="000E03FB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473FF3">
        <w:t>decide</w:t>
      </w:r>
      <w:r>
        <w:t>d</w:t>
      </w:r>
      <w:r w:rsidRPr="00473FF3">
        <w:t xml:space="preserve"> to stay on at home with your foster </w:t>
      </w:r>
      <w:r w:rsidR="00B55046">
        <w:t>carer</w:t>
      </w:r>
      <w:r w:rsidRPr="00473FF3">
        <w:t>s after your</w:t>
      </w:r>
      <w:r>
        <w:t xml:space="preserve"> </w:t>
      </w:r>
      <w:r w:rsidRPr="00473FF3">
        <w:t>care order expires</w:t>
      </w:r>
      <w:r>
        <w:t>.</w:t>
      </w:r>
    </w:p>
    <w:p w14:paraId="76D462D5" w14:textId="77777777" w:rsidR="000E03FB" w:rsidRDefault="000E03FB" w:rsidP="000E03FB">
      <w:pPr>
        <w:pStyle w:val="Heading2"/>
      </w:pPr>
      <w:r>
        <w:t>Step 2: Talk to your case worker</w:t>
      </w:r>
    </w:p>
    <w:p w14:paraId="4CE08163" w14:textId="4D9935AA" w:rsidR="000E03FB" w:rsidRDefault="000E03FB" w:rsidP="000E03FB">
      <w:pPr>
        <w:spacing w:line="240" w:lineRule="auto"/>
      </w:pPr>
      <w:r>
        <w:t>T</w:t>
      </w:r>
      <w:r w:rsidRPr="00711D10">
        <w:t>alk to your</w:t>
      </w:r>
      <w:r w:rsidRPr="001943C6">
        <w:t xml:space="preserve"> </w:t>
      </w:r>
      <w:r>
        <w:t xml:space="preserve">case worker if </w:t>
      </w:r>
      <w:r w:rsidRPr="00711D10">
        <w:t>you think you might be eligible</w:t>
      </w:r>
      <w:r>
        <w:t xml:space="preserve"> as only case worker</w:t>
      </w:r>
      <w:r w:rsidR="00977D21">
        <w:t>s</w:t>
      </w:r>
      <w:r>
        <w:t xml:space="preserve"> can apply for TILA on your behalf. </w:t>
      </w:r>
    </w:p>
    <w:p w14:paraId="5BD07E1E" w14:textId="3FF25F0B" w:rsidR="000E03FB" w:rsidRDefault="000E03FB" w:rsidP="000E03FB">
      <w:r w:rsidRPr="00711D10">
        <w:t xml:space="preserve">If you don’t have a </w:t>
      </w:r>
      <w:r>
        <w:t xml:space="preserve">case worker, contact your local </w:t>
      </w:r>
      <w:hyperlink r:id="rId11" w:history="1">
        <w:r w:rsidRPr="00EB63DE">
          <w:rPr>
            <w:rStyle w:val="Hyperlink"/>
            <w:sz w:val="24"/>
          </w:rPr>
          <w:t xml:space="preserve">state government department </w:t>
        </w:r>
        <w:r w:rsidR="00977D21">
          <w:rPr>
            <w:rStyle w:val="Hyperlink"/>
            <w:sz w:val="24"/>
          </w:rPr>
          <w:t xml:space="preserve">for </w:t>
        </w:r>
        <w:r w:rsidRPr="00EB63DE">
          <w:rPr>
            <w:rStyle w:val="Hyperlink"/>
            <w:sz w:val="24"/>
          </w:rPr>
          <w:t>child protection</w:t>
        </w:r>
      </w:hyperlink>
      <w:r>
        <w:t xml:space="preserve"> to be assigned </w:t>
      </w:r>
      <w:r w:rsidRPr="00711D10">
        <w:t xml:space="preserve">a </w:t>
      </w:r>
      <w:r w:rsidR="00EC0B74">
        <w:t>case worker:</w:t>
      </w:r>
    </w:p>
    <w:p w14:paraId="688325DA" w14:textId="6D8EBDED" w:rsidR="000E03FB" w:rsidRPr="001A20DA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1A20DA">
        <w:t>A</w:t>
      </w:r>
      <w:r w:rsidR="000346EF">
        <w:t xml:space="preserve">ustralian </w:t>
      </w:r>
      <w:r w:rsidRPr="001A20DA">
        <w:t>C</w:t>
      </w:r>
      <w:r w:rsidR="000346EF">
        <w:t xml:space="preserve">apital </w:t>
      </w:r>
      <w:r w:rsidRPr="001A20DA">
        <w:t>T</w:t>
      </w:r>
      <w:r w:rsidR="000346EF">
        <w:t>erritory</w:t>
      </w:r>
      <w:r w:rsidRPr="001A20DA">
        <w:t xml:space="preserve"> (Community Se</w:t>
      </w:r>
      <w:r w:rsidR="000346EF">
        <w:t>rvices Directorate) – (02) 6207 </w:t>
      </w:r>
      <w:r w:rsidRPr="001A20DA">
        <w:t>4579</w:t>
      </w:r>
    </w:p>
    <w:p w14:paraId="0A501E0D" w14:textId="77777777" w:rsidR="000E03FB" w:rsidRPr="001A20DA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1A20DA">
        <w:t>Northern Territory (Department of Children and Families) – (</w:t>
      </w:r>
      <w:r w:rsidRPr="000738FF">
        <w:rPr>
          <w:rFonts w:cs="Arial"/>
        </w:rPr>
        <w:t>08) 8922 7097</w:t>
      </w:r>
    </w:p>
    <w:p w14:paraId="3E9D83E2" w14:textId="14990670" w:rsidR="000E03FB" w:rsidRPr="001A20DA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1A20DA">
        <w:t>N</w:t>
      </w:r>
      <w:r w:rsidR="000346EF">
        <w:t xml:space="preserve">ew </w:t>
      </w:r>
      <w:r w:rsidRPr="001A20DA">
        <w:t>S</w:t>
      </w:r>
      <w:r w:rsidR="000346EF">
        <w:t xml:space="preserve">outh </w:t>
      </w:r>
      <w:r w:rsidRPr="001A20DA">
        <w:t>W</w:t>
      </w:r>
      <w:r w:rsidR="000346EF">
        <w:t>ales</w:t>
      </w:r>
      <w:r w:rsidRPr="001A20DA">
        <w:t xml:space="preserve"> (Department of Family</w:t>
      </w:r>
      <w:r w:rsidR="000346EF">
        <w:t xml:space="preserve"> and Community Services) – (02) </w:t>
      </w:r>
      <w:r w:rsidRPr="001A20DA">
        <w:t>9716 2222</w:t>
      </w:r>
    </w:p>
    <w:p w14:paraId="3BD9408E" w14:textId="77777777" w:rsidR="000E03FB" w:rsidRPr="00EE490F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  <w:rPr>
          <w:rFonts w:cs="Arial"/>
        </w:rPr>
      </w:pPr>
      <w:r w:rsidRPr="001A20DA">
        <w:t>Queensland (</w:t>
      </w:r>
      <w:r w:rsidRPr="00EE490F">
        <w:rPr>
          <w:bCs/>
        </w:rPr>
        <w:t xml:space="preserve">Department of Communities, Child Safety and Disability Services) </w:t>
      </w:r>
      <w:r w:rsidRPr="001A20DA">
        <w:t>– (07) 3224 8045</w:t>
      </w:r>
    </w:p>
    <w:p w14:paraId="188E5E0E" w14:textId="76C1A809" w:rsidR="00C04956" w:rsidRPr="00C04956" w:rsidRDefault="000E03FB" w:rsidP="00744C13">
      <w:pPr>
        <w:pStyle w:val="ListParagraph"/>
        <w:numPr>
          <w:ilvl w:val="0"/>
          <w:numId w:val="3"/>
        </w:numPr>
        <w:tabs>
          <w:tab w:val="num" w:pos="284"/>
        </w:tabs>
        <w:spacing w:after="0"/>
        <w:ind w:left="714" w:hanging="357"/>
        <w:contextualSpacing w:val="0"/>
      </w:pPr>
      <w:r w:rsidRPr="001A20DA">
        <w:t>South Australia (</w:t>
      </w:r>
      <w:r w:rsidRPr="00EE490F">
        <w:t xml:space="preserve">Department for Education and Child Development) </w:t>
      </w:r>
      <w:r w:rsidRPr="001A20DA">
        <w:t>–</w:t>
      </w:r>
      <w:hyperlink r:id="rId12" w:history="1">
        <w:r w:rsidR="00C04956" w:rsidRPr="00C04956">
          <w:t>hilda.cheng@sa.gov.au</w:t>
        </w:r>
      </w:hyperlink>
      <w:r w:rsidR="00C04956" w:rsidRPr="00C04956">
        <w:t xml:space="preserve"> (link sends e-mail) – (08) 8226 6037</w:t>
      </w:r>
    </w:p>
    <w:p w14:paraId="28BB0A17" w14:textId="45E30960" w:rsidR="000E03FB" w:rsidRPr="001A20DA" w:rsidRDefault="000E03FB" w:rsidP="00C04956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1A20DA">
        <w:t>Tasmania (Department of Health and Human Services)</w:t>
      </w:r>
      <w:r w:rsidR="000937BB" w:rsidRPr="000937BB">
        <w:t xml:space="preserve"> – </w:t>
      </w:r>
      <w:r w:rsidRPr="001A20DA">
        <w:t>(03) 6233 2273</w:t>
      </w:r>
    </w:p>
    <w:p w14:paraId="2A7EE761" w14:textId="77777777" w:rsidR="000E03FB" w:rsidRPr="001A20DA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1A20DA">
        <w:t>Victoria (Department of Human Services) – 1300 532 846</w:t>
      </w:r>
    </w:p>
    <w:p w14:paraId="617F319A" w14:textId="77777777" w:rsidR="000E03FB" w:rsidRDefault="000E03FB" w:rsidP="000E03FB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</w:pPr>
      <w:r w:rsidRPr="001A20DA">
        <w:t>Western Australia (Department for Child Protection and Family Support) –</w:t>
      </w:r>
      <w:r>
        <w:t> </w:t>
      </w:r>
      <w:r w:rsidRPr="001A20DA">
        <w:t>(08)</w:t>
      </w:r>
      <w:r>
        <w:t> </w:t>
      </w:r>
      <w:r w:rsidRPr="001A20DA">
        <w:t>9222</w:t>
      </w:r>
      <w:r>
        <w:t> </w:t>
      </w:r>
      <w:r w:rsidRPr="001A20DA">
        <w:t>2658</w:t>
      </w:r>
      <w:r w:rsidR="002F0449">
        <w:t>.</w:t>
      </w:r>
    </w:p>
    <w:p w14:paraId="679ED814" w14:textId="77777777" w:rsidR="000E03FB" w:rsidRDefault="000E03FB" w:rsidP="000E03FB">
      <w:r>
        <w:t>If you have moved interstate</w:t>
      </w:r>
      <w:r w:rsidR="000937BB">
        <w:t>,</w:t>
      </w:r>
      <w:r>
        <w:t xml:space="preserve"> </w:t>
      </w:r>
      <w:r w:rsidRPr="006F1457">
        <w:t xml:space="preserve">contact the child protection department </w:t>
      </w:r>
      <w:r>
        <w:t>in the state or territory department where you now live.</w:t>
      </w:r>
    </w:p>
    <w:p w14:paraId="53D47020" w14:textId="77777777" w:rsidR="000E03FB" w:rsidRPr="00E5754C" w:rsidRDefault="000E03FB" w:rsidP="000E03FB">
      <w:pPr>
        <w:pStyle w:val="Heading2"/>
        <w:keepNext/>
      </w:pPr>
      <w:r>
        <w:t xml:space="preserve">Step 3: </w:t>
      </w:r>
      <w:bookmarkStart w:id="1" w:name="_Toc382834101"/>
      <w:r>
        <w:t>Create a t</w:t>
      </w:r>
      <w:r w:rsidRPr="00E5754C">
        <w:t>ransition to independence plan</w:t>
      </w:r>
      <w:bookmarkEnd w:id="1"/>
    </w:p>
    <w:p w14:paraId="17DE54F1" w14:textId="31EB7833" w:rsidR="000E03FB" w:rsidRDefault="000E03FB" w:rsidP="000E03FB">
      <w:pPr>
        <w:rPr>
          <w:rFonts w:cs="Arial"/>
        </w:rPr>
      </w:pPr>
      <w:r>
        <w:rPr>
          <w:rFonts w:cs="Arial"/>
        </w:rPr>
        <w:t>To receive TILA you will need to have a transition to independence plan. This</w:t>
      </w:r>
      <w:r w:rsidRPr="00CE5DAF">
        <w:rPr>
          <w:rFonts w:cs="Arial"/>
        </w:rPr>
        <w:t xml:space="preserve"> plan is a record of </w:t>
      </w:r>
      <w:r>
        <w:rPr>
          <w:rFonts w:cs="Arial"/>
        </w:rPr>
        <w:t xml:space="preserve">your </w:t>
      </w:r>
      <w:r w:rsidRPr="00CE5DAF">
        <w:rPr>
          <w:rFonts w:cs="Arial"/>
        </w:rPr>
        <w:t>goals and t</w:t>
      </w:r>
      <w:r w:rsidR="000937BB">
        <w:rPr>
          <w:rFonts w:cs="Arial"/>
        </w:rPr>
        <w:t>he support needed to achieve tho</w:t>
      </w:r>
      <w:r w:rsidRPr="00CE5DAF">
        <w:rPr>
          <w:rFonts w:cs="Arial"/>
        </w:rPr>
        <w:t xml:space="preserve">se goals. </w:t>
      </w:r>
    </w:p>
    <w:p w14:paraId="476D68CF" w14:textId="77777777" w:rsidR="000E03FB" w:rsidRDefault="000E03FB" w:rsidP="000E03FB">
      <w:pPr>
        <w:rPr>
          <w:rFonts w:cs="Arial"/>
        </w:rPr>
      </w:pPr>
      <w:r>
        <w:lastRenderedPageBreak/>
        <w:t>The t</w:t>
      </w:r>
      <w:r w:rsidRPr="00CE5DAF">
        <w:rPr>
          <w:rFonts w:cs="Arial"/>
        </w:rPr>
        <w:t xml:space="preserve">ransition to independence plan </w:t>
      </w:r>
      <w:r>
        <w:rPr>
          <w:rFonts w:cs="Arial"/>
        </w:rPr>
        <w:t xml:space="preserve">will </w:t>
      </w:r>
      <w:r w:rsidRPr="00CE5DAF">
        <w:rPr>
          <w:rFonts w:cs="Arial"/>
        </w:rPr>
        <w:t>consider</w:t>
      </w:r>
      <w:r>
        <w:rPr>
          <w:rFonts w:cs="Arial"/>
        </w:rPr>
        <w:t xml:space="preserve"> your </w:t>
      </w:r>
      <w:r w:rsidRPr="00CE5DAF">
        <w:rPr>
          <w:rFonts w:cs="Arial"/>
        </w:rPr>
        <w:t xml:space="preserve">housing, financial security, health, life skills, education/employment/training, identity and culture, legal matters and social relationships/support networks.  </w:t>
      </w:r>
    </w:p>
    <w:p w14:paraId="4B5A9D13" w14:textId="77777777" w:rsidR="000E03FB" w:rsidRPr="000E3708" w:rsidRDefault="000E03FB" w:rsidP="000E03FB">
      <w:r>
        <w:t>Your case worker</w:t>
      </w:r>
      <w:r w:rsidRPr="00711D10">
        <w:t xml:space="preserve"> </w:t>
      </w:r>
      <w:r>
        <w:t xml:space="preserve">will work with you to develop your transition to independence plan. </w:t>
      </w:r>
    </w:p>
    <w:p w14:paraId="6E48AD81" w14:textId="77777777" w:rsidR="000E03FB" w:rsidRDefault="000E03FB" w:rsidP="000E03FB">
      <w:pPr>
        <w:pStyle w:val="Heading2"/>
      </w:pPr>
      <w:r>
        <w:t>Step 4: A</w:t>
      </w:r>
      <w:r w:rsidRPr="00E636C1">
        <w:t>pply for TILA</w:t>
      </w:r>
    </w:p>
    <w:p w14:paraId="75351244" w14:textId="77777777" w:rsidR="000E03FB" w:rsidRPr="00D55163" w:rsidRDefault="000E03FB" w:rsidP="000E03FB">
      <w:pPr>
        <w:rPr>
          <w:rFonts w:cs="Arial"/>
        </w:rPr>
      </w:pPr>
      <w:r>
        <w:t>If you are eligible</w:t>
      </w:r>
      <w:r w:rsidR="000937BB">
        <w:t>,</w:t>
      </w:r>
      <w:r>
        <w:t xml:space="preserve"> your </w:t>
      </w:r>
      <w:r w:rsidRPr="00377F7D">
        <w:t>case</w:t>
      </w:r>
      <w:r>
        <w:t xml:space="preserve"> </w:t>
      </w:r>
      <w:r w:rsidRPr="00377F7D">
        <w:t>worker will apply for TILA on your behalf and manage the payment for you</w:t>
      </w:r>
      <w:r>
        <w:t>.</w:t>
      </w:r>
      <w:r w:rsidRPr="00D55163">
        <w:rPr>
          <w:rFonts w:cs="Arial"/>
        </w:rPr>
        <w:t xml:space="preserve"> </w:t>
      </w:r>
    </w:p>
    <w:p w14:paraId="100AA3D5" w14:textId="77777777" w:rsidR="000E03FB" w:rsidRPr="00D55163" w:rsidRDefault="000E03FB" w:rsidP="000E03FB">
      <w:pPr>
        <w:pStyle w:val="Header"/>
        <w:pBdr>
          <w:bottom w:val="none" w:sz="0" w:space="0" w:color="auto"/>
        </w:pBdr>
        <w:tabs>
          <w:tab w:val="clear" w:pos="4513"/>
          <w:tab w:val="clear" w:pos="9026"/>
        </w:tabs>
        <w:spacing w:before="0" w:after="0"/>
        <w:rPr>
          <w:rFonts w:ascii="Arial" w:hAnsi="Arial" w:cs="Arial"/>
          <w:color w:val="auto"/>
        </w:rPr>
      </w:pPr>
      <w:r w:rsidRPr="00D55163">
        <w:rPr>
          <w:rFonts w:ascii="Arial" w:hAnsi="Arial" w:cs="Arial"/>
          <w:color w:val="auto"/>
        </w:rPr>
        <w:t>You</w:t>
      </w:r>
      <w:r>
        <w:rPr>
          <w:rFonts w:ascii="Arial" w:hAnsi="Arial" w:cs="Arial"/>
          <w:color w:val="auto"/>
        </w:rPr>
        <w:t xml:space="preserve">r </w:t>
      </w:r>
      <w:r w:rsidRPr="00D55163">
        <w:rPr>
          <w:rFonts w:ascii="Arial" w:hAnsi="Arial" w:cs="Arial"/>
          <w:color w:val="auto"/>
        </w:rPr>
        <w:t xml:space="preserve">case worker must also verify your </w:t>
      </w:r>
      <w:hyperlink r:id="rId13" w:history="1">
        <w:r w:rsidRPr="00E24507">
          <w:rPr>
            <w:rStyle w:val="Hyperlink"/>
            <w:sz w:val="24"/>
          </w:rPr>
          <w:t>eligibility</w:t>
        </w:r>
      </w:hyperlink>
      <w:r w:rsidRPr="00D55163">
        <w:rPr>
          <w:rFonts w:ascii="Arial" w:hAnsi="Arial" w:cs="Arial"/>
          <w:color w:val="auto"/>
        </w:rPr>
        <w:t xml:space="preserve"> by:</w:t>
      </w:r>
    </w:p>
    <w:p w14:paraId="033BCFDD" w14:textId="77777777" w:rsidR="000E03FB" w:rsidRPr="00D55163" w:rsidRDefault="000E03FB" w:rsidP="000E03FB">
      <w:pPr>
        <w:numPr>
          <w:ilvl w:val="0"/>
          <w:numId w:val="1"/>
        </w:numPr>
        <w:spacing w:after="0" w:line="240" w:lineRule="auto"/>
        <w:ind w:left="714" w:hanging="357"/>
        <w:rPr>
          <w:rFonts w:cs="Arial"/>
          <w:b/>
        </w:rPr>
      </w:pPr>
      <w:r w:rsidRPr="00D55163">
        <w:rPr>
          <w:rFonts w:cs="Arial"/>
        </w:rPr>
        <w:t xml:space="preserve">sighting your birth certificate or Australian citizenship certificate </w:t>
      </w:r>
    </w:p>
    <w:p w14:paraId="28A20E94" w14:textId="77777777" w:rsidR="000E03FB" w:rsidRDefault="000E03FB" w:rsidP="000E03FB">
      <w:pPr>
        <w:pStyle w:val="Header"/>
        <w:numPr>
          <w:ilvl w:val="0"/>
          <w:numId w:val="1"/>
        </w:numPr>
        <w:pBdr>
          <w:bottom w:val="none" w:sz="0" w:space="0" w:color="auto"/>
        </w:pBdr>
        <w:tabs>
          <w:tab w:val="clear" w:pos="4513"/>
          <w:tab w:val="clear" w:pos="9026"/>
        </w:tabs>
        <w:spacing w:before="120" w:after="0"/>
        <w:ind w:left="714" w:hanging="357"/>
        <w:rPr>
          <w:rFonts w:ascii="Arial" w:hAnsi="Arial" w:cs="Arial"/>
          <w:color w:val="auto"/>
        </w:rPr>
      </w:pPr>
      <w:r w:rsidRPr="00D55163">
        <w:rPr>
          <w:rFonts w:ascii="Arial" w:hAnsi="Arial" w:cs="Arial"/>
          <w:color w:val="auto"/>
        </w:rPr>
        <w:t xml:space="preserve">confirming </w:t>
      </w:r>
      <w:r>
        <w:rPr>
          <w:rFonts w:ascii="Arial" w:hAnsi="Arial" w:cs="Arial"/>
          <w:color w:val="auto"/>
        </w:rPr>
        <w:t xml:space="preserve">that </w:t>
      </w:r>
      <w:r w:rsidRPr="00D55163">
        <w:rPr>
          <w:rFonts w:ascii="Arial" w:hAnsi="Arial" w:cs="Arial"/>
          <w:color w:val="auto"/>
        </w:rPr>
        <w:t>you have been, or currently are in formal care</w:t>
      </w:r>
      <w:r>
        <w:rPr>
          <w:rFonts w:ascii="Arial" w:hAnsi="Arial" w:cs="Arial"/>
          <w:color w:val="auto"/>
        </w:rPr>
        <w:t>.</w:t>
      </w:r>
      <w:r w:rsidRPr="00D55163">
        <w:rPr>
          <w:rFonts w:ascii="Arial" w:hAnsi="Arial" w:cs="Arial"/>
          <w:color w:val="auto"/>
        </w:rPr>
        <w:t xml:space="preserve"> </w:t>
      </w:r>
    </w:p>
    <w:p w14:paraId="6C160D92" w14:textId="316F0B94" w:rsidR="000E03FB" w:rsidRDefault="000E03FB" w:rsidP="000E03FB">
      <w:r>
        <w:t>Your case worker will help you decide on what the payment will be used for and when and hel</w:t>
      </w:r>
      <w:r w:rsidR="000937BB">
        <w:t>p you to purchase items such as:</w:t>
      </w:r>
    </w:p>
    <w:p w14:paraId="251387A9" w14:textId="77777777" w:rsidR="000E03FB" w:rsidRPr="00B31995" w:rsidRDefault="000E03FB" w:rsidP="000E03FB">
      <w:pPr>
        <w:numPr>
          <w:ilvl w:val="0"/>
          <w:numId w:val="2"/>
        </w:numPr>
        <w:spacing w:after="0" w:line="240" w:lineRule="auto"/>
        <w:ind w:left="777" w:hanging="357"/>
        <w:rPr>
          <w:rFonts w:cs="Arial"/>
        </w:rPr>
      </w:pPr>
      <w:r>
        <w:rPr>
          <w:rFonts w:cs="Arial"/>
        </w:rPr>
        <w:t xml:space="preserve">housing – including </w:t>
      </w:r>
      <w:r w:rsidRPr="00B31995">
        <w:rPr>
          <w:rFonts w:cs="Arial"/>
        </w:rPr>
        <w:t>connecting utilities</w:t>
      </w:r>
      <w:r>
        <w:rPr>
          <w:rFonts w:cs="Arial"/>
        </w:rPr>
        <w:t>,</w:t>
      </w:r>
      <w:r w:rsidRPr="00B31995">
        <w:rPr>
          <w:rFonts w:cs="Arial"/>
        </w:rPr>
        <w:t xml:space="preserve"> moving expenses and bond payment</w:t>
      </w:r>
    </w:p>
    <w:p w14:paraId="79482E57" w14:textId="77777777" w:rsidR="000E03FB" w:rsidRPr="00B31995" w:rsidRDefault="000E03FB" w:rsidP="000E03FB">
      <w:pPr>
        <w:numPr>
          <w:ilvl w:val="0"/>
          <w:numId w:val="2"/>
        </w:numPr>
        <w:spacing w:after="0" w:line="240" w:lineRule="auto"/>
        <w:ind w:left="777" w:hanging="357"/>
        <w:rPr>
          <w:rFonts w:cs="Arial"/>
        </w:rPr>
      </w:pPr>
      <w:r w:rsidRPr="00B31995">
        <w:rPr>
          <w:rFonts w:cs="Arial"/>
        </w:rPr>
        <w:t xml:space="preserve">essential household items </w:t>
      </w:r>
      <w:r>
        <w:rPr>
          <w:rFonts w:cs="Arial"/>
        </w:rPr>
        <w:t xml:space="preserve">– </w:t>
      </w:r>
      <w:r w:rsidRPr="00B31995">
        <w:rPr>
          <w:rFonts w:cs="Arial"/>
        </w:rPr>
        <w:t>including</w:t>
      </w:r>
      <w:r>
        <w:rPr>
          <w:rFonts w:cs="Arial"/>
        </w:rPr>
        <w:t xml:space="preserve"> </w:t>
      </w:r>
      <w:r w:rsidRPr="00B31995">
        <w:rPr>
          <w:rFonts w:cs="Arial"/>
        </w:rPr>
        <w:t>appliances</w:t>
      </w:r>
      <w:r>
        <w:rPr>
          <w:rFonts w:cs="Arial"/>
        </w:rPr>
        <w:t>,</w:t>
      </w:r>
      <w:r w:rsidRPr="00B31995">
        <w:rPr>
          <w:rFonts w:cs="Arial"/>
        </w:rPr>
        <w:t xml:space="preserve"> whitegoods</w:t>
      </w:r>
      <w:r>
        <w:rPr>
          <w:rFonts w:cs="Arial"/>
        </w:rPr>
        <w:t>,</w:t>
      </w:r>
      <w:r w:rsidRPr="00B31995">
        <w:rPr>
          <w:rFonts w:cs="Arial"/>
        </w:rPr>
        <w:t xml:space="preserve"> furniture and consumables</w:t>
      </w:r>
    </w:p>
    <w:p w14:paraId="6126B88A" w14:textId="77777777" w:rsidR="000E03FB" w:rsidRPr="00B31995" w:rsidRDefault="000E03FB" w:rsidP="000E03FB">
      <w:pPr>
        <w:numPr>
          <w:ilvl w:val="0"/>
          <w:numId w:val="2"/>
        </w:numPr>
        <w:spacing w:after="0" w:line="240" w:lineRule="auto"/>
        <w:ind w:left="777" w:hanging="357"/>
        <w:rPr>
          <w:rFonts w:cs="Arial"/>
        </w:rPr>
      </w:pPr>
      <w:r w:rsidRPr="00B31995">
        <w:rPr>
          <w:rFonts w:cs="Arial"/>
        </w:rPr>
        <w:t xml:space="preserve">life skills </w:t>
      </w:r>
      <w:r>
        <w:rPr>
          <w:rFonts w:cs="Arial"/>
        </w:rPr>
        <w:t>training</w:t>
      </w:r>
      <w:r w:rsidRPr="00B31995">
        <w:rPr>
          <w:rFonts w:cs="Arial"/>
        </w:rPr>
        <w:t xml:space="preserve"> </w:t>
      </w:r>
      <w:r>
        <w:rPr>
          <w:rFonts w:cs="Arial"/>
        </w:rPr>
        <w:t xml:space="preserve">– including </w:t>
      </w:r>
      <w:r w:rsidRPr="00B31995">
        <w:rPr>
          <w:rFonts w:cs="Arial"/>
        </w:rPr>
        <w:t>financial/budgeting</w:t>
      </w:r>
      <w:r>
        <w:rPr>
          <w:rFonts w:cs="Arial"/>
        </w:rPr>
        <w:t xml:space="preserve">, </w:t>
      </w:r>
      <w:r w:rsidRPr="00B31995">
        <w:rPr>
          <w:rFonts w:cs="Arial"/>
        </w:rPr>
        <w:t>nutrition/cooking</w:t>
      </w:r>
      <w:r>
        <w:rPr>
          <w:rFonts w:cs="Arial"/>
        </w:rPr>
        <w:t xml:space="preserve"> and </w:t>
      </w:r>
      <w:r w:rsidRPr="00B31995">
        <w:rPr>
          <w:rFonts w:cs="Arial"/>
        </w:rPr>
        <w:t>home</w:t>
      </w:r>
      <w:r>
        <w:rPr>
          <w:rFonts w:cs="Arial"/>
        </w:rPr>
        <w:t xml:space="preserve"> maintenance</w:t>
      </w:r>
    </w:p>
    <w:p w14:paraId="2582666B" w14:textId="77777777" w:rsidR="000E03FB" w:rsidRPr="00B31995" w:rsidRDefault="000E03FB" w:rsidP="000E03FB">
      <w:pPr>
        <w:numPr>
          <w:ilvl w:val="0"/>
          <w:numId w:val="2"/>
        </w:numPr>
        <w:spacing w:after="0" w:line="240" w:lineRule="auto"/>
        <w:ind w:left="777" w:hanging="357"/>
        <w:rPr>
          <w:rFonts w:cs="Arial"/>
        </w:rPr>
      </w:pPr>
      <w:r w:rsidRPr="00B31995">
        <w:rPr>
          <w:rFonts w:cs="Arial"/>
        </w:rPr>
        <w:t>employment</w:t>
      </w:r>
      <w:r>
        <w:rPr>
          <w:rFonts w:cs="Arial"/>
        </w:rPr>
        <w:t xml:space="preserve">, </w:t>
      </w:r>
      <w:r w:rsidRPr="00B31995">
        <w:rPr>
          <w:rFonts w:cs="Arial"/>
        </w:rPr>
        <w:t xml:space="preserve">education </w:t>
      </w:r>
      <w:r>
        <w:rPr>
          <w:rFonts w:cs="Arial"/>
        </w:rPr>
        <w:t>and</w:t>
      </w:r>
      <w:r w:rsidRPr="00B31995">
        <w:rPr>
          <w:rFonts w:cs="Arial"/>
        </w:rPr>
        <w:t xml:space="preserve"> training </w:t>
      </w:r>
      <w:r>
        <w:rPr>
          <w:rFonts w:cs="Arial"/>
        </w:rPr>
        <w:t>expenses</w:t>
      </w:r>
      <w:r w:rsidRPr="00B31995">
        <w:rPr>
          <w:rFonts w:cs="Arial"/>
        </w:rPr>
        <w:t xml:space="preserve"> </w:t>
      </w:r>
      <w:r>
        <w:rPr>
          <w:rFonts w:cs="Arial"/>
        </w:rPr>
        <w:t xml:space="preserve">– including </w:t>
      </w:r>
      <w:r w:rsidRPr="00B31995">
        <w:rPr>
          <w:rFonts w:cs="Arial"/>
        </w:rPr>
        <w:t>books</w:t>
      </w:r>
      <w:r>
        <w:rPr>
          <w:rFonts w:cs="Arial"/>
        </w:rPr>
        <w:t xml:space="preserve">, a </w:t>
      </w:r>
      <w:r w:rsidRPr="00B31995">
        <w:rPr>
          <w:rFonts w:cs="Arial"/>
        </w:rPr>
        <w:t>computer</w:t>
      </w:r>
      <w:r>
        <w:rPr>
          <w:rFonts w:cs="Arial"/>
        </w:rPr>
        <w:t>,</w:t>
      </w:r>
      <w:r w:rsidRPr="00B31995">
        <w:rPr>
          <w:rFonts w:cs="Arial"/>
        </w:rPr>
        <w:t xml:space="preserve"> enrolment fees</w:t>
      </w:r>
      <w:r>
        <w:rPr>
          <w:rFonts w:cs="Arial"/>
        </w:rPr>
        <w:t>,</w:t>
      </w:r>
      <w:r w:rsidRPr="00B31995">
        <w:rPr>
          <w:rFonts w:cs="Arial"/>
        </w:rPr>
        <w:t xml:space="preserve"> internet connection</w:t>
      </w:r>
      <w:r>
        <w:rPr>
          <w:rFonts w:cs="Arial"/>
        </w:rPr>
        <w:t>,</w:t>
      </w:r>
      <w:r w:rsidRPr="00B31995">
        <w:rPr>
          <w:rFonts w:cs="Arial"/>
        </w:rPr>
        <w:t xml:space="preserve"> clothing for work or interview</w:t>
      </w:r>
      <w:r>
        <w:rPr>
          <w:rFonts w:cs="Arial"/>
        </w:rPr>
        <w:t xml:space="preserve"> and </w:t>
      </w:r>
      <w:r w:rsidRPr="00B31995">
        <w:rPr>
          <w:rFonts w:cs="Arial"/>
        </w:rPr>
        <w:t xml:space="preserve">transport to undertake studies or employment </w:t>
      </w:r>
    </w:p>
    <w:p w14:paraId="169FDA02" w14:textId="77777777" w:rsidR="000E03FB" w:rsidRPr="00B31995" w:rsidRDefault="000E03FB" w:rsidP="000E03FB">
      <w:pPr>
        <w:numPr>
          <w:ilvl w:val="0"/>
          <w:numId w:val="2"/>
        </w:numPr>
        <w:spacing w:after="0" w:line="240" w:lineRule="auto"/>
        <w:ind w:left="777" w:hanging="357"/>
        <w:rPr>
          <w:rFonts w:cs="Arial"/>
        </w:rPr>
      </w:pPr>
      <w:r w:rsidRPr="00B31995">
        <w:rPr>
          <w:rFonts w:cs="Arial"/>
        </w:rPr>
        <w:t xml:space="preserve">one-off transport expenses </w:t>
      </w:r>
      <w:r>
        <w:rPr>
          <w:rFonts w:cs="Arial"/>
        </w:rPr>
        <w:t xml:space="preserve">– including </w:t>
      </w:r>
      <w:r w:rsidRPr="00B31995">
        <w:rPr>
          <w:rFonts w:cs="Arial"/>
        </w:rPr>
        <w:t xml:space="preserve">driving lessons </w:t>
      </w:r>
      <w:r>
        <w:rPr>
          <w:rFonts w:cs="Arial"/>
        </w:rPr>
        <w:t>and</w:t>
      </w:r>
      <w:r w:rsidRPr="00B31995">
        <w:rPr>
          <w:rFonts w:cs="Arial"/>
        </w:rPr>
        <w:t xml:space="preserve"> vehicle registration </w:t>
      </w:r>
    </w:p>
    <w:p w14:paraId="0D7B4EFA" w14:textId="77777777" w:rsidR="000E03FB" w:rsidRPr="00B31995" w:rsidRDefault="000E03FB" w:rsidP="000E03FB">
      <w:pPr>
        <w:numPr>
          <w:ilvl w:val="0"/>
          <w:numId w:val="2"/>
        </w:numPr>
        <w:spacing w:after="0" w:line="240" w:lineRule="auto"/>
        <w:ind w:left="777" w:hanging="357"/>
        <w:rPr>
          <w:rFonts w:cs="Arial"/>
        </w:rPr>
      </w:pPr>
      <w:r w:rsidRPr="00B31995">
        <w:rPr>
          <w:rFonts w:cs="Arial"/>
        </w:rPr>
        <w:t xml:space="preserve">public transport passes or other essential items that support </w:t>
      </w:r>
      <w:r>
        <w:rPr>
          <w:rFonts w:cs="Arial"/>
        </w:rPr>
        <w:t xml:space="preserve">a young person to access </w:t>
      </w:r>
      <w:r w:rsidRPr="00B31995">
        <w:rPr>
          <w:rFonts w:cs="Arial"/>
        </w:rPr>
        <w:t>the above</w:t>
      </w:r>
    </w:p>
    <w:p w14:paraId="4E9194E7" w14:textId="77777777" w:rsidR="000E03FB" w:rsidRPr="00B31995" w:rsidRDefault="000E03FB" w:rsidP="000E03FB">
      <w:pPr>
        <w:numPr>
          <w:ilvl w:val="0"/>
          <w:numId w:val="2"/>
        </w:numPr>
        <w:spacing w:after="0" w:line="240" w:lineRule="auto"/>
        <w:ind w:left="777" w:hanging="357"/>
        <w:rPr>
          <w:rFonts w:cs="Arial"/>
        </w:rPr>
      </w:pPr>
      <w:r w:rsidRPr="00B31995">
        <w:rPr>
          <w:rFonts w:cs="Arial"/>
        </w:rPr>
        <w:t xml:space="preserve">counselling </w:t>
      </w:r>
      <w:r>
        <w:rPr>
          <w:rFonts w:cs="Arial"/>
        </w:rPr>
        <w:t xml:space="preserve">support – </w:t>
      </w:r>
      <w:r w:rsidRPr="00B31995">
        <w:rPr>
          <w:rFonts w:cs="Arial"/>
        </w:rPr>
        <w:t xml:space="preserve">to address </w:t>
      </w:r>
      <w:r>
        <w:rPr>
          <w:rFonts w:cs="Arial"/>
        </w:rPr>
        <w:t xml:space="preserve">any </w:t>
      </w:r>
      <w:r w:rsidRPr="00B31995">
        <w:rPr>
          <w:rFonts w:cs="Arial"/>
        </w:rPr>
        <w:t>issues identified in the transition to independence plan.</w:t>
      </w:r>
    </w:p>
    <w:p w14:paraId="420A31B8" w14:textId="77777777" w:rsidR="000E03FB" w:rsidRPr="00D55163" w:rsidRDefault="000E03FB" w:rsidP="000E03FB">
      <w:pPr>
        <w:rPr>
          <w:rFonts w:cs="Arial"/>
        </w:rPr>
      </w:pPr>
      <w:r w:rsidRPr="00D55163">
        <w:rPr>
          <w:rFonts w:cs="Arial"/>
        </w:rPr>
        <w:t xml:space="preserve">Once the application has been processed you will receive a letter </w:t>
      </w:r>
      <w:r>
        <w:rPr>
          <w:rFonts w:cs="Arial"/>
        </w:rPr>
        <w:t xml:space="preserve">which will be sent to </w:t>
      </w:r>
      <w:r w:rsidRPr="00D55163">
        <w:rPr>
          <w:rFonts w:cs="Arial"/>
        </w:rPr>
        <w:t>the address you provided</w:t>
      </w:r>
      <w:r>
        <w:rPr>
          <w:rFonts w:cs="Arial"/>
        </w:rPr>
        <w:t xml:space="preserve"> to your case worker</w:t>
      </w:r>
      <w:r w:rsidRPr="00D55163">
        <w:rPr>
          <w:rFonts w:cs="Arial"/>
        </w:rPr>
        <w:t>.</w:t>
      </w:r>
    </w:p>
    <w:p w14:paraId="1C22247B" w14:textId="77777777" w:rsidR="000E03FB" w:rsidRDefault="000E03FB" w:rsidP="000E03FB">
      <w:pPr>
        <w:pStyle w:val="Heading2"/>
      </w:pPr>
      <w:r w:rsidRPr="009A5A5D">
        <w:t xml:space="preserve">Step </w:t>
      </w:r>
      <w:r>
        <w:t>5</w:t>
      </w:r>
      <w:r w:rsidRPr="009A5A5D">
        <w:t xml:space="preserve">. </w:t>
      </w:r>
      <w:r>
        <w:t>Receive TILA payment</w:t>
      </w:r>
    </w:p>
    <w:p w14:paraId="64DE44D8" w14:textId="77777777" w:rsidR="00EC2E65" w:rsidRPr="00EC2E65" w:rsidRDefault="00EC2E65" w:rsidP="00EC2E65">
      <w:r w:rsidRPr="00EC2E65">
        <w:t xml:space="preserve">TILA will be paid as a lump sum ($1,500) or in up to six instalments (minimum of $250 per application) as agreed between you and your case worker. </w:t>
      </w:r>
    </w:p>
    <w:p w14:paraId="3E03FB38" w14:textId="77777777" w:rsidR="00EC2E65" w:rsidRPr="00EC2E65" w:rsidRDefault="00E24507" w:rsidP="00EC2E65">
      <w:r>
        <w:t xml:space="preserve">You will </w:t>
      </w:r>
      <w:r w:rsidR="00EC2E65" w:rsidRPr="00EC2E65">
        <w:t>not directly receive a TILA payment.</w:t>
      </w:r>
    </w:p>
    <w:p w14:paraId="39C96AA3" w14:textId="2816F26D" w:rsidR="00EC2E65" w:rsidRPr="00EC2E65" w:rsidRDefault="00EC2E65" w:rsidP="00744C13">
      <w:r w:rsidRPr="00DF1EE7">
        <w:t>The TILA payment wi</w:t>
      </w:r>
      <w:r w:rsidRPr="00EC2E65">
        <w:t xml:space="preserve">ll be electronically transferred to </w:t>
      </w:r>
      <w:r w:rsidRPr="00DF1EE7">
        <w:t>your case wor</w:t>
      </w:r>
      <w:r w:rsidRPr="00EC2E65">
        <w:t>ker organisation’s bank account or to the department. Your</w:t>
      </w:r>
      <w:r w:rsidRPr="00DF1EE7">
        <w:t xml:space="preserve"> case worker’s organisation </w:t>
      </w:r>
      <w:r w:rsidRPr="00EC2E65">
        <w:t xml:space="preserve">or the department </w:t>
      </w:r>
      <w:r w:rsidRPr="00DF1EE7">
        <w:t xml:space="preserve">will make the purchases on your behalf. </w:t>
      </w:r>
    </w:p>
    <w:p w14:paraId="7F0CBA24" w14:textId="77777777" w:rsidR="000E03FB" w:rsidRPr="00C573AD" w:rsidRDefault="000E03FB" w:rsidP="00744C13">
      <w:pPr>
        <w:pStyle w:val="Heading2"/>
        <w:keepNext/>
      </w:pPr>
      <w:r w:rsidRPr="00C573AD">
        <w:t xml:space="preserve">More information </w:t>
      </w:r>
    </w:p>
    <w:p w14:paraId="264DE97F" w14:textId="0DFF0F81" w:rsidR="007B0256" w:rsidRPr="00744C13" w:rsidRDefault="000E03FB" w:rsidP="00977D21">
      <w:pPr>
        <w:rPr>
          <w:rStyle w:val="BookTitle"/>
          <w:i w:val="0"/>
          <w:smallCaps w:val="0"/>
          <w:color w:val="2C2A29"/>
          <w:spacing w:val="4"/>
          <w:lang w:val="en"/>
        </w:rPr>
      </w:pPr>
      <w:r w:rsidRPr="00B2098F">
        <w:rPr>
          <w:rFonts w:cs="Arial"/>
          <w:color w:val="2C2A29"/>
          <w:lang w:val="en"/>
        </w:rPr>
        <w:t xml:space="preserve">You can find more information on TILA and other </w:t>
      </w:r>
      <w:hyperlink r:id="rId14" w:history="1">
        <w:r w:rsidR="00B2098F" w:rsidRPr="00744C13">
          <w:rPr>
            <w:rStyle w:val="Hyperlink"/>
            <w:sz w:val="24"/>
          </w:rPr>
          <w:t>Support services for young people moving to independent living</w:t>
        </w:r>
      </w:hyperlink>
      <w:r w:rsidR="00B2098F">
        <w:rPr>
          <w:rFonts w:cs="Arial"/>
          <w:color w:val="2C2A29"/>
          <w:lang w:val="en"/>
        </w:rPr>
        <w:t xml:space="preserve"> at </w:t>
      </w:r>
      <w:hyperlink r:id="rId15" w:history="1">
        <w:r w:rsidR="00B2098F" w:rsidRPr="00E721E8">
          <w:rPr>
            <w:rStyle w:val="Hyperlink"/>
            <w:rFonts w:cs="Arial"/>
            <w:sz w:val="24"/>
            <w:lang w:val="en"/>
          </w:rPr>
          <w:t>www.dss.gov.au/TILA.</w:t>
        </w:r>
      </w:hyperlink>
      <w:r w:rsidRPr="00B2098F">
        <w:rPr>
          <w:rStyle w:val="Hyperlink"/>
          <w:sz w:val="24"/>
        </w:rPr>
        <w:t xml:space="preserve"> </w:t>
      </w:r>
      <w:bookmarkStart w:id="2" w:name="_Toc338837586"/>
      <w:bookmarkStart w:id="3" w:name="_Toc338837760"/>
      <w:bookmarkStart w:id="4" w:name="_Toc338837587"/>
      <w:bookmarkStart w:id="5" w:name="_Toc338837761"/>
      <w:bookmarkStart w:id="6" w:name="_Toc338837588"/>
      <w:bookmarkStart w:id="7" w:name="_Toc338837762"/>
      <w:bookmarkStart w:id="8" w:name="_Toc338837589"/>
      <w:bookmarkStart w:id="9" w:name="_Toc338837763"/>
      <w:bookmarkStart w:id="10" w:name="_Toc338837590"/>
      <w:bookmarkStart w:id="11" w:name="_Toc338837764"/>
      <w:bookmarkStart w:id="12" w:name="_Toc338837591"/>
      <w:bookmarkStart w:id="13" w:name="_Toc338837765"/>
      <w:bookmarkStart w:id="14" w:name="_Toc338837592"/>
      <w:bookmarkStart w:id="15" w:name="_Toc338837766"/>
      <w:bookmarkStart w:id="16" w:name="_Toc338837593"/>
      <w:bookmarkStart w:id="17" w:name="_Toc338837767"/>
      <w:bookmarkStart w:id="18" w:name="_Toc338837594"/>
      <w:bookmarkStart w:id="19" w:name="_Toc338837768"/>
      <w:bookmarkStart w:id="20" w:name="_Toc338837595"/>
      <w:bookmarkStart w:id="21" w:name="_Toc338837769"/>
      <w:bookmarkStart w:id="22" w:name="_Toc338837596"/>
      <w:bookmarkStart w:id="23" w:name="_Toc338837770"/>
      <w:bookmarkStart w:id="24" w:name="_Toc338837597"/>
      <w:bookmarkStart w:id="25" w:name="_Toc338837771"/>
      <w:bookmarkStart w:id="26" w:name="_Toc338837598"/>
      <w:bookmarkStart w:id="27" w:name="_Toc338837772"/>
      <w:bookmarkStart w:id="28" w:name="_Toc338837599"/>
      <w:bookmarkStart w:id="29" w:name="_Toc338837773"/>
      <w:bookmarkStart w:id="30" w:name="_Toc338837600"/>
      <w:bookmarkStart w:id="31" w:name="_Toc338837774"/>
      <w:bookmarkStart w:id="32" w:name="_Toc338837601"/>
      <w:bookmarkStart w:id="33" w:name="_Toc338837775"/>
      <w:bookmarkStart w:id="34" w:name="_Toc338837602"/>
      <w:bookmarkStart w:id="35" w:name="_Toc338837776"/>
      <w:bookmarkStart w:id="36" w:name="_Toc338837603"/>
      <w:bookmarkStart w:id="37" w:name="_Toc338837777"/>
      <w:bookmarkStart w:id="38" w:name="_Toc338837604"/>
      <w:bookmarkStart w:id="39" w:name="_Toc338837778"/>
      <w:bookmarkStart w:id="40" w:name="_Toc338837605"/>
      <w:bookmarkStart w:id="41" w:name="_Toc338837779"/>
      <w:bookmarkStart w:id="42" w:name="_Toc338837606"/>
      <w:bookmarkStart w:id="43" w:name="_Toc338837780"/>
      <w:bookmarkStart w:id="44" w:name="_Toc338837607"/>
      <w:bookmarkStart w:id="45" w:name="_Toc338837781"/>
      <w:bookmarkStart w:id="46" w:name="_Toc338837608"/>
      <w:bookmarkStart w:id="47" w:name="_Toc338837782"/>
      <w:bookmarkStart w:id="48" w:name="_Toc338837609"/>
      <w:bookmarkStart w:id="49" w:name="_Toc338837783"/>
      <w:bookmarkStart w:id="50" w:name="_Toc338837610"/>
      <w:bookmarkStart w:id="51" w:name="_Toc338837784"/>
      <w:bookmarkStart w:id="52" w:name="_Toc338837611"/>
      <w:bookmarkStart w:id="53" w:name="_Toc338837785"/>
      <w:bookmarkStart w:id="54" w:name="_Toc338837612"/>
      <w:bookmarkStart w:id="55" w:name="_Toc338837786"/>
      <w:bookmarkStart w:id="56" w:name="_Toc338837613"/>
      <w:bookmarkStart w:id="57" w:name="_Toc338837787"/>
      <w:bookmarkStart w:id="58" w:name="_Toc338837614"/>
      <w:bookmarkStart w:id="59" w:name="_Toc338837788"/>
      <w:bookmarkStart w:id="60" w:name="_Toc338837615"/>
      <w:bookmarkStart w:id="61" w:name="_Toc338837789"/>
      <w:bookmarkStart w:id="62" w:name="_Toc338837616"/>
      <w:bookmarkStart w:id="63" w:name="_Toc338837790"/>
      <w:bookmarkStart w:id="64" w:name="_Toc338837617"/>
      <w:bookmarkStart w:id="65" w:name="_Toc338837791"/>
      <w:bookmarkStart w:id="66" w:name="_Toc338837618"/>
      <w:bookmarkStart w:id="67" w:name="_Toc338837792"/>
      <w:bookmarkStart w:id="68" w:name="_Toc338837619"/>
      <w:bookmarkStart w:id="69" w:name="_Toc338837793"/>
      <w:bookmarkStart w:id="70" w:name="_Toc338837620"/>
      <w:bookmarkStart w:id="71" w:name="_Toc338837794"/>
      <w:bookmarkStart w:id="72" w:name="_Toc338837621"/>
      <w:bookmarkStart w:id="73" w:name="_Toc338837795"/>
      <w:bookmarkStart w:id="74" w:name="_Toc338837622"/>
      <w:bookmarkStart w:id="75" w:name="_Toc338837796"/>
      <w:bookmarkStart w:id="76" w:name="_Toc338837623"/>
      <w:bookmarkStart w:id="77" w:name="_Toc338837797"/>
      <w:bookmarkStart w:id="78" w:name="_Toc338837624"/>
      <w:bookmarkStart w:id="79" w:name="_Toc338837798"/>
      <w:bookmarkStart w:id="80" w:name="_Toc338837625"/>
      <w:bookmarkStart w:id="81" w:name="_Toc338837799"/>
      <w:bookmarkStart w:id="82" w:name="_Toc338837626"/>
      <w:bookmarkStart w:id="83" w:name="_Toc338837800"/>
      <w:bookmarkStart w:id="84" w:name="_Toc338837627"/>
      <w:bookmarkStart w:id="85" w:name="_Toc338837801"/>
      <w:bookmarkStart w:id="86" w:name="_Toc338837628"/>
      <w:bookmarkStart w:id="87" w:name="_Toc338837802"/>
      <w:bookmarkStart w:id="88" w:name="_Toc338837629"/>
      <w:bookmarkStart w:id="89" w:name="_Toc338837803"/>
      <w:bookmarkStart w:id="90" w:name="_Toc338837630"/>
      <w:bookmarkStart w:id="91" w:name="_Toc338837804"/>
      <w:bookmarkStart w:id="92" w:name="_Toc338837631"/>
      <w:bookmarkStart w:id="93" w:name="_Toc338837805"/>
      <w:bookmarkStart w:id="94" w:name="_Toc338837632"/>
      <w:bookmarkStart w:id="95" w:name="_Toc338837806"/>
      <w:bookmarkStart w:id="96" w:name="_Toc338837633"/>
      <w:bookmarkStart w:id="97" w:name="_Toc338837807"/>
      <w:bookmarkStart w:id="98" w:name="_Toc338837634"/>
      <w:bookmarkStart w:id="99" w:name="_Toc338837808"/>
      <w:bookmarkStart w:id="100" w:name="_Toc338837635"/>
      <w:bookmarkStart w:id="101" w:name="_Toc338837809"/>
      <w:bookmarkStart w:id="102" w:name="_Toc338837636"/>
      <w:bookmarkStart w:id="103" w:name="_Toc338837810"/>
      <w:bookmarkStart w:id="104" w:name="_Toc338837637"/>
      <w:bookmarkStart w:id="105" w:name="_Toc338837811"/>
      <w:bookmarkStart w:id="106" w:name="_Toc338837638"/>
      <w:bookmarkStart w:id="107" w:name="_Toc338837812"/>
      <w:bookmarkStart w:id="108" w:name="_Toc338837639"/>
      <w:bookmarkStart w:id="109" w:name="_Toc338837813"/>
      <w:bookmarkStart w:id="110" w:name="_Toc338837640"/>
      <w:bookmarkStart w:id="111" w:name="_Toc338837814"/>
      <w:bookmarkStart w:id="112" w:name="_Toc338837641"/>
      <w:bookmarkStart w:id="113" w:name="_Toc338837815"/>
      <w:bookmarkStart w:id="114" w:name="_Toc36900504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sectPr w:rsidR="007B0256" w:rsidRPr="00744C13" w:rsidSect="00561A6B">
      <w:headerReference w:type="default" r:id="rId16"/>
      <w:footerReference w:type="default" r:id="rId17"/>
      <w:footerReference w:type="first" r:id="rId18"/>
      <w:pgSz w:w="11906" w:h="16838"/>
      <w:pgMar w:top="851" w:right="1134" w:bottom="851" w:left="1134" w:header="284" w:footer="45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77B1F" w14:textId="77777777" w:rsidR="00DF1EE7" w:rsidRDefault="00DF1EE7">
      <w:pPr>
        <w:spacing w:before="0" w:after="0" w:line="240" w:lineRule="auto"/>
      </w:pPr>
      <w:r>
        <w:separator/>
      </w:r>
    </w:p>
  </w:endnote>
  <w:endnote w:type="continuationSeparator" w:id="0">
    <w:p w14:paraId="5DA586FB" w14:textId="77777777" w:rsidR="00DF1EE7" w:rsidRDefault="00DF1EE7">
      <w:pPr>
        <w:spacing w:before="0" w:after="0" w:line="240" w:lineRule="auto"/>
      </w:pPr>
      <w:r>
        <w:continuationSeparator/>
      </w:r>
    </w:p>
  </w:endnote>
  <w:endnote w:type="continuationNotice" w:id="1">
    <w:p w14:paraId="609BE948" w14:textId="77777777" w:rsidR="00DF1EE7" w:rsidRDefault="00DF1EE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EBB4A" w14:textId="77777777" w:rsidR="00DF1EE7" w:rsidRDefault="00DF1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6EB4" w14:textId="54149C15" w:rsidR="007C483F" w:rsidRDefault="00686D7F" w:rsidP="008E32D4">
    <w:pPr>
      <w:pStyle w:val="Footer"/>
      <w:jc w:val="center"/>
    </w:pPr>
  </w:p>
  <w:p w14:paraId="1CBAA065" w14:textId="77777777" w:rsidR="007C483F" w:rsidRDefault="00686D7F" w:rsidP="00B10EB1">
    <w:pPr>
      <w:pStyle w:val="Footer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613CB" w14:textId="77777777" w:rsidR="00DF1EE7" w:rsidRDefault="00DF1EE7">
      <w:pPr>
        <w:spacing w:before="0" w:after="0" w:line="240" w:lineRule="auto"/>
      </w:pPr>
      <w:r>
        <w:separator/>
      </w:r>
    </w:p>
  </w:footnote>
  <w:footnote w:type="continuationSeparator" w:id="0">
    <w:p w14:paraId="5A8AD1FE" w14:textId="77777777" w:rsidR="00DF1EE7" w:rsidRDefault="00DF1EE7">
      <w:pPr>
        <w:spacing w:before="0" w:after="0" w:line="240" w:lineRule="auto"/>
      </w:pPr>
      <w:r>
        <w:continuationSeparator/>
      </w:r>
    </w:p>
  </w:footnote>
  <w:footnote w:type="continuationNotice" w:id="1">
    <w:p w14:paraId="3DF9BDAE" w14:textId="77777777" w:rsidR="00DF1EE7" w:rsidRDefault="00DF1EE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75A21" w14:textId="77777777" w:rsidR="00DF1EE7" w:rsidRDefault="00DF1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056"/>
    <w:multiLevelType w:val="hybridMultilevel"/>
    <w:tmpl w:val="CE68E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B0F90"/>
    <w:multiLevelType w:val="hybridMultilevel"/>
    <w:tmpl w:val="69069FDA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73F3745"/>
    <w:multiLevelType w:val="hybridMultilevel"/>
    <w:tmpl w:val="10E2F8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F4F79"/>
    <w:multiLevelType w:val="multilevel"/>
    <w:tmpl w:val="35AEC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FB"/>
    <w:rsid w:val="000346EF"/>
    <w:rsid w:val="00091D7F"/>
    <w:rsid w:val="000937BB"/>
    <w:rsid w:val="000E03FB"/>
    <w:rsid w:val="00124EA3"/>
    <w:rsid w:val="001E3F9C"/>
    <w:rsid w:val="001E630D"/>
    <w:rsid w:val="002311F7"/>
    <w:rsid w:val="002A0F88"/>
    <w:rsid w:val="002F0449"/>
    <w:rsid w:val="003B2BB8"/>
    <w:rsid w:val="003D34FF"/>
    <w:rsid w:val="004B54CA"/>
    <w:rsid w:val="004E5CBF"/>
    <w:rsid w:val="00561A6B"/>
    <w:rsid w:val="00582A79"/>
    <w:rsid w:val="005C3AA9"/>
    <w:rsid w:val="006104BD"/>
    <w:rsid w:val="00686D7F"/>
    <w:rsid w:val="006A4CE7"/>
    <w:rsid w:val="00715F98"/>
    <w:rsid w:val="00744C13"/>
    <w:rsid w:val="00774EC9"/>
    <w:rsid w:val="00785261"/>
    <w:rsid w:val="007B0256"/>
    <w:rsid w:val="00806960"/>
    <w:rsid w:val="00853D0B"/>
    <w:rsid w:val="00854657"/>
    <w:rsid w:val="00855DCC"/>
    <w:rsid w:val="008A01C9"/>
    <w:rsid w:val="0090554D"/>
    <w:rsid w:val="009121DA"/>
    <w:rsid w:val="009225F0"/>
    <w:rsid w:val="009268BD"/>
    <w:rsid w:val="00977D21"/>
    <w:rsid w:val="00AF7277"/>
    <w:rsid w:val="00B2098F"/>
    <w:rsid w:val="00B55046"/>
    <w:rsid w:val="00B73D46"/>
    <w:rsid w:val="00BA2DB9"/>
    <w:rsid w:val="00BE7148"/>
    <w:rsid w:val="00C04956"/>
    <w:rsid w:val="00C523D5"/>
    <w:rsid w:val="00CA142A"/>
    <w:rsid w:val="00D736EF"/>
    <w:rsid w:val="00DE2029"/>
    <w:rsid w:val="00DF1EE7"/>
    <w:rsid w:val="00E128D3"/>
    <w:rsid w:val="00E24507"/>
    <w:rsid w:val="00E721E8"/>
    <w:rsid w:val="00E963A2"/>
    <w:rsid w:val="00EB63DE"/>
    <w:rsid w:val="00EC0B74"/>
    <w:rsid w:val="00EC2E65"/>
    <w:rsid w:val="00EC64E0"/>
    <w:rsid w:val="00E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FB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E03FB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0E03FB"/>
    <w:rPr>
      <w:rFonts w:ascii="Georgia" w:eastAsia="Times New Roman" w:hAnsi="Georgia" w:cs="Times New Roman"/>
      <w:color w:val="24596E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E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FB"/>
    <w:rPr>
      <w:rFonts w:ascii="Arial" w:eastAsia="Times New Roman" w:hAnsi="Arial" w:cs="Times New Roman"/>
      <w:spacing w:val="4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0E03FB"/>
    <w:rPr>
      <w:rFonts w:ascii="Arial" w:hAnsi="Arial"/>
      <w:b w:val="0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FB"/>
    <w:rPr>
      <w:rFonts w:ascii="Tahoma" w:eastAsia="Times New Roman" w:hAnsi="Tahoma" w:cs="Tahoma"/>
      <w:spacing w:val="4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2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DA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DA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EC2E65"/>
    <w:pPr>
      <w:spacing w:before="240" w:after="240" w:line="384" w:lineRule="atLeast"/>
    </w:pPr>
    <w:rPr>
      <w:rFonts w:ascii="Times New Roman" w:hAnsi="Times New Roman"/>
      <w:spacing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721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FB"/>
    <w:pPr>
      <w:spacing w:before="120" w:after="180" w:line="280" w:lineRule="atLeast"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0E03FB"/>
    <w:pPr>
      <w:pBdr>
        <w:bottom w:val="single" w:sz="18" w:space="1" w:color="24596E"/>
      </w:pBdr>
      <w:tabs>
        <w:tab w:val="center" w:pos="4513"/>
        <w:tab w:val="right" w:pos="9026"/>
      </w:tabs>
      <w:spacing w:before="600" w:after="720" w:line="240" w:lineRule="auto"/>
    </w:pPr>
    <w:rPr>
      <w:rFonts w:ascii="Georgia" w:hAnsi="Georgia"/>
      <w:color w:val="24596E"/>
    </w:rPr>
  </w:style>
  <w:style w:type="character" w:customStyle="1" w:styleId="HeaderChar">
    <w:name w:val="Header Char"/>
    <w:basedOn w:val="DefaultParagraphFont"/>
    <w:link w:val="Header"/>
    <w:uiPriority w:val="99"/>
    <w:rsid w:val="000E03FB"/>
    <w:rPr>
      <w:rFonts w:ascii="Georgia" w:eastAsia="Times New Roman" w:hAnsi="Georgia" w:cs="Times New Roman"/>
      <w:color w:val="24596E"/>
      <w:spacing w:val="4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E0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FB"/>
    <w:rPr>
      <w:rFonts w:ascii="Arial" w:eastAsia="Times New Roman" w:hAnsi="Arial" w:cs="Times New Roman"/>
      <w:spacing w:val="4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0E03FB"/>
    <w:rPr>
      <w:rFonts w:ascii="Arial" w:hAnsi="Arial"/>
      <w:b w:val="0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F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FB"/>
    <w:rPr>
      <w:rFonts w:ascii="Tahoma" w:eastAsia="Times New Roman" w:hAnsi="Tahoma" w:cs="Tahoma"/>
      <w:spacing w:val="4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12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1DA"/>
    <w:rPr>
      <w:rFonts w:ascii="Arial" w:eastAsia="Times New Roman" w:hAnsi="Arial" w:cs="Times New Roman"/>
      <w:spacing w:val="4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1DA"/>
    <w:rPr>
      <w:rFonts w:ascii="Arial" w:eastAsia="Times New Roman" w:hAnsi="Arial" w:cs="Times New Roman"/>
      <w:b/>
      <w:bCs/>
      <w:spacing w:val="4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EC2E65"/>
    <w:pPr>
      <w:spacing w:before="240" w:after="240" w:line="384" w:lineRule="atLeast"/>
    </w:pPr>
    <w:rPr>
      <w:rFonts w:ascii="Times New Roman" w:hAnsi="Times New Roman"/>
      <w:spacing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72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ss.gov.au/our-responsibilities/families-and-children/benefits-payments/transition-to-independent-living-allowance-tila/eligibilit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ilda.cheng@sa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ss.gov.au/families-and-children/benefits-payments/transition-to-independent-living-allowance-tila/state-and-territory-contacts-for-young-people-find-a-case-work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ss.gov.au/TILA" TargetMode="External"/><Relationship Id="rId10" Type="http://schemas.openxmlformats.org/officeDocument/2006/relationships/hyperlink" Target="https://www.dss.gov.au/our-responsibilities/families-and-children/benefits-payments/transition-to-independent-living-allowance-tila/eligibilit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dss.gov.au/our-responsibilities/families-and-children/benefits-payments/transition-to-independent-living-allowance-tila/support-services-for-young-people-moving-to-independent-li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4676DA4-640B-4C82-83C4-532D475F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Stefanac, Sandra</dc:creator>
  <cp:lastModifiedBy>CIFUENTES, Karen</cp:lastModifiedBy>
  <cp:revision>2</cp:revision>
  <dcterms:created xsi:type="dcterms:W3CDTF">2016-08-19T04:41:00Z</dcterms:created>
  <dcterms:modified xsi:type="dcterms:W3CDTF">2016-08-19T04:41:00Z</dcterms:modified>
</cp:coreProperties>
</file>